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3.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4.xml" ContentType="application/vnd.openxmlformats-officedocument.drawingml.chart+xml"/>
  <Override PartName="/word/charts/style63.xml" ContentType="application/vnd.ms-office.chartstyle+xml"/>
  <Override PartName="/word/charts/colors63.xml" ContentType="application/vnd.ms-office.chartcolorstyle+xml"/>
  <Override PartName="/word/drawings/drawing1.xml" ContentType="application/vnd.openxmlformats-officedocument.drawingml.chartshapes+xml"/>
  <Override PartName="/word/charts/chart65.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6.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67.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8.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9.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0.xml" ContentType="application/vnd.openxmlformats-officedocument.drawingml.chart+xml"/>
  <Override PartName="/word/charts/style69.xml" ContentType="application/vnd.ms-office.chartstyle+xml"/>
  <Override PartName="/word/charts/colors69.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DD184" w14:textId="293895D9" w:rsidR="00FD51B0" w:rsidRDefault="00964E73">
      <w:r>
        <w:rPr>
          <w:noProof/>
        </w:rPr>
        <w:drawing>
          <wp:anchor distT="0" distB="0" distL="114300" distR="114300" simplePos="0" relativeHeight="251658243" behindDoc="0" locked="0" layoutInCell="1" allowOverlap="1" wp14:anchorId="7BC76A97" wp14:editId="73497BD0">
            <wp:simplePos x="0" y="0"/>
            <wp:positionH relativeFrom="column">
              <wp:posOffset>-933450</wp:posOffset>
            </wp:positionH>
            <wp:positionV relativeFrom="paragraph">
              <wp:posOffset>-658495</wp:posOffset>
            </wp:positionV>
            <wp:extent cx="10725856" cy="7579605"/>
            <wp:effectExtent l="0" t="0" r="0" b="254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25856" cy="757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74BD0" w14:textId="77777777" w:rsidR="00C21B20" w:rsidRDefault="00C21B20" w:rsidP="00C50D71">
      <w:pPr>
        <w:pStyle w:val="CoverNormal"/>
      </w:pPr>
      <w:bookmarkStart w:id="0" w:name="_Hlk165385809"/>
      <w:bookmarkStart w:id="1" w:name="TOC"/>
      <w:bookmarkStart w:id="2" w:name="_Hlk157604807"/>
      <w:bookmarkEnd w:id="0"/>
    </w:p>
    <w:p w14:paraId="745465D1" w14:textId="211E79EF" w:rsidR="00C21B20" w:rsidRPr="00570F0F" w:rsidRDefault="00C21B20" w:rsidP="00C50D71">
      <w:pPr>
        <w:sectPr w:rsidR="00C21B20" w:rsidRPr="00570F0F" w:rsidSect="00C50D71">
          <w:footerReference w:type="default" r:id="rId13"/>
          <w:pgSz w:w="16838" w:h="11906" w:orient="landscape" w:code="9"/>
          <w:pgMar w:top="992" w:right="1440" w:bottom="1440" w:left="1440" w:header="709" w:footer="709" w:gutter="0"/>
          <w:pgNumType w:fmt="lowerRoman" w:start="0"/>
          <w:cols w:space="708"/>
          <w:titlePg/>
          <w:docGrid w:linePitch="360"/>
        </w:sectPr>
      </w:pPr>
      <w:bookmarkStart w:id="3" w:name="_Hlk165900927"/>
      <w:bookmarkEnd w:id="1"/>
      <w:bookmarkEnd w:id="3"/>
    </w:p>
    <w:p w14:paraId="373FD00E" w14:textId="77777777" w:rsidR="00C21B20" w:rsidRPr="00FD4F2D" w:rsidRDefault="00C21B20" w:rsidP="00AA38BB">
      <w:pPr>
        <w:pStyle w:val="Contents"/>
        <w:spacing w:after="100"/>
        <w:jc w:val="left"/>
      </w:pPr>
      <w:bookmarkStart w:id="4" w:name="TOCHeading"/>
      <w:r w:rsidRPr="005548B4">
        <w:lastRenderedPageBreak/>
        <w:t>Contents</w:t>
      </w:r>
    </w:p>
    <w:bookmarkEnd w:id="4"/>
    <w:p w14:paraId="6B07A387" w14:textId="0942E31E" w:rsidR="00BF178A" w:rsidRDefault="00223FE2">
      <w:pPr>
        <w:pStyle w:val="TOC1"/>
        <w:rPr>
          <w:rFonts w:asciiTheme="minorHAnsi" w:eastAsiaTheme="minorEastAsia" w:hAnsiTheme="minorHAnsi"/>
          <w:b w:val="0"/>
          <w:kern w:val="2"/>
          <w:szCs w:val="22"/>
          <w:lang w:eastAsia="en-AU"/>
          <w14:ligatures w14:val="standardContextual"/>
        </w:rPr>
      </w:pPr>
      <w:r>
        <w:rPr>
          <w:rFonts w:asciiTheme="minorHAnsi" w:hAnsiTheme="minorHAnsi"/>
          <w:b w:val="0"/>
        </w:rPr>
        <w:fldChar w:fldCharType="begin"/>
      </w:r>
      <w:r>
        <w:rPr>
          <w:rFonts w:asciiTheme="minorHAnsi" w:hAnsiTheme="minorHAnsi"/>
          <w:b w:val="0"/>
        </w:rPr>
        <w:instrText xml:space="preserve"> TOC \o "1-1" \h \z \t "Heading 2,2,Heading 6,6,Heading 1 No Number,1" </w:instrText>
      </w:r>
      <w:r>
        <w:rPr>
          <w:rFonts w:asciiTheme="minorHAnsi" w:hAnsiTheme="minorHAnsi"/>
          <w:b w:val="0"/>
        </w:rPr>
        <w:fldChar w:fldCharType="separate"/>
      </w:r>
      <w:hyperlink w:anchor="_Toc172794493" w:history="1">
        <w:r w:rsidR="00BF178A" w:rsidRPr="004E19D2">
          <w:rPr>
            <w:rStyle w:val="Hyperlink"/>
          </w:rPr>
          <w:t>Executive Summary</w:t>
        </w:r>
        <w:r w:rsidR="00BF178A">
          <w:rPr>
            <w:webHidden/>
          </w:rPr>
          <w:tab/>
        </w:r>
        <w:r w:rsidR="00BF178A">
          <w:rPr>
            <w:webHidden/>
          </w:rPr>
          <w:fldChar w:fldCharType="begin"/>
        </w:r>
        <w:r w:rsidR="00BF178A">
          <w:rPr>
            <w:webHidden/>
          </w:rPr>
          <w:instrText xml:space="preserve"> PAGEREF _Toc172794493 \h </w:instrText>
        </w:r>
        <w:r w:rsidR="00BF178A">
          <w:rPr>
            <w:webHidden/>
          </w:rPr>
        </w:r>
        <w:r w:rsidR="00BF178A">
          <w:rPr>
            <w:webHidden/>
          </w:rPr>
          <w:fldChar w:fldCharType="separate"/>
        </w:r>
        <w:r w:rsidR="00BF178A">
          <w:rPr>
            <w:webHidden/>
          </w:rPr>
          <w:t>3</w:t>
        </w:r>
        <w:r w:rsidR="00BF178A">
          <w:rPr>
            <w:webHidden/>
          </w:rPr>
          <w:fldChar w:fldCharType="end"/>
        </w:r>
      </w:hyperlink>
    </w:p>
    <w:p w14:paraId="1F196EF3" w14:textId="332BEF14" w:rsidR="00BF178A" w:rsidRDefault="00D21206">
      <w:pPr>
        <w:pStyle w:val="TOC1"/>
        <w:rPr>
          <w:rFonts w:asciiTheme="minorHAnsi" w:eastAsiaTheme="minorEastAsia" w:hAnsiTheme="minorHAnsi"/>
          <w:b w:val="0"/>
          <w:kern w:val="2"/>
          <w:szCs w:val="22"/>
          <w:lang w:eastAsia="en-AU"/>
          <w14:ligatures w14:val="standardContextual"/>
        </w:rPr>
      </w:pPr>
      <w:hyperlink w:anchor="_Toc172794494" w:history="1">
        <w:r w:rsidR="00BF178A" w:rsidRPr="004E19D2">
          <w:rPr>
            <w:rStyle w:val="Hyperlink"/>
          </w:rPr>
          <w:t>Introduction</w:t>
        </w:r>
        <w:r w:rsidR="00BF178A">
          <w:rPr>
            <w:webHidden/>
          </w:rPr>
          <w:tab/>
        </w:r>
        <w:r w:rsidR="00BF178A">
          <w:rPr>
            <w:webHidden/>
          </w:rPr>
          <w:fldChar w:fldCharType="begin"/>
        </w:r>
        <w:r w:rsidR="00BF178A">
          <w:rPr>
            <w:webHidden/>
          </w:rPr>
          <w:instrText xml:space="preserve"> PAGEREF _Toc172794494 \h </w:instrText>
        </w:r>
        <w:r w:rsidR="00BF178A">
          <w:rPr>
            <w:webHidden/>
          </w:rPr>
        </w:r>
        <w:r w:rsidR="00BF178A">
          <w:rPr>
            <w:webHidden/>
          </w:rPr>
          <w:fldChar w:fldCharType="separate"/>
        </w:r>
        <w:r w:rsidR="00BF178A">
          <w:rPr>
            <w:webHidden/>
          </w:rPr>
          <w:t>5</w:t>
        </w:r>
        <w:r w:rsidR="00BF178A">
          <w:rPr>
            <w:webHidden/>
          </w:rPr>
          <w:fldChar w:fldCharType="end"/>
        </w:r>
      </w:hyperlink>
    </w:p>
    <w:p w14:paraId="2DC23253" w14:textId="753C5943" w:rsidR="00BF178A" w:rsidRDefault="00D21206">
      <w:pPr>
        <w:pStyle w:val="TOC2"/>
        <w:rPr>
          <w:rFonts w:asciiTheme="minorHAnsi" w:eastAsiaTheme="minorEastAsia" w:hAnsiTheme="minorHAnsi"/>
          <w:kern w:val="2"/>
          <w:lang w:eastAsia="en-AU"/>
          <w14:ligatures w14:val="standardContextual"/>
        </w:rPr>
      </w:pPr>
      <w:hyperlink w:anchor="_Toc172794495" w:history="1">
        <w:r w:rsidR="00BF178A" w:rsidRPr="004E19D2">
          <w:rPr>
            <w:rStyle w:val="Hyperlink"/>
          </w:rPr>
          <w:t>Terms of Reference</w:t>
        </w:r>
        <w:r w:rsidR="00BF178A">
          <w:rPr>
            <w:webHidden/>
          </w:rPr>
          <w:tab/>
        </w:r>
        <w:r w:rsidR="00BF178A">
          <w:rPr>
            <w:webHidden/>
          </w:rPr>
          <w:fldChar w:fldCharType="begin"/>
        </w:r>
        <w:r w:rsidR="00BF178A">
          <w:rPr>
            <w:webHidden/>
          </w:rPr>
          <w:instrText xml:space="preserve"> PAGEREF _Toc172794495 \h </w:instrText>
        </w:r>
        <w:r w:rsidR="00BF178A">
          <w:rPr>
            <w:webHidden/>
          </w:rPr>
        </w:r>
        <w:r w:rsidR="00BF178A">
          <w:rPr>
            <w:webHidden/>
          </w:rPr>
          <w:fldChar w:fldCharType="separate"/>
        </w:r>
        <w:r w:rsidR="00BF178A">
          <w:rPr>
            <w:webHidden/>
          </w:rPr>
          <w:t>5</w:t>
        </w:r>
        <w:r w:rsidR="00BF178A">
          <w:rPr>
            <w:webHidden/>
          </w:rPr>
          <w:fldChar w:fldCharType="end"/>
        </w:r>
      </w:hyperlink>
    </w:p>
    <w:p w14:paraId="0E117006" w14:textId="3A47B9C9" w:rsidR="00BF178A" w:rsidRDefault="00D21206">
      <w:pPr>
        <w:pStyle w:val="TOC2"/>
        <w:rPr>
          <w:rFonts w:asciiTheme="minorHAnsi" w:eastAsiaTheme="minorEastAsia" w:hAnsiTheme="minorHAnsi"/>
          <w:kern w:val="2"/>
          <w:lang w:eastAsia="en-AU"/>
          <w14:ligatures w14:val="standardContextual"/>
        </w:rPr>
      </w:pPr>
      <w:hyperlink w:anchor="_Toc172794496" w:history="1">
        <w:r w:rsidR="00BF178A" w:rsidRPr="004E19D2">
          <w:rPr>
            <w:rStyle w:val="Hyperlink"/>
          </w:rPr>
          <w:t>Approach</w:t>
        </w:r>
        <w:r w:rsidR="00BF178A">
          <w:rPr>
            <w:webHidden/>
          </w:rPr>
          <w:tab/>
        </w:r>
        <w:r w:rsidR="00BF178A">
          <w:rPr>
            <w:webHidden/>
          </w:rPr>
          <w:fldChar w:fldCharType="begin"/>
        </w:r>
        <w:r w:rsidR="00BF178A">
          <w:rPr>
            <w:webHidden/>
          </w:rPr>
          <w:instrText xml:space="preserve"> PAGEREF _Toc172794496 \h </w:instrText>
        </w:r>
        <w:r w:rsidR="00BF178A">
          <w:rPr>
            <w:webHidden/>
          </w:rPr>
        </w:r>
        <w:r w:rsidR="00BF178A">
          <w:rPr>
            <w:webHidden/>
          </w:rPr>
          <w:fldChar w:fldCharType="separate"/>
        </w:r>
        <w:r w:rsidR="00BF178A">
          <w:rPr>
            <w:webHidden/>
          </w:rPr>
          <w:t>5</w:t>
        </w:r>
        <w:r w:rsidR="00BF178A">
          <w:rPr>
            <w:webHidden/>
          </w:rPr>
          <w:fldChar w:fldCharType="end"/>
        </w:r>
      </w:hyperlink>
    </w:p>
    <w:p w14:paraId="4E034FCD" w14:textId="4C2C3742" w:rsidR="00BF178A" w:rsidRDefault="00D21206">
      <w:pPr>
        <w:pStyle w:val="TOC2"/>
        <w:rPr>
          <w:rFonts w:asciiTheme="minorHAnsi" w:eastAsiaTheme="minorEastAsia" w:hAnsiTheme="minorHAnsi"/>
          <w:kern w:val="2"/>
          <w:lang w:eastAsia="en-AU"/>
          <w14:ligatures w14:val="standardContextual"/>
        </w:rPr>
      </w:pPr>
      <w:hyperlink w:anchor="_Toc172794497" w:history="1">
        <w:r w:rsidR="00BF178A" w:rsidRPr="004E19D2">
          <w:rPr>
            <w:rStyle w:val="Hyperlink"/>
            <w:lang w:eastAsia="en-AU"/>
          </w:rPr>
          <w:t>The Energy Trilemma</w:t>
        </w:r>
        <w:r w:rsidR="00BF178A">
          <w:rPr>
            <w:webHidden/>
          </w:rPr>
          <w:tab/>
        </w:r>
        <w:r w:rsidR="00BF178A">
          <w:rPr>
            <w:webHidden/>
          </w:rPr>
          <w:fldChar w:fldCharType="begin"/>
        </w:r>
        <w:r w:rsidR="00BF178A">
          <w:rPr>
            <w:webHidden/>
          </w:rPr>
          <w:instrText xml:space="preserve"> PAGEREF _Toc172794497 \h </w:instrText>
        </w:r>
        <w:r w:rsidR="00BF178A">
          <w:rPr>
            <w:webHidden/>
          </w:rPr>
        </w:r>
        <w:r w:rsidR="00BF178A">
          <w:rPr>
            <w:webHidden/>
          </w:rPr>
          <w:fldChar w:fldCharType="separate"/>
        </w:r>
        <w:r w:rsidR="00BF178A">
          <w:rPr>
            <w:webHidden/>
          </w:rPr>
          <w:t>6</w:t>
        </w:r>
        <w:r w:rsidR="00BF178A">
          <w:rPr>
            <w:webHidden/>
          </w:rPr>
          <w:fldChar w:fldCharType="end"/>
        </w:r>
      </w:hyperlink>
    </w:p>
    <w:p w14:paraId="70193919" w14:textId="3C1FF717" w:rsidR="00BF178A" w:rsidRDefault="00D21206">
      <w:pPr>
        <w:pStyle w:val="TOC2"/>
        <w:rPr>
          <w:rFonts w:asciiTheme="minorHAnsi" w:eastAsiaTheme="minorEastAsia" w:hAnsiTheme="minorHAnsi"/>
          <w:kern w:val="2"/>
          <w:lang w:eastAsia="en-AU"/>
          <w14:ligatures w14:val="standardContextual"/>
        </w:rPr>
      </w:pPr>
      <w:hyperlink w:anchor="_Toc172794498" w:history="1">
        <w:r w:rsidR="00BF178A" w:rsidRPr="004E19D2">
          <w:rPr>
            <w:rStyle w:val="Hyperlink"/>
            <w:lang w:eastAsia="en-AU"/>
          </w:rPr>
          <w:t>Use of scenario analysis</w:t>
        </w:r>
        <w:r w:rsidR="00BF178A">
          <w:rPr>
            <w:webHidden/>
          </w:rPr>
          <w:tab/>
        </w:r>
        <w:r w:rsidR="00BF178A">
          <w:rPr>
            <w:webHidden/>
          </w:rPr>
          <w:fldChar w:fldCharType="begin"/>
        </w:r>
        <w:r w:rsidR="00BF178A">
          <w:rPr>
            <w:webHidden/>
          </w:rPr>
          <w:instrText xml:space="preserve"> PAGEREF _Toc172794498 \h </w:instrText>
        </w:r>
        <w:r w:rsidR="00BF178A">
          <w:rPr>
            <w:webHidden/>
          </w:rPr>
        </w:r>
        <w:r w:rsidR="00BF178A">
          <w:rPr>
            <w:webHidden/>
          </w:rPr>
          <w:fldChar w:fldCharType="separate"/>
        </w:r>
        <w:r w:rsidR="00BF178A">
          <w:rPr>
            <w:webHidden/>
          </w:rPr>
          <w:t>6</w:t>
        </w:r>
        <w:r w:rsidR="00BF178A">
          <w:rPr>
            <w:webHidden/>
          </w:rPr>
          <w:fldChar w:fldCharType="end"/>
        </w:r>
      </w:hyperlink>
    </w:p>
    <w:p w14:paraId="12B054D1" w14:textId="2E2A75A0" w:rsidR="00BF178A" w:rsidRDefault="00D21206">
      <w:pPr>
        <w:pStyle w:val="TOC1"/>
        <w:rPr>
          <w:rFonts w:asciiTheme="minorHAnsi" w:eastAsiaTheme="minorEastAsia" w:hAnsiTheme="minorHAnsi"/>
          <w:b w:val="0"/>
          <w:kern w:val="2"/>
          <w:szCs w:val="22"/>
          <w:lang w:eastAsia="en-AU"/>
          <w14:ligatures w14:val="standardContextual"/>
        </w:rPr>
      </w:pPr>
      <w:hyperlink w:anchor="_Toc172794499" w:history="1">
        <w:r w:rsidR="00BF178A" w:rsidRPr="004E19D2">
          <w:rPr>
            <w:rStyle w:val="Hyperlink"/>
          </w:rPr>
          <w:t>1.</w:t>
        </w:r>
        <w:r w:rsidR="00BF178A">
          <w:rPr>
            <w:rFonts w:asciiTheme="minorHAnsi" w:eastAsiaTheme="minorEastAsia" w:hAnsiTheme="minorHAnsi"/>
            <w:b w:val="0"/>
            <w:kern w:val="2"/>
            <w:szCs w:val="22"/>
            <w:lang w:eastAsia="en-AU"/>
            <w14:ligatures w14:val="standardContextual"/>
          </w:rPr>
          <w:tab/>
        </w:r>
        <w:r w:rsidR="00BF178A" w:rsidRPr="004E19D2">
          <w:rPr>
            <w:rStyle w:val="Hyperlink"/>
          </w:rPr>
          <w:t>A primer on the global and Australian gas markets</w:t>
        </w:r>
        <w:r w:rsidR="00BF178A">
          <w:rPr>
            <w:webHidden/>
          </w:rPr>
          <w:tab/>
        </w:r>
        <w:r w:rsidR="00BF178A">
          <w:rPr>
            <w:webHidden/>
          </w:rPr>
          <w:fldChar w:fldCharType="begin"/>
        </w:r>
        <w:r w:rsidR="00BF178A">
          <w:rPr>
            <w:webHidden/>
          </w:rPr>
          <w:instrText xml:space="preserve"> PAGEREF _Toc172794499 \h </w:instrText>
        </w:r>
        <w:r w:rsidR="00BF178A">
          <w:rPr>
            <w:webHidden/>
          </w:rPr>
        </w:r>
        <w:r w:rsidR="00BF178A">
          <w:rPr>
            <w:webHidden/>
          </w:rPr>
          <w:fldChar w:fldCharType="separate"/>
        </w:r>
        <w:r w:rsidR="00BF178A">
          <w:rPr>
            <w:webHidden/>
          </w:rPr>
          <w:t>9</w:t>
        </w:r>
        <w:r w:rsidR="00BF178A">
          <w:rPr>
            <w:webHidden/>
          </w:rPr>
          <w:fldChar w:fldCharType="end"/>
        </w:r>
      </w:hyperlink>
    </w:p>
    <w:p w14:paraId="11B29C96" w14:textId="1EFE3525" w:rsidR="00BF178A" w:rsidRDefault="00D21206">
      <w:pPr>
        <w:pStyle w:val="TOC2"/>
        <w:rPr>
          <w:rFonts w:asciiTheme="minorHAnsi" w:eastAsiaTheme="minorEastAsia" w:hAnsiTheme="minorHAnsi"/>
          <w:kern w:val="2"/>
          <w:lang w:eastAsia="en-AU"/>
          <w14:ligatures w14:val="standardContextual"/>
        </w:rPr>
      </w:pPr>
      <w:hyperlink w:anchor="_Toc172794500" w:history="1">
        <w:r w:rsidR="00BF178A" w:rsidRPr="004E19D2">
          <w:rPr>
            <w:rStyle w:val="Hyperlink"/>
          </w:rPr>
          <w:t>Summary</w:t>
        </w:r>
        <w:r w:rsidR="00BF178A">
          <w:rPr>
            <w:webHidden/>
          </w:rPr>
          <w:tab/>
        </w:r>
        <w:r w:rsidR="00BF178A">
          <w:rPr>
            <w:webHidden/>
          </w:rPr>
          <w:fldChar w:fldCharType="begin"/>
        </w:r>
        <w:r w:rsidR="00BF178A">
          <w:rPr>
            <w:webHidden/>
          </w:rPr>
          <w:instrText xml:space="preserve"> PAGEREF _Toc172794500 \h </w:instrText>
        </w:r>
        <w:r w:rsidR="00BF178A">
          <w:rPr>
            <w:webHidden/>
          </w:rPr>
        </w:r>
        <w:r w:rsidR="00BF178A">
          <w:rPr>
            <w:webHidden/>
          </w:rPr>
          <w:fldChar w:fldCharType="separate"/>
        </w:r>
        <w:r w:rsidR="00BF178A">
          <w:rPr>
            <w:webHidden/>
          </w:rPr>
          <w:t>9</w:t>
        </w:r>
        <w:r w:rsidR="00BF178A">
          <w:rPr>
            <w:webHidden/>
          </w:rPr>
          <w:fldChar w:fldCharType="end"/>
        </w:r>
      </w:hyperlink>
    </w:p>
    <w:p w14:paraId="0C2DE4FC" w14:textId="6957AB0F" w:rsidR="00BF178A" w:rsidRDefault="00D21206">
      <w:pPr>
        <w:pStyle w:val="TOC2"/>
        <w:rPr>
          <w:rFonts w:asciiTheme="minorHAnsi" w:eastAsiaTheme="minorEastAsia" w:hAnsiTheme="minorHAnsi"/>
          <w:kern w:val="2"/>
          <w:lang w:eastAsia="en-AU"/>
          <w14:ligatures w14:val="standardContextual"/>
        </w:rPr>
      </w:pPr>
      <w:hyperlink w:anchor="_Toc172794501" w:history="1">
        <w:r w:rsidR="00BF178A" w:rsidRPr="004E19D2">
          <w:rPr>
            <w:rStyle w:val="Hyperlink"/>
          </w:rPr>
          <w:t>1.1</w:t>
        </w:r>
        <w:r w:rsidR="00BF178A">
          <w:rPr>
            <w:rFonts w:asciiTheme="minorHAnsi" w:eastAsiaTheme="minorEastAsia" w:hAnsiTheme="minorHAnsi"/>
            <w:kern w:val="2"/>
            <w:lang w:eastAsia="en-AU"/>
            <w14:ligatures w14:val="standardContextual"/>
          </w:rPr>
          <w:tab/>
        </w:r>
        <w:r w:rsidR="00BF178A" w:rsidRPr="004E19D2">
          <w:rPr>
            <w:rStyle w:val="Hyperlink"/>
          </w:rPr>
          <w:t>Global and domestic gas markets</w:t>
        </w:r>
        <w:r w:rsidR="00BF178A">
          <w:rPr>
            <w:webHidden/>
          </w:rPr>
          <w:tab/>
        </w:r>
        <w:r w:rsidR="00BF178A">
          <w:rPr>
            <w:webHidden/>
          </w:rPr>
          <w:fldChar w:fldCharType="begin"/>
        </w:r>
        <w:r w:rsidR="00BF178A">
          <w:rPr>
            <w:webHidden/>
          </w:rPr>
          <w:instrText xml:space="preserve"> PAGEREF _Toc172794501 \h </w:instrText>
        </w:r>
        <w:r w:rsidR="00BF178A">
          <w:rPr>
            <w:webHidden/>
          </w:rPr>
        </w:r>
        <w:r w:rsidR="00BF178A">
          <w:rPr>
            <w:webHidden/>
          </w:rPr>
          <w:fldChar w:fldCharType="separate"/>
        </w:r>
        <w:r w:rsidR="00BF178A">
          <w:rPr>
            <w:webHidden/>
          </w:rPr>
          <w:t>9</w:t>
        </w:r>
        <w:r w:rsidR="00BF178A">
          <w:rPr>
            <w:webHidden/>
          </w:rPr>
          <w:fldChar w:fldCharType="end"/>
        </w:r>
      </w:hyperlink>
    </w:p>
    <w:p w14:paraId="57B65DC1" w14:textId="6966324E" w:rsidR="00BF178A" w:rsidRDefault="00D21206">
      <w:pPr>
        <w:pStyle w:val="TOC1"/>
        <w:rPr>
          <w:rFonts w:asciiTheme="minorHAnsi" w:eastAsiaTheme="minorEastAsia" w:hAnsiTheme="minorHAnsi"/>
          <w:b w:val="0"/>
          <w:kern w:val="2"/>
          <w:szCs w:val="22"/>
          <w:lang w:eastAsia="en-AU"/>
          <w14:ligatures w14:val="standardContextual"/>
        </w:rPr>
      </w:pPr>
      <w:hyperlink w:anchor="_Toc172794502" w:history="1">
        <w:r w:rsidR="00BF178A" w:rsidRPr="004E19D2">
          <w:rPr>
            <w:rStyle w:val="Hyperlink"/>
          </w:rPr>
          <w:t>2.</w:t>
        </w:r>
        <w:r w:rsidR="00BF178A">
          <w:rPr>
            <w:rFonts w:asciiTheme="minorHAnsi" w:eastAsiaTheme="minorEastAsia" w:hAnsiTheme="minorHAnsi"/>
            <w:b w:val="0"/>
            <w:kern w:val="2"/>
            <w:szCs w:val="22"/>
            <w:lang w:eastAsia="en-AU"/>
            <w14:ligatures w14:val="standardContextual"/>
          </w:rPr>
          <w:tab/>
        </w:r>
        <w:r w:rsidR="00BF178A" w:rsidRPr="004E19D2">
          <w:rPr>
            <w:rStyle w:val="Hyperlink"/>
          </w:rPr>
          <w:t>Emissions from the supply and use of gas</w:t>
        </w:r>
        <w:r w:rsidR="00BF178A">
          <w:rPr>
            <w:webHidden/>
          </w:rPr>
          <w:tab/>
        </w:r>
        <w:r w:rsidR="00BF178A">
          <w:rPr>
            <w:webHidden/>
          </w:rPr>
          <w:fldChar w:fldCharType="begin"/>
        </w:r>
        <w:r w:rsidR="00BF178A">
          <w:rPr>
            <w:webHidden/>
          </w:rPr>
          <w:instrText xml:space="preserve"> PAGEREF _Toc172794502 \h </w:instrText>
        </w:r>
        <w:r w:rsidR="00BF178A">
          <w:rPr>
            <w:webHidden/>
          </w:rPr>
        </w:r>
        <w:r w:rsidR="00BF178A">
          <w:rPr>
            <w:webHidden/>
          </w:rPr>
          <w:fldChar w:fldCharType="separate"/>
        </w:r>
        <w:r w:rsidR="00BF178A">
          <w:rPr>
            <w:webHidden/>
          </w:rPr>
          <w:t>18</w:t>
        </w:r>
        <w:r w:rsidR="00BF178A">
          <w:rPr>
            <w:webHidden/>
          </w:rPr>
          <w:fldChar w:fldCharType="end"/>
        </w:r>
      </w:hyperlink>
    </w:p>
    <w:p w14:paraId="0A379686" w14:textId="3E6F16BC" w:rsidR="00BF178A" w:rsidRDefault="00D21206">
      <w:pPr>
        <w:pStyle w:val="TOC2"/>
        <w:rPr>
          <w:rFonts w:asciiTheme="minorHAnsi" w:eastAsiaTheme="minorEastAsia" w:hAnsiTheme="minorHAnsi"/>
          <w:kern w:val="2"/>
          <w:lang w:eastAsia="en-AU"/>
          <w14:ligatures w14:val="standardContextual"/>
        </w:rPr>
      </w:pPr>
      <w:hyperlink w:anchor="_Toc172794503" w:history="1">
        <w:r w:rsidR="00BF178A" w:rsidRPr="004E19D2">
          <w:rPr>
            <w:rStyle w:val="Hyperlink"/>
          </w:rPr>
          <w:t>Summary</w:t>
        </w:r>
        <w:r w:rsidR="00BF178A">
          <w:rPr>
            <w:webHidden/>
          </w:rPr>
          <w:tab/>
        </w:r>
        <w:r w:rsidR="00BF178A">
          <w:rPr>
            <w:webHidden/>
          </w:rPr>
          <w:fldChar w:fldCharType="begin"/>
        </w:r>
        <w:r w:rsidR="00BF178A">
          <w:rPr>
            <w:webHidden/>
          </w:rPr>
          <w:instrText xml:space="preserve"> PAGEREF _Toc172794503 \h </w:instrText>
        </w:r>
        <w:r w:rsidR="00BF178A">
          <w:rPr>
            <w:webHidden/>
          </w:rPr>
        </w:r>
        <w:r w:rsidR="00BF178A">
          <w:rPr>
            <w:webHidden/>
          </w:rPr>
          <w:fldChar w:fldCharType="separate"/>
        </w:r>
        <w:r w:rsidR="00BF178A">
          <w:rPr>
            <w:webHidden/>
          </w:rPr>
          <w:t>18</w:t>
        </w:r>
        <w:r w:rsidR="00BF178A">
          <w:rPr>
            <w:webHidden/>
          </w:rPr>
          <w:fldChar w:fldCharType="end"/>
        </w:r>
      </w:hyperlink>
    </w:p>
    <w:p w14:paraId="11964B41" w14:textId="1C616DE1" w:rsidR="00BF178A" w:rsidRDefault="00D21206">
      <w:pPr>
        <w:pStyle w:val="TOC2"/>
        <w:rPr>
          <w:rFonts w:asciiTheme="minorHAnsi" w:eastAsiaTheme="minorEastAsia" w:hAnsiTheme="minorHAnsi"/>
          <w:kern w:val="2"/>
          <w:lang w:eastAsia="en-AU"/>
          <w14:ligatures w14:val="standardContextual"/>
        </w:rPr>
      </w:pPr>
      <w:hyperlink w:anchor="_Toc172794504" w:history="1">
        <w:r w:rsidR="00BF178A" w:rsidRPr="004E19D2">
          <w:rPr>
            <w:rStyle w:val="Hyperlink"/>
          </w:rPr>
          <w:t>2.1</w:t>
        </w:r>
        <w:r w:rsidR="00BF178A">
          <w:rPr>
            <w:rFonts w:asciiTheme="minorHAnsi" w:eastAsiaTheme="minorEastAsia" w:hAnsiTheme="minorHAnsi"/>
            <w:kern w:val="2"/>
            <w:lang w:eastAsia="en-AU"/>
            <w14:ligatures w14:val="standardContextual"/>
          </w:rPr>
          <w:tab/>
        </w:r>
        <w:r w:rsidR="00BF178A" w:rsidRPr="004E19D2">
          <w:rPr>
            <w:rStyle w:val="Hyperlink"/>
          </w:rPr>
          <w:t>Australia’s gas emissions</w:t>
        </w:r>
        <w:r w:rsidR="00BF178A">
          <w:rPr>
            <w:webHidden/>
          </w:rPr>
          <w:tab/>
        </w:r>
        <w:r w:rsidR="00BF178A">
          <w:rPr>
            <w:webHidden/>
          </w:rPr>
          <w:fldChar w:fldCharType="begin"/>
        </w:r>
        <w:r w:rsidR="00BF178A">
          <w:rPr>
            <w:webHidden/>
          </w:rPr>
          <w:instrText xml:space="preserve"> PAGEREF _Toc172794504 \h </w:instrText>
        </w:r>
        <w:r w:rsidR="00BF178A">
          <w:rPr>
            <w:webHidden/>
          </w:rPr>
        </w:r>
        <w:r w:rsidR="00BF178A">
          <w:rPr>
            <w:webHidden/>
          </w:rPr>
          <w:fldChar w:fldCharType="separate"/>
        </w:r>
        <w:r w:rsidR="00BF178A">
          <w:rPr>
            <w:webHidden/>
          </w:rPr>
          <w:t>19</w:t>
        </w:r>
        <w:r w:rsidR="00BF178A">
          <w:rPr>
            <w:webHidden/>
          </w:rPr>
          <w:fldChar w:fldCharType="end"/>
        </w:r>
      </w:hyperlink>
    </w:p>
    <w:p w14:paraId="4DD1B569" w14:textId="3A23FEC8" w:rsidR="00BF178A" w:rsidRDefault="00D21206">
      <w:pPr>
        <w:pStyle w:val="TOC2"/>
        <w:rPr>
          <w:rFonts w:asciiTheme="minorHAnsi" w:eastAsiaTheme="minorEastAsia" w:hAnsiTheme="minorHAnsi"/>
          <w:kern w:val="2"/>
          <w:lang w:eastAsia="en-AU"/>
          <w14:ligatures w14:val="standardContextual"/>
        </w:rPr>
      </w:pPr>
      <w:hyperlink w:anchor="_Toc172794505" w:history="1">
        <w:r w:rsidR="00BF178A" w:rsidRPr="004E19D2">
          <w:rPr>
            <w:rStyle w:val="Hyperlink"/>
          </w:rPr>
          <w:t>2.2</w:t>
        </w:r>
        <w:r w:rsidR="00BF178A">
          <w:rPr>
            <w:rFonts w:asciiTheme="minorHAnsi" w:eastAsiaTheme="minorEastAsia" w:hAnsiTheme="minorHAnsi"/>
            <w:kern w:val="2"/>
            <w:lang w:eastAsia="en-AU"/>
            <w14:ligatures w14:val="standardContextual"/>
          </w:rPr>
          <w:tab/>
        </w:r>
        <w:r w:rsidR="00BF178A" w:rsidRPr="004E19D2">
          <w:rPr>
            <w:rStyle w:val="Hyperlink"/>
          </w:rPr>
          <w:t>LNG emissions in Australia and overseas</w:t>
        </w:r>
        <w:r w:rsidR="00BF178A">
          <w:rPr>
            <w:webHidden/>
          </w:rPr>
          <w:tab/>
        </w:r>
        <w:r w:rsidR="00BF178A">
          <w:rPr>
            <w:webHidden/>
          </w:rPr>
          <w:fldChar w:fldCharType="begin"/>
        </w:r>
        <w:r w:rsidR="00BF178A">
          <w:rPr>
            <w:webHidden/>
          </w:rPr>
          <w:instrText xml:space="preserve"> PAGEREF _Toc172794505 \h </w:instrText>
        </w:r>
        <w:r w:rsidR="00BF178A">
          <w:rPr>
            <w:webHidden/>
          </w:rPr>
        </w:r>
        <w:r w:rsidR="00BF178A">
          <w:rPr>
            <w:webHidden/>
          </w:rPr>
          <w:fldChar w:fldCharType="separate"/>
        </w:r>
        <w:r w:rsidR="00BF178A">
          <w:rPr>
            <w:webHidden/>
          </w:rPr>
          <w:t>26</w:t>
        </w:r>
        <w:r w:rsidR="00BF178A">
          <w:rPr>
            <w:webHidden/>
          </w:rPr>
          <w:fldChar w:fldCharType="end"/>
        </w:r>
      </w:hyperlink>
    </w:p>
    <w:p w14:paraId="01294AD9" w14:textId="298EDF58" w:rsidR="00BF178A" w:rsidRDefault="00D21206">
      <w:pPr>
        <w:pStyle w:val="TOC2"/>
        <w:rPr>
          <w:rFonts w:asciiTheme="minorHAnsi" w:eastAsiaTheme="minorEastAsia" w:hAnsiTheme="minorHAnsi"/>
          <w:kern w:val="2"/>
          <w:lang w:eastAsia="en-AU"/>
          <w14:ligatures w14:val="standardContextual"/>
        </w:rPr>
      </w:pPr>
      <w:hyperlink w:anchor="_Toc172794506" w:history="1">
        <w:r w:rsidR="00BF178A" w:rsidRPr="004E19D2">
          <w:rPr>
            <w:rStyle w:val="Hyperlink"/>
          </w:rPr>
          <w:t>2.3</w:t>
        </w:r>
        <w:r w:rsidR="00BF178A">
          <w:rPr>
            <w:rFonts w:asciiTheme="minorHAnsi" w:eastAsiaTheme="minorEastAsia" w:hAnsiTheme="minorHAnsi"/>
            <w:kern w:val="2"/>
            <w:lang w:eastAsia="en-AU"/>
            <w14:ligatures w14:val="standardContextual"/>
          </w:rPr>
          <w:tab/>
        </w:r>
        <w:r w:rsidR="00BF178A" w:rsidRPr="004E19D2">
          <w:rPr>
            <w:rStyle w:val="Hyperlink"/>
          </w:rPr>
          <w:t>Abatement technologies to reduce gas supply emissions</w:t>
        </w:r>
        <w:r w:rsidR="00BF178A">
          <w:rPr>
            <w:webHidden/>
          </w:rPr>
          <w:tab/>
        </w:r>
        <w:r w:rsidR="00BF178A">
          <w:rPr>
            <w:webHidden/>
          </w:rPr>
          <w:fldChar w:fldCharType="begin"/>
        </w:r>
        <w:r w:rsidR="00BF178A">
          <w:rPr>
            <w:webHidden/>
          </w:rPr>
          <w:instrText xml:space="preserve"> PAGEREF _Toc172794506 \h </w:instrText>
        </w:r>
        <w:r w:rsidR="00BF178A">
          <w:rPr>
            <w:webHidden/>
          </w:rPr>
        </w:r>
        <w:r w:rsidR="00BF178A">
          <w:rPr>
            <w:webHidden/>
          </w:rPr>
          <w:fldChar w:fldCharType="separate"/>
        </w:r>
        <w:r w:rsidR="00BF178A">
          <w:rPr>
            <w:webHidden/>
          </w:rPr>
          <w:t>28</w:t>
        </w:r>
        <w:r w:rsidR="00BF178A">
          <w:rPr>
            <w:webHidden/>
          </w:rPr>
          <w:fldChar w:fldCharType="end"/>
        </w:r>
      </w:hyperlink>
    </w:p>
    <w:p w14:paraId="2829282C" w14:textId="56892C19" w:rsidR="00BF178A" w:rsidRDefault="00D21206">
      <w:pPr>
        <w:pStyle w:val="TOC2"/>
        <w:rPr>
          <w:rFonts w:asciiTheme="minorHAnsi" w:eastAsiaTheme="minorEastAsia" w:hAnsiTheme="minorHAnsi"/>
          <w:kern w:val="2"/>
          <w:lang w:eastAsia="en-AU"/>
          <w14:ligatures w14:val="standardContextual"/>
        </w:rPr>
      </w:pPr>
      <w:hyperlink w:anchor="_Toc172794507" w:history="1">
        <w:r w:rsidR="00BF178A" w:rsidRPr="004E19D2">
          <w:rPr>
            <w:rStyle w:val="Hyperlink"/>
          </w:rPr>
          <w:t>2.4</w:t>
        </w:r>
        <w:r w:rsidR="00BF178A">
          <w:rPr>
            <w:rFonts w:asciiTheme="minorHAnsi" w:eastAsiaTheme="minorEastAsia" w:hAnsiTheme="minorHAnsi"/>
            <w:kern w:val="2"/>
            <w:lang w:eastAsia="en-AU"/>
            <w14:ligatures w14:val="standardContextual"/>
          </w:rPr>
          <w:tab/>
        </w:r>
        <w:r w:rsidR="00BF178A" w:rsidRPr="004E19D2">
          <w:rPr>
            <w:rStyle w:val="Hyperlink"/>
          </w:rPr>
          <w:t>Abatement options to reduce gas use emissions</w:t>
        </w:r>
        <w:r w:rsidR="00BF178A">
          <w:rPr>
            <w:webHidden/>
          </w:rPr>
          <w:tab/>
        </w:r>
        <w:r w:rsidR="00BF178A">
          <w:rPr>
            <w:webHidden/>
          </w:rPr>
          <w:fldChar w:fldCharType="begin"/>
        </w:r>
        <w:r w:rsidR="00BF178A">
          <w:rPr>
            <w:webHidden/>
          </w:rPr>
          <w:instrText xml:space="preserve"> PAGEREF _Toc172794507 \h </w:instrText>
        </w:r>
        <w:r w:rsidR="00BF178A">
          <w:rPr>
            <w:webHidden/>
          </w:rPr>
        </w:r>
        <w:r w:rsidR="00BF178A">
          <w:rPr>
            <w:webHidden/>
          </w:rPr>
          <w:fldChar w:fldCharType="separate"/>
        </w:r>
        <w:r w:rsidR="00BF178A">
          <w:rPr>
            <w:webHidden/>
          </w:rPr>
          <w:t>30</w:t>
        </w:r>
        <w:r w:rsidR="00BF178A">
          <w:rPr>
            <w:webHidden/>
          </w:rPr>
          <w:fldChar w:fldCharType="end"/>
        </w:r>
      </w:hyperlink>
    </w:p>
    <w:p w14:paraId="4DF6E272" w14:textId="09C2DDA8" w:rsidR="00BF178A" w:rsidRDefault="00D21206">
      <w:pPr>
        <w:pStyle w:val="TOC1"/>
        <w:rPr>
          <w:rFonts w:asciiTheme="minorHAnsi" w:eastAsiaTheme="minorEastAsia" w:hAnsiTheme="minorHAnsi"/>
          <w:b w:val="0"/>
          <w:kern w:val="2"/>
          <w:szCs w:val="22"/>
          <w:lang w:eastAsia="en-AU"/>
          <w14:ligatures w14:val="standardContextual"/>
        </w:rPr>
      </w:pPr>
      <w:hyperlink w:anchor="_Toc172794508" w:history="1">
        <w:r w:rsidR="00BF178A" w:rsidRPr="004E19D2">
          <w:rPr>
            <w:rStyle w:val="Hyperlink"/>
          </w:rPr>
          <w:t>3.</w:t>
        </w:r>
        <w:r w:rsidR="00BF178A">
          <w:rPr>
            <w:rFonts w:asciiTheme="minorHAnsi" w:eastAsiaTheme="minorEastAsia" w:hAnsiTheme="minorHAnsi"/>
            <w:b w:val="0"/>
            <w:kern w:val="2"/>
            <w:szCs w:val="22"/>
            <w:lang w:eastAsia="en-AU"/>
            <w14:ligatures w14:val="standardContextual"/>
          </w:rPr>
          <w:tab/>
        </w:r>
        <w:r w:rsidR="00BF178A" w:rsidRPr="004E19D2">
          <w:rPr>
            <w:rStyle w:val="Hyperlink"/>
          </w:rPr>
          <w:t>Domestic demand outlook</w:t>
        </w:r>
        <w:r w:rsidR="00BF178A">
          <w:rPr>
            <w:webHidden/>
          </w:rPr>
          <w:tab/>
        </w:r>
        <w:r w:rsidR="00BF178A">
          <w:rPr>
            <w:webHidden/>
          </w:rPr>
          <w:fldChar w:fldCharType="begin"/>
        </w:r>
        <w:r w:rsidR="00BF178A">
          <w:rPr>
            <w:webHidden/>
          </w:rPr>
          <w:instrText xml:space="preserve"> PAGEREF _Toc172794508 \h </w:instrText>
        </w:r>
        <w:r w:rsidR="00BF178A">
          <w:rPr>
            <w:webHidden/>
          </w:rPr>
        </w:r>
        <w:r w:rsidR="00BF178A">
          <w:rPr>
            <w:webHidden/>
          </w:rPr>
          <w:fldChar w:fldCharType="separate"/>
        </w:r>
        <w:r w:rsidR="00BF178A">
          <w:rPr>
            <w:webHidden/>
          </w:rPr>
          <w:t>35</w:t>
        </w:r>
        <w:r w:rsidR="00BF178A">
          <w:rPr>
            <w:webHidden/>
          </w:rPr>
          <w:fldChar w:fldCharType="end"/>
        </w:r>
      </w:hyperlink>
    </w:p>
    <w:p w14:paraId="135A192E" w14:textId="1F45D822" w:rsidR="00BF178A" w:rsidRDefault="00D21206">
      <w:pPr>
        <w:pStyle w:val="TOC2"/>
        <w:rPr>
          <w:rFonts w:asciiTheme="minorHAnsi" w:eastAsiaTheme="minorEastAsia" w:hAnsiTheme="minorHAnsi"/>
          <w:kern w:val="2"/>
          <w:lang w:eastAsia="en-AU"/>
          <w14:ligatures w14:val="standardContextual"/>
        </w:rPr>
      </w:pPr>
      <w:hyperlink w:anchor="_Toc172794509" w:history="1">
        <w:r w:rsidR="00BF178A" w:rsidRPr="004E19D2">
          <w:rPr>
            <w:rStyle w:val="Hyperlink"/>
          </w:rPr>
          <w:t>Summary</w:t>
        </w:r>
        <w:r w:rsidR="00BF178A">
          <w:rPr>
            <w:webHidden/>
          </w:rPr>
          <w:tab/>
        </w:r>
        <w:r w:rsidR="00BF178A">
          <w:rPr>
            <w:webHidden/>
          </w:rPr>
          <w:fldChar w:fldCharType="begin"/>
        </w:r>
        <w:r w:rsidR="00BF178A">
          <w:rPr>
            <w:webHidden/>
          </w:rPr>
          <w:instrText xml:space="preserve"> PAGEREF _Toc172794509 \h </w:instrText>
        </w:r>
        <w:r w:rsidR="00BF178A">
          <w:rPr>
            <w:webHidden/>
          </w:rPr>
        </w:r>
        <w:r w:rsidR="00BF178A">
          <w:rPr>
            <w:webHidden/>
          </w:rPr>
          <w:fldChar w:fldCharType="separate"/>
        </w:r>
        <w:r w:rsidR="00BF178A">
          <w:rPr>
            <w:webHidden/>
          </w:rPr>
          <w:t>35</w:t>
        </w:r>
        <w:r w:rsidR="00BF178A">
          <w:rPr>
            <w:webHidden/>
          </w:rPr>
          <w:fldChar w:fldCharType="end"/>
        </w:r>
      </w:hyperlink>
    </w:p>
    <w:p w14:paraId="0284A8C5" w14:textId="5CFBDC69" w:rsidR="00BF178A" w:rsidRDefault="00D21206">
      <w:pPr>
        <w:pStyle w:val="TOC2"/>
        <w:rPr>
          <w:rFonts w:asciiTheme="minorHAnsi" w:eastAsiaTheme="minorEastAsia" w:hAnsiTheme="minorHAnsi"/>
          <w:kern w:val="2"/>
          <w:lang w:eastAsia="en-AU"/>
          <w14:ligatures w14:val="standardContextual"/>
        </w:rPr>
      </w:pPr>
      <w:hyperlink w:anchor="_Toc172794510" w:history="1">
        <w:r w:rsidR="00BF178A" w:rsidRPr="004E19D2">
          <w:rPr>
            <w:rStyle w:val="Hyperlink"/>
          </w:rPr>
          <w:t>3.1</w:t>
        </w:r>
        <w:r w:rsidR="00BF178A">
          <w:rPr>
            <w:rFonts w:asciiTheme="minorHAnsi" w:eastAsiaTheme="minorEastAsia" w:hAnsiTheme="minorHAnsi"/>
            <w:kern w:val="2"/>
            <w:lang w:eastAsia="en-AU"/>
            <w14:ligatures w14:val="standardContextual"/>
          </w:rPr>
          <w:tab/>
        </w:r>
        <w:r w:rsidR="00BF178A" w:rsidRPr="004E19D2">
          <w:rPr>
            <w:rStyle w:val="Hyperlink"/>
          </w:rPr>
          <w:t>Overview of gas demand in Australia</w:t>
        </w:r>
        <w:r w:rsidR="00BF178A">
          <w:rPr>
            <w:webHidden/>
          </w:rPr>
          <w:tab/>
        </w:r>
        <w:r w:rsidR="00BF178A">
          <w:rPr>
            <w:webHidden/>
          </w:rPr>
          <w:fldChar w:fldCharType="begin"/>
        </w:r>
        <w:r w:rsidR="00BF178A">
          <w:rPr>
            <w:webHidden/>
          </w:rPr>
          <w:instrText xml:space="preserve"> PAGEREF _Toc172794510 \h </w:instrText>
        </w:r>
        <w:r w:rsidR="00BF178A">
          <w:rPr>
            <w:webHidden/>
          </w:rPr>
        </w:r>
        <w:r w:rsidR="00BF178A">
          <w:rPr>
            <w:webHidden/>
          </w:rPr>
          <w:fldChar w:fldCharType="separate"/>
        </w:r>
        <w:r w:rsidR="00BF178A">
          <w:rPr>
            <w:webHidden/>
          </w:rPr>
          <w:t>36</w:t>
        </w:r>
        <w:r w:rsidR="00BF178A">
          <w:rPr>
            <w:webHidden/>
          </w:rPr>
          <w:fldChar w:fldCharType="end"/>
        </w:r>
      </w:hyperlink>
    </w:p>
    <w:p w14:paraId="364B43BE" w14:textId="4BAFE678" w:rsidR="00BF178A" w:rsidRDefault="00D21206">
      <w:pPr>
        <w:pStyle w:val="TOC2"/>
        <w:rPr>
          <w:rFonts w:asciiTheme="minorHAnsi" w:eastAsiaTheme="minorEastAsia" w:hAnsiTheme="minorHAnsi"/>
          <w:kern w:val="2"/>
          <w:lang w:eastAsia="en-AU"/>
          <w14:ligatures w14:val="standardContextual"/>
        </w:rPr>
      </w:pPr>
      <w:hyperlink w:anchor="_Toc172794511" w:history="1">
        <w:r w:rsidR="00BF178A" w:rsidRPr="004E19D2">
          <w:rPr>
            <w:rStyle w:val="Hyperlink"/>
          </w:rPr>
          <w:t>3.2</w:t>
        </w:r>
        <w:r w:rsidR="00BF178A">
          <w:rPr>
            <w:rFonts w:asciiTheme="minorHAnsi" w:eastAsiaTheme="minorEastAsia" w:hAnsiTheme="minorHAnsi"/>
            <w:kern w:val="2"/>
            <w:lang w:eastAsia="en-AU"/>
            <w14:ligatures w14:val="standardContextual"/>
          </w:rPr>
          <w:tab/>
        </w:r>
        <w:r w:rsidR="00BF178A" w:rsidRPr="004E19D2">
          <w:rPr>
            <w:rStyle w:val="Hyperlink"/>
          </w:rPr>
          <w:t>Projections of east and west coast gas demand</w:t>
        </w:r>
        <w:r w:rsidR="00BF178A">
          <w:rPr>
            <w:webHidden/>
          </w:rPr>
          <w:tab/>
        </w:r>
        <w:r w:rsidR="00BF178A">
          <w:rPr>
            <w:webHidden/>
          </w:rPr>
          <w:fldChar w:fldCharType="begin"/>
        </w:r>
        <w:r w:rsidR="00BF178A">
          <w:rPr>
            <w:webHidden/>
          </w:rPr>
          <w:instrText xml:space="preserve"> PAGEREF _Toc172794511 \h </w:instrText>
        </w:r>
        <w:r w:rsidR="00BF178A">
          <w:rPr>
            <w:webHidden/>
          </w:rPr>
        </w:r>
        <w:r w:rsidR="00BF178A">
          <w:rPr>
            <w:webHidden/>
          </w:rPr>
          <w:fldChar w:fldCharType="separate"/>
        </w:r>
        <w:r w:rsidR="00BF178A">
          <w:rPr>
            <w:webHidden/>
          </w:rPr>
          <w:t>39</w:t>
        </w:r>
        <w:r w:rsidR="00BF178A">
          <w:rPr>
            <w:webHidden/>
          </w:rPr>
          <w:fldChar w:fldCharType="end"/>
        </w:r>
      </w:hyperlink>
    </w:p>
    <w:p w14:paraId="00729005" w14:textId="7AF88E91" w:rsidR="00BF178A" w:rsidRDefault="00D21206">
      <w:pPr>
        <w:pStyle w:val="TOC2"/>
        <w:rPr>
          <w:rFonts w:asciiTheme="minorHAnsi" w:eastAsiaTheme="minorEastAsia" w:hAnsiTheme="minorHAnsi"/>
          <w:kern w:val="2"/>
          <w:lang w:eastAsia="en-AU"/>
          <w14:ligatures w14:val="standardContextual"/>
        </w:rPr>
      </w:pPr>
      <w:hyperlink w:anchor="_Toc172794512" w:history="1">
        <w:r w:rsidR="00BF178A" w:rsidRPr="004E19D2">
          <w:rPr>
            <w:rStyle w:val="Hyperlink"/>
          </w:rPr>
          <w:t>3.3</w:t>
        </w:r>
        <w:r w:rsidR="00BF178A">
          <w:rPr>
            <w:rFonts w:asciiTheme="minorHAnsi" w:eastAsiaTheme="minorEastAsia" w:hAnsiTheme="minorHAnsi"/>
            <w:kern w:val="2"/>
            <w:lang w:eastAsia="en-AU"/>
            <w14:ligatures w14:val="standardContextual"/>
          </w:rPr>
          <w:tab/>
        </w:r>
        <w:r w:rsidR="00BF178A" w:rsidRPr="004E19D2">
          <w:rPr>
            <w:rStyle w:val="Hyperlink"/>
          </w:rPr>
          <w:t>East coast demand projections by sector</w:t>
        </w:r>
        <w:r w:rsidR="00BF178A">
          <w:rPr>
            <w:webHidden/>
          </w:rPr>
          <w:tab/>
        </w:r>
        <w:r w:rsidR="00BF178A">
          <w:rPr>
            <w:webHidden/>
          </w:rPr>
          <w:fldChar w:fldCharType="begin"/>
        </w:r>
        <w:r w:rsidR="00BF178A">
          <w:rPr>
            <w:webHidden/>
          </w:rPr>
          <w:instrText xml:space="preserve"> PAGEREF _Toc172794512 \h </w:instrText>
        </w:r>
        <w:r w:rsidR="00BF178A">
          <w:rPr>
            <w:webHidden/>
          </w:rPr>
        </w:r>
        <w:r w:rsidR="00BF178A">
          <w:rPr>
            <w:webHidden/>
          </w:rPr>
          <w:fldChar w:fldCharType="separate"/>
        </w:r>
        <w:r w:rsidR="00BF178A">
          <w:rPr>
            <w:webHidden/>
          </w:rPr>
          <w:t>41</w:t>
        </w:r>
        <w:r w:rsidR="00BF178A">
          <w:rPr>
            <w:webHidden/>
          </w:rPr>
          <w:fldChar w:fldCharType="end"/>
        </w:r>
      </w:hyperlink>
    </w:p>
    <w:p w14:paraId="460BB894" w14:textId="0E06A415" w:rsidR="00BF178A" w:rsidRDefault="00D21206">
      <w:pPr>
        <w:pStyle w:val="TOC2"/>
        <w:rPr>
          <w:rFonts w:asciiTheme="minorHAnsi" w:eastAsiaTheme="minorEastAsia" w:hAnsiTheme="minorHAnsi"/>
          <w:kern w:val="2"/>
          <w:lang w:eastAsia="en-AU"/>
          <w14:ligatures w14:val="standardContextual"/>
        </w:rPr>
      </w:pPr>
      <w:hyperlink w:anchor="_Toc172794513" w:history="1">
        <w:r w:rsidR="00BF178A" w:rsidRPr="004E19D2">
          <w:rPr>
            <w:rStyle w:val="Hyperlink"/>
          </w:rPr>
          <w:t>3.4</w:t>
        </w:r>
        <w:r w:rsidR="00BF178A">
          <w:rPr>
            <w:rFonts w:asciiTheme="minorHAnsi" w:eastAsiaTheme="minorEastAsia" w:hAnsiTheme="minorHAnsi"/>
            <w:kern w:val="2"/>
            <w:lang w:eastAsia="en-AU"/>
            <w14:ligatures w14:val="standardContextual"/>
          </w:rPr>
          <w:tab/>
        </w:r>
        <w:r w:rsidR="00BF178A" w:rsidRPr="004E19D2">
          <w:rPr>
            <w:rStyle w:val="Hyperlink"/>
          </w:rPr>
          <w:t>West coast demand projections by sector</w:t>
        </w:r>
        <w:r w:rsidR="00BF178A">
          <w:rPr>
            <w:webHidden/>
          </w:rPr>
          <w:tab/>
        </w:r>
        <w:r w:rsidR="00BF178A">
          <w:rPr>
            <w:webHidden/>
          </w:rPr>
          <w:fldChar w:fldCharType="begin"/>
        </w:r>
        <w:r w:rsidR="00BF178A">
          <w:rPr>
            <w:webHidden/>
          </w:rPr>
          <w:instrText xml:space="preserve"> PAGEREF _Toc172794513 \h </w:instrText>
        </w:r>
        <w:r w:rsidR="00BF178A">
          <w:rPr>
            <w:webHidden/>
          </w:rPr>
        </w:r>
        <w:r w:rsidR="00BF178A">
          <w:rPr>
            <w:webHidden/>
          </w:rPr>
          <w:fldChar w:fldCharType="separate"/>
        </w:r>
        <w:r w:rsidR="00BF178A">
          <w:rPr>
            <w:webHidden/>
          </w:rPr>
          <w:t>48</w:t>
        </w:r>
        <w:r w:rsidR="00BF178A">
          <w:rPr>
            <w:webHidden/>
          </w:rPr>
          <w:fldChar w:fldCharType="end"/>
        </w:r>
      </w:hyperlink>
    </w:p>
    <w:p w14:paraId="4AB4D86A" w14:textId="4AEC697E" w:rsidR="00BF178A" w:rsidRDefault="00D21206">
      <w:pPr>
        <w:pStyle w:val="TOC1"/>
        <w:rPr>
          <w:rFonts w:asciiTheme="minorHAnsi" w:eastAsiaTheme="minorEastAsia" w:hAnsiTheme="minorHAnsi"/>
          <w:b w:val="0"/>
          <w:kern w:val="2"/>
          <w:szCs w:val="22"/>
          <w:lang w:eastAsia="en-AU"/>
          <w14:ligatures w14:val="standardContextual"/>
        </w:rPr>
      </w:pPr>
      <w:hyperlink w:anchor="_Toc172794514" w:history="1">
        <w:r w:rsidR="00BF178A" w:rsidRPr="004E19D2">
          <w:rPr>
            <w:rStyle w:val="Hyperlink"/>
          </w:rPr>
          <w:t>4.</w:t>
        </w:r>
        <w:r w:rsidR="00BF178A">
          <w:rPr>
            <w:rFonts w:asciiTheme="minorHAnsi" w:eastAsiaTheme="minorEastAsia" w:hAnsiTheme="minorHAnsi"/>
            <w:b w:val="0"/>
            <w:kern w:val="2"/>
            <w:szCs w:val="22"/>
            <w:lang w:eastAsia="en-AU"/>
            <w14:ligatures w14:val="standardContextual"/>
          </w:rPr>
          <w:tab/>
        </w:r>
        <w:r w:rsidR="00BF178A" w:rsidRPr="004E19D2">
          <w:rPr>
            <w:rStyle w:val="Hyperlink"/>
          </w:rPr>
          <w:t>International demand outlook</w:t>
        </w:r>
        <w:r w:rsidR="00BF178A">
          <w:rPr>
            <w:webHidden/>
          </w:rPr>
          <w:tab/>
        </w:r>
        <w:r w:rsidR="00BF178A">
          <w:rPr>
            <w:webHidden/>
          </w:rPr>
          <w:fldChar w:fldCharType="begin"/>
        </w:r>
        <w:r w:rsidR="00BF178A">
          <w:rPr>
            <w:webHidden/>
          </w:rPr>
          <w:instrText xml:space="preserve"> PAGEREF _Toc172794514 \h </w:instrText>
        </w:r>
        <w:r w:rsidR="00BF178A">
          <w:rPr>
            <w:webHidden/>
          </w:rPr>
        </w:r>
        <w:r w:rsidR="00BF178A">
          <w:rPr>
            <w:webHidden/>
          </w:rPr>
          <w:fldChar w:fldCharType="separate"/>
        </w:r>
        <w:r w:rsidR="00BF178A">
          <w:rPr>
            <w:webHidden/>
          </w:rPr>
          <w:t>51</w:t>
        </w:r>
        <w:r w:rsidR="00BF178A">
          <w:rPr>
            <w:webHidden/>
          </w:rPr>
          <w:fldChar w:fldCharType="end"/>
        </w:r>
      </w:hyperlink>
    </w:p>
    <w:p w14:paraId="16DF26DD" w14:textId="38C1AD1F" w:rsidR="00BF178A" w:rsidRDefault="00D21206">
      <w:pPr>
        <w:pStyle w:val="TOC2"/>
        <w:rPr>
          <w:rFonts w:asciiTheme="minorHAnsi" w:eastAsiaTheme="minorEastAsia" w:hAnsiTheme="minorHAnsi"/>
          <w:kern w:val="2"/>
          <w:lang w:eastAsia="en-AU"/>
          <w14:ligatures w14:val="standardContextual"/>
        </w:rPr>
      </w:pPr>
      <w:hyperlink w:anchor="_Toc172794515" w:history="1">
        <w:r w:rsidR="00BF178A" w:rsidRPr="004E19D2">
          <w:rPr>
            <w:rStyle w:val="Hyperlink"/>
          </w:rPr>
          <w:t>Summary</w:t>
        </w:r>
        <w:r w:rsidR="00BF178A">
          <w:rPr>
            <w:webHidden/>
          </w:rPr>
          <w:tab/>
        </w:r>
        <w:r w:rsidR="00BF178A">
          <w:rPr>
            <w:webHidden/>
          </w:rPr>
          <w:fldChar w:fldCharType="begin"/>
        </w:r>
        <w:r w:rsidR="00BF178A">
          <w:rPr>
            <w:webHidden/>
          </w:rPr>
          <w:instrText xml:space="preserve"> PAGEREF _Toc172794515 \h </w:instrText>
        </w:r>
        <w:r w:rsidR="00BF178A">
          <w:rPr>
            <w:webHidden/>
          </w:rPr>
        </w:r>
        <w:r w:rsidR="00BF178A">
          <w:rPr>
            <w:webHidden/>
          </w:rPr>
          <w:fldChar w:fldCharType="separate"/>
        </w:r>
        <w:r w:rsidR="00BF178A">
          <w:rPr>
            <w:webHidden/>
          </w:rPr>
          <w:t>51</w:t>
        </w:r>
        <w:r w:rsidR="00BF178A">
          <w:rPr>
            <w:webHidden/>
          </w:rPr>
          <w:fldChar w:fldCharType="end"/>
        </w:r>
      </w:hyperlink>
    </w:p>
    <w:p w14:paraId="09E2A349" w14:textId="4455AA4F" w:rsidR="00BF178A" w:rsidRDefault="00D21206">
      <w:pPr>
        <w:pStyle w:val="TOC2"/>
        <w:rPr>
          <w:rFonts w:asciiTheme="minorHAnsi" w:eastAsiaTheme="minorEastAsia" w:hAnsiTheme="minorHAnsi"/>
          <w:kern w:val="2"/>
          <w:lang w:eastAsia="en-AU"/>
          <w14:ligatures w14:val="standardContextual"/>
        </w:rPr>
      </w:pPr>
      <w:hyperlink w:anchor="_Toc172794516" w:history="1">
        <w:r w:rsidR="00BF178A" w:rsidRPr="004E19D2">
          <w:rPr>
            <w:rStyle w:val="Hyperlink"/>
          </w:rPr>
          <w:t>4.1</w:t>
        </w:r>
        <w:r w:rsidR="00BF178A">
          <w:rPr>
            <w:rFonts w:asciiTheme="minorHAnsi" w:eastAsiaTheme="minorEastAsia" w:hAnsiTheme="minorHAnsi"/>
            <w:kern w:val="2"/>
            <w:lang w:eastAsia="en-AU"/>
            <w14:ligatures w14:val="standardContextual"/>
          </w:rPr>
          <w:tab/>
        </w:r>
        <w:r w:rsidR="00BF178A" w:rsidRPr="004E19D2">
          <w:rPr>
            <w:rStyle w:val="Hyperlink"/>
          </w:rPr>
          <w:t>Developments in global gas supply and LNG trade volumes</w:t>
        </w:r>
        <w:r w:rsidR="00BF178A">
          <w:rPr>
            <w:webHidden/>
          </w:rPr>
          <w:tab/>
        </w:r>
        <w:r w:rsidR="00BF178A">
          <w:rPr>
            <w:webHidden/>
          </w:rPr>
          <w:fldChar w:fldCharType="begin"/>
        </w:r>
        <w:r w:rsidR="00BF178A">
          <w:rPr>
            <w:webHidden/>
          </w:rPr>
          <w:instrText xml:space="preserve"> PAGEREF _Toc172794516 \h </w:instrText>
        </w:r>
        <w:r w:rsidR="00BF178A">
          <w:rPr>
            <w:webHidden/>
          </w:rPr>
        </w:r>
        <w:r w:rsidR="00BF178A">
          <w:rPr>
            <w:webHidden/>
          </w:rPr>
          <w:fldChar w:fldCharType="separate"/>
        </w:r>
        <w:r w:rsidR="00BF178A">
          <w:rPr>
            <w:webHidden/>
          </w:rPr>
          <w:t>52</w:t>
        </w:r>
        <w:r w:rsidR="00BF178A">
          <w:rPr>
            <w:webHidden/>
          </w:rPr>
          <w:fldChar w:fldCharType="end"/>
        </w:r>
      </w:hyperlink>
    </w:p>
    <w:p w14:paraId="569EE76F" w14:textId="1C50B235" w:rsidR="00BF178A" w:rsidRDefault="00D21206">
      <w:pPr>
        <w:pStyle w:val="TOC2"/>
      </w:pPr>
      <w:hyperlink w:anchor="_Toc172794517" w:history="1">
        <w:r w:rsidR="00BF178A" w:rsidRPr="004E19D2">
          <w:rPr>
            <w:rStyle w:val="Hyperlink"/>
          </w:rPr>
          <w:t>4.2</w:t>
        </w:r>
        <w:r w:rsidR="00BF178A">
          <w:rPr>
            <w:rFonts w:asciiTheme="minorHAnsi" w:eastAsiaTheme="minorEastAsia" w:hAnsiTheme="minorHAnsi"/>
            <w:kern w:val="2"/>
            <w:lang w:eastAsia="en-AU"/>
            <w14:ligatures w14:val="standardContextual"/>
          </w:rPr>
          <w:tab/>
        </w:r>
        <w:r w:rsidR="00BF178A" w:rsidRPr="004E19D2">
          <w:rPr>
            <w:rStyle w:val="Hyperlink"/>
          </w:rPr>
          <w:t>Global gas demand</w:t>
        </w:r>
        <w:r w:rsidR="00BF178A">
          <w:rPr>
            <w:webHidden/>
          </w:rPr>
          <w:tab/>
        </w:r>
        <w:r w:rsidR="00BF178A">
          <w:rPr>
            <w:webHidden/>
          </w:rPr>
          <w:fldChar w:fldCharType="begin"/>
        </w:r>
        <w:r w:rsidR="00BF178A">
          <w:rPr>
            <w:webHidden/>
          </w:rPr>
          <w:instrText xml:space="preserve"> PAGEREF _Toc172794517 \h </w:instrText>
        </w:r>
        <w:r w:rsidR="00BF178A">
          <w:rPr>
            <w:webHidden/>
          </w:rPr>
        </w:r>
        <w:r w:rsidR="00BF178A">
          <w:rPr>
            <w:webHidden/>
          </w:rPr>
          <w:fldChar w:fldCharType="separate"/>
        </w:r>
        <w:r w:rsidR="00BF178A">
          <w:rPr>
            <w:webHidden/>
          </w:rPr>
          <w:t>57</w:t>
        </w:r>
        <w:r w:rsidR="00BF178A">
          <w:rPr>
            <w:webHidden/>
          </w:rPr>
          <w:fldChar w:fldCharType="end"/>
        </w:r>
      </w:hyperlink>
    </w:p>
    <w:p w14:paraId="60ED082C" w14:textId="77777777" w:rsidR="00F22385" w:rsidRDefault="00F22385" w:rsidP="00F22385">
      <w:pPr>
        <w:spacing w:after="60"/>
      </w:pPr>
    </w:p>
    <w:p w14:paraId="3C737417" w14:textId="77777777" w:rsidR="00F22385" w:rsidRPr="00F22385" w:rsidRDefault="00F22385" w:rsidP="00F22385">
      <w:pPr>
        <w:spacing w:after="60"/>
      </w:pPr>
    </w:p>
    <w:p w14:paraId="292164D8" w14:textId="766C8894" w:rsidR="00BF178A" w:rsidRDefault="00D21206">
      <w:pPr>
        <w:pStyle w:val="TOC2"/>
        <w:rPr>
          <w:rFonts w:asciiTheme="minorHAnsi" w:eastAsiaTheme="minorEastAsia" w:hAnsiTheme="minorHAnsi"/>
          <w:kern w:val="2"/>
          <w:lang w:eastAsia="en-AU"/>
          <w14:ligatures w14:val="standardContextual"/>
        </w:rPr>
      </w:pPr>
      <w:hyperlink w:anchor="_Toc172794518" w:history="1">
        <w:r w:rsidR="00BF178A" w:rsidRPr="004E19D2">
          <w:rPr>
            <w:rStyle w:val="Hyperlink"/>
          </w:rPr>
          <w:t>4.3</w:t>
        </w:r>
        <w:r w:rsidR="00BF178A">
          <w:rPr>
            <w:rFonts w:asciiTheme="minorHAnsi" w:eastAsiaTheme="minorEastAsia" w:hAnsiTheme="minorHAnsi"/>
            <w:kern w:val="2"/>
            <w:lang w:eastAsia="en-AU"/>
            <w14:ligatures w14:val="standardContextual"/>
          </w:rPr>
          <w:tab/>
        </w:r>
        <w:r w:rsidR="00BF178A" w:rsidRPr="004E19D2">
          <w:rPr>
            <w:rStyle w:val="Hyperlink"/>
          </w:rPr>
          <w:t>Modelled gas exports by scenario</w:t>
        </w:r>
        <w:r w:rsidR="00BF178A">
          <w:rPr>
            <w:webHidden/>
          </w:rPr>
          <w:tab/>
        </w:r>
        <w:r w:rsidR="00BF178A">
          <w:rPr>
            <w:webHidden/>
          </w:rPr>
          <w:fldChar w:fldCharType="begin"/>
        </w:r>
        <w:r w:rsidR="00BF178A">
          <w:rPr>
            <w:webHidden/>
          </w:rPr>
          <w:instrText xml:space="preserve"> PAGEREF _Toc172794518 \h </w:instrText>
        </w:r>
        <w:r w:rsidR="00BF178A">
          <w:rPr>
            <w:webHidden/>
          </w:rPr>
        </w:r>
        <w:r w:rsidR="00BF178A">
          <w:rPr>
            <w:webHidden/>
          </w:rPr>
          <w:fldChar w:fldCharType="separate"/>
        </w:r>
        <w:r w:rsidR="00BF178A">
          <w:rPr>
            <w:webHidden/>
          </w:rPr>
          <w:t>59</w:t>
        </w:r>
        <w:r w:rsidR="00BF178A">
          <w:rPr>
            <w:webHidden/>
          </w:rPr>
          <w:fldChar w:fldCharType="end"/>
        </w:r>
      </w:hyperlink>
    </w:p>
    <w:p w14:paraId="01266BF1" w14:textId="628D42E9" w:rsidR="00BF178A" w:rsidRDefault="00D21206">
      <w:pPr>
        <w:pStyle w:val="TOC2"/>
        <w:rPr>
          <w:rFonts w:asciiTheme="minorHAnsi" w:eastAsiaTheme="minorEastAsia" w:hAnsiTheme="minorHAnsi"/>
          <w:kern w:val="2"/>
          <w:lang w:eastAsia="en-AU"/>
          <w14:ligatures w14:val="standardContextual"/>
        </w:rPr>
      </w:pPr>
      <w:hyperlink w:anchor="_Toc172794519" w:history="1">
        <w:r w:rsidR="00BF178A" w:rsidRPr="004E19D2">
          <w:rPr>
            <w:rStyle w:val="Hyperlink"/>
          </w:rPr>
          <w:t>4.4</w:t>
        </w:r>
        <w:r w:rsidR="00BF178A">
          <w:rPr>
            <w:rFonts w:asciiTheme="minorHAnsi" w:eastAsiaTheme="minorEastAsia" w:hAnsiTheme="minorHAnsi"/>
            <w:kern w:val="2"/>
            <w:lang w:eastAsia="en-AU"/>
            <w14:ligatures w14:val="standardContextual"/>
          </w:rPr>
          <w:tab/>
        </w:r>
        <w:r w:rsidR="00BF178A" w:rsidRPr="004E19D2">
          <w:rPr>
            <w:rStyle w:val="Hyperlink"/>
          </w:rPr>
          <w:t>Projections by Asian region</w:t>
        </w:r>
        <w:r w:rsidR="00BF178A">
          <w:rPr>
            <w:webHidden/>
          </w:rPr>
          <w:tab/>
        </w:r>
        <w:r w:rsidR="00BF178A">
          <w:rPr>
            <w:webHidden/>
          </w:rPr>
          <w:fldChar w:fldCharType="begin"/>
        </w:r>
        <w:r w:rsidR="00BF178A">
          <w:rPr>
            <w:webHidden/>
          </w:rPr>
          <w:instrText xml:space="preserve"> PAGEREF _Toc172794519 \h </w:instrText>
        </w:r>
        <w:r w:rsidR="00BF178A">
          <w:rPr>
            <w:webHidden/>
          </w:rPr>
        </w:r>
        <w:r w:rsidR="00BF178A">
          <w:rPr>
            <w:webHidden/>
          </w:rPr>
          <w:fldChar w:fldCharType="separate"/>
        </w:r>
        <w:r w:rsidR="00BF178A">
          <w:rPr>
            <w:webHidden/>
          </w:rPr>
          <w:t>60</w:t>
        </w:r>
        <w:r w:rsidR="00BF178A">
          <w:rPr>
            <w:webHidden/>
          </w:rPr>
          <w:fldChar w:fldCharType="end"/>
        </w:r>
      </w:hyperlink>
    </w:p>
    <w:p w14:paraId="3A07BC3E" w14:textId="30E33AD5" w:rsidR="00BF178A" w:rsidRDefault="00D21206">
      <w:pPr>
        <w:pStyle w:val="TOC1"/>
        <w:rPr>
          <w:rFonts w:asciiTheme="minorHAnsi" w:eastAsiaTheme="minorEastAsia" w:hAnsiTheme="minorHAnsi"/>
          <w:b w:val="0"/>
          <w:kern w:val="2"/>
          <w:szCs w:val="22"/>
          <w:lang w:eastAsia="en-AU"/>
          <w14:ligatures w14:val="standardContextual"/>
        </w:rPr>
      </w:pPr>
      <w:hyperlink w:anchor="_Toc172794520" w:history="1">
        <w:r w:rsidR="00BF178A" w:rsidRPr="004E19D2">
          <w:rPr>
            <w:rStyle w:val="Hyperlink"/>
          </w:rPr>
          <w:t>5.</w:t>
        </w:r>
        <w:r w:rsidR="00BF178A">
          <w:rPr>
            <w:rFonts w:asciiTheme="minorHAnsi" w:eastAsiaTheme="minorEastAsia" w:hAnsiTheme="minorHAnsi"/>
            <w:b w:val="0"/>
            <w:kern w:val="2"/>
            <w:szCs w:val="22"/>
            <w:lang w:eastAsia="en-AU"/>
            <w14:ligatures w14:val="standardContextual"/>
          </w:rPr>
          <w:tab/>
        </w:r>
        <w:r w:rsidR="00BF178A" w:rsidRPr="004E19D2">
          <w:rPr>
            <w:rStyle w:val="Hyperlink"/>
          </w:rPr>
          <w:t>Supply outlook</w:t>
        </w:r>
        <w:r w:rsidR="00BF178A">
          <w:rPr>
            <w:webHidden/>
          </w:rPr>
          <w:tab/>
        </w:r>
        <w:r w:rsidR="00BF178A">
          <w:rPr>
            <w:webHidden/>
          </w:rPr>
          <w:fldChar w:fldCharType="begin"/>
        </w:r>
        <w:r w:rsidR="00BF178A">
          <w:rPr>
            <w:webHidden/>
          </w:rPr>
          <w:instrText xml:space="preserve"> PAGEREF _Toc172794520 \h </w:instrText>
        </w:r>
        <w:r w:rsidR="00BF178A">
          <w:rPr>
            <w:webHidden/>
          </w:rPr>
        </w:r>
        <w:r w:rsidR="00BF178A">
          <w:rPr>
            <w:webHidden/>
          </w:rPr>
          <w:fldChar w:fldCharType="separate"/>
        </w:r>
        <w:r w:rsidR="00BF178A">
          <w:rPr>
            <w:webHidden/>
          </w:rPr>
          <w:t>66</w:t>
        </w:r>
        <w:r w:rsidR="00BF178A">
          <w:rPr>
            <w:webHidden/>
          </w:rPr>
          <w:fldChar w:fldCharType="end"/>
        </w:r>
      </w:hyperlink>
    </w:p>
    <w:p w14:paraId="55CD5923" w14:textId="153441A6" w:rsidR="00BF178A" w:rsidRDefault="00D21206">
      <w:pPr>
        <w:pStyle w:val="TOC2"/>
        <w:rPr>
          <w:rFonts w:asciiTheme="minorHAnsi" w:eastAsiaTheme="minorEastAsia" w:hAnsiTheme="minorHAnsi"/>
          <w:kern w:val="2"/>
          <w:lang w:eastAsia="en-AU"/>
          <w14:ligatures w14:val="standardContextual"/>
        </w:rPr>
      </w:pPr>
      <w:hyperlink w:anchor="_Toc172794521" w:history="1">
        <w:r w:rsidR="00BF178A" w:rsidRPr="004E19D2">
          <w:rPr>
            <w:rStyle w:val="Hyperlink"/>
          </w:rPr>
          <w:t>Summary</w:t>
        </w:r>
        <w:r w:rsidR="00BF178A">
          <w:rPr>
            <w:webHidden/>
          </w:rPr>
          <w:tab/>
        </w:r>
        <w:r w:rsidR="00BF178A">
          <w:rPr>
            <w:webHidden/>
          </w:rPr>
          <w:fldChar w:fldCharType="begin"/>
        </w:r>
        <w:r w:rsidR="00BF178A">
          <w:rPr>
            <w:webHidden/>
          </w:rPr>
          <w:instrText xml:space="preserve"> PAGEREF _Toc172794521 \h </w:instrText>
        </w:r>
        <w:r w:rsidR="00BF178A">
          <w:rPr>
            <w:webHidden/>
          </w:rPr>
        </w:r>
        <w:r w:rsidR="00BF178A">
          <w:rPr>
            <w:webHidden/>
          </w:rPr>
          <w:fldChar w:fldCharType="separate"/>
        </w:r>
        <w:r w:rsidR="00BF178A">
          <w:rPr>
            <w:webHidden/>
          </w:rPr>
          <w:t>66</w:t>
        </w:r>
        <w:r w:rsidR="00BF178A">
          <w:rPr>
            <w:webHidden/>
          </w:rPr>
          <w:fldChar w:fldCharType="end"/>
        </w:r>
      </w:hyperlink>
    </w:p>
    <w:p w14:paraId="41E16503" w14:textId="73BEA5ED" w:rsidR="00BF178A" w:rsidRDefault="00D21206">
      <w:pPr>
        <w:pStyle w:val="TOC2"/>
        <w:rPr>
          <w:rFonts w:asciiTheme="minorHAnsi" w:eastAsiaTheme="minorEastAsia" w:hAnsiTheme="minorHAnsi"/>
          <w:kern w:val="2"/>
          <w:lang w:eastAsia="en-AU"/>
          <w14:ligatures w14:val="standardContextual"/>
        </w:rPr>
      </w:pPr>
      <w:hyperlink w:anchor="_Toc172794522" w:history="1">
        <w:r w:rsidR="00BF178A" w:rsidRPr="004E19D2">
          <w:rPr>
            <w:rStyle w:val="Hyperlink"/>
          </w:rPr>
          <w:t>5.1</w:t>
        </w:r>
        <w:r w:rsidR="00BF178A">
          <w:rPr>
            <w:rFonts w:asciiTheme="minorHAnsi" w:eastAsiaTheme="minorEastAsia" w:hAnsiTheme="minorHAnsi"/>
            <w:kern w:val="2"/>
            <w:lang w:eastAsia="en-AU"/>
            <w14:ligatures w14:val="standardContextual"/>
          </w:rPr>
          <w:tab/>
        </w:r>
        <w:r w:rsidR="00BF178A" w:rsidRPr="004E19D2">
          <w:rPr>
            <w:rStyle w:val="Hyperlink"/>
          </w:rPr>
          <w:t>Near term shortages in gas supply</w:t>
        </w:r>
        <w:r w:rsidR="00BF178A">
          <w:rPr>
            <w:webHidden/>
          </w:rPr>
          <w:tab/>
        </w:r>
        <w:r w:rsidR="00BF178A">
          <w:rPr>
            <w:webHidden/>
          </w:rPr>
          <w:fldChar w:fldCharType="begin"/>
        </w:r>
        <w:r w:rsidR="00BF178A">
          <w:rPr>
            <w:webHidden/>
          </w:rPr>
          <w:instrText xml:space="preserve"> PAGEREF _Toc172794522 \h </w:instrText>
        </w:r>
        <w:r w:rsidR="00BF178A">
          <w:rPr>
            <w:webHidden/>
          </w:rPr>
        </w:r>
        <w:r w:rsidR="00BF178A">
          <w:rPr>
            <w:webHidden/>
          </w:rPr>
          <w:fldChar w:fldCharType="separate"/>
        </w:r>
        <w:r w:rsidR="00BF178A">
          <w:rPr>
            <w:webHidden/>
          </w:rPr>
          <w:t>66</w:t>
        </w:r>
        <w:r w:rsidR="00BF178A">
          <w:rPr>
            <w:webHidden/>
          </w:rPr>
          <w:fldChar w:fldCharType="end"/>
        </w:r>
      </w:hyperlink>
    </w:p>
    <w:p w14:paraId="7EED00FF" w14:textId="75D4664C" w:rsidR="00BF178A" w:rsidRDefault="00D21206">
      <w:pPr>
        <w:pStyle w:val="TOC2"/>
        <w:rPr>
          <w:rFonts w:asciiTheme="minorHAnsi" w:eastAsiaTheme="minorEastAsia" w:hAnsiTheme="minorHAnsi"/>
          <w:kern w:val="2"/>
          <w:lang w:eastAsia="en-AU"/>
          <w14:ligatures w14:val="standardContextual"/>
        </w:rPr>
      </w:pPr>
      <w:hyperlink w:anchor="_Toc172794523" w:history="1">
        <w:r w:rsidR="00BF178A" w:rsidRPr="004E19D2">
          <w:rPr>
            <w:rStyle w:val="Hyperlink"/>
          </w:rPr>
          <w:t>5.2</w:t>
        </w:r>
        <w:r w:rsidR="00BF178A">
          <w:rPr>
            <w:rFonts w:asciiTheme="minorHAnsi" w:eastAsiaTheme="minorEastAsia" w:hAnsiTheme="minorHAnsi"/>
            <w:kern w:val="2"/>
            <w:lang w:eastAsia="en-AU"/>
            <w14:ligatures w14:val="standardContextual"/>
          </w:rPr>
          <w:tab/>
        </w:r>
        <w:r w:rsidR="00BF178A" w:rsidRPr="004E19D2">
          <w:rPr>
            <w:rStyle w:val="Hyperlink"/>
          </w:rPr>
          <w:t>East coast supply imbalance</w:t>
        </w:r>
        <w:r w:rsidR="00BF178A">
          <w:rPr>
            <w:webHidden/>
          </w:rPr>
          <w:tab/>
        </w:r>
        <w:r w:rsidR="00BF178A">
          <w:rPr>
            <w:webHidden/>
          </w:rPr>
          <w:fldChar w:fldCharType="begin"/>
        </w:r>
        <w:r w:rsidR="00BF178A">
          <w:rPr>
            <w:webHidden/>
          </w:rPr>
          <w:instrText xml:space="preserve"> PAGEREF _Toc172794523 \h </w:instrText>
        </w:r>
        <w:r w:rsidR="00BF178A">
          <w:rPr>
            <w:webHidden/>
          </w:rPr>
        </w:r>
        <w:r w:rsidR="00BF178A">
          <w:rPr>
            <w:webHidden/>
          </w:rPr>
          <w:fldChar w:fldCharType="separate"/>
        </w:r>
        <w:r w:rsidR="00BF178A">
          <w:rPr>
            <w:webHidden/>
          </w:rPr>
          <w:t>67</w:t>
        </w:r>
        <w:r w:rsidR="00BF178A">
          <w:rPr>
            <w:webHidden/>
          </w:rPr>
          <w:fldChar w:fldCharType="end"/>
        </w:r>
      </w:hyperlink>
    </w:p>
    <w:p w14:paraId="654C3FD4" w14:textId="64DEC737" w:rsidR="00BF178A" w:rsidRDefault="00D21206">
      <w:pPr>
        <w:pStyle w:val="TOC2"/>
        <w:rPr>
          <w:rFonts w:asciiTheme="minorHAnsi" w:eastAsiaTheme="minorEastAsia" w:hAnsiTheme="minorHAnsi"/>
          <w:kern w:val="2"/>
          <w:lang w:eastAsia="en-AU"/>
          <w14:ligatures w14:val="standardContextual"/>
        </w:rPr>
      </w:pPr>
      <w:hyperlink w:anchor="_Toc172794524" w:history="1">
        <w:r w:rsidR="00BF178A" w:rsidRPr="004E19D2">
          <w:rPr>
            <w:rStyle w:val="Hyperlink"/>
          </w:rPr>
          <w:t>5.3</w:t>
        </w:r>
        <w:r w:rsidR="00BF178A">
          <w:rPr>
            <w:rFonts w:asciiTheme="minorHAnsi" w:eastAsiaTheme="minorEastAsia" w:hAnsiTheme="minorHAnsi"/>
            <w:kern w:val="2"/>
            <w:lang w:eastAsia="en-AU"/>
            <w14:ligatures w14:val="standardContextual"/>
          </w:rPr>
          <w:tab/>
        </w:r>
        <w:r w:rsidR="00BF178A" w:rsidRPr="004E19D2">
          <w:rPr>
            <w:rStyle w:val="Hyperlink"/>
          </w:rPr>
          <w:t>West coast supply imbalance</w:t>
        </w:r>
        <w:r w:rsidR="00BF178A">
          <w:rPr>
            <w:webHidden/>
          </w:rPr>
          <w:tab/>
        </w:r>
        <w:r w:rsidR="00BF178A">
          <w:rPr>
            <w:webHidden/>
          </w:rPr>
          <w:fldChar w:fldCharType="begin"/>
        </w:r>
        <w:r w:rsidR="00BF178A">
          <w:rPr>
            <w:webHidden/>
          </w:rPr>
          <w:instrText xml:space="preserve"> PAGEREF _Toc172794524 \h </w:instrText>
        </w:r>
        <w:r w:rsidR="00BF178A">
          <w:rPr>
            <w:webHidden/>
          </w:rPr>
        </w:r>
        <w:r w:rsidR="00BF178A">
          <w:rPr>
            <w:webHidden/>
          </w:rPr>
          <w:fldChar w:fldCharType="separate"/>
        </w:r>
        <w:r w:rsidR="00BF178A">
          <w:rPr>
            <w:webHidden/>
          </w:rPr>
          <w:t>69</w:t>
        </w:r>
        <w:r w:rsidR="00BF178A">
          <w:rPr>
            <w:webHidden/>
          </w:rPr>
          <w:fldChar w:fldCharType="end"/>
        </w:r>
      </w:hyperlink>
    </w:p>
    <w:p w14:paraId="39399855" w14:textId="7E957832" w:rsidR="00BF178A" w:rsidRDefault="00D21206">
      <w:pPr>
        <w:pStyle w:val="TOC2"/>
        <w:rPr>
          <w:rFonts w:asciiTheme="minorHAnsi" w:eastAsiaTheme="minorEastAsia" w:hAnsiTheme="minorHAnsi"/>
          <w:kern w:val="2"/>
          <w:lang w:eastAsia="en-AU"/>
          <w14:ligatures w14:val="standardContextual"/>
        </w:rPr>
      </w:pPr>
      <w:hyperlink w:anchor="_Toc172794525" w:history="1">
        <w:r w:rsidR="00BF178A" w:rsidRPr="004E19D2">
          <w:rPr>
            <w:rStyle w:val="Hyperlink"/>
          </w:rPr>
          <w:t>5.4</w:t>
        </w:r>
        <w:r w:rsidR="00BF178A">
          <w:rPr>
            <w:rFonts w:asciiTheme="minorHAnsi" w:eastAsiaTheme="minorEastAsia" w:hAnsiTheme="minorHAnsi"/>
            <w:kern w:val="2"/>
            <w:lang w:eastAsia="en-AU"/>
            <w14:ligatures w14:val="standardContextual"/>
          </w:rPr>
          <w:tab/>
        </w:r>
        <w:r w:rsidR="00BF178A" w:rsidRPr="004E19D2">
          <w:rPr>
            <w:rStyle w:val="Hyperlink"/>
          </w:rPr>
          <w:t>Australia’s gas resources</w:t>
        </w:r>
        <w:r w:rsidR="00BF178A">
          <w:rPr>
            <w:webHidden/>
          </w:rPr>
          <w:tab/>
        </w:r>
        <w:r w:rsidR="00BF178A">
          <w:rPr>
            <w:webHidden/>
          </w:rPr>
          <w:fldChar w:fldCharType="begin"/>
        </w:r>
        <w:r w:rsidR="00BF178A">
          <w:rPr>
            <w:webHidden/>
          </w:rPr>
          <w:instrText xml:space="preserve"> PAGEREF _Toc172794525 \h </w:instrText>
        </w:r>
        <w:r w:rsidR="00BF178A">
          <w:rPr>
            <w:webHidden/>
          </w:rPr>
        </w:r>
        <w:r w:rsidR="00BF178A">
          <w:rPr>
            <w:webHidden/>
          </w:rPr>
          <w:fldChar w:fldCharType="separate"/>
        </w:r>
        <w:r w:rsidR="00BF178A">
          <w:rPr>
            <w:webHidden/>
          </w:rPr>
          <w:t>70</w:t>
        </w:r>
        <w:r w:rsidR="00BF178A">
          <w:rPr>
            <w:webHidden/>
          </w:rPr>
          <w:fldChar w:fldCharType="end"/>
        </w:r>
      </w:hyperlink>
    </w:p>
    <w:p w14:paraId="7195D96E" w14:textId="401711D1" w:rsidR="00BF178A" w:rsidRDefault="00D21206">
      <w:pPr>
        <w:pStyle w:val="TOC2"/>
        <w:rPr>
          <w:rFonts w:asciiTheme="minorHAnsi" w:eastAsiaTheme="minorEastAsia" w:hAnsiTheme="minorHAnsi"/>
          <w:kern w:val="2"/>
          <w:lang w:eastAsia="en-AU"/>
          <w14:ligatures w14:val="standardContextual"/>
        </w:rPr>
      </w:pPr>
      <w:hyperlink w:anchor="_Toc172794526" w:history="1">
        <w:r w:rsidR="00BF178A" w:rsidRPr="004E19D2">
          <w:rPr>
            <w:rStyle w:val="Hyperlink"/>
          </w:rPr>
          <w:t>5.5</w:t>
        </w:r>
        <w:r w:rsidR="00BF178A">
          <w:rPr>
            <w:rFonts w:asciiTheme="minorHAnsi" w:eastAsiaTheme="minorEastAsia" w:hAnsiTheme="minorHAnsi"/>
            <w:kern w:val="2"/>
            <w:lang w:eastAsia="en-AU"/>
            <w14:ligatures w14:val="standardContextual"/>
          </w:rPr>
          <w:tab/>
        </w:r>
        <w:r w:rsidR="00BF178A" w:rsidRPr="004E19D2">
          <w:rPr>
            <w:rStyle w:val="Hyperlink"/>
          </w:rPr>
          <w:t>Investment trends and outlook</w:t>
        </w:r>
        <w:r w:rsidR="00BF178A">
          <w:rPr>
            <w:webHidden/>
          </w:rPr>
          <w:tab/>
        </w:r>
        <w:r w:rsidR="00BF178A">
          <w:rPr>
            <w:webHidden/>
          </w:rPr>
          <w:fldChar w:fldCharType="begin"/>
        </w:r>
        <w:r w:rsidR="00BF178A">
          <w:rPr>
            <w:webHidden/>
          </w:rPr>
          <w:instrText xml:space="preserve"> PAGEREF _Toc172794526 \h </w:instrText>
        </w:r>
        <w:r w:rsidR="00BF178A">
          <w:rPr>
            <w:webHidden/>
          </w:rPr>
        </w:r>
        <w:r w:rsidR="00BF178A">
          <w:rPr>
            <w:webHidden/>
          </w:rPr>
          <w:fldChar w:fldCharType="separate"/>
        </w:r>
        <w:r w:rsidR="00BF178A">
          <w:rPr>
            <w:webHidden/>
          </w:rPr>
          <w:t>75</w:t>
        </w:r>
        <w:r w:rsidR="00BF178A">
          <w:rPr>
            <w:webHidden/>
          </w:rPr>
          <w:fldChar w:fldCharType="end"/>
        </w:r>
      </w:hyperlink>
    </w:p>
    <w:p w14:paraId="1CC34806" w14:textId="1958696E" w:rsidR="00BF178A" w:rsidRDefault="00D21206">
      <w:pPr>
        <w:pStyle w:val="TOC1"/>
        <w:rPr>
          <w:rFonts w:asciiTheme="minorHAnsi" w:eastAsiaTheme="minorEastAsia" w:hAnsiTheme="minorHAnsi"/>
          <w:b w:val="0"/>
          <w:kern w:val="2"/>
          <w:szCs w:val="22"/>
          <w:lang w:eastAsia="en-AU"/>
          <w14:ligatures w14:val="standardContextual"/>
        </w:rPr>
      </w:pPr>
      <w:hyperlink w:anchor="_Toc172794527" w:history="1">
        <w:r w:rsidR="00BF178A" w:rsidRPr="004E19D2">
          <w:rPr>
            <w:rStyle w:val="Hyperlink"/>
          </w:rPr>
          <w:t>6.</w:t>
        </w:r>
        <w:r w:rsidR="00BF178A">
          <w:rPr>
            <w:rFonts w:asciiTheme="minorHAnsi" w:eastAsiaTheme="minorEastAsia" w:hAnsiTheme="minorHAnsi"/>
            <w:b w:val="0"/>
            <w:kern w:val="2"/>
            <w:szCs w:val="22"/>
            <w:lang w:eastAsia="en-AU"/>
            <w14:ligatures w14:val="standardContextual"/>
          </w:rPr>
          <w:tab/>
        </w:r>
        <w:r w:rsidR="00BF178A" w:rsidRPr="004E19D2">
          <w:rPr>
            <w:rStyle w:val="Hyperlink"/>
          </w:rPr>
          <w:t>Competition, costs and pricing</w:t>
        </w:r>
        <w:r w:rsidR="00BF178A">
          <w:rPr>
            <w:webHidden/>
          </w:rPr>
          <w:tab/>
        </w:r>
        <w:r w:rsidR="00BF178A">
          <w:rPr>
            <w:webHidden/>
          </w:rPr>
          <w:fldChar w:fldCharType="begin"/>
        </w:r>
        <w:r w:rsidR="00BF178A">
          <w:rPr>
            <w:webHidden/>
          </w:rPr>
          <w:instrText xml:space="preserve"> PAGEREF _Toc172794527 \h </w:instrText>
        </w:r>
        <w:r w:rsidR="00BF178A">
          <w:rPr>
            <w:webHidden/>
          </w:rPr>
        </w:r>
        <w:r w:rsidR="00BF178A">
          <w:rPr>
            <w:webHidden/>
          </w:rPr>
          <w:fldChar w:fldCharType="separate"/>
        </w:r>
        <w:r w:rsidR="00BF178A">
          <w:rPr>
            <w:webHidden/>
          </w:rPr>
          <w:t>77</w:t>
        </w:r>
        <w:r w:rsidR="00BF178A">
          <w:rPr>
            <w:webHidden/>
          </w:rPr>
          <w:fldChar w:fldCharType="end"/>
        </w:r>
      </w:hyperlink>
    </w:p>
    <w:p w14:paraId="0AAED9C9" w14:textId="4E68F51E" w:rsidR="00BF178A" w:rsidRDefault="00D21206">
      <w:pPr>
        <w:pStyle w:val="TOC2"/>
        <w:rPr>
          <w:rFonts w:asciiTheme="minorHAnsi" w:eastAsiaTheme="minorEastAsia" w:hAnsiTheme="minorHAnsi"/>
          <w:kern w:val="2"/>
          <w:lang w:eastAsia="en-AU"/>
          <w14:ligatures w14:val="standardContextual"/>
        </w:rPr>
      </w:pPr>
      <w:hyperlink w:anchor="_Toc172794528" w:history="1">
        <w:r w:rsidR="00BF178A" w:rsidRPr="004E19D2">
          <w:rPr>
            <w:rStyle w:val="Hyperlink"/>
          </w:rPr>
          <w:t>East coast summary</w:t>
        </w:r>
        <w:r w:rsidR="00BF178A">
          <w:rPr>
            <w:webHidden/>
          </w:rPr>
          <w:tab/>
        </w:r>
        <w:r w:rsidR="00BF178A">
          <w:rPr>
            <w:webHidden/>
          </w:rPr>
          <w:fldChar w:fldCharType="begin"/>
        </w:r>
        <w:r w:rsidR="00BF178A">
          <w:rPr>
            <w:webHidden/>
          </w:rPr>
          <w:instrText xml:space="preserve"> PAGEREF _Toc172794528 \h </w:instrText>
        </w:r>
        <w:r w:rsidR="00BF178A">
          <w:rPr>
            <w:webHidden/>
          </w:rPr>
        </w:r>
        <w:r w:rsidR="00BF178A">
          <w:rPr>
            <w:webHidden/>
          </w:rPr>
          <w:fldChar w:fldCharType="separate"/>
        </w:r>
        <w:r w:rsidR="00BF178A">
          <w:rPr>
            <w:webHidden/>
          </w:rPr>
          <w:t>77</w:t>
        </w:r>
        <w:r w:rsidR="00BF178A">
          <w:rPr>
            <w:webHidden/>
          </w:rPr>
          <w:fldChar w:fldCharType="end"/>
        </w:r>
      </w:hyperlink>
    </w:p>
    <w:p w14:paraId="70E5B20F" w14:textId="54D0CB3A" w:rsidR="00BF178A" w:rsidRDefault="00D21206">
      <w:pPr>
        <w:pStyle w:val="TOC2"/>
        <w:rPr>
          <w:rFonts w:asciiTheme="minorHAnsi" w:eastAsiaTheme="minorEastAsia" w:hAnsiTheme="minorHAnsi"/>
          <w:kern w:val="2"/>
          <w:lang w:eastAsia="en-AU"/>
          <w14:ligatures w14:val="standardContextual"/>
        </w:rPr>
      </w:pPr>
      <w:hyperlink w:anchor="_Toc172794529" w:history="1">
        <w:r w:rsidR="00BF178A" w:rsidRPr="004E19D2">
          <w:rPr>
            <w:rStyle w:val="Hyperlink"/>
          </w:rPr>
          <w:t>West coast summary</w:t>
        </w:r>
        <w:r w:rsidR="00BF178A">
          <w:rPr>
            <w:webHidden/>
          </w:rPr>
          <w:tab/>
        </w:r>
        <w:r w:rsidR="00BF178A">
          <w:rPr>
            <w:webHidden/>
          </w:rPr>
          <w:fldChar w:fldCharType="begin"/>
        </w:r>
        <w:r w:rsidR="00BF178A">
          <w:rPr>
            <w:webHidden/>
          </w:rPr>
          <w:instrText xml:space="preserve"> PAGEREF _Toc172794529 \h </w:instrText>
        </w:r>
        <w:r w:rsidR="00BF178A">
          <w:rPr>
            <w:webHidden/>
          </w:rPr>
        </w:r>
        <w:r w:rsidR="00BF178A">
          <w:rPr>
            <w:webHidden/>
          </w:rPr>
          <w:fldChar w:fldCharType="separate"/>
        </w:r>
        <w:r w:rsidR="00BF178A">
          <w:rPr>
            <w:webHidden/>
          </w:rPr>
          <w:t>77</w:t>
        </w:r>
        <w:r w:rsidR="00BF178A">
          <w:rPr>
            <w:webHidden/>
          </w:rPr>
          <w:fldChar w:fldCharType="end"/>
        </w:r>
      </w:hyperlink>
    </w:p>
    <w:p w14:paraId="36ECD293" w14:textId="5944F48A" w:rsidR="00BF178A" w:rsidRDefault="00D21206">
      <w:pPr>
        <w:pStyle w:val="TOC2"/>
        <w:rPr>
          <w:rFonts w:asciiTheme="minorHAnsi" w:eastAsiaTheme="minorEastAsia" w:hAnsiTheme="minorHAnsi"/>
          <w:kern w:val="2"/>
          <w:lang w:eastAsia="en-AU"/>
          <w14:ligatures w14:val="standardContextual"/>
        </w:rPr>
      </w:pPr>
      <w:hyperlink w:anchor="_Toc172794530" w:history="1">
        <w:r w:rsidR="00BF178A" w:rsidRPr="004E19D2">
          <w:rPr>
            <w:rStyle w:val="Hyperlink"/>
          </w:rPr>
          <w:t>6.1</w:t>
        </w:r>
        <w:r w:rsidR="00BF178A">
          <w:rPr>
            <w:rFonts w:asciiTheme="minorHAnsi" w:eastAsiaTheme="minorEastAsia" w:hAnsiTheme="minorHAnsi"/>
            <w:kern w:val="2"/>
            <w:lang w:eastAsia="en-AU"/>
            <w14:ligatures w14:val="standardContextual"/>
          </w:rPr>
          <w:tab/>
        </w:r>
        <w:r w:rsidR="00BF178A" w:rsidRPr="004E19D2">
          <w:rPr>
            <w:rStyle w:val="Hyperlink"/>
          </w:rPr>
          <w:t>Upstream competition and market concentration</w:t>
        </w:r>
        <w:r w:rsidR="00BF178A">
          <w:rPr>
            <w:webHidden/>
          </w:rPr>
          <w:tab/>
        </w:r>
        <w:r w:rsidR="00BF178A">
          <w:rPr>
            <w:webHidden/>
          </w:rPr>
          <w:fldChar w:fldCharType="begin"/>
        </w:r>
        <w:r w:rsidR="00BF178A">
          <w:rPr>
            <w:webHidden/>
          </w:rPr>
          <w:instrText xml:space="preserve"> PAGEREF _Toc172794530 \h </w:instrText>
        </w:r>
        <w:r w:rsidR="00BF178A">
          <w:rPr>
            <w:webHidden/>
          </w:rPr>
        </w:r>
        <w:r w:rsidR="00BF178A">
          <w:rPr>
            <w:webHidden/>
          </w:rPr>
          <w:fldChar w:fldCharType="separate"/>
        </w:r>
        <w:r w:rsidR="00BF178A">
          <w:rPr>
            <w:webHidden/>
          </w:rPr>
          <w:t>77</w:t>
        </w:r>
        <w:r w:rsidR="00BF178A">
          <w:rPr>
            <w:webHidden/>
          </w:rPr>
          <w:fldChar w:fldCharType="end"/>
        </w:r>
      </w:hyperlink>
    </w:p>
    <w:p w14:paraId="3657253F" w14:textId="691FC8ED" w:rsidR="00BF178A" w:rsidRDefault="00D21206">
      <w:pPr>
        <w:pStyle w:val="TOC2"/>
        <w:rPr>
          <w:rFonts w:asciiTheme="minorHAnsi" w:eastAsiaTheme="minorEastAsia" w:hAnsiTheme="minorHAnsi"/>
          <w:kern w:val="2"/>
          <w:lang w:eastAsia="en-AU"/>
          <w14:ligatures w14:val="standardContextual"/>
        </w:rPr>
      </w:pPr>
      <w:hyperlink w:anchor="_Toc172794531" w:history="1">
        <w:r w:rsidR="00BF178A" w:rsidRPr="004E19D2">
          <w:rPr>
            <w:rStyle w:val="Hyperlink"/>
          </w:rPr>
          <w:t>6.2</w:t>
        </w:r>
        <w:r w:rsidR="00BF178A">
          <w:rPr>
            <w:rFonts w:asciiTheme="minorHAnsi" w:eastAsiaTheme="minorEastAsia" w:hAnsiTheme="minorHAnsi"/>
            <w:kern w:val="2"/>
            <w:lang w:eastAsia="en-AU"/>
            <w14:ligatures w14:val="standardContextual"/>
          </w:rPr>
          <w:tab/>
        </w:r>
        <w:r w:rsidR="00BF178A" w:rsidRPr="004E19D2">
          <w:rPr>
            <w:rStyle w:val="Hyperlink"/>
          </w:rPr>
          <w:t>Wholesale gas costs</w:t>
        </w:r>
        <w:r w:rsidR="00BF178A">
          <w:rPr>
            <w:webHidden/>
          </w:rPr>
          <w:tab/>
        </w:r>
        <w:r w:rsidR="00BF178A">
          <w:rPr>
            <w:webHidden/>
          </w:rPr>
          <w:fldChar w:fldCharType="begin"/>
        </w:r>
        <w:r w:rsidR="00BF178A">
          <w:rPr>
            <w:webHidden/>
          </w:rPr>
          <w:instrText xml:space="preserve"> PAGEREF _Toc172794531 \h </w:instrText>
        </w:r>
        <w:r w:rsidR="00BF178A">
          <w:rPr>
            <w:webHidden/>
          </w:rPr>
        </w:r>
        <w:r w:rsidR="00BF178A">
          <w:rPr>
            <w:webHidden/>
          </w:rPr>
          <w:fldChar w:fldCharType="separate"/>
        </w:r>
        <w:r w:rsidR="00BF178A">
          <w:rPr>
            <w:webHidden/>
          </w:rPr>
          <w:t>79</w:t>
        </w:r>
        <w:r w:rsidR="00BF178A">
          <w:rPr>
            <w:webHidden/>
          </w:rPr>
          <w:fldChar w:fldCharType="end"/>
        </w:r>
      </w:hyperlink>
    </w:p>
    <w:p w14:paraId="483CC58B" w14:textId="0A9DAC05" w:rsidR="00BF178A" w:rsidRDefault="00D21206">
      <w:pPr>
        <w:pStyle w:val="TOC2"/>
        <w:rPr>
          <w:rFonts w:asciiTheme="minorHAnsi" w:eastAsiaTheme="minorEastAsia" w:hAnsiTheme="minorHAnsi"/>
          <w:kern w:val="2"/>
          <w:lang w:eastAsia="en-AU"/>
          <w14:ligatures w14:val="standardContextual"/>
        </w:rPr>
      </w:pPr>
      <w:hyperlink w:anchor="_Toc172794532" w:history="1">
        <w:r w:rsidR="00BF178A" w:rsidRPr="004E19D2">
          <w:rPr>
            <w:rStyle w:val="Hyperlink"/>
          </w:rPr>
          <w:t>6.3</w:t>
        </w:r>
        <w:r w:rsidR="00BF178A">
          <w:rPr>
            <w:rFonts w:asciiTheme="minorHAnsi" w:eastAsiaTheme="minorEastAsia" w:hAnsiTheme="minorHAnsi"/>
            <w:kern w:val="2"/>
            <w:lang w:eastAsia="en-AU"/>
            <w14:ligatures w14:val="standardContextual"/>
          </w:rPr>
          <w:tab/>
        </w:r>
        <w:r w:rsidR="00BF178A" w:rsidRPr="004E19D2">
          <w:rPr>
            <w:rStyle w:val="Hyperlink"/>
          </w:rPr>
          <w:t>Pricing in the east coast market</w:t>
        </w:r>
        <w:r w:rsidR="00BF178A">
          <w:rPr>
            <w:webHidden/>
          </w:rPr>
          <w:tab/>
        </w:r>
        <w:r w:rsidR="00BF178A">
          <w:rPr>
            <w:webHidden/>
          </w:rPr>
          <w:fldChar w:fldCharType="begin"/>
        </w:r>
        <w:r w:rsidR="00BF178A">
          <w:rPr>
            <w:webHidden/>
          </w:rPr>
          <w:instrText xml:space="preserve"> PAGEREF _Toc172794532 \h </w:instrText>
        </w:r>
        <w:r w:rsidR="00BF178A">
          <w:rPr>
            <w:webHidden/>
          </w:rPr>
        </w:r>
        <w:r w:rsidR="00BF178A">
          <w:rPr>
            <w:webHidden/>
          </w:rPr>
          <w:fldChar w:fldCharType="separate"/>
        </w:r>
        <w:r w:rsidR="00BF178A">
          <w:rPr>
            <w:webHidden/>
          </w:rPr>
          <w:t>84</w:t>
        </w:r>
        <w:r w:rsidR="00BF178A">
          <w:rPr>
            <w:webHidden/>
          </w:rPr>
          <w:fldChar w:fldCharType="end"/>
        </w:r>
      </w:hyperlink>
    </w:p>
    <w:p w14:paraId="5E732F4D" w14:textId="6D99ED27" w:rsidR="00BF178A" w:rsidRDefault="00D21206">
      <w:pPr>
        <w:pStyle w:val="TOC1"/>
        <w:rPr>
          <w:rFonts w:asciiTheme="minorHAnsi" w:eastAsiaTheme="minorEastAsia" w:hAnsiTheme="minorHAnsi"/>
          <w:b w:val="0"/>
          <w:kern w:val="2"/>
          <w:szCs w:val="22"/>
          <w:lang w:eastAsia="en-AU"/>
          <w14:ligatures w14:val="standardContextual"/>
        </w:rPr>
      </w:pPr>
      <w:hyperlink w:anchor="_Toc172794533" w:history="1">
        <w:r w:rsidR="00BF178A" w:rsidRPr="004E19D2">
          <w:rPr>
            <w:rStyle w:val="Hyperlink"/>
          </w:rPr>
          <w:t>7.</w:t>
        </w:r>
        <w:r w:rsidR="00BF178A">
          <w:rPr>
            <w:rFonts w:asciiTheme="minorHAnsi" w:eastAsiaTheme="minorEastAsia" w:hAnsiTheme="minorHAnsi"/>
            <w:b w:val="0"/>
            <w:kern w:val="2"/>
            <w:szCs w:val="22"/>
            <w:lang w:eastAsia="en-AU"/>
            <w14:ligatures w14:val="standardContextual"/>
          </w:rPr>
          <w:tab/>
        </w:r>
        <w:r w:rsidR="00BF178A" w:rsidRPr="004E19D2">
          <w:rPr>
            <w:rStyle w:val="Hyperlink"/>
          </w:rPr>
          <w:t>Closing supply gaps</w:t>
        </w:r>
        <w:r w:rsidR="00BF178A">
          <w:rPr>
            <w:webHidden/>
          </w:rPr>
          <w:tab/>
        </w:r>
        <w:r w:rsidR="00BF178A">
          <w:rPr>
            <w:webHidden/>
          </w:rPr>
          <w:fldChar w:fldCharType="begin"/>
        </w:r>
        <w:r w:rsidR="00BF178A">
          <w:rPr>
            <w:webHidden/>
          </w:rPr>
          <w:instrText xml:space="preserve"> PAGEREF _Toc172794533 \h </w:instrText>
        </w:r>
        <w:r w:rsidR="00BF178A">
          <w:rPr>
            <w:webHidden/>
          </w:rPr>
        </w:r>
        <w:r w:rsidR="00BF178A">
          <w:rPr>
            <w:webHidden/>
          </w:rPr>
          <w:fldChar w:fldCharType="separate"/>
        </w:r>
        <w:r w:rsidR="00BF178A">
          <w:rPr>
            <w:webHidden/>
          </w:rPr>
          <w:t>88</w:t>
        </w:r>
        <w:r w:rsidR="00BF178A">
          <w:rPr>
            <w:webHidden/>
          </w:rPr>
          <w:fldChar w:fldCharType="end"/>
        </w:r>
      </w:hyperlink>
    </w:p>
    <w:p w14:paraId="03EA7398" w14:textId="23177752" w:rsidR="00BF178A" w:rsidRDefault="00D21206">
      <w:pPr>
        <w:pStyle w:val="TOC2"/>
        <w:rPr>
          <w:rFonts w:asciiTheme="minorHAnsi" w:eastAsiaTheme="minorEastAsia" w:hAnsiTheme="minorHAnsi"/>
          <w:kern w:val="2"/>
          <w:lang w:eastAsia="en-AU"/>
          <w14:ligatures w14:val="standardContextual"/>
        </w:rPr>
      </w:pPr>
      <w:hyperlink w:anchor="_Toc172794534" w:history="1">
        <w:r w:rsidR="00BF178A" w:rsidRPr="004E19D2">
          <w:rPr>
            <w:rStyle w:val="Hyperlink"/>
          </w:rPr>
          <w:t>Summary</w:t>
        </w:r>
        <w:r w:rsidR="00BF178A">
          <w:rPr>
            <w:webHidden/>
          </w:rPr>
          <w:tab/>
        </w:r>
        <w:r w:rsidR="00BF178A">
          <w:rPr>
            <w:webHidden/>
          </w:rPr>
          <w:fldChar w:fldCharType="begin"/>
        </w:r>
        <w:r w:rsidR="00BF178A">
          <w:rPr>
            <w:webHidden/>
          </w:rPr>
          <w:instrText xml:space="preserve"> PAGEREF _Toc172794534 \h </w:instrText>
        </w:r>
        <w:r w:rsidR="00BF178A">
          <w:rPr>
            <w:webHidden/>
          </w:rPr>
        </w:r>
        <w:r w:rsidR="00BF178A">
          <w:rPr>
            <w:webHidden/>
          </w:rPr>
          <w:fldChar w:fldCharType="separate"/>
        </w:r>
        <w:r w:rsidR="00BF178A">
          <w:rPr>
            <w:webHidden/>
          </w:rPr>
          <w:t>88</w:t>
        </w:r>
        <w:r w:rsidR="00BF178A">
          <w:rPr>
            <w:webHidden/>
          </w:rPr>
          <w:fldChar w:fldCharType="end"/>
        </w:r>
      </w:hyperlink>
    </w:p>
    <w:p w14:paraId="546140CB" w14:textId="648D032D" w:rsidR="00BF178A" w:rsidRDefault="00D21206">
      <w:pPr>
        <w:pStyle w:val="TOC2"/>
        <w:rPr>
          <w:rFonts w:asciiTheme="minorHAnsi" w:eastAsiaTheme="minorEastAsia" w:hAnsiTheme="minorHAnsi"/>
          <w:kern w:val="2"/>
          <w:lang w:eastAsia="en-AU"/>
          <w14:ligatures w14:val="standardContextual"/>
        </w:rPr>
      </w:pPr>
      <w:hyperlink w:anchor="_Toc172794535" w:history="1">
        <w:r w:rsidR="00BF178A" w:rsidRPr="004E19D2">
          <w:rPr>
            <w:rStyle w:val="Hyperlink"/>
          </w:rPr>
          <w:t>7.1</w:t>
        </w:r>
        <w:r w:rsidR="00BF178A">
          <w:rPr>
            <w:rFonts w:asciiTheme="minorHAnsi" w:eastAsiaTheme="minorEastAsia" w:hAnsiTheme="minorHAnsi"/>
            <w:kern w:val="2"/>
            <w:lang w:eastAsia="en-AU"/>
            <w14:ligatures w14:val="standardContextual"/>
          </w:rPr>
          <w:tab/>
        </w:r>
        <w:r w:rsidR="00BF178A" w:rsidRPr="004E19D2">
          <w:rPr>
            <w:rStyle w:val="Hyperlink"/>
          </w:rPr>
          <w:t>Potential to increase east coast production</w:t>
        </w:r>
        <w:r w:rsidR="00BF178A">
          <w:rPr>
            <w:webHidden/>
          </w:rPr>
          <w:tab/>
        </w:r>
        <w:r w:rsidR="00BF178A">
          <w:rPr>
            <w:webHidden/>
          </w:rPr>
          <w:fldChar w:fldCharType="begin"/>
        </w:r>
        <w:r w:rsidR="00BF178A">
          <w:rPr>
            <w:webHidden/>
          </w:rPr>
          <w:instrText xml:space="preserve"> PAGEREF _Toc172794535 \h </w:instrText>
        </w:r>
        <w:r w:rsidR="00BF178A">
          <w:rPr>
            <w:webHidden/>
          </w:rPr>
        </w:r>
        <w:r w:rsidR="00BF178A">
          <w:rPr>
            <w:webHidden/>
          </w:rPr>
          <w:fldChar w:fldCharType="separate"/>
        </w:r>
        <w:r w:rsidR="00BF178A">
          <w:rPr>
            <w:webHidden/>
          </w:rPr>
          <w:t>89</w:t>
        </w:r>
        <w:r w:rsidR="00BF178A">
          <w:rPr>
            <w:webHidden/>
          </w:rPr>
          <w:fldChar w:fldCharType="end"/>
        </w:r>
      </w:hyperlink>
    </w:p>
    <w:p w14:paraId="31FF9CE4" w14:textId="0DCF0D0D" w:rsidR="00BF178A" w:rsidRDefault="00D21206">
      <w:pPr>
        <w:pStyle w:val="TOC2"/>
        <w:rPr>
          <w:rFonts w:asciiTheme="minorHAnsi" w:eastAsiaTheme="minorEastAsia" w:hAnsiTheme="minorHAnsi"/>
          <w:kern w:val="2"/>
          <w:lang w:eastAsia="en-AU"/>
          <w14:ligatures w14:val="standardContextual"/>
        </w:rPr>
      </w:pPr>
      <w:hyperlink w:anchor="_Toc172794536" w:history="1">
        <w:r w:rsidR="00BF178A" w:rsidRPr="004E19D2">
          <w:rPr>
            <w:rStyle w:val="Hyperlink"/>
          </w:rPr>
          <w:t>7.2</w:t>
        </w:r>
        <w:r w:rsidR="00BF178A">
          <w:rPr>
            <w:rFonts w:asciiTheme="minorHAnsi" w:eastAsiaTheme="minorEastAsia" w:hAnsiTheme="minorHAnsi"/>
            <w:kern w:val="2"/>
            <w:lang w:eastAsia="en-AU"/>
            <w14:ligatures w14:val="standardContextual"/>
          </w:rPr>
          <w:tab/>
        </w:r>
        <w:r w:rsidR="00BF178A" w:rsidRPr="004E19D2">
          <w:rPr>
            <w:rStyle w:val="Hyperlink"/>
          </w:rPr>
          <w:t>Basin by basin development potential</w:t>
        </w:r>
        <w:r w:rsidR="00BF178A">
          <w:rPr>
            <w:webHidden/>
          </w:rPr>
          <w:tab/>
        </w:r>
        <w:r w:rsidR="00BF178A">
          <w:rPr>
            <w:webHidden/>
          </w:rPr>
          <w:fldChar w:fldCharType="begin"/>
        </w:r>
        <w:r w:rsidR="00BF178A">
          <w:rPr>
            <w:webHidden/>
          </w:rPr>
          <w:instrText xml:space="preserve"> PAGEREF _Toc172794536 \h </w:instrText>
        </w:r>
        <w:r w:rsidR="00BF178A">
          <w:rPr>
            <w:webHidden/>
          </w:rPr>
        </w:r>
        <w:r w:rsidR="00BF178A">
          <w:rPr>
            <w:webHidden/>
          </w:rPr>
          <w:fldChar w:fldCharType="separate"/>
        </w:r>
        <w:r w:rsidR="00BF178A">
          <w:rPr>
            <w:webHidden/>
          </w:rPr>
          <w:t>90</w:t>
        </w:r>
        <w:r w:rsidR="00BF178A">
          <w:rPr>
            <w:webHidden/>
          </w:rPr>
          <w:fldChar w:fldCharType="end"/>
        </w:r>
      </w:hyperlink>
    </w:p>
    <w:p w14:paraId="363294F2" w14:textId="6748674A" w:rsidR="00BF178A" w:rsidRDefault="00D21206">
      <w:pPr>
        <w:pStyle w:val="TOC2"/>
        <w:rPr>
          <w:rFonts w:asciiTheme="minorHAnsi" w:eastAsiaTheme="minorEastAsia" w:hAnsiTheme="minorHAnsi"/>
          <w:kern w:val="2"/>
          <w:lang w:eastAsia="en-AU"/>
          <w14:ligatures w14:val="standardContextual"/>
        </w:rPr>
      </w:pPr>
      <w:hyperlink w:anchor="_Toc172794537" w:history="1">
        <w:r w:rsidR="00BF178A" w:rsidRPr="004E19D2">
          <w:rPr>
            <w:rStyle w:val="Hyperlink"/>
          </w:rPr>
          <w:t>7.3</w:t>
        </w:r>
        <w:r w:rsidR="00BF178A">
          <w:rPr>
            <w:rFonts w:asciiTheme="minorHAnsi" w:eastAsiaTheme="minorEastAsia" w:hAnsiTheme="minorHAnsi"/>
            <w:kern w:val="2"/>
            <w:lang w:eastAsia="en-AU"/>
            <w14:ligatures w14:val="standardContextual"/>
          </w:rPr>
          <w:tab/>
        </w:r>
        <w:r w:rsidR="00BF178A" w:rsidRPr="004E19D2">
          <w:rPr>
            <w:rStyle w:val="Hyperlink"/>
          </w:rPr>
          <w:t>Increasing transport capacity on the east coast</w:t>
        </w:r>
        <w:r w:rsidR="00BF178A">
          <w:rPr>
            <w:webHidden/>
          </w:rPr>
          <w:tab/>
        </w:r>
        <w:r w:rsidR="00BF178A">
          <w:rPr>
            <w:webHidden/>
          </w:rPr>
          <w:fldChar w:fldCharType="begin"/>
        </w:r>
        <w:r w:rsidR="00BF178A">
          <w:rPr>
            <w:webHidden/>
          </w:rPr>
          <w:instrText xml:space="preserve"> PAGEREF _Toc172794537 \h </w:instrText>
        </w:r>
        <w:r w:rsidR="00BF178A">
          <w:rPr>
            <w:webHidden/>
          </w:rPr>
        </w:r>
        <w:r w:rsidR="00BF178A">
          <w:rPr>
            <w:webHidden/>
          </w:rPr>
          <w:fldChar w:fldCharType="separate"/>
        </w:r>
        <w:r w:rsidR="00BF178A">
          <w:rPr>
            <w:webHidden/>
          </w:rPr>
          <w:t>92</w:t>
        </w:r>
        <w:r w:rsidR="00BF178A">
          <w:rPr>
            <w:webHidden/>
          </w:rPr>
          <w:fldChar w:fldCharType="end"/>
        </w:r>
      </w:hyperlink>
    </w:p>
    <w:p w14:paraId="4D88D1A5" w14:textId="1DE38F43" w:rsidR="00BF178A" w:rsidRDefault="00D21206">
      <w:pPr>
        <w:pStyle w:val="TOC2"/>
        <w:rPr>
          <w:rFonts w:asciiTheme="minorHAnsi" w:eastAsiaTheme="minorEastAsia" w:hAnsiTheme="minorHAnsi"/>
          <w:kern w:val="2"/>
          <w:lang w:eastAsia="en-AU"/>
          <w14:ligatures w14:val="standardContextual"/>
        </w:rPr>
      </w:pPr>
      <w:hyperlink w:anchor="_Toc172794538" w:history="1">
        <w:r w:rsidR="00BF178A" w:rsidRPr="004E19D2">
          <w:rPr>
            <w:rStyle w:val="Hyperlink"/>
          </w:rPr>
          <w:t>7.4</w:t>
        </w:r>
        <w:r w:rsidR="00BF178A">
          <w:rPr>
            <w:rFonts w:asciiTheme="minorHAnsi" w:eastAsiaTheme="minorEastAsia" w:hAnsiTheme="minorHAnsi"/>
            <w:kern w:val="2"/>
            <w:lang w:eastAsia="en-AU"/>
            <w14:ligatures w14:val="standardContextual"/>
          </w:rPr>
          <w:tab/>
        </w:r>
        <w:r w:rsidR="00BF178A" w:rsidRPr="004E19D2">
          <w:rPr>
            <w:rStyle w:val="Hyperlink"/>
          </w:rPr>
          <w:t>Increasing production on the west coast</w:t>
        </w:r>
        <w:r w:rsidR="00BF178A">
          <w:rPr>
            <w:webHidden/>
          </w:rPr>
          <w:tab/>
        </w:r>
        <w:r w:rsidR="00BF178A">
          <w:rPr>
            <w:webHidden/>
          </w:rPr>
          <w:fldChar w:fldCharType="begin"/>
        </w:r>
        <w:r w:rsidR="00BF178A">
          <w:rPr>
            <w:webHidden/>
          </w:rPr>
          <w:instrText xml:space="preserve"> PAGEREF _Toc172794538 \h </w:instrText>
        </w:r>
        <w:r w:rsidR="00BF178A">
          <w:rPr>
            <w:webHidden/>
          </w:rPr>
        </w:r>
        <w:r w:rsidR="00BF178A">
          <w:rPr>
            <w:webHidden/>
          </w:rPr>
          <w:fldChar w:fldCharType="separate"/>
        </w:r>
        <w:r w:rsidR="00BF178A">
          <w:rPr>
            <w:webHidden/>
          </w:rPr>
          <w:t>97</w:t>
        </w:r>
        <w:r w:rsidR="00BF178A">
          <w:rPr>
            <w:webHidden/>
          </w:rPr>
          <w:fldChar w:fldCharType="end"/>
        </w:r>
      </w:hyperlink>
    </w:p>
    <w:p w14:paraId="14DF7698" w14:textId="646709DD" w:rsidR="00BF178A" w:rsidRDefault="00D21206">
      <w:pPr>
        <w:pStyle w:val="TOC1"/>
        <w:rPr>
          <w:rFonts w:asciiTheme="minorHAnsi" w:eastAsiaTheme="minorEastAsia" w:hAnsiTheme="minorHAnsi"/>
          <w:b w:val="0"/>
          <w:kern w:val="2"/>
          <w:szCs w:val="22"/>
          <w:lang w:eastAsia="en-AU"/>
          <w14:ligatures w14:val="standardContextual"/>
        </w:rPr>
      </w:pPr>
      <w:hyperlink w:anchor="_Toc172794539" w:history="1">
        <w:r w:rsidR="00BF178A" w:rsidRPr="004E19D2">
          <w:rPr>
            <w:rStyle w:val="Hyperlink"/>
          </w:rPr>
          <w:t>Appendix A: References</w:t>
        </w:r>
        <w:r w:rsidR="00BF178A">
          <w:rPr>
            <w:webHidden/>
          </w:rPr>
          <w:tab/>
        </w:r>
        <w:r w:rsidR="00BF178A">
          <w:rPr>
            <w:webHidden/>
          </w:rPr>
          <w:fldChar w:fldCharType="begin"/>
        </w:r>
        <w:r w:rsidR="00BF178A">
          <w:rPr>
            <w:webHidden/>
          </w:rPr>
          <w:instrText xml:space="preserve"> PAGEREF _Toc172794539 \h </w:instrText>
        </w:r>
        <w:r w:rsidR="00BF178A">
          <w:rPr>
            <w:webHidden/>
          </w:rPr>
        </w:r>
        <w:r w:rsidR="00BF178A">
          <w:rPr>
            <w:webHidden/>
          </w:rPr>
          <w:fldChar w:fldCharType="separate"/>
        </w:r>
        <w:r w:rsidR="00BF178A">
          <w:rPr>
            <w:webHidden/>
          </w:rPr>
          <w:t>99</w:t>
        </w:r>
        <w:r w:rsidR="00BF178A">
          <w:rPr>
            <w:webHidden/>
          </w:rPr>
          <w:fldChar w:fldCharType="end"/>
        </w:r>
      </w:hyperlink>
    </w:p>
    <w:p w14:paraId="5BD55BEA" w14:textId="2C5AAD35" w:rsidR="00BF178A" w:rsidRDefault="00D21206">
      <w:pPr>
        <w:pStyle w:val="TOC1"/>
        <w:rPr>
          <w:rFonts w:asciiTheme="minorHAnsi" w:eastAsiaTheme="minorEastAsia" w:hAnsiTheme="minorHAnsi"/>
          <w:b w:val="0"/>
          <w:kern w:val="2"/>
          <w:szCs w:val="22"/>
          <w:lang w:eastAsia="en-AU"/>
          <w14:ligatures w14:val="standardContextual"/>
        </w:rPr>
      </w:pPr>
      <w:hyperlink w:anchor="_Toc172794540" w:history="1">
        <w:r w:rsidR="00BF178A" w:rsidRPr="004E19D2">
          <w:rPr>
            <w:rStyle w:val="Hyperlink"/>
          </w:rPr>
          <w:t xml:space="preserve">Appendix </w:t>
        </w:r>
        <w:r w:rsidR="00BF178A" w:rsidRPr="004E19D2">
          <w:rPr>
            <w:rStyle w:val="Hyperlink"/>
            <w:rFonts w:cs="Arial"/>
            <w:bCs/>
          </w:rPr>
          <w:t>B</w:t>
        </w:r>
        <w:r w:rsidR="00BF178A" w:rsidRPr="004E19D2">
          <w:rPr>
            <w:rStyle w:val="Hyperlink"/>
            <w:rFonts w:cs="Arial"/>
          </w:rPr>
          <w:t>:</w:t>
        </w:r>
        <w:r w:rsidR="00BF178A" w:rsidRPr="004E19D2">
          <w:rPr>
            <w:rStyle w:val="Hyperlink"/>
            <w:rFonts w:cs="Arial"/>
            <w:bCs/>
          </w:rPr>
          <w:t xml:space="preserve"> Nexant World Gas Model</w:t>
        </w:r>
        <w:r w:rsidR="00BF178A">
          <w:rPr>
            <w:webHidden/>
          </w:rPr>
          <w:tab/>
        </w:r>
        <w:r w:rsidR="00BF178A">
          <w:rPr>
            <w:webHidden/>
          </w:rPr>
          <w:fldChar w:fldCharType="begin"/>
        </w:r>
        <w:r w:rsidR="00BF178A">
          <w:rPr>
            <w:webHidden/>
          </w:rPr>
          <w:instrText xml:space="preserve"> PAGEREF _Toc172794540 \h </w:instrText>
        </w:r>
        <w:r w:rsidR="00BF178A">
          <w:rPr>
            <w:webHidden/>
          </w:rPr>
        </w:r>
        <w:r w:rsidR="00BF178A">
          <w:rPr>
            <w:webHidden/>
          </w:rPr>
          <w:fldChar w:fldCharType="separate"/>
        </w:r>
        <w:r w:rsidR="00BF178A">
          <w:rPr>
            <w:webHidden/>
          </w:rPr>
          <w:t>104</w:t>
        </w:r>
        <w:r w:rsidR="00BF178A">
          <w:rPr>
            <w:webHidden/>
          </w:rPr>
          <w:fldChar w:fldCharType="end"/>
        </w:r>
      </w:hyperlink>
    </w:p>
    <w:p w14:paraId="233410C7" w14:textId="54110B7D" w:rsidR="00BF178A" w:rsidRDefault="00D21206">
      <w:pPr>
        <w:pStyle w:val="TOC1"/>
        <w:rPr>
          <w:rFonts w:asciiTheme="minorHAnsi" w:eastAsiaTheme="minorEastAsia" w:hAnsiTheme="minorHAnsi"/>
          <w:b w:val="0"/>
          <w:kern w:val="2"/>
          <w:szCs w:val="22"/>
          <w:lang w:eastAsia="en-AU"/>
          <w14:ligatures w14:val="standardContextual"/>
        </w:rPr>
      </w:pPr>
      <w:hyperlink w:anchor="_Toc172794541" w:history="1">
        <w:r w:rsidR="00BF178A" w:rsidRPr="004E19D2">
          <w:rPr>
            <w:rStyle w:val="Hyperlink"/>
          </w:rPr>
          <w:t>Appendix C: Units and conversions</w:t>
        </w:r>
        <w:r w:rsidR="00BF178A">
          <w:rPr>
            <w:webHidden/>
          </w:rPr>
          <w:tab/>
        </w:r>
        <w:r w:rsidR="00BF178A">
          <w:rPr>
            <w:webHidden/>
          </w:rPr>
          <w:fldChar w:fldCharType="begin"/>
        </w:r>
        <w:r w:rsidR="00BF178A">
          <w:rPr>
            <w:webHidden/>
          </w:rPr>
          <w:instrText xml:space="preserve"> PAGEREF _Toc172794541 \h </w:instrText>
        </w:r>
        <w:r w:rsidR="00BF178A">
          <w:rPr>
            <w:webHidden/>
          </w:rPr>
        </w:r>
        <w:r w:rsidR="00BF178A">
          <w:rPr>
            <w:webHidden/>
          </w:rPr>
          <w:fldChar w:fldCharType="separate"/>
        </w:r>
        <w:r w:rsidR="00BF178A">
          <w:rPr>
            <w:webHidden/>
          </w:rPr>
          <w:t>106</w:t>
        </w:r>
        <w:r w:rsidR="00BF178A">
          <w:rPr>
            <w:webHidden/>
          </w:rPr>
          <w:fldChar w:fldCharType="end"/>
        </w:r>
      </w:hyperlink>
    </w:p>
    <w:p w14:paraId="1F7463EF" w14:textId="64061CFC" w:rsidR="00BF178A" w:rsidRDefault="00D21206">
      <w:pPr>
        <w:pStyle w:val="TOC1"/>
        <w:rPr>
          <w:rFonts w:asciiTheme="minorHAnsi" w:eastAsiaTheme="minorEastAsia" w:hAnsiTheme="minorHAnsi"/>
          <w:b w:val="0"/>
          <w:kern w:val="2"/>
          <w:szCs w:val="22"/>
          <w:lang w:eastAsia="en-AU"/>
          <w14:ligatures w14:val="standardContextual"/>
        </w:rPr>
      </w:pPr>
      <w:hyperlink w:anchor="_Toc172794542" w:history="1">
        <w:r w:rsidR="00BF178A" w:rsidRPr="004E19D2">
          <w:rPr>
            <w:rStyle w:val="Hyperlink"/>
          </w:rPr>
          <w:t>Appendix D: Glossary and definitions</w:t>
        </w:r>
        <w:r w:rsidR="00BF178A">
          <w:rPr>
            <w:webHidden/>
          </w:rPr>
          <w:tab/>
        </w:r>
        <w:r w:rsidR="00BF178A">
          <w:rPr>
            <w:webHidden/>
          </w:rPr>
          <w:fldChar w:fldCharType="begin"/>
        </w:r>
        <w:r w:rsidR="00BF178A">
          <w:rPr>
            <w:webHidden/>
          </w:rPr>
          <w:instrText xml:space="preserve"> PAGEREF _Toc172794542 \h </w:instrText>
        </w:r>
        <w:r w:rsidR="00BF178A">
          <w:rPr>
            <w:webHidden/>
          </w:rPr>
        </w:r>
        <w:r w:rsidR="00BF178A">
          <w:rPr>
            <w:webHidden/>
          </w:rPr>
          <w:fldChar w:fldCharType="separate"/>
        </w:r>
        <w:r w:rsidR="00BF178A">
          <w:rPr>
            <w:webHidden/>
          </w:rPr>
          <w:t>107</w:t>
        </w:r>
        <w:r w:rsidR="00BF178A">
          <w:rPr>
            <w:webHidden/>
          </w:rPr>
          <w:fldChar w:fldCharType="end"/>
        </w:r>
      </w:hyperlink>
    </w:p>
    <w:p w14:paraId="189238FF" w14:textId="4F2A7FCC" w:rsidR="00C21B20" w:rsidRDefault="00223FE2" w:rsidP="00C21B20">
      <w:pPr>
        <w:spacing w:after="200" w:line="276" w:lineRule="auto"/>
        <w:rPr>
          <w:b/>
          <w:bCs/>
          <w:color w:val="005CAF"/>
          <w:sz w:val="24"/>
          <w:szCs w:val="24"/>
        </w:rPr>
      </w:pPr>
      <w:r>
        <w:rPr>
          <w:rFonts w:asciiTheme="minorHAnsi" w:eastAsia="Times New Roman" w:hAnsiTheme="minorHAnsi"/>
          <w:b/>
          <w:noProof/>
          <w:szCs w:val="24"/>
        </w:rPr>
        <w:fldChar w:fldCharType="end"/>
      </w:r>
      <w:r w:rsidR="00C21B20">
        <w:rPr>
          <w:b/>
          <w:bCs/>
          <w:color w:val="005CAF"/>
          <w:sz w:val="24"/>
          <w:szCs w:val="24"/>
        </w:rPr>
        <w:br w:type="page"/>
      </w:r>
    </w:p>
    <w:p w14:paraId="4E727F91" w14:textId="3F74CE42" w:rsidR="00C21B20" w:rsidRPr="002E7E5A" w:rsidRDefault="00C21B20" w:rsidP="002E7E5A">
      <w:pPr>
        <w:pStyle w:val="BodyText"/>
        <w:spacing w:after="0"/>
        <w:rPr>
          <w:b/>
          <w:bCs/>
          <w:color w:val="005CAF"/>
          <w:sz w:val="24"/>
          <w:szCs w:val="24"/>
        </w:rPr>
      </w:pPr>
      <w:r w:rsidRPr="009D62D6">
        <w:rPr>
          <w:b/>
          <w:bCs/>
          <w:color w:val="005CAF"/>
          <w:sz w:val="24"/>
          <w:szCs w:val="24"/>
        </w:rPr>
        <w:lastRenderedPageBreak/>
        <w:t>Further information</w:t>
      </w:r>
    </w:p>
    <w:p w14:paraId="2B09EC3A" w14:textId="02C3A231" w:rsidR="00C21B20" w:rsidRPr="00C21B20" w:rsidRDefault="00C21B20" w:rsidP="00C21B20">
      <w:pPr>
        <w:pStyle w:val="BodyText"/>
        <w:rPr>
          <w:sz w:val="18"/>
          <w:szCs w:val="18"/>
        </w:rPr>
      </w:pPr>
      <w:r w:rsidRPr="00C21B20">
        <w:rPr>
          <w:sz w:val="18"/>
          <w:szCs w:val="18"/>
        </w:rPr>
        <w:t xml:space="preserve">For more information on data or government initiatives please see Planning for gas to 2050 from the Department’s website at: </w:t>
      </w:r>
      <w:hyperlink r:id="rId14" w:history="1">
        <w:r w:rsidRPr="00C21B20">
          <w:rPr>
            <w:rStyle w:val="Hyperlink"/>
            <w:sz w:val="18"/>
            <w:szCs w:val="18"/>
          </w:rPr>
          <w:t>www.industry.gov.au/mining-oil-and-gas/oil-and-gas/planning-gas-2050</w:t>
        </w:r>
      </w:hyperlink>
    </w:p>
    <w:p w14:paraId="5A53B2AD" w14:textId="77777777" w:rsidR="00C21B20" w:rsidRPr="009D62D6" w:rsidRDefault="00C21B20" w:rsidP="00C21B20">
      <w:pPr>
        <w:pStyle w:val="BodyText"/>
        <w:spacing w:after="0"/>
        <w:rPr>
          <w:b/>
          <w:bCs/>
          <w:color w:val="005CAF"/>
          <w:sz w:val="24"/>
          <w:szCs w:val="24"/>
        </w:rPr>
      </w:pPr>
      <w:r w:rsidRPr="009D62D6">
        <w:rPr>
          <w:b/>
          <w:bCs/>
          <w:color w:val="005CAF"/>
          <w:sz w:val="24"/>
          <w:szCs w:val="24"/>
        </w:rPr>
        <w:t>Ownership of intellectual property rights</w:t>
      </w:r>
    </w:p>
    <w:p w14:paraId="3F6B4E78" w14:textId="72AFC101" w:rsidR="00C21B20" w:rsidRPr="002E7E5A" w:rsidRDefault="00C21B20" w:rsidP="002E7E5A">
      <w:pPr>
        <w:pStyle w:val="BodyText"/>
        <w:rPr>
          <w:sz w:val="18"/>
          <w:szCs w:val="18"/>
        </w:rPr>
      </w:pPr>
      <w:r w:rsidRPr="002E7E5A">
        <w:rPr>
          <w:sz w:val="18"/>
          <w:szCs w:val="18"/>
        </w:rPr>
        <w:t>Unless otherwise noted, copyright (and any other intellectual property rights, if any) in this publication is owned by the Commonwealth of Australia.</w:t>
      </w:r>
    </w:p>
    <w:p w14:paraId="32462072" w14:textId="08E6B2AB" w:rsidR="00C21B20" w:rsidRPr="009D62D6" w:rsidRDefault="00C21B20" w:rsidP="00C21B20">
      <w:pPr>
        <w:pStyle w:val="BodyText"/>
        <w:spacing w:after="0"/>
        <w:rPr>
          <w:b/>
          <w:bCs/>
          <w:color w:val="005CAF"/>
          <w:sz w:val="24"/>
          <w:szCs w:val="24"/>
        </w:rPr>
      </w:pPr>
      <w:r w:rsidRPr="009D62D6">
        <w:rPr>
          <w:b/>
          <w:bCs/>
          <w:color w:val="005CAF"/>
          <w:sz w:val="24"/>
          <w:szCs w:val="24"/>
        </w:rPr>
        <w:t>Creative Commons licence</w:t>
      </w:r>
    </w:p>
    <w:p w14:paraId="47577434" w14:textId="0704F038" w:rsidR="00C21B20" w:rsidRPr="00C21B20" w:rsidRDefault="001670C6" w:rsidP="00C21B20">
      <w:pPr>
        <w:spacing w:after="200" w:line="276" w:lineRule="auto"/>
        <w:rPr>
          <w:rStyle w:val="BodyTextChar"/>
          <w:sz w:val="18"/>
          <w:szCs w:val="18"/>
        </w:rPr>
      </w:pPr>
      <w:r>
        <w:rPr>
          <w:noProof/>
          <w:color w:val="373737"/>
          <w:sz w:val="20"/>
        </w:rPr>
        <mc:AlternateContent>
          <mc:Choice Requires="wpg">
            <w:drawing>
              <wp:inline distT="0" distB="0" distL="0" distR="0" wp14:anchorId="389884FD" wp14:editId="3E9AE580">
                <wp:extent cx="3682631" cy="409575"/>
                <wp:effectExtent l="0" t="0" r="0" b="9525"/>
                <wp:docPr id="30" name="Group 30" descr="Attribution 4.0 International License CC BY 4.0"/>
                <wp:cNvGraphicFramePr/>
                <a:graphic xmlns:a="http://schemas.openxmlformats.org/drawingml/2006/main">
                  <a:graphicData uri="http://schemas.microsoft.com/office/word/2010/wordprocessingGroup">
                    <wpg:wgp>
                      <wpg:cNvGrpSpPr/>
                      <wpg:grpSpPr>
                        <a:xfrm>
                          <a:off x="0" y="0"/>
                          <a:ext cx="3682631" cy="409575"/>
                          <a:chOff x="0" y="0"/>
                          <a:chExt cx="3682631" cy="409575"/>
                        </a:xfrm>
                      </wpg:grpSpPr>
                      <wps:wsp>
                        <wps:cNvPr id="217" name="Text Box 217"/>
                        <wps:cNvSpPr txBox="1">
                          <a:spLocks noChangeArrowheads="1"/>
                        </wps:cNvSpPr>
                        <wps:spPr bwMode="auto">
                          <a:xfrm>
                            <a:off x="1063256" y="0"/>
                            <a:ext cx="2619375" cy="409575"/>
                          </a:xfrm>
                          <a:prstGeom prst="rect">
                            <a:avLst/>
                          </a:prstGeom>
                          <a:solidFill>
                            <a:srgbClr val="FFFFFF"/>
                          </a:solidFill>
                          <a:ln w="9525">
                            <a:noFill/>
                            <a:miter lim="800000"/>
                            <a:headEnd/>
                            <a:tailEnd/>
                          </a:ln>
                        </wps:spPr>
                        <wps:txbx>
                          <w:txbxContent>
                            <w:p w14:paraId="7A925959" w14:textId="6BF79291" w:rsidR="00C21B20" w:rsidRPr="00C21B20" w:rsidRDefault="00C21B20">
                              <w:pPr>
                                <w:rPr>
                                  <w:b/>
                                  <w:bCs/>
                                  <w:color w:val="373737"/>
                                </w:rPr>
                              </w:pPr>
                              <w:r w:rsidRPr="00C21B20">
                                <w:rPr>
                                  <w:b/>
                                  <w:bCs/>
                                  <w:color w:val="373737"/>
                                </w:rPr>
                                <w:t>Attribution 4.0 International License</w:t>
                              </w:r>
                              <w:r w:rsidRPr="00C21B20">
                                <w:rPr>
                                  <w:b/>
                                  <w:bCs/>
                                  <w:color w:val="373737"/>
                                </w:rPr>
                                <w:br/>
                                <w:t>CC BY 4.0</w:t>
                              </w:r>
                            </w:p>
                          </w:txbxContent>
                        </wps:txbx>
                        <wps:bodyPr rot="0" vert="horz" wrap="square" lIns="91440" tIns="45720" rIns="91440" bIns="45720" anchor="t" anchorCtr="0">
                          <a:noAutofit/>
                        </wps:bodyPr>
                      </wps:wsp>
                      <pic:pic xmlns:pic="http://schemas.openxmlformats.org/drawingml/2006/picture">
                        <pic:nvPicPr>
                          <pic:cNvPr id="103" name="Picture 103">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1265"/>
                            <a:ext cx="1028700" cy="361950"/>
                          </a:xfrm>
                          <a:prstGeom prst="rect">
                            <a:avLst/>
                          </a:prstGeom>
                          <a:noFill/>
                          <a:ln>
                            <a:noFill/>
                          </a:ln>
                        </pic:spPr>
                      </pic:pic>
                    </wpg:wgp>
                  </a:graphicData>
                </a:graphic>
              </wp:inline>
            </w:drawing>
          </mc:Choice>
          <mc:Fallback>
            <w:pict>
              <v:group w14:anchorId="389884FD" id="Group 30" o:spid="_x0000_s1026" alt="Attribution 4.0 International License CC BY 4.0" style="width:289.95pt;height:32.25pt;mso-position-horizontal-relative:char;mso-position-vertical-relative:line" coordsize="36826,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">
                <v:shapetype id="_x0000_t202" coordsize="21600,21600" o:spt="202" path="m,l,21600r21600,l21600,xe">
                  <v:stroke joinstyle="miter"/>
                  <v:path gradientshapeok="t" o:connecttype="rect"/>
                </v:shapetype>
                <v:shape id="Text Box 217" o:spid="_x0000_s1027" type="#_x0000_t202" style="position:absolute;left:10632;width:2619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A925959" w14:textId="6BF79291" w:rsidR="00C21B20" w:rsidRPr="00C21B20" w:rsidRDefault="00C21B20">
                        <w:pPr>
                          <w:rPr>
                            <w:b/>
                            <w:bCs/>
                            <w:color w:val="373737"/>
                          </w:rPr>
                        </w:pPr>
                        <w:r w:rsidRPr="00C21B20">
                          <w:rPr>
                            <w:b/>
                            <w:bCs/>
                            <w:color w:val="373737"/>
                          </w:rPr>
                          <w:t>Attribution 4.0 International License</w:t>
                        </w:r>
                        <w:r w:rsidRPr="00C21B20">
                          <w:rPr>
                            <w:b/>
                            <w:bCs/>
                            <w:color w:val="373737"/>
                          </w:rPr>
                          <w:br/>
                          <w:t>CC BY 4.0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8" type="#_x0000_t75" style="position:absolute;top:212;width:1028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">
                  <v:imagedata r:id="rId16" o:title=""/>
                </v:shape>
                <w10:anchorlock/>
              </v:group>
            </w:pict>
          </mc:Fallback>
        </mc:AlternateContent>
      </w:r>
      <w:r w:rsidR="00C21B20">
        <w:rPr>
          <w:rStyle w:val="BodyTextChar"/>
        </w:rPr>
        <w:br/>
      </w:r>
      <w:r w:rsidR="00C21B20" w:rsidRPr="00C21B20">
        <w:rPr>
          <w:rStyle w:val="BodyTextChar"/>
          <w:sz w:val="18"/>
          <w:szCs w:val="18"/>
        </w:rPr>
        <w:t>All material in this publication is licensed under a Creative Commons Attribution 4.0 International Licence, with the exception of:</w:t>
      </w:r>
      <w:r w:rsidR="00C21B20" w:rsidRPr="00C21B20">
        <w:rPr>
          <w:rStyle w:val="BodyTextChar"/>
          <w:sz w:val="18"/>
          <w:szCs w:val="18"/>
        </w:rPr>
        <w:br/>
        <w:t>• the Commonwealth Coat of Arms;</w:t>
      </w:r>
      <w:r w:rsidR="00C21B20" w:rsidRPr="00C21B20">
        <w:rPr>
          <w:rStyle w:val="BodyTextChar"/>
          <w:sz w:val="18"/>
          <w:szCs w:val="18"/>
        </w:rPr>
        <w:br/>
        <w:t>• content supplied by third parties;</w:t>
      </w:r>
      <w:r w:rsidR="00C21B20" w:rsidRPr="00C21B20">
        <w:rPr>
          <w:rStyle w:val="BodyTextChar"/>
          <w:sz w:val="18"/>
          <w:szCs w:val="18"/>
        </w:rPr>
        <w:br/>
        <w:t>• logos; and</w:t>
      </w:r>
      <w:r w:rsidR="00C21B20" w:rsidRPr="00C21B20">
        <w:rPr>
          <w:rStyle w:val="BodyTextChar"/>
          <w:sz w:val="18"/>
          <w:szCs w:val="18"/>
        </w:rPr>
        <w:br/>
        <w:t>• any material protected by trademark or otherwise noted in this publication.</w:t>
      </w:r>
    </w:p>
    <w:p w14:paraId="0111D0FA" w14:textId="77777777" w:rsidR="00C21B20" w:rsidRPr="00C21B20" w:rsidRDefault="00C21B20" w:rsidP="00C21B20">
      <w:pPr>
        <w:spacing w:after="200" w:line="276" w:lineRule="auto"/>
        <w:rPr>
          <w:rStyle w:val="BodyTextChar"/>
          <w:sz w:val="18"/>
          <w:szCs w:val="18"/>
        </w:rPr>
      </w:pPr>
      <w:r w:rsidRPr="00C21B20">
        <w:rPr>
          <w:rStyle w:val="BodyTextChar"/>
          <w:sz w:val="18"/>
          <w:szCs w:val="18"/>
        </w:rP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7" w:history="1">
        <w:r w:rsidRPr="00C21B20">
          <w:rPr>
            <w:rStyle w:val="Hyperlink"/>
            <w:sz w:val="18"/>
            <w:szCs w:val="18"/>
          </w:rPr>
          <w:t>https://creativecommons.org/licenses/by/4.0/</w:t>
        </w:r>
      </w:hyperlink>
      <w:r w:rsidRPr="00C21B20">
        <w:rPr>
          <w:rStyle w:val="BodyTextChar"/>
          <w:sz w:val="18"/>
          <w:szCs w:val="18"/>
        </w:rPr>
        <w:t>.</w:t>
      </w:r>
    </w:p>
    <w:p w14:paraId="238AB162" w14:textId="77777777" w:rsidR="00C21B20" w:rsidRPr="00C21B20" w:rsidRDefault="00C21B20" w:rsidP="00C21B20">
      <w:pPr>
        <w:spacing w:after="200" w:line="276" w:lineRule="auto"/>
        <w:rPr>
          <w:color w:val="373737"/>
          <w:sz w:val="18"/>
          <w:szCs w:val="18"/>
        </w:rPr>
      </w:pPr>
      <w:r w:rsidRPr="00C21B20">
        <w:rPr>
          <w:rStyle w:val="BodyTextChar"/>
          <w:sz w:val="18"/>
          <w:szCs w:val="18"/>
        </w:rPr>
        <w:t>Wherever a third party holds copyright in material contained in this publication, the copyright remains with that party. Their permission may be required to use the material. Please contact them directly</w:t>
      </w:r>
      <w:r w:rsidRPr="00C21B20">
        <w:rPr>
          <w:sz w:val="18"/>
          <w:szCs w:val="18"/>
        </w:rPr>
        <w:t>.</w:t>
      </w:r>
    </w:p>
    <w:p w14:paraId="1AC3B6AD" w14:textId="77777777" w:rsidR="00C21B20" w:rsidRPr="009D62D6" w:rsidRDefault="00C21B20" w:rsidP="00C21B20">
      <w:pPr>
        <w:pStyle w:val="BodyText"/>
        <w:spacing w:after="0"/>
        <w:rPr>
          <w:b/>
          <w:bCs/>
          <w:color w:val="005CAF"/>
          <w:sz w:val="24"/>
          <w:szCs w:val="24"/>
        </w:rPr>
      </w:pPr>
      <w:r w:rsidRPr="009D62D6">
        <w:rPr>
          <w:b/>
          <w:bCs/>
          <w:color w:val="005CAF"/>
          <w:sz w:val="24"/>
          <w:szCs w:val="24"/>
        </w:rPr>
        <w:t>Attribution</w:t>
      </w:r>
    </w:p>
    <w:p w14:paraId="6143C10E" w14:textId="77777777" w:rsidR="00C21B20" w:rsidRPr="00C21B20" w:rsidRDefault="00C21B20" w:rsidP="00C21B20">
      <w:pPr>
        <w:pStyle w:val="BodyText"/>
        <w:rPr>
          <w:sz w:val="18"/>
          <w:szCs w:val="18"/>
        </w:rPr>
      </w:pPr>
      <w:r w:rsidRPr="00C21B20">
        <w:rPr>
          <w:sz w:val="18"/>
          <w:szCs w:val="18"/>
        </w:rPr>
        <w:t>Content contained herein should be attributed as follows:</w:t>
      </w:r>
    </w:p>
    <w:p w14:paraId="7F52331A" w14:textId="77777777" w:rsidR="00C21B20" w:rsidRPr="00C21B20" w:rsidRDefault="00C21B20" w:rsidP="00C21B20">
      <w:pPr>
        <w:pStyle w:val="BodyText"/>
        <w:rPr>
          <w:sz w:val="18"/>
          <w:szCs w:val="18"/>
        </w:rPr>
      </w:pPr>
      <w:r w:rsidRPr="00C21B20">
        <w:rPr>
          <w:sz w:val="18"/>
          <w:szCs w:val="18"/>
        </w:rPr>
        <w:t>Department of Industry, Science and Resources, Commonwealth of Australia Future Gas Strategy Analytical Report.</w:t>
      </w:r>
    </w:p>
    <w:p w14:paraId="0F7F5C17" w14:textId="77777777" w:rsidR="00C21B20" w:rsidRDefault="00C21B20" w:rsidP="00C21B20">
      <w:pPr>
        <w:pStyle w:val="BodyText"/>
        <w:rPr>
          <w:rStyle w:val="Hyperlink"/>
          <w:sz w:val="18"/>
          <w:szCs w:val="18"/>
        </w:rPr>
      </w:pPr>
      <w:r w:rsidRPr="00C21B20">
        <w:rPr>
          <w:sz w:val="18"/>
          <w:szCs w:val="18"/>
        </w:rPr>
        <w:t xml:space="preserve">The Commonwealth of Australia does not necessarily endorse the content of this publication. Requests and inquiries concerning reproduction and rights should be addressed to </w:t>
      </w:r>
      <w:hyperlink r:id="rId18" w:history="1">
        <w:r w:rsidRPr="00C21B20">
          <w:rPr>
            <w:rStyle w:val="Hyperlink"/>
            <w:sz w:val="18"/>
            <w:szCs w:val="18"/>
          </w:rPr>
          <w:t>gasanalytics@industry.gov.au</w:t>
        </w:r>
      </w:hyperlink>
    </w:p>
    <w:p w14:paraId="4C82E286" w14:textId="77777777" w:rsidR="001A2D3F" w:rsidRPr="00C21B20" w:rsidRDefault="001A2D3F" w:rsidP="00C21B20">
      <w:pPr>
        <w:pStyle w:val="BodyText"/>
        <w:rPr>
          <w:sz w:val="18"/>
          <w:szCs w:val="18"/>
        </w:rPr>
      </w:pPr>
    </w:p>
    <w:p w14:paraId="23FCAAB6" w14:textId="77777777" w:rsidR="00C21B20" w:rsidRPr="009D62D6" w:rsidRDefault="00C21B20" w:rsidP="00C21B20">
      <w:pPr>
        <w:pStyle w:val="BodyText"/>
        <w:spacing w:after="0"/>
        <w:rPr>
          <w:b/>
          <w:bCs/>
          <w:color w:val="005CAF"/>
          <w:sz w:val="24"/>
          <w:szCs w:val="24"/>
        </w:rPr>
      </w:pPr>
      <w:r w:rsidRPr="009D62D6">
        <w:rPr>
          <w:b/>
          <w:bCs/>
          <w:color w:val="005CAF"/>
          <w:sz w:val="24"/>
          <w:szCs w:val="24"/>
        </w:rPr>
        <w:t>Disclaimer</w:t>
      </w:r>
    </w:p>
    <w:p w14:paraId="2F2DBF1E" w14:textId="77777777" w:rsidR="00C21B20" w:rsidRPr="005C30F2" w:rsidRDefault="00C21B20" w:rsidP="00C21B20">
      <w:pPr>
        <w:pStyle w:val="BodyText"/>
        <w:rPr>
          <w:sz w:val="18"/>
          <w:szCs w:val="18"/>
        </w:rPr>
      </w:pPr>
      <w:r w:rsidRPr="005C30F2">
        <w:rPr>
          <w:sz w:val="18"/>
          <w:szCs w:val="18"/>
        </w:rPr>
        <w:t>The views expressed in this report are those of the author(s) and do not necessarily reflect those of the Australian Government or the Department of Industry, Science and Resources.</w:t>
      </w:r>
    </w:p>
    <w:p w14:paraId="7433CF95" w14:textId="29D90D7D" w:rsidR="00EC7EC7" w:rsidRDefault="00C21B20" w:rsidP="00445643">
      <w:pPr>
        <w:pStyle w:val="BodyText"/>
        <w:rPr>
          <w:sz w:val="18"/>
          <w:szCs w:val="18"/>
        </w:rPr>
      </w:pPr>
      <w:r w:rsidRPr="005C30F2">
        <w:rPr>
          <w:sz w:val="18"/>
          <w:szCs w:val="18"/>
        </w:rPr>
        <w:t>This publication is not legal or professional advice. The Commonwealth of Australia does not guarantee the accuracy or reliability of the information and data in the publication. Third parties rely upon this publication entirely at their own risk.</w:t>
      </w:r>
      <w:bookmarkEnd w:id="2"/>
    </w:p>
    <w:p w14:paraId="06E74C4E" w14:textId="77777777" w:rsidR="00EC7EC7" w:rsidRDefault="00EC7EC7">
      <w:pPr>
        <w:spacing w:after="200" w:line="276" w:lineRule="auto"/>
        <w:rPr>
          <w:color w:val="373737"/>
          <w:sz w:val="18"/>
          <w:szCs w:val="18"/>
        </w:rPr>
      </w:pPr>
      <w:r>
        <w:rPr>
          <w:sz w:val="18"/>
          <w:szCs w:val="18"/>
        </w:rPr>
        <w:br w:type="page"/>
      </w:r>
    </w:p>
    <w:p w14:paraId="7294C936" w14:textId="271CDBDD" w:rsidR="00EC7EC7" w:rsidRPr="00E11506" w:rsidRDefault="00EC7EC7" w:rsidP="00EC7EC7">
      <w:pPr>
        <w:pStyle w:val="Heading1"/>
        <w:numPr>
          <w:ilvl w:val="0"/>
          <w:numId w:val="0"/>
        </w:numPr>
        <w:ind w:left="709" w:hanging="709"/>
      </w:pPr>
      <w:bookmarkStart w:id="5" w:name="_Toc172794493"/>
      <w:r>
        <w:lastRenderedPageBreak/>
        <w:t>Executive Summary</w:t>
      </w:r>
      <w:bookmarkEnd w:id="5"/>
    </w:p>
    <w:p w14:paraId="21D1922A" w14:textId="7D5387D0" w:rsidR="00284936" w:rsidRPr="00E11506" w:rsidRDefault="00284936" w:rsidP="00AA38BB">
      <w:pPr>
        <w:pStyle w:val="BodyText"/>
      </w:pPr>
      <w:r w:rsidRPr="00E11506">
        <w:t xml:space="preserve">On 9 May 2023, the Minister for </w:t>
      </w:r>
      <w:r>
        <w:t>R</w:t>
      </w:r>
      <w:r w:rsidRPr="00E11506">
        <w:t xml:space="preserve">esources was tasked to develop </w:t>
      </w:r>
      <w:r>
        <w:t xml:space="preserve">the </w:t>
      </w:r>
      <w:r w:rsidR="0020044E">
        <w:t>g</w:t>
      </w:r>
      <w:r w:rsidRPr="00E11506">
        <w:t>overnment</w:t>
      </w:r>
      <w:r>
        <w:t>’s</w:t>
      </w:r>
      <w:r w:rsidRPr="00E11506">
        <w:t xml:space="preserve"> </w:t>
      </w:r>
      <w:r>
        <w:t>st</w:t>
      </w:r>
      <w:r w:rsidRPr="00E11506">
        <w:t xml:space="preserve">rategy for the future of natural gas. This analytical report </w:t>
      </w:r>
      <w:r>
        <w:t>provides</w:t>
      </w:r>
      <w:r w:rsidRPr="00E11506">
        <w:t xml:space="preserve"> a</w:t>
      </w:r>
      <w:r>
        <w:t>n</w:t>
      </w:r>
      <w:r w:rsidRPr="00E11506">
        <w:t xml:space="preserve"> evidence</w:t>
      </w:r>
      <w:r>
        <w:t xml:space="preserve"> </w:t>
      </w:r>
      <w:r w:rsidRPr="00E11506">
        <w:t xml:space="preserve">base to support development of </w:t>
      </w:r>
      <w:r>
        <w:t>the</w:t>
      </w:r>
      <w:r w:rsidRPr="00E11506">
        <w:t xml:space="preserve"> strategy. </w:t>
      </w:r>
    </w:p>
    <w:p w14:paraId="7FE10B21" w14:textId="6AFE0E1E" w:rsidR="00284936" w:rsidRDefault="00284936" w:rsidP="00AA38BB">
      <w:pPr>
        <w:pStyle w:val="BodyText"/>
      </w:pPr>
      <w:r w:rsidRPr="00E11506">
        <w:t>Gas underpins a wide range of economic activity in Australia and globally</w:t>
      </w:r>
      <w:r w:rsidR="00944D51">
        <w:t>,</w:t>
      </w:r>
      <w:r w:rsidRPr="00E11506">
        <w:t xml:space="preserve"> with secure gas supplies being a core component of energy security for many </w:t>
      </w:r>
      <w:r w:rsidR="003151BE">
        <w:t>economies</w:t>
      </w:r>
      <w:r w:rsidRPr="00E11506">
        <w:t xml:space="preserve">. However, </w:t>
      </w:r>
      <w:r w:rsidR="00944D51">
        <w:t xml:space="preserve">the </w:t>
      </w:r>
      <w:r w:rsidRPr="00E11506">
        <w:t>production and use of gas also accounts for 2</w:t>
      </w:r>
      <w:r>
        <w:t>4</w:t>
      </w:r>
      <w:r w:rsidRPr="00E11506">
        <w:t>% of Australia’s greenhouse gas emissions</w:t>
      </w:r>
      <w:r w:rsidR="006D1268">
        <w:t xml:space="preserve"> in 2021</w:t>
      </w:r>
      <w:r w:rsidR="00DB5745">
        <w:t>–</w:t>
      </w:r>
      <w:r w:rsidR="006D1268">
        <w:t>22</w:t>
      </w:r>
      <w:r w:rsidRPr="00E11506">
        <w:t xml:space="preserve">. </w:t>
      </w:r>
    </w:p>
    <w:p w14:paraId="7D59DC59" w14:textId="668EA508" w:rsidR="006E12EE" w:rsidRDefault="00284936" w:rsidP="00AA38BB">
      <w:pPr>
        <w:pStyle w:val="BodyText"/>
      </w:pPr>
      <w:r w:rsidRPr="00E11506">
        <w:t xml:space="preserve">Australia has legislated targets to achieve net zero </w:t>
      </w:r>
      <w:r w:rsidR="003A5F54">
        <w:t xml:space="preserve">emissions </w:t>
      </w:r>
      <w:r w:rsidRPr="00E11506">
        <w:t xml:space="preserve">by 2050. </w:t>
      </w:r>
      <w:r w:rsidR="00675263" w:rsidRPr="00D47F04">
        <w:t>Australia’s domestic climate action is progressing against a backdrop of growing global momentum to deliver the goals of the Paris Agreement</w:t>
      </w:r>
      <w:r w:rsidR="00675263">
        <w:t>.</w:t>
      </w:r>
      <w:r w:rsidR="00675263" w:rsidRPr="00D47F04">
        <w:t xml:space="preserve"> </w:t>
      </w:r>
      <w:r>
        <w:t>E</w:t>
      </w:r>
      <w:r w:rsidRPr="003D0B98">
        <w:t xml:space="preserve">missions from gas must </w:t>
      </w:r>
      <w:r w:rsidR="00944D51">
        <w:t xml:space="preserve">therefore </w:t>
      </w:r>
      <w:r w:rsidRPr="003D0B98">
        <w:t>reduce</w:t>
      </w:r>
      <w:r>
        <w:t xml:space="preserve"> significantly. </w:t>
      </w:r>
    </w:p>
    <w:p w14:paraId="28493C65" w14:textId="1F129FB7" w:rsidR="003A5F54" w:rsidRDefault="00314410" w:rsidP="00AA38BB">
      <w:pPr>
        <w:pStyle w:val="BodyText"/>
      </w:pPr>
      <w:r w:rsidRPr="00D47F04">
        <w:rPr>
          <w:color w:val="373737" w:themeColor="text2"/>
          <w:szCs w:val="20"/>
        </w:rPr>
        <w:t xml:space="preserve">The impact </w:t>
      </w:r>
      <w:r w:rsidR="00675263">
        <w:rPr>
          <w:color w:val="373737" w:themeColor="text2"/>
          <w:szCs w:val="20"/>
        </w:rPr>
        <w:t>global</w:t>
      </w:r>
      <w:r w:rsidRPr="00D47F04">
        <w:rPr>
          <w:color w:val="373737" w:themeColor="text2"/>
          <w:szCs w:val="20"/>
        </w:rPr>
        <w:t xml:space="preserve"> actions will have on the future demand for gas remains uncertain, due to the differing nature of country level decarbonisation pathways</w:t>
      </w:r>
      <w:r w:rsidR="003A5F54">
        <w:rPr>
          <w:color w:val="373737" w:themeColor="text2"/>
          <w:szCs w:val="20"/>
        </w:rPr>
        <w:t xml:space="preserve"> and the uncertain timing of alternative energy sources at scale</w:t>
      </w:r>
      <w:r w:rsidRPr="00D47F04">
        <w:rPr>
          <w:color w:val="373737" w:themeColor="text2"/>
          <w:szCs w:val="20"/>
        </w:rPr>
        <w:t>.</w:t>
      </w:r>
      <w:r w:rsidR="003A5F54">
        <w:rPr>
          <w:color w:val="373737" w:themeColor="text2"/>
          <w:szCs w:val="20"/>
        </w:rPr>
        <w:t xml:space="preserve"> This uncertainty is observed in the wide range of </w:t>
      </w:r>
      <w:r w:rsidR="007B7A04">
        <w:rPr>
          <w:color w:val="373737" w:themeColor="text2"/>
          <w:szCs w:val="20"/>
        </w:rPr>
        <w:t xml:space="preserve">gas </w:t>
      </w:r>
      <w:r w:rsidR="003A5F54">
        <w:rPr>
          <w:color w:val="373737" w:themeColor="text2"/>
          <w:szCs w:val="20"/>
        </w:rPr>
        <w:t>demand projections at a global, regional and domestic level.</w:t>
      </w:r>
      <w:r w:rsidRPr="00D47F04">
        <w:rPr>
          <w:color w:val="373737" w:themeColor="text2"/>
          <w:szCs w:val="20"/>
        </w:rPr>
        <w:t xml:space="preserve">  </w:t>
      </w:r>
    </w:p>
    <w:p w14:paraId="728B0947" w14:textId="07D19667" w:rsidR="003A5F54" w:rsidRDefault="00675263" w:rsidP="00AA38BB">
      <w:pPr>
        <w:pStyle w:val="BodyText"/>
      </w:pPr>
      <w:r>
        <w:t xml:space="preserve">In all scenarios, projections indicate continued gas use to 2050 and beyond at a global and regional level. </w:t>
      </w:r>
      <w:r w:rsidR="001221E0">
        <w:t>In the medium term (</w:t>
      </w:r>
      <w:r w:rsidR="007B7A04">
        <w:t xml:space="preserve">to </w:t>
      </w:r>
      <w:r w:rsidR="001221E0">
        <w:t>2035), sustained domestic g</w:t>
      </w:r>
      <w:r w:rsidR="003A5F54">
        <w:t xml:space="preserve">as </w:t>
      </w:r>
      <w:r w:rsidR="001221E0">
        <w:t>demand</w:t>
      </w:r>
      <w:r w:rsidR="00284936" w:rsidRPr="00E11506">
        <w:t xml:space="preserve"> reflects the key role gas </w:t>
      </w:r>
      <w:r w:rsidR="00284936">
        <w:t xml:space="preserve">will continue to </w:t>
      </w:r>
      <w:r w:rsidR="00284936" w:rsidRPr="00E11506">
        <w:t xml:space="preserve">play in firming renewable electricity and for high heat (above </w:t>
      </w:r>
      <w:r w:rsidR="00284936" w:rsidRPr="00922DE5">
        <w:t>500</w:t>
      </w:r>
      <w:r w:rsidR="00284936" w:rsidRPr="00922DE5">
        <w:rPr>
          <w:rFonts w:cstheme="majorHAnsi"/>
        </w:rPr>
        <w:t>°</w:t>
      </w:r>
      <w:r w:rsidR="00284936" w:rsidRPr="00922DE5">
        <w:t>C)</w:t>
      </w:r>
      <w:r w:rsidR="00284936">
        <w:t xml:space="preserve"> </w:t>
      </w:r>
      <w:r w:rsidR="00284936" w:rsidRPr="00E11506">
        <w:t>industrial applications</w:t>
      </w:r>
      <w:r w:rsidR="003A5F54">
        <w:t xml:space="preserve"> </w:t>
      </w:r>
      <w:r w:rsidR="00D22AF5">
        <w:rPr>
          <w:lang w:eastAsia="en-AU"/>
        </w:rPr>
        <w:t>—</w:t>
      </w:r>
      <w:r w:rsidR="003A5F54">
        <w:t xml:space="preserve"> for many other applications</w:t>
      </w:r>
      <w:r w:rsidR="00D22AF5">
        <w:t>,</w:t>
      </w:r>
      <w:r w:rsidR="003A5F54">
        <w:t xml:space="preserve"> electrification already provides an alternative commercial energy source</w:t>
      </w:r>
      <w:r w:rsidR="003A5F54" w:rsidRPr="00922DE5">
        <w:t>.</w:t>
      </w:r>
      <w:r w:rsidR="003A5F54" w:rsidRPr="00E11506">
        <w:t xml:space="preserve"> </w:t>
      </w:r>
      <w:r w:rsidR="001221E0">
        <w:t xml:space="preserve">Within the Asia region, demand for </w:t>
      </w:r>
      <w:r w:rsidR="0083776F">
        <w:t>liquefied natural gas (</w:t>
      </w:r>
      <w:r w:rsidR="001221E0">
        <w:t>LNG</w:t>
      </w:r>
      <w:r w:rsidR="0083776F">
        <w:t>)</w:t>
      </w:r>
      <w:r w:rsidR="001221E0">
        <w:t xml:space="preserve"> is also likely to be sustained, as gas is one element of trading partners’ energy transition plans. </w:t>
      </w:r>
    </w:p>
    <w:p w14:paraId="5A087122" w14:textId="1E73CBAD" w:rsidR="00284936" w:rsidRPr="00E11506" w:rsidRDefault="008D220C" w:rsidP="00AA38BB">
      <w:pPr>
        <w:pStyle w:val="BodyText"/>
      </w:pPr>
      <w:r>
        <w:t>In the longer run, to 2050 and beyond</w:t>
      </w:r>
      <w:r w:rsidR="00284936" w:rsidRPr="00E11506">
        <w:t xml:space="preserve">, the role of gas </w:t>
      </w:r>
      <w:r w:rsidR="00EB6005">
        <w:t xml:space="preserve">for harder-to-substitute uses is highly uncertain and </w:t>
      </w:r>
      <w:r w:rsidR="00284936" w:rsidRPr="00E11506">
        <w:t xml:space="preserve">will be determined by the </w:t>
      </w:r>
      <w:r w:rsidR="00EB6005">
        <w:t xml:space="preserve">eventual </w:t>
      </w:r>
      <w:r w:rsidR="00284936" w:rsidRPr="00E11506">
        <w:t xml:space="preserve">relative cost </w:t>
      </w:r>
      <w:r w:rsidR="00EB6005">
        <w:t xml:space="preserve">and availability </w:t>
      </w:r>
      <w:r w:rsidR="00284936" w:rsidRPr="00E11506">
        <w:t>of substitutes (in particular</w:t>
      </w:r>
      <w:r w:rsidR="00E359B6">
        <w:t>,</w:t>
      </w:r>
      <w:r w:rsidR="00284936" w:rsidRPr="00E11506">
        <w:t xml:space="preserve"> </w:t>
      </w:r>
      <w:r w:rsidR="00284936">
        <w:t>electrification and low-carbon fuels</w:t>
      </w:r>
      <w:r w:rsidR="00EB6005" w:rsidRPr="00E11506">
        <w:t xml:space="preserve">) and </w:t>
      </w:r>
      <w:r w:rsidR="00CA04DC">
        <w:t xml:space="preserve">other forms of </w:t>
      </w:r>
      <w:r w:rsidR="00EB6005" w:rsidRPr="00E11506">
        <w:t xml:space="preserve">abatement </w:t>
      </w:r>
      <w:r w:rsidR="00CA04DC">
        <w:t>(such as</w:t>
      </w:r>
      <w:r w:rsidR="00284936" w:rsidRPr="00E11506">
        <w:t xml:space="preserve"> carbon capture, use and storage</w:t>
      </w:r>
      <w:r w:rsidR="00BA249A">
        <w:t xml:space="preserve"> i.e.</w:t>
      </w:r>
      <w:r w:rsidR="00284936" w:rsidRPr="00E11506">
        <w:t xml:space="preserve"> CCUS</w:t>
      </w:r>
      <w:r w:rsidR="00EB6005" w:rsidRPr="00E11506">
        <w:t>).</w:t>
      </w:r>
      <w:r w:rsidR="00352F9A" w:rsidDel="008D220C">
        <w:t xml:space="preserve"> </w:t>
      </w:r>
      <w:r w:rsidR="00352F9A">
        <w:t xml:space="preserve">To be consistent with net zero goals in 2050, </w:t>
      </w:r>
      <w:r w:rsidR="00284936" w:rsidRPr="00E11506">
        <w:t xml:space="preserve">all </w:t>
      </w:r>
      <w:r w:rsidR="00E359B6">
        <w:t xml:space="preserve">emissions </w:t>
      </w:r>
      <w:r w:rsidR="00D47F04">
        <w:t xml:space="preserve">from </w:t>
      </w:r>
      <w:r w:rsidR="00EB6005" w:rsidDel="00C2056A">
        <w:t xml:space="preserve">remaining </w:t>
      </w:r>
      <w:r w:rsidR="00D47F04">
        <w:t xml:space="preserve">gas supply and use </w:t>
      </w:r>
      <w:r w:rsidR="00E359B6">
        <w:t>are</w:t>
      </w:r>
      <w:r w:rsidR="00284936" w:rsidRPr="00E11506">
        <w:t xml:space="preserve"> abated or offset. </w:t>
      </w:r>
    </w:p>
    <w:p w14:paraId="01F9DF07" w14:textId="6586BA40" w:rsidR="008D220C" w:rsidRPr="00E11506" w:rsidRDefault="008D220C" w:rsidP="00AA38BB">
      <w:pPr>
        <w:pStyle w:val="BodyText"/>
      </w:pPr>
      <w:r w:rsidRPr="00E11506">
        <w:t>Australia</w:t>
      </w:r>
      <w:r>
        <w:t>n</w:t>
      </w:r>
      <w:r w:rsidRPr="00E11506">
        <w:t xml:space="preserve"> contracts for </w:t>
      </w:r>
      <w:r>
        <w:t>liquified natural gas (LNG)</w:t>
      </w:r>
      <w:r w:rsidRPr="00E11506">
        <w:t xml:space="preserve"> </w:t>
      </w:r>
      <w:r>
        <w:t>exports</w:t>
      </w:r>
      <w:r w:rsidRPr="00E11506">
        <w:t xml:space="preserve"> will expire between 2030 </w:t>
      </w:r>
      <w:r>
        <w:t>and</w:t>
      </w:r>
      <w:r w:rsidRPr="00E11506">
        <w:t xml:space="preserve"> 2035. Within the Asian region to which Australia currently exports LNG, demand</w:t>
      </w:r>
      <w:r w:rsidR="00B82655">
        <w:t xml:space="preserve"> for LNG</w:t>
      </w:r>
      <w:r w:rsidRPr="00E11506">
        <w:t xml:space="preserve"> is expected to </w:t>
      </w:r>
      <w:r>
        <w:t xml:space="preserve">continue </w:t>
      </w:r>
      <w:r w:rsidR="007B7A04">
        <w:t>to 2050 and beyond</w:t>
      </w:r>
      <w:r w:rsidR="00B82655">
        <w:t xml:space="preserve"> and consultation indicates continued demand for secure exports from Australia</w:t>
      </w:r>
      <w:r w:rsidRPr="00E11506">
        <w:t xml:space="preserve">. For some trading partners, </w:t>
      </w:r>
      <w:r w:rsidR="00B82655">
        <w:t>continued demand for LNG</w:t>
      </w:r>
      <w:r w:rsidRPr="00E11506">
        <w:t xml:space="preserve"> reflects a choice to </w:t>
      </w:r>
      <w:r>
        <w:t>retain or preference</w:t>
      </w:r>
      <w:r w:rsidRPr="00E11506">
        <w:t xml:space="preserve"> gas </w:t>
      </w:r>
      <w:r>
        <w:t>use</w:t>
      </w:r>
      <w:r w:rsidRPr="00E11506">
        <w:t xml:space="preserve"> and pursue international trade in CCUS </w:t>
      </w:r>
      <w:r>
        <w:t xml:space="preserve">and low-carbon alternatives (such as ammonia) </w:t>
      </w:r>
      <w:r w:rsidRPr="00E11506">
        <w:t xml:space="preserve">due to relatively </w:t>
      </w:r>
      <w:r>
        <w:t>limited</w:t>
      </w:r>
      <w:r w:rsidRPr="00E11506">
        <w:t xml:space="preserve"> options for renewable energy.</w:t>
      </w:r>
      <w:r w:rsidR="00B82655">
        <w:t xml:space="preserve"> </w:t>
      </w:r>
      <w:r w:rsidR="00B82655" w:rsidRPr="004146E1">
        <w:t>The level of demand is uncertain, with relatively high demand under current policies and much lower demand in scenarios consistent with committed climate action</w:t>
      </w:r>
      <w:r w:rsidR="00B82655">
        <w:t>.</w:t>
      </w:r>
    </w:p>
    <w:p w14:paraId="10E90D94" w14:textId="2D6FD5E0" w:rsidR="00284936" w:rsidRPr="00E11506" w:rsidRDefault="00284936" w:rsidP="00AA38BB">
      <w:pPr>
        <w:pStyle w:val="BodyText"/>
      </w:pPr>
      <w:r w:rsidRPr="00E11506">
        <w:t xml:space="preserve">In the domestic scenarios examined, there is a significant gap between projections based on current policy and industry action and the demand level consistent with net zero goals. Projections by </w:t>
      </w:r>
      <w:r w:rsidR="00954F57">
        <w:t xml:space="preserve">the Australian Energy Market Operator </w:t>
      </w:r>
      <w:r w:rsidRPr="00E11506">
        <w:t xml:space="preserve">indicate that demand for gas in the </w:t>
      </w:r>
      <w:r w:rsidR="00DF6932">
        <w:t>e</w:t>
      </w:r>
      <w:r w:rsidRPr="00E11506">
        <w:t xml:space="preserve">ast </w:t>
      </w:r>
      <w:r w:rsidR="00DF6932">
        <w:t>c</w:t>
      </w:r>
      <w:r w:rsidRPr="00E11506">
        <w:t xml:space="preserve">oast will </w:t>
      </w:r>
      <w:r w:rsidR="00B82655">
        <w:t>decline</w:t>
      </w:r>
      <w:r w:rsidRPr="00E11506">
        <w:t xml:space="preserve"> over the medium term </w:t>
      </w:r>
      <w:r>
        <w:t>–</w:t>
      </w:r>
      <w:r w:rsidRPr="00E11506">
        <w:t xml:space="preserve"> as current policy settings encourage gas substitution</w:t>
      </w:r>
      <w:r>
        <w:t xml:space="preserve"> –</w:t>
      </w:r>
      <w:r w:rsidRPr="00E11506">
        <w:t xml:space="preserve"> but not at rates consistent with national emissions targets. Demand </w:t>
      </w:r>
      <w:r>
        <w:t xml:space="preserve">for gas </w:t>
      </w:r>
      <w:r w:rsidRPr="00E11506">
        <w:t xml:space="preserve">on the </w:t>
      </w:r>
      <w:r w:rsidR="00006846">
        <w:t>w</w:t>
      </w:r>
      <w:r w:rsidRPr="00E11506">
        <w:t xml:space="preserve">est </w:t>
      </w:r>
      <w:r w:rsidR="00006846">
        <w:t>c</w:t>
      </w:r>
      <w:r w:rsidRPr="00E11506">
        <w:t xml:space="preserve">oast is </w:t>
      </w:r>
      <w:r w:rsidR="009E186F">
        <w:t>forecast</w:t>
      </w:r>
      <w:r w:rsidRPr="00E11506">
        <w:t xml:space="preserve"> to </w:t>
      </w:r>
      <w:r w:rsidRPr="00C934FF">
        <w:rPr>
          <w:i/>
          <w:iCs/>
        </w:rPr>
        <w:t>rise</w:t>
      </w:r>
      <w:r w:rsidRPr="00E11506">
        <w:t xml:space="preserve"> </w:t>
      </w:r>
      <w:r>
        <w:t>from 2030</w:t>
      </w:r>
      <w:r w:rsidRPr="00E11506">
        <w:t xml:space="preserve"> due to </w:t>
      </w:r>
      <w:r w:rsidR="00321B1D">
        <w:t xml:space="preserve">greater </w:t>
      </w:r>
      <w:r w:rsidRPr="00E11506">
        <w:t xml:space="preserve">gas </w:t>
      </w:r>
      <w:r w:rsidR="007B7A04">
        <w:t xml:space="preserve">use </w:t>
      </w:r>
      <w:r w:rsidRPr="00E11506">
        <w:t xml:space="preserve">in power generation </w:t>
      </w:r>
      <w:r>
        <w:t xml:space="preserve">as coal fired power retires </w:t>
      </w:r>
      <w:r w:rsidRPr="00E11506">
        <w:t xml:space="preserve">and </w:t>
      </w:r>
      <w:r w:rsidR="009E186F">
        <w:t xml:space="preserve">growth in </w:t>
      </w:r>
      <w:r>
        <w:t xml:space="preserve">critical </w:t>
      </w:r>
      <w:r w:rsidRPr="00E11506">
        <w:t>minerals processing</w:t>
      </w:r>
      <w:r>
        <w:t>.</w:t>
      </w:r>
    </w:p>
    <w:p w14:paraId="308A825B" w14:textId="3751B34E" w:rsidR="00284936" w:rsidRPr="00E11506" w:rsidRDefault="003A5F54" w:rsidP="00AA38BB">
      <w:pPr>
        <w:pStyle w:val="BodyText"/>
      </w:pPr>
      <w:r w:rsidRPr="00E11506">
        <w:t>A key challenge is reducing emissions while balancing energy security</w:t>
      </w:r>
      <w:r>
        <w:t xml:space="preserve"> through the transition</w:t>
      </w:r>
      <w:r w:rsidRPr="00E11506">
        <w:t>.</w:t>
      </w:r>
      <w:r>
        <w:t xml:space="preserve"> </w:t>
      </w:r>
      <w:r w:rsidR="00284936" w:rsidRPr="00E11506">
        <w:t xml:space="preserve">In the near term, projected </w:t>
      </w:r>
      <w:r w:rsidR="00284936">
        <w:t xml:space="preserve">domestic </w:t>
      </w:r>
      <w:r w:rsidR="00284936" w:rsidRPr="00E11506">
        <w:t>supply shortages</w:t>
      </w:r>
      <w:r w:rsidR="00284936">
        <w:t xml:space="preserve"> are a significant concern. </w:t>
      </w:r>
      <w:r w:rsidR="00284936" w:rsidRPr="00E11506">
        <w:t xml:space="preserve">On the </w:t>
      </w:r>
      <w:r w:rsidR="00DF6932">
        <w:t>e</w:t>
      </w:r>
      <w:r w:rsidR="00284936" w:rsidRPr="00E11506">
        <w:t xml:space="preserve">ast </w:t>
      </w:r>
      <w:r w:rsidR="00DF6932">
        <w:t>c</w:t>
      </w:r>
      <w:r w:rsidR="00284936" w:rsidRPr="00E11506">
        <w:t xml:space="preserve">oast, </w:t>
      </w:r>
      <w:r w:rsidR="00284936">
        <w:t>supply shortages are predicted from 2028. N</w:t>
      </w:r>
      <w:r w:rsidR="00284936" w:rsidRPr="00E11506">
        <w:t xml:space="preserve">ew supply will increasingly come from Queensland and the Northern Territory to feed the southern </w:t>
      </w:r>
      <w:r w:rsidR="00DF6932">
        <w:t>s</w:t>
      </w:r>
      <w:r w:rsidR="00284936" w:rsidRPr="00E11506">
        <w:t>tates’ industries and consumers, increasing costs and raising concerns about capacity of the network. Risk</w:t>
      </w:r>
      <w:r w:rsidR="00284936">
        <w:t>s</w:t>
      </w:r>
      <w:r w:rsidR="00284936" w:rsidRPr="00E11506">
        <w:t xml:space="preserve"> of </w:t>
      </w:r>
      <w:r w:rsidR="00284936">
        <w:t>ongoing</w:t>
      </w:r>
      <w:r w:rsidR="00284936" w:rsidRPr="00E11506">
        <w:t xml:space="preserve"> </w:t>
      </w:r>
      <w:r w:rsidR="00284936">
        <w:t xml:space="preserve">market </w:t>
      </w:r>
      <w:r w:rsidR="00284936" w:rsidRPr="00E11506">
        <w:t xml:space="preserve">volatility also need to be managed. To build the resilience of the </w:t>
      </w:r>
      <w:r w:rsidR="00DF6932">
        <w:t>e</w:t>
      </w:r>
      <w:r w:rsidR="00284936">
        <w:t xml:space="preserve">ast </w:t>
      </w:r>
      <w:r w:rsidR="00DF6932">
        <w:t>c</w:t>
      </w:r>
      <w:r w:rsidR="00284936">
        <w:t xml:space="preserve">oast </w:t>
      </w:r>
      <w:r w:rsidR="00284936" w:rsidRPr="00E11506">
        <w:t>gas market, a range of additional supply measures are likely needed</w:t>
      </w:r>
      <w:r w:rsidR="00186BCA">
        <w:t xml:space="preserve"> and quickly</w:t>
      </w:r>
      <w:r w:rsidR="00284936" w:rsidRPr="00E11506">
        <w:t xml:space="preserve">, including import terminals (which </w:t>
      </w:r>
      <w:r w:rsidR="00186BCA">
        <w:t>offer the shortest potential time frames to develop</w:t>
      </w:r>
      <w:r w:rsidR="00284936" w:rsidRPr="00E11506">
        <w:t xml:space="preserve">), new </w:t>
      </w:r>
      <w:r w:rsidR="00186BCA">
        <w:t xml:space="preserve">east coast </w:t>
      </w:r>
      <w:r w:rsidR="00284936" w:rsidRPr="00E11506">
        <w:t xml:space="preserve">production and new pipelines. </w:t>
      </w:r>
      <w:r w:rsidR="00186BCA">
        <w:t>Orderly r</w:t>
      </w:r>
      <w:r w:rsidR="007B7A04">
        <w:t xml:space="preserve">eduction in </w:t>
      </w:r>
      <w:r w:rsidR="00186BCA">
        <w:t xml:space="preserve">gas </w:t>
      </w:r>
      <w:r w:rsidR="007B7A04">
        <w:t>demand would assist to reduce the supply gap</w:t>
      </w:r>
      <w:r w:rsidR="00186BCA">
        <w:t xml:space="preserve"> and may be necessary if supply solutions are not available in the required timeframes</w:t>
      </w:r>
      <w:r w:rsidR="007B7A04">
        <w:t>.</w:t>
      </w:r>
    </w:p>
    <w:p w14:paraId="4CB7A67D" w14:textId="75E6096C" w:rsidR="00284936" w:rsidRDefault="00286DE4" w:rsidP="00AA38BB">
      <w:pPr>
        <w:pStyle w:val="BodyText"/>
      </w:pPr>
      <w:r>
        <w:rPr>
          <w:lang w:eastAsia="en-AU"/>
        </w:rPr>
        <w:lastRenderedPageBreak/>
        <w:t>The d</w:t>
      </w:r>
      <w:r w:rsidR="00EC7EC7" w:rsidRPr="00E11506">
        <w:rPr>
          <w:lang w:eastAsia="en-AU"/>
        </w:rPr>
        <w:t>emand and supply of gas through the energy transition</w:t>
      </w:r>
      <w:r w:rsidR="00EC7EC7" w:rsidRPr="00E11506">
        <w:t xml:space="preserve"> will depend on production and transport costs</w:t>
      </w:r>
      <w:r w:rsidR="00166276">
        <w:t>,</w:t>
      </w:r>
      <w:r w:rsidR="00EC7EC7" w:rsidRPr="00E11506">
        <w:t xml:space="preserve"> and pricing</w:t>
      </w:r>
      <w:r w:rsidR="00E359B6">
        <w:t xml:space="preserve"> to consumers</w:t>
      </w:r>
      <w:r w:rsidR="00EC7EC7" w:rsidRPr="00E11506">
        <w:t xml:space="preserve">. Production costs </w:t>
      </w:r>
      <w:r w:rsidR="00284936">
        <w:t>in</w:t>
      </w:r>
      <w:r w:rsidR="00EC7EC7" w:rsidRPr="00E11506">
        <w:t xml:space="preserve"> the </w:t>
      </w:r>
      <w:r w:rsidR="006944D0">
        <w:t>e</w:t>
      </w:r>
      <w:r w:rsidR="00EC7EC7" w:rsidRPr="00E11506">
        <w:t xml:space="preserve">ast </w:t>
      </w:r>
      <w:r w:rsidR="006944D0">
        <w:t>c</w:t>
      </w:r>
      <w:r w:rsidR="00EC7EC7" w:rsidRPr="00E11506">
        <w:t xml:space="preserve">oast </w:t>
      </w:r>
      <w:r w:rsidR="00284936">
        <w:t>market today are</w:t>
      </w:r>
      <w:r w:rsidR="00284936" w:rsidRPr="00E11506">
        <w:t xml:space="preserve"> </w:t>
      </w:r>
      <w:r w:rsidR="00EC7EC7" w:rsidRPr="00E11506">
        <w:t xml:space="preserve">well above legacy </w:t>
      </w:r>
      <w:r w:rsidR="00284936">
        <w:t xml:space="preserve">domestic </w:t>
      </w:r>
      <w:r w:rsidR="00EC7EC7" w:rsidRPr="00E11506">
        <w:t xml:space="preserve">contract prices. Rising costs </w:t>
      </w:r>
      <w:r w:rsidR="00284936">
        <w:t xml:space="preserve">and </w:t>
      </w:r>
      <w:r>
        <w:t xml:space="preserve">the </w:t>
      </w:r>
      <w:r w:rsidR="00284936">
        <w:t>need for investment to maintain supplies</w:t>
      </w:r>
      <w:r w:rsidR="00284936" w:rsidRPr="00E11506">
        <w:t xml:space="preserve"> </w:t>
      </w:r>
      <w:r w:rsidR="00EC7EC7" w:rsidRPr="00E11506">
        <w:t xml:space="preserve">are expected to put further </w:t>
      </w:r>
      <w:r>
        <w:t xml:space="preserve">upward </w:t>
      </w:r>
      <w:r w:rsidR="00EC7EC7" w:rsidRPr="00E11506">
        <w:t xml:space="preserve">pressure on </w:t>
      </w:r>
      <w:r w:rsidR="00491917">
        <w:t xml:space="preserve">domestic </w:t>
      </w:r>
      <w:r w:rsidR="00EC7EC7" w:rsidRPr="00E11506">
        <w:t>prices</w:t>
      </w:r>
      <w:r>
        <w:t xml:space="preserve">, encouraging </w:t>
      </w:r>
      <w:r w:rsidR="009E186F">
        <w:t>users to find alternatives</w:t>
      </w:r>
      <w:r w:rsidR="00284936">
        <w:t>.</w:t>
      </w:r>
      <w:r w:rsidR="00EC7EC7" w:rsidRPr="00E11506">
        <w:t xml:space="preserve"> In contrast, LNG prices are expected to ease </w:t>
      </w:r>
      <w:r w:rsidR="00284936">
        <w:t>in coming years</w:t>
      </w:r>
      <w:r w:rsidR="00284936" w:rsidDel="00491917">
        <w:t xml:space="preserve"> </w:t>
      </w:r>
      <w:r w:rsidR="00EC7EC7" w:rsidRPr="00E11506" w:rsidDel="00491917">
        <w:t>as supply from the U</w:t>
      </w:r>
      <w:r w:rsidR="007978AE">
        <w:t xml:space="preserve">nited </w:t>
      </w:r>
      <w:r w:rsidR="00EC7EC7" w:rsidRPr="00E11506" w:rsidDel="00491917">
        <w:t>S</w:t>
      </w:r>
      <w:r w:rsidR="007978AE">
        <w:t>tates</w:t>
      </w:r>
      <w:r w:rsidR="00EC7EC7" w:rsidRPr="00E11506" w:rsidDel="00491917">
        <w:t xml:space="preserve"> and Qatar </w:t>
      </w:r>
      <w:r>
        <w:t>r</w:t>
      </w:r>
      <w:r w:rsidR="00EC7EC7" w:rsidRPr="00E11506" w:rsidDel="00491917">
        <w:t>ises</w:t>
      </w:r>
      <w:r w:rsidR="00EC7EC7" w:rsidRPr="00E11506">
        <w:t xml:space="preserve">. </w:t>
      </w:r>
      <w:r w:rsidR="00284936">
        <w:t xml:space="preserve">These factors </w:t>
      </w:r>
      <w:r w:rsidR="00491917">
        <w:t xml:space="preserve">will raise the </w:t>
      </w:r>
      <w:r w:rsidR="009E186F">
        <w:t xml:space="preserve">relative </w:t>
      </w:r>
      <w:r w:rsidR="00491917">
        <w:t>value proposition of import terminals</w:t>
      </w:r>
      <w:r w:rsidR="00284936">
        <w:t>.</w:t>
      </w:r>
      <w:r w:rsidR="00284936" w:rsidRPr="00E11506">
        <w:t xml:space="preserve"> </w:t>
      </w:r>
    </w:p>
    <w:p w14:paraId="552C75B7" w14:textId="1BB6A642" w:rsidR="00EC7EC7" w:rsidRDefault="00284936" w:rsidP="00AA38BB">
      <w:pPr>
        <w:pStyle w:val="BodyText"/>
      </w:pPr>
      <w:r>
        <w:t xml:space="preserve">West </w:t>
      </w:r>
      <w:r w:rsidR="00DF6932">
        <w:t>c</w:t>
      </w:r>
      <w:r>
        <w:t xml:space="preserve">oast supply </w:t>
      </w:r>
      <w:r w:rsidR="00D461C2">
        <w:t>may</w:t>
      </w:r>
      <w:r>
        <w:t xml:space="preserve"> fall short of demand in the near term, requiring drawdown from storage. From 2030, </w:t>
      </w:r>
      <w:r w:rsidR="009F0933">
        <w:t xml:space="preserve">without greater use of alternatives, efficiencies and investment in new supplies, </w:t>
      </w:r>
      <w:r>
        <w:t>growing demand will drive increasing shortages and potentially place pressure on pric</w:t>
      </w:r>
      <w:r w:rsidR="00E359B6">
        <w:t>es</w:t>
      </w:r>
      <w:r>
        <w:t xml:space="preserve"> and contracting.</w:t>
      </w:r>
      <w:r w:rsidR="003568D2">
        <w:t xml:space="preserve"> </w:t>
      </w:r>
      <w:r w:rsidR="00EC7EC7">
        <w:br w:type="page"/>
      </w:r>
    </w:p>
    <w:p w14:paraId="738E057F" w14:textId="77777777" w:rsidR="00EC7EC7" w:rsidRDefault="00EC7EC7" w:rsidP="00EC7EC7">
      <w:pPr>
        <w:pStyle w:val="Heading1"/>
        <w:numPr>
          <w:ilvl w:val="0"/>
          <w:numId w:val="0"/>
        </w:numPr>
      </w:pPr>
      <w:bookmarkStart w:id="6" w:name="_Toc172794494"/>
      <w:r>
        <w:lastRenderedPageBreak/>
        <w:t>Introduction</w:t>
      </w:r>
      <w:bookmarkEnd w:id="6"/>
    </w:p>
    <w:p w14:paraId="2A75BBBE" w14:textId="77777777" w:rsidR="00EC7EC7" w:rsidRPr="001D0420" w:rsidRDefault="00EC7EC7" w:rsidP="00EC7EC7">
      <w:pPr>
        <w:pStyle w:val="Heading2"/>
        <w:numPr>
          <w:ilvl w:val="0"/>
          <w:numId w:val="0"/>
        </w:numPr>
        <w:ind w:left="709" w:hanging="709"/>
      </w:pPr>
      <w:bookmarkStart w:id="7" w:name="_Toc161303271"/>
      <w:bookmarkStart w:id="8" w:name="_Toc172794495"/>
      <w:r>
        <w:t>Terms of Reference</w:t>
      </w:r>
      <w:bookmarkEnd w:id="7"/>
      <w:bookmarkEnd w:id="8"/>
    </w:p>
    <w:p w14:paraId="01B0435D" w14:textId="77777777" w:rsidR="00EC7EC7" w:rsidRPr="00F021E7" w:rsidRDefault="00EC7EC7" w:rsidP="00EC7EC7">
      <w:pPr>
        <w:pStyle w:val="BodyText"/>
        <w:rPr>
          <w:lang w:eastAsia="en-AU"/>
        </w:rPr>
      </w:pPr>
      <w:r>
        <w:rPr>
          <w:lang w:eastAsia="en-AU"/>
        </w:rPr>
        <w:t>The scope of work outlined in the Future Gas Strategy (FGS) Terms of Reference is:</w:t>
      </w:r>
    </w:p>
    <w:p w14:paraId="62150A5E" w14:textId="77777777" w:rsidR="00EC7EC7" w:rsidRPr="00172289" w:rsidRDefault="00EC7EC7" w:rsidP="00164C21">
      <w:pPr>
        <w:pStyle w:val="BodyText"/>
        <w:jc w:val="both"/>
        <w:rPr>
          <w:i/>
          <w:iCs/>
          <w:lang w:eastAsia="en-AU"/>
        </w:rPr>
      </w:pPr>
      <w:r w:rsidRPr="00172289">
        <w:rPr>
          <w:i/>
          <w:iCs/>
          <w:lang w:eastAsia="en-AU"/>
        </w:rPr>
        <w:t xml:space="preserve">The </w:t>
      </w:r>
      <w:r>
        <w:rPr>
          <w:i/>
          <w:iCs/>
          <w:lang w:eastAsia="en-AU"/>
        </w:rPr>
        <w:t xml:space="preserve">[Future Gas] </w:t>
      </w:r>
      <w:r w:rsidRPr="00172289">
        <w:rPr>
          <w:i/>
          <w:iCs/>
          <w:lang w:eastAsia="en-AU"/>
        </w:rPr>
        <w:t>Strategy will develop quantitative evidence on the supply-demand balance of gas out to 2050 drawing on existing analysis where possible, including by A</w:t>
      </w:r>
      <w:r>
        <w:rPr>
          <w:i/>
          <w:iCs/>
          <w:lang w:eastAsia="en-AU"/>
        </w:rPr>
        <w:t xml:space="preserve">ustralian </w:t>
      </w:r>
      <w:r w:rsidRPr="00172289">
        <w:rPr>
          <w:i/>
          <w:iCs/>
          <w:lang w:eastAsia="en-AU"/>
        </w:rPr>
        <w:t>E</w:t>
      </w:r>
      <w:r>
        <w:rPr>
          <w:i/>
          <w:iCs/>
          <w:lang w:eastAsia="en-AU"/>
        </w:rPr>
        <w:t xml:space="preserve">nergy </w:t>
      </w:r>
      <w:r w:rsidRPr="00172289">
        <w:rPr>
          <w:i/>
          <w:iCs/>
          <w:lang w:eastAsia="en-AU"/>
        </w:rPr>
        <w:t>M</w:t>
      </w:r>
      <w:r>
        <w:rPr>
          <w:i/>
          <w:iCs/>
          <w:lang w:eastAsia="en-AU"/>
        </w:rPr>
        <w:t xml:space="preserve">arket </w:t>
      </w:r>
      <w:r w:rsidRPr="00172289">
        <w:rPr>
          <w:i/>
          <w:iCs/>
          <w:lang w:eastAsia="en-AU"/>
        </w:rPr>
        <w:t>O</w:t>
      </w:r>
      <w:r>
        <w:rPr>
          <w:i/>
          <w:iCs/>
          <w:lang w:eastAsia="en-AU"/>
        </w:rPr>
        <w:t>perator (AEMO)</w:t>
      </w:r>
      <w:r w:rsidRPr="00172289">
        <w:rPr>
          <w:i/>
          <w:iCs/>
          <w:lang w:eastAsia="en-AU"/>
        </w:rPr>
        <w:t xml:space="preserve"> and the A</w:t>
      </w:r>
      <w:r>
        <w:rPr>
          <w:i/>
          <w:iCs/>
          <w:lang w:eastAsia="en-AU"/>
        </w:rPr>
        <w:t xml:space="preserve">ustralian </w:t>
      </w:r>
      <w:r w:rsidRPr="00172289">
        <w:rPr>
          <w:i/>
          <w:iCs/>
          <w:lang w:eastAsia="en-AU"/>
        </w:rPr>
        <w:t>C</w:t>
      </w:r>
      <w:r>
        <w:rPr>
          <w:i/>
          <w:iCs/>
          <w:lang w:eastAsia="en-AU"/>
        </w:rPr>
        <w:t xml:space="preserve">ompetition and </w:t>
      </w:r>
      <w:r w:rsidRPr="00172289">
        <w:rPr>
          <w:i/>
          <w:iCs/>
          <w:lang w:eastAsia="en-AU"/>
        </w:rPr>
        <w:t>C</w:t>
      </w:r>
      <w:r>
        <w:rPr>
          <w:i/>
          <w:iCs/>
          <w:lang w:eastAsia="en-AU"/>
        </w:rPr>
        <w:t xml:space="preserve">onsumer </w:t>
      </w:r>
      <w:r w:rsidRPr="00172289">
        <w:rPr>
          <w:i/>
          <w:iCs/>
          <w:lang w:eastAsia="en-AU"/>
        </w:rPr>
        <w:t>C</w:t>
      </w:r>
      <w:r>
        <w:rPr>
          <w:i/>
          <w:iCs/>
          <w:lang w:eastAsia="en-AU"/>
        </w:rPr>
        <w:t>ommission.</w:t>
      </w:r>
    </w:p>
    <w:p w14:paraId="5C3BB235" w14:textId="77777777" w:rsidR="00EC7EC7" w:rsidRPr="00172289" w:rsidRDefault="00EC7EC7" w:rsidP="008037E3">
      <w:pPr>
        <w:pStyle w:val="BodyText"/>
        <w:ind w:left="567" w:hanging="425"/>
        <w:rPr>
          <w:i/>
          <w:iCs/>
          <w:lang w:eastAsia="en-AU"/>
        </w:rPr>
      </w:pPr>
      <w:r w:rsidRPr="00172289">
        <w:rPr>
          <w:i/>
          <w:iCs/>
          <w:lang w:eastAsia="en-AU"/>
        </w:rPr>
        <w:t>a.</w:t>
      </w:r>
      <w:r w:rsidRPr="00172289">
        <w:rPr>
          <w:i/>
          <w:iCs/>
          <w:lang w:eastAsia="en-AU"/>
        </w:rPr>
        <w:tab/>
        <w:t>Demand projections / scenarios will:</w:t>
      </w:r>
    </w:p>
    <w:p w14:paraId="793087F9" w14:textId="58ED07ED" w:rsidR="00EC7EC7" w:rsidRPr="00172289" w:rsidRDefault="00EC7EC7" w:rsidP="00407588">
      <w:pPr>
        <w:pStyle w:val="BodyText"/>
        <w:spacing w:after="60"/>
        <w:ind w:left="709" w:hanging="142"/>
        <w:rPr>
          <w:i/>
          <w:iCs/>
          <w:lang w:eastAsia="en-AU"/>
        </w:rPr>
      </w:pPr>
      <w:r w:rsidRPr="00172289">
        <w:rPr>
          <w:i/>
          <w:iCs/>
          <w:lang w:eastAsia="en-AU"/>
        </w:rPr>
        <w:t>i.</w:t>
      </w:r>
      <w:r w:rsidR="008037E3">
        <w:rPr>
          <w:i/>
          <w:iCs/>
          <w:lang w:eastAsia="en-AU"/>
        </w:rPr>
        <w:t xml:space="preserve">   </w:t>
      </w:r>
      <w:r w:rsidRPr="00172289">
        <w:rPr>
          <w:i/>
          <w:iCs/>
          <w:lang w:eastAsia="en-AU"/>
        </w:rPr>
        <w:t>examine both domestic and regional markets</w:t>
      </w:r>
      <w:r w:rsidR="00F4491C" w:rsidRPr="00172289">
        <w:rPr>
          <w:i/>
          <w:iCs/>
          <w:lang w:eastAsia="en-AU"/>
        </w:rPr>
        <w:t>.</w:t>
      </w:r>
      <w:r w:rsidRPr="00172289">
        <w:rPr>
          <w:i/>
          <w:iCs/>
          <w:lang w:eastAsia="en-AU"/>
        </w:rPr>
        <w:t xml:space="preserve"> </w:t>
      </w:r>
    </w:p>
    <w:p w14:paraId="55DD4ACD" w14:textId="48523943" w:rsidR="00EC7EC7" w:rsidRPr="00172289" w:rsidRDefault="00EC7EC7" w:rsidP="00407588">
      <w:pPr>
        <w:pStyle w:val="BodyText"/>
        <w:spacing w:after="60"/>
        <w:ind w:left="709" w:hanging="142"/>
        <w:rPr>
          <w:i/>
          <w:iCs/>
          <w:lang w:eastAsia="en-AU"/>
        </w:rPr>
      </w:pPr>
      <w:r w:rsidRPr="00172289">
        <w:rPr>
          <w:i/>
          <w:iCs/>
          <w:lang w:eastAsia="en-AU"/>
        </w:rPr>
        <w:t>ii.</w:t>
      </w:r>
      <w:r w:rsidR="008037E3">
        <w:rPr>
          <w:i/>
          <w:iCs/>
          <w:lang w:eastAsia="en-AU"/>
        </w:rPr>
        <w:t xml:space="preserve">  </w:t>
      </w:r>
      <w:r w:rsidRPr="00172289">
        <w:rPr>
          <w:i/>
          <w:iCs/>
          <w:lang w:eastAsia="en-AU"/>
        </w:rPr>
        <w:t xml:space="preserve">consider the impact of increased competition from other exporters; </w:t>
      </w:r>
    </w:p>
    <w:p w14:paraId="613D956F" w14:textId="2A5343D2" w:rsidR="008037E3" w:rsidRDefault="00EC7EC7" w:rsidP="00407588">
      <w:pPr>
        <w:pStyle w:val="BodyText"/>
        <w:spacing w:after="60"/>
        <w:ind w:left="709" w:hanging="142"/>
        <w:rPr>
          <w:i/>
          <w:iCs/>
          <w:lang w:eastAsia="en-AU"/>
        </w:rPr>
      </w:pPr>
      <w:r w:rsidRPr="00172289">
        <w:rPr>
          <w:i/>
          <w:iCs/>
          <w:lang w:eastAsia="en-AU"/>
        </w:rPr>
        <w:t>iii.</w:t>
      </w:r>
      <w:r w:rsidR="008037E3">
        <w:rPr>
          <w:i/>
          <w:iCs/>
          <w:lang w:eastAsia="en-AU"/>
        </w:rPr>
        <w:t xml:space="preserve">  </w:t>
      </w:r>
      <w:r w:rsidRPr="00172289">
        <w:rPr>
          <w:i/>
          <w:iCs/>
          <w:lang w:eastAsia="en-AU"/>
        </w:rPr>
        <w:t>leverage other work including the AEMO I</w:t>
      </w:r>
      <w:r>
        <w:rPr>
          <w:i/>
          <w:iCs/>
          <w:lang w:eastAsia="en-AU"/>
        </w:rPr>
        <w:t xml:space="preserve">ntegrated </w:t>
      </w:r>
      <w:r w:rsidRPr="00172289">
        <w:rPr>
          <w:i/>
          <w:iCs/>
          <w:lang w:eastAsia="en-AU"/>
        </w:rPr>
        <w:t>S</w:t>
      </w:r>
      <w:r>
        <w:rPr>
          <w:i/>
          <w:iCs/>
          <w:lang w:eastAsia="en-AU"/>
        </w:rPr>
        <w:t>ystems Plan</w:t>
      </w:r>
      <w:r w:rsidRPr="00172289">
        <w:rPr>
          <w:i/>
          <w:iCs/>
          <w:lang w:eastAsia="en-AU"/>
        </w:rPr>
        <w:t xml:space="preserve"> (to ensure consistency and avoid duplication); and</w:t>
      </w:r>
    </w:p>
    <w:p w14:paraId="258B7151" w14:textId="19DCD00F" w:rsidR="00EC7EC7" w:rsidRPr="00172289" w:rsidRDefault="00164C21" w:rsidP="00407588">
      <w:pPr>
        <w:pStyle w:val="BodyText"/>
        <w:ind w:left="851" w:hanging="284"/>
        <w:jc w:val="both"/>
        <w:rPr>
          <w:i/>
          <w:iCs/>
          <w:lang w:eastAsia="en-AU"/>
        </w:rPr>
      </w:pPr>
      <w:r>
        <w:rPr>
          <w:i/>
          <w:iCs/>
          <w:lang w:eastAsia="en-AU"/>
        </w:rPr>
        <w:t xml:space="preserve">iv. </w:t>
      </w:r>
      <w:r w:rsidR="008037E3" w:rsidRPr="00172289">
        <w:rPr>
          <w:i/>
          <w:iCs/>
          <w:lang w:eastAsia="en-AU"/>
        </w:rPr>
        <w:t xml:space="preserve">will be consistent with existing </w:t>
      </w:r>
      <w:r w:rsidR="008037E3">
        <w:rPr>
          <w:i/>
          <w:iCs/>
          <w:lang w:eastAsia="en-AU"/>
        </w:rPr>
        <w:t>S</w:t>
      </w:r>
      <w:r w:rsidR="008037E3" w:rsidRPr="00172289">
        <w:rPr>
          <w:i/>
          <w:iCs/>
          <w:lang w:eastAsia="en-AU"/>
        </w:rPr>
        <w:t>tate and Commonwealth</w:t>
      </w:r>
      <w:r>
        <w:rPr>
          <w:i/>
          <w:iCs/>
          <w:lang w:eastAsia="en-AU"/>
        </w:rPr>
        <w:t xml:space="preserve"> </w:t>
      </w:r>
      <w:r w:rsidR="008037E3" w:rsidRPr="00172289">
        <w:rPr>
          <w:i/>
          <w:iCs/>
          <w:lang w:eastAsia="en-AU"/>
        </w:rPr>
        <w:t>policy</w:t>
      </w:r>
      <w:r>
        <w:rPr>
          <w:i/>
          <w:iCs/>
          <w:lang w:eastAsia="en-AU"/>
        </w:rPr>
        <w:t xml:space="preserve">   s</w:t>
      </w:r>
      <w:r w:rsidR="008037E3" w:rsidRPr="00172289">
        <w:rPr>
          <w:i/>
          <w:iCs/>
          <w:lang w:eastAsia="en-AU"/>
        </w:rPr>
        <w:t>ettings across climate, energy and our trading partners’ policy settings and ambitions.</w:t>
      </w:r>
    </w:p>
    <w:p w14:paraId="61E1640F" w14:textId="77777777" w:rsidR="00EC7EC7" w:rsidRPr="00172289" w:rsidRDefault="00EC7EC7" w:rsidP="00164C21">
      <w:pPr>
        <w:pStyle w:val="BodyText"/>
        <w:ind w:left="709" w:hanging="567"/>
        <w:jc w:val="both"/>
        <w:rPr>
          <w:i/>
          <w:iCs/>
          <w:lang w:eastAsia="en-AU"/>
        </w:rPr>
      </w:pPr>
      <w:r w:rsidRPr="00172289">
        <w:rPr>
          <w:i/>
          <w:iCs/>
          <w:lang w:eastAsia="en-AU"/>
        </w:rPr>
        <w:t>b.</w:t>
      </w:r>
      <w:r w:rsidRPr="00172289">
        <w:rPr>
          <w:i/>
          <w:iCs/>
          <w:lang w:eastAsia="en-AU"/>
        </w:rPr>
        <w:tab/>
        <w:t>Supply projections / scenarios will include both gas resources potential and reserves, including an assessment of technical and contingent risks that prevent or otherwise influence the ability of new gas supply to reach domestic and international markets.</w:t>
      </w:r>
    </w:p>
    <w:p w14:paraId="1EC87921" w14:textId="2E26E003" w:rsidR="00EC7EC7" w:rsidRDefault="00EC7EC7" w:rsidP="00164C21">
      <w:pPr>
        <w:pStyle w:val="BodyText"/>
        <w:ind w:left="720" w:hanging="578"/>
        <w:jc w:val="both"/>
        <w:rPr>
          <w:i/>
          <w:iCs/>
          <w:lang w:eastAsia="en-AU"/>
        </w:rPr>
      </w:pPr>
      <w:r w:rsidRPr="00172289">
        <w:rPr>
          <w:i/>
          <w:iCs/>
          <w:lang w:eastAsia="en-AU"/>
        </w:rPr>
        <w:t>c.</w:t>
      </w:r>
      <w:r w:rsidRPr="00172289">
        <w:rPr>
          <w:i/>
          <w:iCs/>
          <w:lang w:eastAsia="en-AU"/>
        </w:rPr>
        <w:tab/>
        <w:t>The evidence base will also consider greenhouse gas emissions forecasts and projections associated with the production, transport, and use of gas</w:t>
      </w:r>
      <w:r w:rsidR="00C433AE">
        <w:rPr>
          <w:i/>
          <w:iCs/>
          <w:lang w:eastAsia="en-AU"/>
        </w:rPr>
        <w:t>,</w:t>
      </w:r>
      <w:r w:rsidRPr="00172289">
        <w:rPr>
          <w:i/>
          <w:iCs/>
          <w:lang w:eastAsia="en-AU"/>
        </w:rPr>
        <w:t xml:space="preserve"> including heavy industry and manufacturing, drawing on existing greenhouse gas emissions forecasts and projections.  </w:t>
      </w:r>
    </w:p>
    <w:p w14:paraId="0BDBAD20" w14:textId="77777777" w:rsidR="00EC7EC7" w:rsidRPr="00F021E7" w:rsidRDefault="00EC7EC7" w:rsidP="00EC7EC7">
      <w:pPr>
        <w:pStyle w:val="Heading2"/>
        <w:numPr>
          <w:ilvl w:val="0"/>
          <w:numId w:val="0"/>
        </w:numPr>
        <w:ind w:left="709" w:hanging="709"/>
        <w:rPr>
          <w:lang w:eastAsia="en-AU"/>
        </w:rPr>
      </w:pPr>
      <w:bookmarkStart w:id="9" w:name="_Toc161303272"/>
      <w:bookmarkStart w:id="10" w:name="_Toc172794496"/>
      <w:r>
        <w:t>Approach</w:t>
      </w:r>
      <w:bookmarkEnd w:id="9"/>
      <w:bookmarkEnd w:id="10"/>
      <w:r>
        <w:t xml:space="preserve"> </w:t>
      </w:r>
    </w:p>
    <w:p w14:paraId="058D58B4" w14:textId="5C1A0D7C" w:rsidR="00EC7EC7" w:rsidRDefault="00EC7EC7" w:rsidP="00EC7EC7">
      <w:pPr>
        <w:pStyle w:val="BodyText"/>
        <w:rPr>
          <w:lang w:eastAsia="en-AU"/>
        </w:rPr>
      </w:pPr>
      <w:r>
        <w:rPr>
          <w:lang w:eastAsia="en-AU"/>
        </w:rPr>
        <w:t xml:space="preserve">Consistent with the Terms of Reference, </w:t>
      </w:r>
      <w:r w:rsidR="0083776F">
        <w:rPr>
          <w:lang w:eastAsia="en-AU"/>
        </w:rPr>
        <w:t xml:space="preserve">the </w:t>
      </w:r>
      <w:r>
        <w:rPr>
          <w:lang w:eastAsia="en-AU"/>
        </w:rPr>
        <w:t>D</w:t>
      </w:r>
      <w:r w:rsidR="0083776F">
        <w:rPr>
          <w:lang w:eastAsia="en-AU"/>
        </w:rPr>
        <w:t>epartment of Industry, Science and Resources (D</w:t>
      </w:r>
      <w:r>
        <w:rPr>
          <w:lang w:eastAsia="en-AU"/>
        </w:rPr>
        <w:t>ISR</w:t>
      </w:r>
      <w:r w:rsidR="0083776F">
        <w:rPr>
          <w:lang w:eastAsia="en-AU"/>
        </w:rPr>
        <w:t>)</w:t>
      </w:r>
      <w:r>
        <w:rPr>
          <w:lang w:eastAsia="en-AU"/>
        </w:rPr>
        <w:t xml:space="preserve"> has used existing analyses where possible</w:t>
      </w:r>
      <w:r w:rsidR="00166276">
        <w:rPr>
          <w:lang w:eastAsia="en-AU"/>
        </w:rPr>
        <w:t xml:space="preserve"> —</w:t>
      </w:r>
      <w:r>
        <w:rPr>
          <w:rFonts w:ascii="Arial" w:hAnsi="Arial" w:cs="Arial"/>
          <w:szCs w:val="20"/>
        </w:rPr>
        <w:t xml:space="preserve"> </w:t>
      </w:r>
      <w:r>
        <w:rPr>
          <w:lang w:eastAsia="en-AU"/>
        </w:rPr>
        <w:t>draw</w:t>
      </w:r>
      <w:r w:rsidR="00C433AE">
        <w:rPr>
          <w:lang w:eastAsia="en-AU"/>
        </w:rPr>
        <w:t>ing</w:t>
      </w:r>
      <w:r>
        <w:rPr>
          <w:lang w:eastAsia="en-AU"/>
        </w:rPr>
        <w:t xml:space="preserve"> heavily on the existing work of </w:t>
      </w:r>
      <w:r w:rsidR="0083776F">
        <w:rPr>
          <w:lang w:eastAsia="en-AU"/>
        </w:rPr>
        <w:t xml:space="preserve">the Australian Energy Market </w:t>
      </w:r>
      <w:r w:rsidR="0083776F">
        <w:rPr>
          <w:lang w:eastAsia="en-AU"/>
        </w:rPr>
        <w:t>Operator (</w:t>
      </w:r>
      <w:r>
        <w:rPr>
          <w:lang w:eastAsia="en-AU"/>
        </w:rPr>
        <w:t>AEMO</w:t>
      </w:r>
      <w:r w:rsidR="0083776F">
        <w:rPr>
          <w:lang w:eastAsia="en-AU"/>
        </w:rPr>
        <w:t>)</w:t>
      </w:r>
      <w:r>
        <w:rPr>
          <w:lang w:eastAsia="en-AU"/>
        </w:rPr>
        <w:t xml:space="preserve">, the International Energy </w:t>
      </w:r>
      <w:r w:rsidR="009F6064">
        <w:rPr>
          <w:lang w:eastAsia="en-AU"/>
        </w:rPr>
        <w:t xml:space="preserve">Agency </w:t>
      </w:r>
      <w:r>
        <w:rPr>
          <w:lang w:eastAsia="en-AU"/>
        </w:rPr>
        <w:t xml:space="preserve">(IEA), the Australian Energy Regulator (AER), the Australian Competition and Consumer Commission (ACCC), </w:t>
      </w:r>
      <w:r w:rsidR="0083776F">
        <w:rPr>
          <w:lang w:eastAsia="en-AU"/>
        </w:rPr>
        <w:t xml:space="preserve">the </w:t>
      </w:r>
      <w:r w:rsidR="0083776F" w:rsidRPr="0083776F">
        <w:rPr>
          <w:lang w:eastAsia="en-AU"/>
        </w:rPr>
        <w:t>Commonwealth Scientific and Industrial Research Organisation</w:t>
      </w:r>
      <w:r w:rsidR="0083776F">
        <w:rPr>
          <w:lang w:eastAsia="en-AU"/>
        </w:rPr>
        <w:t xml:space="preserve"> (</w:t>
      </w:r>
      <w:r>
        <w:rPr>
          <w:lang w:eastAsia="en-AU"/>
        </w:rPr>
        <w:t>CSIRO</w:t>
      </w:r>
      <w:r w:rsidR="0083776F">
        <w:rPr>
          <w:lang w:eastAsia="en-AU"/>
        </w:rPr>
        <w:t>)</w:t>
      </w:r>
      <w:r>
        <w:rPr>
          <w:lang w:eastAsia="en-AU"/>
        </w:rPr>
        <w:t xml:space="preserve"> and other government departments. When modelling future scenarios, DISR has used the existing scenarios described in AEMO’s Gas Statement of Opportunities</w:t>
      </w:r>
      <w:r w:rsidR="00A32EA9">
        <w:rPr>
          <w:lang w:eastAsia="en-AU"/>
        </w:rPr>
        <w:t xml:space="preserve"> (GSOO)</w:t>
      </w:r>
      <w:r>
        <w:rPr>
          <w:lang w:eastAsia="en-AU"/>
        </w:rPr>
        <w:t xml:space="preserve"> and the IEA’s World Energy Outlook </w:t>
      </w:r>
      <w:r w:rsidR="00F9651B">
        <w:rPr>
          <w:lang w:eastAsia="en-AU"/>
        </w:rPr>
        <w:t>—</w:t>
      </w:r>
      <w:r>
        <w:rPr>
          <w:lang w:eastAsia="en-AU"/>
        </w:rPr>
        <w:t xml:space="preserve"> which themselves share a common set of scenarios and assumptions.</w:t>
      </w:r>
    </w:p>
    <w:p w14:paraId="1A90AE16" w14:textId="63A27E39" w:rsidR="00EC7EC7" w:rsidRDefault="00EC7EC7" w:rsidP="00EC7EC7">
      <w:pPr>
        <w:pStyle w:val="BodyText"/>
        <w:rPr>
          <w:lang w:eastAsia="en-AU"/>
        </w:rPr>
      </w:pPr>
      <w:r>
        <w:rPr>
          <w:lang w:eastAsia="en-AU"/>
        </w:rPr>
        <w:t xml:space="preserve">The report </w:t>
      </w:r>
      <w:r w:rsidR="00166276">
        <w:rPr>
          <w:lang w:eastAsia="en-AU"/>
        </w:rPr>
        <w:t xml:space="preserve">structure </w:t>
      </w:r>
      <w:r>
        <w:rPr>
          <w:lang w:eastAsia="en-AU"/>
        </w:rPr>
        <w:t>is as</w:t>
      </w:r>
      <w:r w:rsidR="00166276">
        <w:rPr>
          <w:lang w:eastAsia="en-AU"/>
        </w:rPr>
        <w:t xml:space="preserve"> follows</w:t>
      </w:r>
      <w:r>
        <w:rPr>
          <w:lang w:eastAsia="en-AU"/>
        </w:rPr>
        <w:t>:</w:t>
      </w:r>
    </w:p>
    <w:p w14:paraId="3B733A6A" w14:textId="3BFE69E8" w:rsidR="00EC7EC7" w:rsidRPr="00D57C59" w:rsidRDefault="00EC7EC7" w:rsidP="00EC7EC7">
      <w:pPr>
        <w:spacing w:after="120"/>
        <w:rPr>
          <w:rFonts w:ascii="Arial" w:eastAsia="Arial" w:hAnsi="Arial" w:cs="Arial"/>
          <w:color w:val="373737"/>
          <w:sz w:val="20"/>
          <w:szCs w:val="20"/>
          <w:lang w:eastAsia="en-AU"/>
        </w:rPr>
      </w:pPr>
      <w:r w:rsidRPr="00D57C59">
        <w:rPr>
          <w:rFonts w:ascii="Arial" w:eastAsia="Arial" w:hAnsi="Arial" w:cs="Arial"/>
          <w:i/>
          <w:iCs/>
          <w:color w:val="373737"/>
          <w:sz w:val="20"/>
          <w:szCs w:val="20"/>
          <w:lang w:eastAsia="en-AU"/>
        </w:rPr>
        <w:t>Chapter 1.</w:t>
      </w:r>
      <w:r w:rsidRPr="00D11C5A">
        <w:rPr>
          <w:rFonts w:ascii="Arial" w:eastAsia="Arial" w:hAnsi="Arial" w:cs="Arial"/>
          <w:i/>
          <w:iCs/>
          <w:color w:val="373737"/>
          <w:sz w:val="20"/>
          <w:szCs w:val="20"/>
          <w:lang w:eastAsia="en-AU"/>
        </w:rPr>
        <w:t xml:space="preserve"> A primer on the</w:t>
      </w:r>
      <w:r w:rsidRPr="00D11C5A" w:rsidDel="007507A8">
        <w:rPr>
          <w:rFonts w:ascii="Arial" w:eastAsia="Arial" w:hAnsi="Arial" w:cs="Arial"/>
          <w:i/>
          <w:iCs/>
          <w:color w:val="373737"/>
          <w:sz w:val="20"/>
          <w:szCs w:val="20"/>
          <w:lang w:eastAsia="en-AU"/>
        </w:rPr>
        <w:t xml:space="preserve"> global</w:t>
      </w:r>
      <w:r w:rsidRPr="00D11C5A">
        <w:rPr>
          <w:rFonts w:ascii="Arial" w:eastAsia="Arial" w:hAnsi="Arial" w:cs="Arial"/>
          <w:i/>
          <w:iCs/>
          <w:color w:val="373737"/>
          <w:sz w:val="20"/>
          <w:szCs w:val="20"/>
          <w:lang w:eastAsia="en-AU"/>
        </w:rPr>
        <w:t xml:space="preserve"> and Australian gas markets</w:t>
      </w:r>
      <w:r w:rsidRPr="00D57C59">
        <w:rPr>
          <w:rFonts w:ascii="Arial" w:eastAsia="Arial" w:hAnsi="Arial" w:cs="Arial"/>
          <w:i/>
          <w:iCs/>
          <w:color w:val="373737"/>
          <w:sz w:val="20"/>
          <w:szCs w:val="20"/>
          <w:lang w:eastAsia="en-AU"/>
        </w:rPr>
        <w:t xml:space="preserve"> </w:t>
      </w:r>
      <w:r w:rsidRPr="00D57C59">
        <w:rPr>
          <w:rFonts w:ascii="Arial" w:eastAsia="Arial" w:hAnsi="Arial" w:cs="Arial"/>
          <w:color w:val="373737"/>
          <w:sz w:val="20"/>
          <w:szCs w:val="20"/>
          <w:lang w:eastAsia="en-AU"/>
        </w:rPr>
        <w:t>introduces the current context around Australian natural gas</w:t>
      </w:r>
      <w:r>
        <w:rPr>
          <w:rFonts w:ascii="Arial" w:eastAsia="Arial" w:hAnsi="Arial" w:cs="Arial"/>
          <w:color w:val="373737"/>
          <w:sz w:val="20"/>
          <w:szCs w:val="20"/>
          <w:lang w:eastAsia="en-AU"/>
        </w:rPr>
        <w:t xml:space="preserve"> and</w:t>
      </w:r>
      <w:r w:rsidRPr="00D57C59">
        <w:rPr>
          <w:rFonts w:ascii="Arial" w:eastAsia="Arial" w:hAnsi="Arial" w:cs="Arial"/>
          <w:color w:val="373737"/>
          <w:sz w:val="20"/>
          <w:szCs w:val="20"/>
          <w:lang w:eastAsia="en-AU"/>
        </w:rPr>
        <w:t xml:space="preserve"> explores the history of its resource development</w:t>
      </w:r>
      <w:r>
        <w:rPr>
          <w:rFonts w:ascii="Arial" w:eastAsia="Arial" w:hAnsi="Arial" w:cs="Arial"/>
          <w:color w:val="373737"/>
          <w:sz w:val="20"/>
          <w:szCs w:val="20"/>
          <w:lang w:eastAsia="en-AU"/>
        </w:rPr>
        <w:t>.</w:t>
      </w:r>
    </w:p>
    <w:p w14:paraId="4E94C5BB" w14:textId="0CBEA03C" w:rsidR="00EC7EC7" w:rsidRPr="00227407" w:rsidRDefault="00EC7EC7" w:rsidP="00EC7EC7">
      <w:pPr>
        <w:spacing w:after="120"/>
        <w:rPr>
          <w:rFonts w:ascii="Arial" w:eastAsia="Arial" w:hAnsi="Arial" w:cs="Arial"/>
          <w:i/>
          <w:iCs/>
          <w:color w:val="373737"/>
          <w:sz w:val="20"/>
          <w:szCs w:val="20"/>
          <w:lang w:eastAsia="en-AU"/>
        </w:rPr>
      </w:pPr>
      <w:r w:rsidRPr="00CE1153">
        <w:rPr>
          <w:rFonts w:ascii="Arial" w:eastAsia="Arial" w:hAnsi="Arial" w:cs="Arial"/>
          <w:i/>
          <w:iCs/>
          <w:color w:val="373737"/>
          <w:sz w:val="20"/>
          <w:szCs w:val="20"/>
          <w:lang w:eastAsia="en-AU"/>
        </w:rPr>
        <w:t xml:space="preserve">Chapter </w:t>
      </w:r>
      <w:r>
        <w:rPr>
          <w:rFonts w:ascii="Arial" w:eastAsia="Arial" w:hAnsi="Arial" w:cs="Arial"/>
          <w:i/>
          <w:iCs/>
          <w:color w:val="373737"/>
          <w:sz w:val="20"/>
          <w:szCs w:val="20"/>
          <w:lang w:eastAsia="en-AU"/>
        </w:rPr>
        <w:t>2</w:t>
      </w:r>
      <w:r w:rsidRPr="00CE1153">
        <w:rPr>
          <w:rFonts w:ascii="Arial" w:eastAsia="Arial" w:hAnsi="Arial" w:cs="Arial"/>
          <w:i/>
          <w:iCs/>
          <w:color w:val="373737"/>
          <w:sz w:val="20"/>
          <w:szCs w:val="20"/>
          <w:lang w:eastAsia="en-AU"/>
        </w:rPr>
        <w:t xml:space="preserve">. </w:t>
      </w:r>
      <w:r w:rsidRPr="003A0504">
        <w:rPr>
          <w:rFonts w:ascii="Arial" w:eastAsia="Arial" w:hAnsi="Arial" w:cs="Arial"/>
          <w:i/>
          <w:iCs/>
          <w:color w:val="373737"/>
          <w:sz w:val="20"/>
          <w:szCs w:val="20"/>
          <w:lang w:eastAsia="en-AU"/>
        </w:rPr>
        <w:t xml:space="preserve">Emissions </w:t>
      </w:r>
      <w:r>
        <w:rPr>
          <w:rFonts w:ascii="Arial" w:eastAsia="Arial" w:hAnsi="Arial" w:cs="Arial"/>
          <w:i/>
          <w:iCs/>
          <w:color w:val="373737"/>
          <w:sz w:val="20"/>
          <w:szCs w:val="20"/>
          <w:lang w:eastAsia="en-AU"/>
        </w:rPr>
        <w:t>from the supply and use of gas</w:t>
      </w:r>
      <w:r w:rsidRPr="003A0504">
        <w:rPr>
          <w:rFonts w:ascii="Arial" w:eastAsia="Arial" w:hAnsi="Arial" w:cs="Arial"/>
          <w:i/>
          <w:iCs/>
          <w:color w:val="373737"/>
          <w:sz w:val="20"/>
          <w:szCs w:val="20"/>
          <w:lang w:eastAsia="en-AU"/>
        </w:rPr>
        <w:t xml:space="preserve"> </w:t>
      </w:r>
      <w:r w:rsidRPr="00FA0D9E">
        <w:rPr>
          <w:rFonts w:ascii="Arial" w:eastAsia="Arial" w:hAnsi="Arial" w:cs="Arial"/>
          <w:color w:val="373737"/>
          <w:sz w:val="20"/>
          <w:szCs w:val="20"/>
          <w:lang w:eastAsia="en-AU"/>
        </w:rPr>
        <w:t xml:space="preserve">focuses on </w:t>
      </w:r>
      <w:r>
        <w:rPr>
          <w:rFonts w:ascii="Arial" w:eastAsia="Arial" w:hAnsi="Arial" w:cs="Arial"/>
          <w:color w:val="373737"/>
          <w:sz w:val="20"/>
          <w:szCs w:val="20"/>
          <w:lang w:eastAsia="en-AU"/>
        </w:rPr>
        <w:t xml:space="preserve">the emissions profile associated with Australia’s gas sector, </w:t>
      </w:r>
      <w:r w:rsidR="00B65ED3">
        <w:rPr>
          <w:rFonts w:ascii="Arial" w:eastAsia="Arial" w:hAnsi="Arial" w:cs="Arial"/>
          <w:color w:val="373737"/>
          <w:sz w:val="20"/>
          <w:szCs w:val="20"/>
          <w:lang w:eastAsia="en-AU"/>
        </w:rPr>
        <w:t xml:space="preserve">supply chain </w:t>
      </w:r>
      <w:r>
        <w:rPr>
          <w:rFonts w:ascii="Arial" w:eastAsia="Arial" w:hAnsi="Arial" w:cs="Arial"/>
          <w:color w:val="373737"/>
          <w:sz w:val="20"/>
          <w:szCs w:val="20"/>
          <w:lang w:eastAsia="en-AU"/>
        </w:rPr>
        <w:t xml:space="preserve">gas emissions, and </w:t>
      </w:r>
      <w:r w:rsidR="00C433AE">
        <w:rPr>
          <w:rFonts w:ascii="Arial" w:eastAsia="Arial" w:hAnsi="Arial" w:cs="Arial"/>
          <w:color w:val="373737"/>
          <w:sz w:val="20"/>
          <w:szCs w:val="20"/>
          <w:lang w:eastAsia="en-AU"/>
        </w:rPr>
        <w:t xml:space="preserve">the </w:t>
      </w:r>
      <w:r>
        <w:rPr>
          <w:rFonts w:ascii="Arial" w:eastAsia="Arial" w:hAnsi="Arial" w:cs="Arial"/>
          <w:color w:val="373737"/>
          <w:sz w:val="20"/>
          <w:szCs w:val="20"/>
          <w:lang w:eastAsia="en-AU"/>
        </w:rPr>
        <w:t>trade-offs associated with different end users of gas</w:t>
      </w:r>
      <w:r w:rsidRPr="00227407">
        <w:rPr>
          <w:rFonts w:ascii="Arial" w:eastAsia="Arial" w:hAnsi="Arial" w:cs="Arial"/>
          <w:i/>
          <w:iCs/>
          <w:color w:val="373737"/>
          <w:sz w:val="20"/>
          <w:szCs w:val="20"/>
          <w:lang w:eastAsia="en-AU"/>
        </w:rPr>
        <w:t xml:space="preserve">. </w:t>
      </w:r>
    </w:p>
    <w:p w14:paraId="3C726CE0" w14:textId="18CFA148" w:rsidR="00EC7EC7" w:rsidRPr="00D57C59" w:rsidRDefault="00EC7EC7" w:rsidP="00EC7EC7">
      <w:pPr>
        <w:spacing w:after="120"/>
        <w:rPr>
          <w:rFonts w:ascii="Arial" w:eastAsia="Arial" w:hAnsi="Arial" w:cs="Arial"/>
          <w:color w:val="373737"/>
          <w:sz w:val="20"/>
          <w:szCs w:val="20"/>
          <w:lang w:eastAsia="en-AU"/>
        </w:rPr>
      </w:pPr>
      <w:r w:rsidRPr="00D57C59">
        <w:rPr>
          <w:rFonts w:ascii="Arial" w:eastAsia="Arial" w:hAnsi="Arial" w:cs="Arial"/>
          <w:i/>
          <w:iCs/>
          <w:color w:val="373737"/>
          <w:sz w:val="20"/>
          <w:szCs w:val="20"/>
          <w:lang w:eastAsia="en-AU"/>
        </w:rPr>
        <w:t xml:space="preserve">Chapter 3. Domestic demand outlook </w:t>
      </w:r>
      <w:r w:rsidRPr="00D57C59">
        <w:rPr>
          <w:rFonts w:ascii="Arial" w:eastAsia="Arial" w:hAnsi="Arial" w:cs="Arial"/>
          <w:color w:val="373737"/>
          <w:sz w:val="20"/>
          <w:szCs w:val="20"/>
          <w:lang w:eastAsia="en-AU"/>
        </w:rPr>
        <w:t>turns to Australia’s gas demand</w:t>
      </w:r>
      <w:r>
        <w:rPr>
          <w:rFonts w:ascii="Arial" w:eastAsia="Arial" w:hAnsi="Arial" w:cs="Arial"/>
          <w:color w:val="373737"/>
          <w:sz w:val="20"/>
          <w:szCs w:val="20"/>
          <w:lang w:eastAsia="en-AU"/>
        </w:rPr>
        <w:t>, its</w:t>
      </w:r>
      <w:r w:rsidRPr="00D57C59">
        <w:rPr>
          <w:rFonts w:ascii="Arial" w:eastAsia="Arial" w:hAnsi="Arial" w:cs="Arial"/>
          <w:color w:val="373737"/>
          <w:sz w:val="20"/>
          <w:szCs w:val="20"/>
          <w:lang w:eastAsia="en-AU"/>
        </w:rPr>
        <w:t xml:space="preserve"> segmentation into </w:t>
      </w:r>
      <w:r w:rsidR="007C78D0">
        <w:rPr>
          <w:rFonts w:ascii="Arial" w:eastAsia="Arial" w:hAnsi="Arial" w:cs="Arial"/>
          <w:color w:val="373737"/>
          <w:sz w:val="20"/>
          <w:szCs w:val="20"/>
          <w:lang w:eastAsia="en-AU"/>
        </w:rPr>
        <w:t>e</w:t>
      </w:r>
      <w:r w:rsidRPr="00D57C59">
        <w:rPr>
          <w:rFonts w:ascii="Arial" w:eastAsia="Arial" w:hAnsi="Arial" w:cs="Arial"/>
          <w:color w:val="373737"/>
          <w:sz w:val="20"/>
          <w:szCs w:val="20"/>
          <w:lang w:eastAsia="en-AU"/>
        </w:rPr>
        <w:t xml:space="preserve">ast and </w:t>
      </w:r>
      <w:r w:rsidR="007C78D0">
        <w:rPr>
          <w:rFonts w:ascii="Arial" w:eastAsia="Arial" w:hAnsi="Arial" w:cs="Arial"/>
          <w:color w:val="373737"/>
          <w:sz w:val="20"/>
          <w:szCs w:val="20"/>
          <w:lang w:eastAsia="en-AU"/>
        </w:rPr>
        <w:t>w</w:t>
      </w:r>
      <w:r w:rsidRPr="00D57C59">
        <w:rPr>
          <w:rFonts w:ascii="Arial" w:eastAsia="Arial" w:hAnsi="Arial" w:cs="Arial"/>
          <w:color w:val="373737"/>
          <w:sz w:val="20"/>
          <w:szCs w:val="20"/>
          <w:lang w:eastAsia="en-AU"/>
        </w:rPr>
        <w:t xml:space="preserve">est </w:t>
      </w:r>
      <w:r w:rsidR="007C78D0">
        <w:rPr>
          <w:rFonts w:ascii="Arial" w:eastAsia="Arial" w:hAnsi="Arial" w:cs="Arial"/>
          <w:color w:val="373737"/>
          <w:sz w:val="20"/>
          <w:szCs w:val="20"/>
          <w:lang w:eastAsia="en-AU"/>
        </w:rPr>
        <w:t>c</w:t>
      </w:r>
      <w:r w:rsidRPr="00D57C59">
        <w:rPr>
          <w:rFonts w:ascii="Arial" w:eastAsia="Arial" w:hAnsi="Arial" w:cs="Arial"/>
          <w:color w:val="373737"/>
          <w:sz w:val="20"/>
          <w:szCs w:val="20"/>
          <w:lang w:eastAsia="en-AU"/>
        </w:rPr>
        <w:t>oast markets</w:t>
      </w:r>
      <w:r>
        <w:rPr>
          <w:rFonts w:ascii="Arial" w:eastAsia="Arial" w:hAnsi="Arial" w:cs="Arial"/>
          <w:color w:val="373737"/>
          <w:sz w:val="20"/>
          <w:szCs w:val="20"/>
          <w:lang w:eastAsia="en-AU"/>
        </w:rPr>
        <w:t>,</w:t>
      </w:r>
      <w:r w:rsidRPr="00D57C59">
        <w:rPr>
          <w:rFonts w:ascii="Arial" w:eastAsia="Arial" w:hAnsi="Arial" w:cs="Arial"/>
          <w:color w:val="373737"/>
          <w:sz w:val="20"/>
          <w:szCs w:val="20"/>
          <w:lang w:eastAsia="en-AU"/>
        </w:rPr>
        <w:t xml:space="preserve"> and which areas of Australia’s demand have the </w:t>
      </w:r>
      <w:r w:rsidR="00C433AE">
        <w:rPr>
          <w:rFonts w:ascii="Arial" w:eastAsia="Arial" w:hAnsi="Arial" w:cs="Arial"/>
          <w:color w:val="373737"/>
          <w:sz w:val="20"/>
          <w:szCs w:val="20"/>
          <w:lang w:eastAsia="en-AU"/>
        </w:rPr>
        <w:t>highest</w:t>
      </w:r>
      <w:r w:rsidRPr="00D57C59">
        <w:rPr>
          <w:rFonts w:ascii="Arial" w:eastAsia="Arial" w:hAnsi="Arial" w:cs="Arial"/>
          <w:color w:val="373737"/>
          <w:sz w:val="20"/>
          <w:szCs w:val="20"/>
          <w:lang w:eastAsia="en-AU"/>
        </w:rPr>
        <w:t xml:space="preserve"> gas abatement opportunities.  </w:t>
      </w:r>
    </w:p>
    <w:p w14:paraId="0CC7B454" w14:textId="4A87FFD4" w:rsidR="00EC7EC7" w:rsidRPr="00D57C59" w:rsidRDefault="00EC7EC7" w:rsidP="00EC7EC7">
      <w:pPr>
        <w:spacing w:after="120"/>
        <w:rPr>
          <w:rFonts w:ascii="Arial" w:eastAsia="Arial" w:hAnsi="Arial" w:cs="Arial"/>
          <w:color w:val="373737"/>
          <w:sz w:val="20"/>
          <w:szCs w:val="20"/>
          <w:lang w:eastAsia="en-AU"/>
        </w:rPr>
      </w:pPr>
      <w:r w:rsidRPr="00D57C59">
        <w:rPr>
          <w:rFonts w:ascii="Arial" w:eastAsia="Arial" w:hAnsi="Arial" w:cs="Arial"/>
          <w:i/>
          <w:iCs/>
          <w:color w:val="373737"/>
          <w:sz w:val="20"/>
          <w:szCs w:val="20"/>
          <w:lang w:eastAsia="en-AU"/>
        </w:rPr>
        <w:t xml:space="preserve">Chapter </w:t>
      </w:r>
      <w:r>
        <w:rPr>
          <w:rFonts w:ascii="Arial" w:eastAsia="Arial" w:hAnsi="Arial" w:cs="Arial"/>
          <w:i/>
          <w:iCs/>
          <w:color w:val="373737"/>
          <w:sz w:val="20"/>
          <w:szCs w:val="20"/>
          <w:lang w:eastAsia="en-AU"/>
        </w:rPr>
        <w:t>4</w:t>
      </w:r>
      <w:r w:rsidRPr="00D57C59">
        <w:rPr>
          <w:rFonts w:ascii="Arial" w:eastAsia="Arial" w:hAnsi="Arial" w:cs="Arial"/>
          <w:i/>
          <w:iCs/>
          <w:color w:val="373737"/>
          <w:sz w:val="20"/>
          <w:szCs w:val="20"/>
          <w:lang w:eastAsia="en-AU"/>
        </w:rPr>
        <w:t xml:space="preserve">. International demand outlook </w:t>
      </w:r>
      <w:r w:rsidRPr="00D57C59">
        <w:rPr>
          <w:rFonts w:ascii="Arial" w:eastAsia="Arial" w:hAnsi="Arial" w:cs="Arial"/>
          <w:color w:val="373737"/>
          <w:sz w:val="20"/>
          <w:szCs w:val="20"/>
          <w:lang w:eastAsia="en-AU"/>
        </w:rPr>
        <w:t xml:space="preserve">outlines the two-way trading relationships between Australia and gas export destinations </w:t>
      </w:r>
      <w:r w:rsidR="006A7743">
        <w:rPr>
          <w:rFonts w:ascii="Arial" w:eastAsia="Arial" w:hAnsi="Arial" w:cs="Arial"/>
          <w:color w:val="373737"/>
          <w:sz w:val="20"/>
          <w:szCs w:val="20"/>
          <w:lang w:eastAsia="en-AU"/>
        </w:rPr>
        <w:t>as well as</w:t>
      </w:r>
      <w:r w:rsidRPr="00D57C59">
        <w:rPr>
          <w:rFonts w:ascii="Arial" w:eastAsia="Arial" w:hAnsi="Arial" w:cs="Arial"/>
          <w:color w:val="373737"/>
          <w:sz w:val="20"/>
          <w:szCs w:val="20"/>
          <w:lang w:eastAsia="en-AU"/>
        </w:rPr>
        <w:t xml:space="preserve"> investor countries, how these relationships might change under accelerated pathways to net-zero</w:t>
      </w:r>
      <w:r w:rsidR="006A7743">
        <w:rPr>
          <w:rFonts w:ascii="Arial" w:eastAsia="Arial" w:hAnsi="Arial" w:cs="Arial"/>
          <w:color w:val="373737"/>
          <w:sz w:val="20"/>
          <w:szCs w:val="20"/>
          <w:lang w:eastAsia="en-AU"/>
        </w:rPr>
        <w:t>,</w:t>
      </w:r>
      <w:r w:rsidRPr="00D57C59">
        <w:rPr>
          <w:rFonts w:ascii="Arial" w:eastAsia="Arial" w:hAnsi="Arial" w:cs="Arial"/>
          <w:color w:val="373737"/>
          <w:sz w:val="20"/>
          <w:szCs w:val="20"/>
          <w:lang w:eastAsia="en-AU"/>
        </w:rPr>
        <w:t xml:space="preserve"> and the role that gas plays in underpinning regional energy security. </w:t>
      </w:r>
    </w:p>
    <w:p w14:paraId="645DC405" w14:textId="77777777" w:rsidR="00EC7EC7" w:rsidRPr="00D57C59" w:rsidRDefault="00EC7EC7" w:rsidP="00EC7EC7">
      <w:pPr>
        <w:spacing w:after="120"/>
        <w:rPr>
          <w:rFonts w:ascii="Arial" w:eastAsia="Arial" w:hAnsi="Arial" w:cs="Arial"/>
          <w:color w:val="373737"/>
          <w:sz w:val="20"/>
          <w:szCs w:val="20"/>
          <w:lang w:eastAsia="en-AU"/>
        </w:rPr>
      </w:pPr>
      <w:r w:rsidRPr="00D57C59">
        <w:rPr>
          <w:rFonts w:ascii="Arial" w:eastAsia="Arial" w:hAnsi="Arial" w:cs="Arial"/>
          <w:i/>
          <w:iCs/>
          <w:color w:val="373737"/>
          <w:sz w:val="20"/>
          <w:szCs w:val="20"/>
          <w:lang w:eastAsia="en-AU"/>
        </w:rPr>
        <w:t xml:space="preserve">Chapter </w:t>
      </w:r>
      <w:r>
        <w:rPr>
          <w:rFonts w:ascii="Arial" w:eastAsia="Arial" w:hAnsi="Arial" w:cs="Arial"/>
          <w:i/>
          <w:iCs/>
          <w:color w:val="373737"/>
          <w:sz w:val="20"/>
          <w:szCs w:val="20"/>
          <w:lang w:eastAsia="en-AU"/>
        </w:rPr>
        <w:t>5</w:t>
      </w:r>
      <w:r w:rsidRPr="00D57C59">
        <w:rPr>
          <w:rFonts w:ascii="Arial" w:eastAsia="Arial" w:hAnsi="Arial" w:cs="Arial"/>
          <w:i/>
          <w:iCs/>
          <w:color w:val="373737"/>
          <w:sz w:val="20"/>
          <w:szCs w:val="20"/>
          <w:lang w:eastAsia="en-AU"/>
        </w:rPr>
        <w:t xml:space="preserve">. </w:t>
      </w:r>
      <w:r>
        <w:rPr>
          <w:rFonts w:ascii="Arial" w:eastAsia="Arial" w:hAnsi="Arial" w:cs="Arial"/>
          <w:i/>
          <w:iCs/>
          <w:color w:val="373737"/>
          <w:sz w:val="20"/>
          <w:szCs w:val="20"/>
          <w:lang w:eastAsia="en-AU"/>
        </w:rPr>
        <w:t xml:space="preserve">Supply </w:t>
      </w:r>
      <w:r w:rsidRPr="00D57C59">
        <w:rPr>
          <w:rFonts w:ascii="Arial" w:eastAsia="Arial" w:hAnsi="Arial" w:cs="Arial"/>
          <w:i/>
          <w:iCs/>
          <w:color w:val="373737"/>
          <w:sz w:val="20"/>
          <w:szCs w:val="20"/>
          <w:lang w:eastAsia="en-AU"/>
        </w:rPr>
        <w:t>outlook</w:t>
      </w:r>
      <w:r>
        <w:rPr>
          <w:rFonts w:ascii="Arial" w:eastAsia="Arial" w:hAnsi="Arial" w:cs="Arial"/>
          <w:i/>
          <w:iCs/>
          <w:color w:val="373737"/>
          <w:sz w:val="20"/>
          <w:szCs w:val="20"/>
          <w:lang w:eastAsia="en-AU"/>
        </w:rPr>
        <w:t xml:space="preserve"> </w:t>
      </w:r>
      <w:r w:rsidRPr="00D57C59">
        <w:rPr>
          <w:rFonts w:ascii="Arial" w:eastAsia="Arial" w:hAnsi="Arial" w:cs="Arial"/>
          <w:color w:val="373737"/>
          <w:sz w:val="20"/>
          <w:szCs w:val="20"/>
          <w:lang w:eastAsia="en-AU"/>
        </w:rPr>
        <w:t xml:space="preserve">examines the geographic breakdown of Australia’s current gas supply, where future supply is possible, and considers the factors that materially impact production decisions. It also examines the future balance between supply and demand. </w:t>
      </w:r>
    </w:p>
    <w:p w14:paraId="7C35D4EC" w14:textId="77777777" w:rsidR="00EC7EC7" w:rsidRDefault="00EC7EC7" w:rsidP="00EC7EC7">
      <w:pPr>
        <w:spacing w:after="120"/>
        <w:rPr>
          <w:rFonts w:ascii="Arial" w:eastAsia="Arial" w:hAnsi="Arial" w:cs="Arial"/>
          <w:color w:val="373737"/>
          <w:sz w:val="20"/>
          <w:szCs w:val="20"/>
          <w:lang w:eastAsia="en-AU"/>
        </w:rPr>
      </w:pPr>
      <w:r w:rsidRPr="00D57C59">
        <w:rPr>
          <w:rFonts w:ascii="Arial" w:eastAsia="Arial" w:hAnsi="Arial" w:cs="Arial"/>
          <w:i/>
          <w:iCs/>
          <w:color w:val="373737"/>
          <w:sz w:val="20"/>
          <w:szCs w:val="20"/>
          <w:lang w:eastAsia="en-AU"/>
        </w:rPr>
        <w:t xml:space="preserve">Chapter </w:t>
      </w:r>
      <w:r>
        <w:rPr>
          <w:rFonts w:ascii="Arial" w:eastAsia="Arial" w:hAnsi="Arial" w:cs="Arial"/>
          <w:i/>
          <w:iCs/>
          <w:color w:val="373737"/>
          <w:sz w:val="20"/>
          <w:szCs w:val="20"/>
          <w:lang w:eastAsia="en-AU"/>
        </w:rPr>
        <w:t>6</w:t>
      </w:r>
      <w:r w:rsidRPr="00D57C59">
        <w:rPr>
          <w:rFonts w:ascii="Arial" w:eastAsia="Arial" w:hAnsi="Arial" w:cs="Arial"/>
          <w:i/>
          <w:iCs/>
          <w:color w:val="373737"/>
          <w:sz w:val="20"/>
          <w:szCs w:val="20"/>
          <w:lang w:eastAsia="en-AU"/>
        </w:rPr>
        <w:t xml:space="preserve">. </w:t>
      </w:r>
      <w:r>
        <w:rPr>
          <w:rFonts w:ascii="Arial" w:eastAsia="Arial" w:hAnsi="Arial" w:cs="Arial"/>
          <w:i/>
          <w:iCs/>
          <w:color w:val="373737"/>
          <w:sz w:val="20"/>
          <w:szCs w:val="20"/>
          <w:lang w:eastAsia="en-AU"/>
        </w:rPr>
        <w:t>Competition, costs and pricing</w:t>
      </w:r>
      <w:r w:rsidRPr="00D57C59">
        <w:rPr>
          <w:rFonts w:ascii="Arial" w:eastAsia="Arial" w:hAnsi="Arial" w:cs="Arial"/>
          <w:i/>
          <w:iCs/>
          <w:color w:val="373737"/>
          <w:sz w:val="20"/>
          <w:szCs w:val="20"/>
          <w:lang w:eastAsia="en-AU"/>
        </w:rPr>
        <w:t xml:space="preserve"> </w:t>
      </w:r>
      <w:r>
        <w:rPr>
          <w:rFonts w:ascii="Arial" w:eastAsia="Arial" w:hAnsi="Arial" w:cs="Arial"/>
          <w:color w:val="373737"/>
          <w:sz w:val="20"/>
          <w:szCs w:val="20"/>
          <w:lang w:eastAsia="en-AU"/>
        </w:rPr>
        <w:t xml:space="preserve">examines </w:t>
      </w:r>
      <w:r w:rsidRPr="00D57C59">
        <w:rPr>
          <w:rFonts w:ascii="Arial" w:eastAsia="Arial" w:hAnsi="Arial" w:cs="Arial"/>
          <w:color w:val="373737"/>
          <w:sz w:val="20"/>
          <w:szCs w:val="20"/>
          <w:lang w:eastAsia="en-AU"/>
        </w:rPr>
        <w:t>the concentrated nature of the gas supply chain,</w:t>
      </w:r>
      <w:r>
        <w:rPr>
          <w:rFonts w:ascii="Arial" w:eastAsia="Arial" w:hAnsi="Arial" w:cs="Arial"/>
          <w:color w:val="373737"/>
          <w:sz w:val="20"/>
          <w:szCs w:val="20"/>
          <w:lang w:eastAsia="en-AU"/>
        </w:rPr>
        <w:t xml:space="preserve"> the major components of the cost of gas and how these are expected to change over time, and the interactions between costs and gas pricing.</w:t>
      </w:r>
    </w:p>
    <w:p w14:paraId="38364B29" w14:textId="77777777" w:rsidR="00EC7EC7" w:rsidRPr="00850AE1" w:rsidRDefault="00EC7EC7" w:rsidP="00EC7EC7">
      <w:pPr>
        <w:spacing w:after="120"/>
        <w:rPr>
          <w:rFonts w:ascii="Arial" w:eastAsia="Arial" w:hAnsi="Arial" w:cs="Arial"/>
          <w:color w:val="373737"/>
          <w:sz w:val="20"/>
          <w:szCs w:val="20"/>
          <w:lang w:eastAsia="en-AU"/>
        </w:rPr>
      </w:pPr>
      <w:r w:rsidRPr="00BE7BD8">
        <w:rPr>
          <w:rFonts w:ascii="Arial" w:eastAsia="Arial" w:hAnsi="Arial" w:cs="Arial"/>
          <w:i/>
          <w:iCs/>
          <w:color w:val="373737"/>
          <w:sz w:val="20"/>
          <w:szCs w:val="20"/>
          <w:lang w:eastAsia="en-AU"/>
        </w:rPr>
        <w:lastRenderedPageBreak/>
        <w:t>Chapter 7 Closing regional supply gaps</w:t>
      </w:r>
      <w:r>
        <w:rPr>
          <w:rFonts w:ascii="Arial" w:eastAsia="Arial" w:hAnsi="Arial" w:cs="Arial"/>
          <w:i/>
          <w:iCs/>
          <w:color w:val="373737"/>
          <w:sz w:val="20"/>
          <w:szCs w:val="20"/>
          <w:lang w:eastAsia="en-AU"/>
        </w:rPr>
        <w:t xml:space="preserve"> </w:t>
      </w:r>
      <w:r w:rsidRPr="00BE7BD8">
        <w:rPr>
          <w:rFonts w:ascii="Arial" w:eastAsia="Arial" w:hAnsi="Arial" w:cs="Arial"/>
          <w:color w:val="373737"/>
          <w:sz w:val="20"/>
          <w:szCs w:val="20"/>
          <w:lang w:eastAsia="en-AU"/>
        </w:rPr>
        <w:t>examines the</w:t>
      </w:r>
      <w:r>
        <w:rPr>
          <w:rFonts w:ascii="Arial" w:eastAsia="Arial" w:hAnsi="Arial" w:cs="Arial"/>
          <w:i/>
          <w:iCs/>
          <w:color w:val="373737"/>
          <w:sz w:val="20"/>
          <w:szCs w:val="20"/>
          <w:lang w:eastAsia="en-AU"/>
        </w:rPr>
        <w:t xml:space="preserve"> </w:t>
      </w:r>
      <w:r>
        <w:rPr>
          <w:rFonts w:ascii="Arial" w:eastAsia="Arial" w:hAnsi="Arial" w:cs="Arial"/>
          <w:color w:val="373737"/>
          <w:sz w:val="20"/>
          <w:szCs w:val="20"/>
          <w:lang w:eastAsia="en-AU"/>
        </w:rPr>
        <w:t>possibilities for future supply.</w:t>
      </w:r>
    </w:p>
    <w:p w14:paraId="15EE2D41" w14:textId="7F8D2D2B" w:rsidR="00EC7EC7" w:rsidRDefault="00EC7EC7" w:rsidP="00EC7EC7">
      <w:pPr>
        <w:pStyle w:val="Heading2"/>
        <w:numPr>
          <w:ilvl w:val="0"/>
          <w:numId w:val="0"/>
        </w:numPr>
        <w:ind w:left="709" w:hanging="709"/>
        <w:rPr>
          <w:lang w:eastAsia="en-AU"/>
        </w:rPr>
      </w:pPr>
      <w:bookmarkStart w:id="11" w:name="_Toc161303273"/>
      <w:bookmarkStart w:id="12" w:name="_Toc172794497"/>
      <w:r>
        <w:rPr>
          <w:lang w:eastAsia="en-AU"/>
        </w:rPr>
        <w:t>The Energy Trilemma</w:t>
      </w:r>
      <w:bookmarkEnd w:id="11"/>
      <w:bookmarkEnd w:id="12"/>
    </w:p>
    <w:p w14:paraId="6D4AC36B" w14:textId="5DB11609" w:rsidR="00EC7EC7" w:rsidRDefault="00EC7EC7" w:rsidP="00EC7EC7">
      <w:pPr>
        <w:pStyle w:val="BodyText"/>
        <w:rPr>
          <w:lang w:eastAsia="en-AU"/>
        </w:rPr>
      </w:pPr>
      <w:r>
        <w:rPr>
          <w:lang w:eastAsia="en-AU"/>
        </w:rPr>
        <w:t>A useful rubric for thinking about the trade-offs present in the energy market —</w:t>
      </w:r>
      <w:r>
        <w:rPr>
          <w:rFonts w:ascii="Arial" w:hAnsi="Arial" w:cs="Arial"/>
          <w:szCs w:val="20"/>
        </w:rPr>
        <w:t xml:space="preserve"> </w:t>
      </w:r>
      <w:r>
        <w:rPr>
          <w:lang w:eastAsia="en-AU"/>
        </w:rPr>
        <w:t>and so clearly exhibited today — is the so-called ‘energy trilemma’. This refers to the challenge of</w:t>
      </w:r>
      <w:r w:rsidRPr="00B074FD">
        <w:rPr>
          <w:lang w:eastAsia="en-AU"/>
        </w:rPr>
        <w:t xml:space="preserve"> </w:t>
      </w:r>
      <w:r>
        <w:rPr>
          <w:lang w:eastAsia="en-AU"/>
        </w:rPr>
        <w:t>simultaneously: having</w:t>
      </w:r>
      <w:r w:rsidRPr="00B074FD">
        <w:rPr>
          <w:lang w:eastAsia="en-AU"/>
        </w:rPr>
        <w:t xml:space="preserve"> </w:t>
      </w:r>
      <w:r>
        <w:rPr>
          <w:lang w:eastAsia="en-AU"/>
        </w:rPr>
        <w:t>affordable</w:t>
      </w:r>
      <w:r w:rsidRPr="00B074FD">
        <w:rPr>
          <w:lang w:eastAsia="en-AU"/>
        </w:rPr>
        <w:t xml:space="preserve"> energy</w:t>
      </w:r>
      <w:r>
        <w:rPr>
          <w:lang w:eastAsia="en-AU"/>
        </w:rPr>
        <w:t>;</w:t>
      </w:r>
      <w:r w:rsidRPr="00B074FD">
        <w:rPr>
          <w:lang w:eastAsia="en-AU"/>
        </w:rPr>
        <w:t xml:space="preserve"> building a reliable energy system</w:t>
      </w:r>
      <w:r>
        <w:rPr>
          <w:lang w:eastAsia="en-AU"/>
        </w:rPr>
        <w:t xml:space="preserve">; and </w:t>
      </w:r>
      <w:r w:rsidR="00DF6599">
        <w:rPr>
          <w:lang w:eastAsia="en-AU"/>
        </w:rPr>
        <w:t>reducing</w:t>
      </w:r>
      <w:r w:rsidRPr="00B074FD">
        <w:rPr>
          <w:lang w:eastAsia="en-AU"/>
        </w:rPr>
        <w:t xml:space="preserve"> emissions</w:t>
      </w:r>
      <w:r w:rsidR="00DF6599">
        <w:rPr>
          <w:lang w:eastAsia="en-AU"/>
        </w:rPr>
        <w:t xml:space="preserve"> to achieve net zero targets</w:t>
      </w:r>
      <w:r>
        <w:rPr>
          <w:lang w:eastAsia="en-AU"/>
        </w:rPr>
        <w:t xml:space="preserve">. </w:t>
      </w:r>
    </w:p>
    <w:p w14:paraId="6837D189" w14:textId="2E4057DA" w:rsidR="00EC7EC7" w:rsidRDefault="00EC7EC7" w:rsidP="00EC7EC7">
      <w:pPr>
        <w:pStyle w:val="BodyText"/>
        <w:rPr>
          <w:lang w:eastAsia="en-AU"/>
        </w:rPr>
      </w:pPr>
      <w:r>
        <w:rPr>
          <w:lang w:eastAsia="en-AU"/>
        </w:rPr>
        <w:t>Affordability — The low energy density of natural gas by volume makes it one of the most capital intensive and challenging fuels to transport from wellhead to end user. There are high fixed costs and very low short run marginal costs associated with gas production and transportation. The associated key to gas affordability</w:t>
      </w:r>
      <w:r>
        <w:rPr>
          <w:rStyle w:val="CommentReference"/>
        </w:rPr>
        <w:t xml:space="preserve"> </w:t>
      </w:r>
      <w:r>
        <w:rPr>
          <w:lang w:eastAsia="en-AU"/>
        </w:rPr>
        <w:t xml:space="preserve">has been to either consume gas where it is produced or </w:t>
      </w:r>
      <w:r w:rsidRPr="00576E80">
        <w:rPr>
          <w:lang w:eastAsia="en-AU"/>
        </w:rPr>
        <w:t>achieve</w:t>
      </w:r>
      <w:r w:rsidRPr="00B074FD">
        <w:rPr>
          <w:i/>
          <w:iCs/>
          <w:lang w:eastAsia="en-AU"/>
        </w:rPr>
        <w:t xml:space="preserve"> economies of scale</w:t>
      </w:r>
      <w:r>
        <w:rPr>
          <w:lang w:eastAsia="en-AU"/>
        </w:rPr>
        <w:t xml:space="preserve"> so that the fixed costs can be spread across a sufficiently large user base and recovered over time. </w:t>
      </w:r>
    </w:p>
    <w:p w14:paraId="406E63BD" w14:textId="6EBFEAE1" w:rsidR="00EC7EC7" w:rsidRDefault="00EC7EC7" w:rsidP="00EC7EC7">
      <w:pPr>
        <w:pStyle w:val="BodyText"/>
        <w:rPr>
          <w:lang w:eastAsia="en-AU"/>
        </w:rPr>
      </w:pPr>
      <w:r>
        <w:rPr>
          <w:lang w:eastAsia="en-AU"/>
        </w:rPr>
        <w:t>Security — Gas markets are a physical energy system that rely heavily on key pieces of infrastructure, where the costs of disruption can be significant. Maintaining energy security in gas markets has historically relied on a combination of redundancy, minimum requirements</w:t>
      </w:r>
      <w:r w:rsidR="006A7743">
        <w:rPr>
          <w:lang w:eastAsia="en-AU"/>
        </w:rPr>
        <w:t>,</w:t>
      </w:r>
      <w:r>
        <w:rPr>
          <w:lang w:eastAsia="en-AU"/>
        </w:rPr>
        <w:t xml:space="preserve"> and spare capacity throughout the system. Infrastructure, such as storage facilities and pipelines, can sit un- or under</w:t>
      </w:r>
      <w:r w:rsidR="00E85E3C">
        <w:rPr>
          <w:lang w:eastAsia="en-AU"/>
        </w:rPr>
        <w:t>-</w:t>
      </w:r>
      <w:r>
        <w:rPr>
          <w:lang w:eastAsia="en-AU"/>
        </w:rPr>
        <w:t xml:space="preserve">utilised for months or years to help meet demand when a crisis emerges. Building </w:t>
      </w:r>
      <w:r w:rsidR="0093616E">
        <w:rPr>
          <w:lang w:eastAsia="en-AU"/>
        </w:rPr>
        <w:t xml:space="preserve">in </w:t>
      </w:r>
      <w:r>
        <w:rPr>
          <w:lang w:eastAsia="en-AU"/>
        </w:rPr>
        <w:t>redundancies adds to the cost of gas, raising a trade-off between affordability and security.</w:t>
      </w:r>
    </w:p>
    <w:p w14:paraId="65F523DF" w14:textId="6983A434" w:rsidR="00EC7EC7" w:rsidRDefault="00EC7EC7" w:rsidP="00EC7EC7">
      <w:pPr>
        <w:pStyle w:val="BodyText"/>
        <w:rPr>
          <w:lang w:eastAsia="en-AU"/>
        </w:rPr>
      </w:pPr>
      <w:r>
        <w:rPr>
          <w:lang w:eastAsia="en-AU"/>
        </w:rPr>
        <w:t xml:space="preserve">Sustainability — The production and use of natural gas contributes to </w:t>
      </w:r>
      <w:r w:rsidR="00C422F3">
        <w:rPr>
          <w:lang w:eastAsia="en-AU"/>
        </w:rPr>
        <w:t xml:space="preserve">greenhouse gas </w:t>
      </w:r>
      <w:r>
        <w:rPr>
          <w:lang w:eastAsia="en-AU"/>
        </w:rPr>
        <w:t xml:space="preserve">emissions. </w:t>
      </w:r>
      <w:r>
        <w:rPr>
          <w:rFonts w:ascii="Arial" w:hAnsi="Arial" w:cs="Arial"/>
          <w:szCs w:val="20"/>
        </w:rPr>
        <w:t xml:space="preserve">Gas is also often used to fuel </w:t>
      </w:r>
      <w:r w:rsidR="0093616E">
        <w:rPr>
          <w:rFonts w:ascii="Arial" w:hAnsi="Arial" w:cs="Arial"/>
          <w:szCs w:val="20"/>
        </w:rPr>
        <w:t>both the refining process and gas</w:t>
      </w:r>
      <w:r>
        <w:rPr>
          <w:rFonts w:ascii="Arial" w:hAnsi="Arial" w:cs="Arial"/>
          <w:szCs w:val="20"/>
        </w:rPr>
        <w:t xml:space="preserve"> transportation, so </w:t>
      </w:r>
      <w:r w:rsidR="00A32EA9">
        <w:rPr>
          <w:rFonts w:ascii="Arial" w:hAnsi="Arial" w:cs="Arial"/>
          <w:szCs w:val="20"/>
        </w:rPr>
        <w:t>liquefied natural gas (</w:t>
      </w:r>
      <w:r>
        <w:rPr>
          <w:rFonts w:ascii="Arial" w:hAnsi="Arial" w:cs="Arial"/>
          <w:szCs w:val="20"/>
        </w:rPr>
        <w:t>LNG</w:t>
      </w:r>
      <w:r w:rsidR="00A32EA9">
        <w:rPr>
          <w:rFonts w:ascii="Arial" w:hAnsi="Arial" w:cs="Arial"/>
          <w:szCs w:val="20"/>
        </w:rPr>
        <w:t>)</w:t>
      </w:r>
      <w:r>
        <w:rPr>
          <w:rFonts w:ascii="Arial" w:hAnsi="Arial" w:cs="Arial"/>
          <w:szCs w:val="20"/>
        </w:rPr>
        <w:t xml:space="preserve"> export</w:t>
      </w:r>
      <w:r w:rsidR="0093616E">
        <w:rPr>
          <w:rFonts w:ascii="Arial" w:hAnsi="Arial" w:cs="Arial"/>
          <w:szCs w:val="20"/>
        </w:rPr>
        <w:t>s</w:t>
      </w:r>
      <w:r>
        <w:rPr>
          <w:rFonts w:ascii="Arial" w:hAnsi="Arial" w:cs="Arial"/>
          <w:szCs w:val="20"/>
        </w:rPr>
        <w:t xml:space="preserve"> contribute to domestic Australian emissions. </w:t>
      </w:r>
      <w:r>
        <w:rPr>
          <w:lang w:eastAsia="en-AU"/>
        </w:rPr>
        <w:t xml:space="preserve">The emissions can be viewed as a negative supply externality </w:t>
      </w:r>
      <w:r w:rsidR="0093616E">
        <w:rPr>
          <w:lang w:eastAsia="en-AU"/>
        </w:rPr>
        <w:t>to the extent that</w:t>
      </w:r>
      <w:r>
        <w:rPr>
          <w:lang w:eastAsia="en-AU"/>
        </w:rPr>
        <w:t xml:space="preserve"> the environmental cost of production is</w:t>
      </w:r>
      <w:r w:rsidR="00C422F3">
        <w:rPr>
          <w:lang w:eastAsia="en-AU"/>
        </w:rPr>
        <w:t xml:space="preserve"> </w:t>
      </w:r>
      <w:r>
        <w:rPr>
          <w:lang w:eastAsia="en-AU"/>
        </w:rPr>
        <w:t>n</w:t>
      </w:r>
      <w:r w:rsidR="00C422F3">
        <w:rPr>
          <w:lang w:eastAsia="en-AU"/>
        </w:rPr>
        <w:t>o</w:t>
      </w:r>
      <w:r>
        <w:rPr>
          <w:lang w:eastAsia="en-AU"/>
        </w:rPr>
        <w:t>t fully reflected in the economic price, causing gas demand to be higher than socially desirable. Reducing sectoral emissions involves a combination of lower gas production</w:t>
      </w:r>
      <w:r w:rsidR="00DF6599">
        <w:rPr>
          <w:lang w:eastAsia="en-AU"/>
        </w:rPr>
        <w:t xml:space="preserve"> and demand</w:t>
      </w:r>
      <w:r>
        <w:rPr>
          <w:lang w:eastAsia="en-AU"/>
        </w:rPr>
        <w:t>, less carbon-intensive gas production processes and offsets for gas-related emissions.</w:t>
      </w:r>
      <w:r w:rsidRPr="00271590">
        <w:rPr>
          <w:rFonts w:ascii="Arial" w:hAnsi="Arial" w:cs="Arial"/>
          <w:szCs w:val="20"/>
        </w:rPr>
        <w:t xml:space="preserve"> </w:t>
      </w:r>
      <w:r>
        <w:rPr>
          <w:rFonts w:ascii="Arial" w:hAnsi="Arial" w:cs="Arial"/>
          <w:szCs w:val="20"/>
        </w:rPr>
        <w:t xml:space="preserve">What substitutes for gas </w:t>
      </w:r>
      <w:r>
        <w:rPr>
          <w:lang w:eastAsia="en-AU"/>
        </w:rPr>
        <w:t>—</w:t>
      </w:r>
      <w:r>
        <w:rPr>
          <w:rFonts w:ascii="Arial" w:hAnsi="Arial" w:cs="Arial"/>
          <w:szCs w:val="20"/>
        </w:rPr>
        <w:t xml:space="preserve"> or what gas replaces </w:t>
      </w:r>
      <w:r>
        <w:rPr>
          <w:lang w:eastAsia="en-AU"/>
        </w:rPr>
        <w:t>—</w:t>
      </w:r>
      <w:r>
        <w:rPr>
          <w:rFonts w:ascii="Arial" w:hAnsi="Arial" w:cs="Arial"/>
          <w:szCs w:val="20"/>
        </w:rPr>
        <w:t xml:space="preserve"> has important </w:t>
      </w:r>
      <w:r>
        <w:rPr>
          <w:rFonts w:ascii="Arial" w:hAnsi="Arial" w:cs="Arial"/>
          <w:szCs w:val="20"/>
        </w:rPr>
        <w:t>implications for emissions reduction pathways</w:t>
      </w:r>
      <w:r w:rsidR="00DF6599">
        <w:rPr>
          <w:rFonts w:ascii="Arial" w:hAnsi="Arial" w:cs="Arial"/>
          <w:szCs w:val="20"/>
        </w:rPr>
        <w:t xml:space="preserve"> both domestically and globally</w:t>
      </w:r>
      <w:r>
        <w:rPr>
          <w:rFonts w:ascii="Arial" w:hAnsi="Arial" w:cs="Arial"/>
          <w:szCs w:val="20"/>
        </w:rPr>
        <w:t xml:space="preserve">.  </w:t>
      </w:r>
    </w:p>
    <w:p w14:paraId="086E1687" w14:textId="77B7F905" w:rsidR="00EC7EC7" w:rsidRDefault="00EC7EC7" w:rsidP="00EC7EC7">
      <w:pPr>
        <w:pStyle w:val="BodyText"/>
        <w:rPr>
          <w:lang w:eastAsia="en-AU"/>
        </w:rPr>
      </w:pPr>
      <w:r>
        <w:rPr>
          <w:lang w:eastAsia="en-AU"/>
        </w:rPr>
        <w:t xml:space="preserve">In addition, there can be positive ‘spill over’ impacts </w:t>
      </w:r>
      <w:r w:rsidR="008047DB">
        <w:rPr>
          <w:lang w:eastAsia="en-AU"/>
        </w:rPr>
        <w:t>of</w:t>
      </w:r>
      <w:r>
        <w:rPr>
          <w:lang w:eastAsia="en-AU"/>
        </w:rPr>
        <w:t xml:space="preserve"> gas production on specific parts of the economy and on some regional communities.</w:t>
      </w:r>
      <w:r w:rsidR="00DF6599">
        <w:rPr>
          <w:lang w:eastAsia="en-AU"/>
        </w:rPr>
        <w:t xml:space="preserve"> </w:t>
      </w:r>
      <w:r w:rsidR="00DF6599" w:rsidRPr="00DF6599">
        <w:rPr>
          <w:lang w:eastAsia="en-AU"/>
        </w:rPr>
        <w:t>There are both potential positive and negative ‘spill over’ impacts of gas production on global greenhouse gas emissions. Gas has the potential to be part of the solution in the context of well-planned and executed transitions to fully decarbonised energy systems in other countries.</w:t>
      </w:r>
    </w:p>
    <w:p w14:paraId="4A3D4065" w14:textId="75434B00" w:rsidR="005C256A" w:rsidRPr="001E5F16" w:rsidRDefault="009F2E98" w:rsidP="009F405D">
      <w:pPr>
        <w:pStyle w:val="Heading2"/>
        <w:numPr>
          <w:ilvl w:val="0"/>
          <w:numId w:val="0"/>
        </w:numPr>
        <w:ind w:left="709" w:hanging="709"/>
        <w:rPr>
          <w:lang w:eastAsia="en-AU"/>
        </w:rPr>
      </w:pPr>
      <w:bookmarkStart w:id="13" w:name="_Toc172794498"/>
      <w:r>
        <w:rPr>
          <w:lang w:eastAsia="en-AU"/>
        </w:rPr>
        <w:t>Use of scenario analysis</w:t>
      </w:r>
      <w:bookmarkEnd w:id="13"/>
    </w:p>
    <w:p w14:paraId="2ADC43E0" w14:textId="77777777" w:rsidR="005C256A" w:rsidRPr="00A62FE8" w:rsidRDefault="005C256A" w:rsidP="005C256A">
      <w:pPr>
        <w:keepNext/>
        <w:spacing w:after="120" w:line="280" w:lineRule="atLeast"/>
        <w:outlineLvl w:val="2"/>
        <w:rPr>
          <w:rFonts w:asciiTheme="minorHAnsi" w:hAnsiTheme="minorHAnsi" w:cstheme="minorHAnsi"/>
          <w:bCs/>
          <w:color w:val="005CAF"/>
          <w:sz w:val="20"/>
          <w:lang w:eastAsia="en-AU"/>
        </w:rPr>
      </w:pPr>
      <w:r w:rsidRPr="00A62FE8">
        <w:rPr>
          <w:rFonts w:asciiTheme="minorHAnsi" w:hAnsiTheme="minorHAnsi" w:cstheme="minorHAnsi"/>
          <w:bCs/>
          <w:color w:val="005CAF"/>
          <w:sz w:val="20"/>
          <w:lang w:eastAsia="en-AU"/>
        </w:rPr>
        <w:t xml:space="preserve">With an uncertain future, it is important to consider a range of scenarios </w:t>
      </w:r>
    </w:p>
    <w:p w14:paraId="5F24B267" w14:textId="77777777" w:rsidR="005C256A" w:rsidRPr="00A62FE8" w:rsidRDefault="005C256A" w:rsidP="005C256A">
      <w:pPr>
        <w:spacing w:after="120"/>
        <w:rPr>
          <w:color w:val="373737"/>
          <w:sz w:val="20"/>
          <w:lang w:eastAsia="en-AU"/>
        </w:rPr>
      </w:pPr>
      <w:r w:rsidRPr="00A62FE8">
        <w:rPr>
          <w:color w:val="373737"/>
          <w:sz w:val="20"/>
          <w:lang w:eastAsia="en-AU"/>
        </w:rPr>
        <w:t xml:space="preserve">The global and Australian economies must change the way they produce and consume energy if they are to reduce greenhouse gas emissions and meet the Paris Agreement goals. Different countries will take different pathways in the pursuit of their decarbonisation goals and face different opportunities and challenges, reflecting their energy needs, geography, </w:t>
      </w:r>
      <w:r>
        <w:rPr>
          <w:color w:val="373737"/>
          <w:sz w:val="20"/>
          <w:lang w:eastAsia="en-AU"/>
        </w:rPr>
        <w:t>demographics</w:t>
      </w:r>
      <w:r w:rsidRPr="00A62FE8">
        <w:rPr>
          <w:color w:val="373737"/>
          <w:sz w:val="20"/>
          <w:lang w:eastAsia="en-AU"/>
        </w:rPr>
        <w:t xml:space="preserve">, and </w:t>
      </w:r>
      <w:r>
        <w:rPr>
          <w:color w:val="373737"/>
          <w:sz w:val="20"/>
          <w:lang w:eastAsia="en-AU"/>
        </w:rPr>
        <w:t>composition of their economies</w:t>
      </w:r>
      <w:r w:rsidRPr="00A62FE8">
        <w:rPr>
          <w:color w:val="373737"/>
          <w:sz w:val="20"/>
          <w:lang w:eastAsia="en-AU"/>
        </w:rPr>
        <w:t>.</w:t>
      </w:r>
    </w:p>
    <w:p w14:paraId="1DDD04F1" w14:textId="77777777" w:rsidR="005C256A" w:rsidRPr="00A62FE8" w:rsidRDefault="005C256A" w:rsidP="005C256A">
      <w:pPr>
        <w:spacing w:after="120"/>
        <w:rPr>
          <w:color w:val="373737"/>
          <w:sz w:val="20"/>
          <w:lang w:eastAsia="en-AU"/>
        </w:rPr>
      </w:pPr>
      <w:r w:rsidRPr="00A62FE8">
        <w:rPr>
          <w:color w:val="373737"/>
          <w:sz w:val="20"/>
          <w:lang w:eastAsia="en-AU"/>
        </w:rPr>
        <w:t>Scenarios are an essential tool for exploring and understanding the future gas outlook depending on global emissions reductions pathways, based on varying assumptions. Importantly, scenarios are not meant to be predictions but rather represent instruments that facilitate a comparison of potential future versions of the energy landscape.</w:t>
      </w:r>
    </w:p>
    <w:p w14:paraId="43135E21" w14:textId="66FDA093" w:rsidR="005C256A" w:rsidRPr="00A62FE8" w:rsidRDefault="005C256A" w:rsidP="005C256A">
      <w:pPr>
        <w:spacing w:after="120"/>
        <w:rPr>
          <w:color w:val="373737"/>
          <w:sz w:val="20"/>
          <w:lang w:eastAsia="en-AU"/>
        </w:rPr>
      </w:pPr>
      <w:r w:rsidRPr="00A62FE8">
        <w:rPr>
          <w:color w:val="373737"/>
          <w:sz w:val="20"/>
          <w:lang w:eastAsia="en-AU"/>
        </w:rPr>
        <w:t xml:space="preserve">To inform the Future Gas Strategy, useful illustrative scenarios must </w:t>
      </w:r>
      <w:r>
        <w:rPr>
          <w:color w:val="373737"/>
          <w:sz w:val="20"/>
          <w:lang w:eastAsia="en-AU"/>
        </w:rPr>
        <w:t xml:space="preserve">be </w:t>
      </w:r>
      <w:r w:rsidRPr="00A62FE8">
        <w:rPr>
          <w:color w:val="373737"/>
          <w:sz w:val="20"/>
          <w:lang w:eastAsia="en-AU"/>
        </w:rPr>
        <w:t>identif</w:t>
      </w:r>
      <w:r>
        <w:rPr>
          <w:color w:val="373737"/>
          <w:sz w:val="20"/>
          <w:lang w:eastAsia="en-AU"/>
        </w:rPr>
        <w:t>ied</w:t>
      </w:r>
      <w:r w:rsidRPr="00A62FE8">
        <w:rPr>
          <w:color w:val="373737"/>
          <w:sz w:val="20"/>
          <w:lang w:eastAsia="en-AU"/>
        </w:rPr>
        <w:t xml:space="preserve"> that provide insights into gas (including LNG) demand and supply across Australia, in the region</w:t>
      </w:r>
      <w:r>
        <w:rPr>
          <w:color w:val="373737"/>
          <w:sz w:val="20"/>
          <w:lang w:eastAsia="en-AU"/>
        </w:rPr>
        <w:t>,</w:t>
      </w:r>
      <w:r w:rsidRPr="00A62FE8">
        <w:rPr>
          <w:color w:val="373737"/>
          <w:sz w:val="20"/>
          <w:lang w:eastAsia="en-AU"/>
        </w:rPr>
        <w:t xml:space="preserve"> and at a global scale. This report builds upon pre-existing energy transition scenarios produced by the IEA and the AEMO.</w:t>
      </w:r>
    </w:p>
    <w:p w14:paraId="590EE3E4" w14:textId="77777777" w:rsidR="005C256A" w:rsidRPr="00A62FE8" w:rsidRDefault="005C256A" w:rsidP="005C256A">
      <w:pPr>
        <w:spacing w:after="120"/>
        <w:rPr>
          <w:color w:val="373737"/>
          <w:sz w:val="20"/>
          <w:lang w:eastAsia="en-AU"/>
        </w:rPr>
      </w:pPr>
      <w:r w:rsidRPr="00A62FE8">
        <w:rPr>
          <w:color w:val="373737"/>
          <w:sz w:val="20"/>
          <w:lang w:eastAsia="en-AU"/>
        </w:rPr>
        <w:t xml:space="preserve">There is a strong basis for the choice to rely on scenarios developed by the IEA and AEMO. The scenarios are well known and tested, with methods and workbooks transparently published. They reflect policy decisions and intentions across the world and in Australia. They also provide a sufficient range of outcomes that facilitate the exploration of </w:t>
      </w:r>
      <w:r>
        <w:rPr>
          <w:color w:val="373737"/>
          <w:sz w:val="20"/>
          <w:lang w:eastAsia="en-AU"/>
        </w:rPr>
        <w:t xml:space="preserve">the </w:t>
      </w:r>
      <w:r w:rsidRPr="00A62FE8">
        <w:rPr>
          <w:color w:val="373737"/>
          <w:sz w:val="20"/>
          <w:lang w:eastAsia="en-AU"/>
        </w:rPr>
        <w:t xml:space="preserve">many likely ways that the global climate transition journey could play out. </w:t>
      </w:r>
    </w:p>
    <w:p w14:paraId="2B497BBE" w14:textId="77777777" w:rsidR="005C256A" w:rsidRPr="00A62FE8" w:rsidRDefault="005C256A" w:rsidP="002B7623">
      <w:pPr>
        <w:keepNext/>
        <w:spacing w:after="40"/>
        <w:rPr>
          <w:color w:val="373737"/>
          <w:sz w:val="20"/>
          <w:lang w:eastAsia="en-AU"/>
        </w:rPr>
      </w:pPr>
      <w:r w:rsidRPr="00A62FE8">
        <w:rPr>
          <w:color w:val="373737"/>
          <w:sz w:val="20"/>
          <w:lang w:eastAsia="en-AU"/>
        </w:rPr>
        <w:lastRenderedPageBreak/>
        <w:t>The IEA explores multiple scenarios based on varying assumptions about the evolution and end-state of the global energy system:</w:t>
      </w:r>
    </w:p>
    <w:p w14:paraId="3D1D00AA" w14:textId="57A1D740" w:rsidR="005C256A" w:rsidRPr="00A62FE8" w:rsidRDefault="005C256A" w:rsidP="002B7623">
      <w:pPr>
        <w:keepNext/>
        <w:numPr>
          <w:ilvl w:val="0"/>
          <w:numId w:val="4"/>
        </w:numPr>
        <w:spacing w:after="40"/>
        <w:ind w:left="624"/>
        <w:jc w:val="both"/>
        <w:rPr>
          <w:color w:val="373737"/>
          <w:sz w:val="20"/>
          <w:lang w:eastAsia="en-AU"/>
        </w:rPr>
      </w:pPr>
      <w:r w:rsidRPr="00A62FE8">
        <w:rPr>
          <w:color w:val="373737"/>
          <w:sz w:val="20"/>
          <w:lang w:eastAsia="en-AU"/>
        </w:rPr>
        <w:t xml:space="preserve">Net Zero Emissions (NZE) is a normative scenario which sets out a pathway for global energy sector to achieve net zero </w:t>
      </w:r>
      <w:r w:rsidR="00310E76">
        <w:rPr>
          <w:color w:val="373737"/>
          <w:sz w:val="20"/>
          <w:lang w:eastAsia="en-AU"/>
        </w:rPr>
        <w:t>carbon dioxide (</w:t>
      </w:r>
      <w:r w:rsidRPr="00A62FE8">
        <w:rPr>
          <w:color w:val="373737"/>
          <w:sz w:val="20"/>
          <w:lang w:eastAsia="en-AU"/>
        </w:rPr>
        <w:t>CO</w:t>
      </w:r>
      <w:r w:rsidRPr="00A62FE8">
        <w:rPr>
          <w:color w:val="373737"/>
          <w:sz w:val="20"/>
          <w:vertAlign w:val="subscript"/>
          <w:lang w:eastAsia="en-AU"/>
        </w:rPr>
        <w:t>2</w:t>
      </w:r>
      <w:r w:rsidR="00310E76">
        <w:rPr>
          <w:color w:val="373737"/>
          <w:sz w:val="20"/>
          <w:lang w:eastAsia="en-AU"/>
        </w:rPr>
        <w:t>) e</w:t>
      </w:r>
      <w:r w:rsidRPr="00A62FE8">
        <w:rPr>
          <w:color w:val="373737"/>
          <w:sz w:val="20"/>
          <w:lang w:eastAsia="en-AU"/>
        </w:rPr>
        <w:t xml:space="preserve">missions by 2050 and does not rely on emission reductions outside of energy sector to achieve its goal. </w:t>
      </w:r>
    </w:p>
    <w:p w14:paraId="1CAF4F07" w14:textId="77777777" w:rsidR="005C256A" w:rsidRPr="00A62FE8" w:rsidRDefault="005C256A" w:rsidP="002B7623">
      <w:pPr>
        <w:keepNext/>
        <w:numPr>
          <w:ilvl w:val="0"/>
          <w:numId w:val="4"/>
        </w:numPr>
        <w:spacing w:after="40"/>
        <w:ind w:left="624"/>
        <w:jc w:val="both"/>
        <w:rPr>
          <w:color w:val="373737"/>
          <w:sz w:val="20"/>
          <w:lang w:eastAsia="en-AU"/>
        </w:rPr>
      </w:pPr>
      <w:r w:rsidRPr="00A62FE8">
        <w:rPr>
          <w:color w:val="373737"/>
          <w:sz w:val="20"/>
          <w:lang w:eastAsia="en-AU"/>
        </w:rPr>
        <w:t xml:space="preserve">Announced Pledges Scenario (APS) is an exploratory scenario which assumes climate commitments made by governments around the world will be met in full and on time. </w:t>
      </w:r>
    </w:p>
    <w:p w14:paraId="0C778E25" w14:textId="77777777" w:rsidR="005C256A" w:rsidRPr="00A62FE8" w:rsidRDefault="005C256A" w:rsidP="002B7623">
      <w:pPr>
        <w:keepNext/>
        <w:numPr>
          <w:ilvl w:val="0"/>
          <w:numId w:val="4"/>
        </w:numPr>
        <w:spacing w:after="120"/>
        <w:ind w:left="624"/>
        <w:jc w:val="both"/>
        <w:rPr>
          <w:color w:val="373737"/>
          <w:sz w:val="20"/>
          <w:lang w:eastAsia="en-AU"/>
        </w:rPr>
      </w:pPr>
      <w:r w:rsidRPr="00A62FE8">
        <w:rPr>
          <w:color w:val="373737"/>
          <w:sz w:val="20"/>
          <w:lang w:eastAsia="en-AU"/>
        </w:rPr>
        <w:t xml:space="preserve">Stated Policies (STEPS) is another exploratory scenario which reflects the current policy settings based on the assessment of sector and country-specific policies currently in place around the world. </w:t>
      </w:r>
    </w:p>
    <w:p w14:paraId="6194E9AC" w14:textId="7BAAD947" w:rsidR="005C256A" w:rsidRPr="00A62FE8" w:rsidRDefault="005C256A" w:rsidP="002B7623">
      <w:pPr>
        <w:keepNext/>
        <w:spacing w:before="180" w:after="120"/>
        <w:rPr>
          <w:color w:val="373737"/>
          <w:sz w:val="20"/>
          <w:lang w:eastAsia="en-AU"/>
        </w:rPr>
      </w:pPr>
      <w:r w:rsidRPr="00A62FE8">
        <w:rPr>
          <w:color w:val="373737"/>
          <w:sz w:val="20"/>
          <w:lang w:eastAsia="en-AU"/>
        </w:rPr>
        <w:t xml:space="preserve">AEMO has also developed a set of scenarios that align with IEA scenarios (see Table 1.1) in order to explore a range of plausible outlooks for east Australian gas market demand and the investments needed to meet future gas demand </w:t>
      </w:r>
      <w:r w:rsidRPr="00A62FE8">
        <w:rPr>
          <w:color w:val="373737"/>
          <w:sz w:val="20"/>
          <w:u w:val="single"/>
          <w:lang w:eastAsia="en-AU"/>
        </w:rPr>
        <w:t>to 204</w:t>
      </w:r>
      <w:r>
        <w:rPr>
          <w:color w:val="373737"/>
          <w:sz w:val="20"/>
          <w:u w:val="single"/>
          <w:lang w:eastAsia="en-AU"/>
        </w:rPr>
        <w:t>3</w:t>
      </w:r>
      <w:r w:rsidRPr="00A62FE8">
        <w:rPr>
          <w:color w:val="373737"/>
          <w:sz w:val="20"/>
          <w:lang w:eastAsia="en-AU"/>
        </w:rPr>
        <w:t>. In the most recent GSOO for 202</w:t>
      </w:r>
      <w:r w:rsidR="00E44C85">
        <w:rPr>
          <w:color w:val="373737"/>
          <w:sz w:val="20"/>
          <w:lang w:eastAsia="en-AU"/>
        </w:rPr>
        <w:t>4</w:t>
      </w:r>
      <w:r w:rsidRPr="00A62FE8">
        <w:rPr>
          <w:color w:val="373737"/>
          <w:sz w:val="20"/>
          <w:lang w:eastAsia="en-AU"/>
        </w:rPr>
        <w:t xml:space="preserve">, </w:t>
      </w:r>
      <w:r w:rsidR="00E44C85">
        <w:rPr>
          <w:color w:val="373737"/>
          <w:sz w:val="20"/>
          <w:lang w:eastAsia="en-AU"/>
        </w:rPr>
        <w:t>three</w:t>
      </w:r>
      <w:r w:rsidRPr="00A62FE8">
        <w:rPr>
          <w:color w:val="373737"/>
          <w:sz w:val="20"/>
          <w:lang w:eastAsia="en-AU"/>
        </w:rPr>
        <w:t xml:space="preserve"> main scenarios for the </w:t>
      </w:r>
      <w:r>
        <w:rPr>
          <w:color w:val="373737"/>
          <w:sz w:val="20"/>
          <w:lang w:eastAsia="en-AU"/>
        </w:rPr>
        <w:t>e</w:t>
      </w:r>
      <w:r w:rsidRPr="00A62FE8">
        <w:rPr>
          <w:color w:val="373737"/>
          <w:sz w:val="20"/>
          <w:lang w:eastAsia="en-AU"/>
        </w:rPr>
        <w:t xml:space="preserve">ast </w:t>
      </w:r>
      <w:r>
        <w:rPr>
          <w:color w:val="373737"/>
          <w:sz w:val="20"/>
          <w:lang w:eastAsia="en-AU"/>
        </w:rPr>
        <w:t>c</w:t>
      </w:r>
      <w:r w:rsidRPr="00A62FE8">
        <w:rPr>
          <w:color w:val="373737"/>
          <w:sz w:val="20"/>
          <w:lang w:eastAsia="en-AU"/>
        </w:rPr>
        <w:t xml:space="preserve">oast </w:t>
      </w:r>
      <w:r w:rsidR="00E44C85">
        <w:rPr>
          <w:color w:val="373737"/>
          <w:sz w:val="20"/>
          <w:lang w:eastAsia="en-AU"/>
        </w:rPr>
        <w:t xml:space="preserve">and Northern Territory </w:t>
      </w:r>
      <w:r>
        <w:rPr>
          <w:color w:val="373737"/>
          <w:sz w:val="20"/>
          <w:lang w:eastAsia="en-AU"/>
        </w:rPr>
        <w:t>gas market are discussed</w:t>
      </w:r>
      <w:r w:rsidRPr="00A62FE8">
        <w:rPr>
          <w:color w:val="373737"/>
          <w:sz w:val="20"/>
          <w:lang w:eastAsia="en-AU"/>
        </w:rPr>
        <w:t>:</w:t>
      </w:r>
    </w:p>
    <w:p w14:paraId="02EDE00F" w14:textId="6F5643E7" w:rsidR="00E44C85" w:rsidRPr="00E44C85" w:rsidRDefault="005C256A" w:rsidP="002B7623">
      <w:pPr>
        <w:keepNext/>
        <w:numPr>
          <w:ilvl w:val="0"/>
          <w:numId w:val="4"/>
        </w:numPr>
        <w:spacing w:after="40"/>
        <w:ind w:left="624"/>
        <w:jc w:val="both"/>
        <w:rPr>
          <w:color w:val="373737"/>
          <w:sz w:val="20"/>
          <w:lang w:eastAsia="en-AU"/>
        </w:rPr>
      </w:pPr>
      <w:r w:rsidRPr="00E44C85">
        <w:rPr>
          <w:color w:val="373737"/>
          <w:sz w:val="20"/>
          <w:lang w:eastAsia="en-AU"/>
        </w:rPr>
        <w:t xml:space="preserve">Step Change scenario </w:t>
      </w:r>
      <w:r w:rsidR="00E44C85" w:rsidRPr="00E44C85">
        <w:rPr>
          <w:color w:val="373737"/>
          <w:sz w:val="20"/>
          <w:lang w:eastAsia="en-AU"/>
        </w:rPr>
        <w:t>achieves a scale of energy transformation that supports Australia’s contribution to limiting global temperature rise to below 2°C compared to pre-industrial levels. Electrification is a key enabler to transition the economy at a pace aligned with beating the 2°C abatement target of the Paris Agreement.</w:t>
      </w:r>
    </w:p>
    <w:p w14:paraId="0F3D024E" w14:textId="2B7D6C57" w:rsidR="00E44C85" w:rsidRPr="00E44C85" w:rsidRDefault="00E44C85" w:rsidP="002B7623">
      <w:pPr>
        <w:keepNext/>
        <w:numPr>
          <w:ilvl w:val="0"/>
          <w:numId w:val="4"/>
        </w:numPr>
        <w:spacing w:after="40"/>
        <w:ind w:left="624"/>
        <w:jc w:val="both"/>
        <w:rPr>
          <w:color w:val="373737"/>
          <w:sz w:val="20"/>
          <w:lang w:eastAsia="en-AU"/>
        </w:rPr>
      </w:pPr>
      <w:r w:rsidRPr="00E44C85">
        <w:rPr>
          <w:color w:val="373737"/>
          <w:sz w:val="20"/>
          <w:lang w:eastAsia="en-AU"/>
        </w:rPr>
        <w:t>Green Energy Exports reflects very strong decarbonisation activities domestically and globally aimed at limiting temperature increase to 1.5°C, resulting in rapid transformation of Australia’s energy sectors, including a strong use of electrification, green hydrogen and biomethane</w:t>
      </w:r>
    </w:p>
    <w:p w14:paraId="35F55D51" w14:textId="46701DED" w:rsidR="00E44C85" w:rsidRDefault="00E44C85" w:rsidP="002B7623">
      <w:pPr>
        <w:keepNext/>
        <w:numPr>
          <w:ilvl w:val="0"/>
          <w:numId w:val="4"/>
        </w:numPr>
        <w:spacing w:after="40"/>
        <w:ind w:left="624"/>
        <w:jc w:val="both"/>
        <w:rPr>
          <w:color w:val="373737"/>
          <w:sz w:val="20"/>
          <w:lang w:eastAsia="en-AU"/>
        </w:rPr>
      </w:pPr>
      <w:r w:rsidRPr="00E44C85">
        <w:rPr>
          <w:color w:val="373737"/>
          <w:sz w:val="20"/>
          <w:lang w:eastAsia="en-AU"/>
        </w:rPr>
        <w:t xml:space="preserve">Progressive Change Scenario reflects Australia meeting its current Paris Agreement commitment of 43% emissions reduction by 2030 and net zero emissions by 2050. This scenario has more challenging </w:t>
      </w:r>
      <w:r w:rsidRPr="00E44C85">
        <w:rPr>
          <w:color w:val="373737"/>
          <w:sz w:val="20"/>
          <w:lang w:eastAsia="en-AU"/>
        </w:rPr>
        <w:t>economic conditions, higher relative technology costs and more supply chain challenges relative to other scenarios.</w:t>
      </w:r>
    </w:p>
    <w:p w14:paraId="39E20BA6" w14:textId="319F5ECB" w:rsidR="005C256A" w:rsidRPr="00A62FE8" w:rsidRDefault="005C256A" w:rsidP="002B7623">
      <w:pPr>
        <w:keepNext/>
        <w:spacing w:after="120"/>
        <w:rPr>
          <w:color w:val="373737"/>
          <w:sz w:val="20"/>
        </w:rPr>
      </w:pPr>
      <w:r w:rsidRPr="00A62FE8">
        <w:rPr>
          <w:color w:val="373737"/>
          <w:sz w:val="20"/>
        </w:rPr>
        <w:t xml:space="preserve">AEMO has also developed consistent assumptions for the </w:t>
      </w:r>
      <w:r>
        <w:rPr>
          <w:color w:val="373737"/>
          <w:sz w:val="20"/>
        </w:rPr>
        <w:t>w</w:t>
      </w:r>
      <w:r w:rsidRPr="00A62FE8">
        <w:rPr>
          <w:color w:val="373737"/>
          <w:sz w:val="20"/>
        </w:rPr>
        <w:t xml:space="preserve">est </w:t>
      </w:r>
      <w:r>
        <w:rPr>
          <w:color w:val="373737"/>
          <w:sz w:val="20"/>
        </w:rPr>
        <w:t>c</w:t>
      </w:r>
      <w:r w:rsidRPr="00A62FE8">
        <w:rPr>
          <w:color w:val="373737"/>
          <w:sz w:val="20"/>
        </w:rPr>
        <w:t xml:space="preserve">oast gas market to outline WA’s gas supply, demand and investment needs out </w:t>
      </w:r>
      <w:r w:rsidRPr="00A62FE8">
        <w:rPr>
          <w:color w:val="373737"/>
          <w:sz w:val="20"/>
          <w:u w:val="single"/>
        </w:rPr>
        <w:t>to 2033.</w:t>
      </w:r>
      <w:r w:rsidRPr="00A62FE8">
        <w:rPr>
          <w:color w:val="373737"/>
          <w:sz w:val="20"/>
        </w:rPr>
        <w:t xml:space="preserve"> In their latest 2023 Western Australia Gas Statement of Opportunities</w:t>
      </w:r>
      <w:r w:rsidR="00A32EA9">
        <w:rPr>
          <w:color w:val="373737"/>
          <w:sz w:val="20"/>
        </w:rPr>
        <w:t xml:space="preserve"> (WA GSOO)</w:t>
      </w:r>
      <w:r w:rsidRPr="00A62FE8">
        <w:rPr>
          <w:color w:val="373737"/>
          <w:sz w:val="20"/>
        </w:rPr>
        <w:t>, they utilise three main scenarios:</w:t>
      </w:r>
      <w:r w:rsidR="007506BE">
        <w:rPr>
          <w:color w:val="373737"/>
          <w:sz w:val="20"/>
        </w:rPr>
        <w:t xml:space="preserve"> low, base, and high.</w:t>
      </w:r>
    </w:p>
    <w:p w14:paraId="57A312F0" w14:textId="77777777" w:rsidR="007506BE" w:rsidRDefault="007506BE" w:rsidP="002B7623">
      <w:pPr>
        <w:keepNext/>
        <w:spacing w:after="40"/>
        <w:jc w:val="both"/>
        <w:rPr>
          <w:color w:val="373737"/>
          <w:sz w:val="20"/>
        </w:rPr>
      </w:pPr>
    </w:p>
    <w:p w14:paraId="4C1D65DC" w14:textId="77777777" w:rsidR="005C256A" w:rsidRDefault="005C256A" w:rsidP="005C256A">
      <w:pPr>
        <w:spacing w:after="40"/>
        <w:jc w:val="both"/>
        <w:rPr>
          <w:color w:val="373737"/>
          <w:sz w:val="20"/>
        </w:rPr>
      </w:pPr>
    </w:p>
    <w:p w14:paraId="1CF2445E" w14:textId="77777777" w:rsidR="002B7623" w:rsidRDefault="002B7623" w:rsidP="005C256A">
      <w:pPr>
        <w:spacing w:after="40"/>
        <w:jc w:val="both"/>
        <w:rPr>
          <w:color w:val="373737"/>
          <w:sz w:val="20"/>
        </w:rPr>
      </w:pPr>
    </w:p>
    <w:p w14:paraId="1EFF3B5A" w14:textId="77777777" w:rsidR="002B7623" w:rsidRDefault="002B7623" w:rsidP="005C256A">
      <w:pPr>
        <w:spacing w:after="40"/>
        <w:jc w:val="both"/>
        <w:rPr>
          <w:color w:val="373737"/>
          <w:sz w:val="20"/>
        </w:rPr>
      </w:pPr>
    </w:p>
    <w:p w14:paraId="287ED56C" w14:textId="77777777" w:rsidR="002B7623" w:rsidRDefault="002B7623" w:rsidP="005C256A">
      <w:pPr>
        <w:spacing w:after="40"/>
        <w:jc w:val="both"/>
        <w:rPr>
          <w:color w:val="373737"/>
          <w:sz w:val="20"/>
        </w:rPr>
      </w:pPr>
    </w:p>
    <w:p w14:paraId="328CE343" w14:textId="77777777" w:rsidR="002B7623" w:rsidRDefault="002B7623" w:rsidP="005C256A">
      <w:pPr>
        <w:spacing w:after="40"/>
        <w:jc w:val="both"/>
        <w:rPr>
          <w:color w:val="373737"/>
          <w:sz w:val="20"/>
        </w:rPr>
      </w:pPr>
    </w:p>
    <w:p w14:paraId="5E0AF745" w14:textId="77777777" w:rsidR="002B7623" w:rsidRDefault="002B7623" w:rsidP="005C256A">
      <w:pPr>
        <w:spacing w:after="40"/>
        <w:jc w:val="both"/>
        <w:rPr>
          <w:color w:val="373737"/>
          <w:sz w:val="20"/>
        </w:rPr>
      </w:pPr>
    </w:p>
    <w:p w14:paraId="339BE531" w14:textId="77777777" w:rsidR="002B7623" w:rsidRDefault="002B7623" w:rsidP="005C256A">
      <w:pPr>
        <w:spacing w:after="40"/>
        <w:jc w:val="both"/>
        <w:rPr>
          <w:color w:val="373737"/>
          <w:sz w:val="20"/>
        </w:rPr>
      </w:pPr>
    </w:p>
    <w:p w14:paraId="0A3D2EFE" w14:textId="77777777" w:rsidR="002B7623" w:rsidRDefault="002B7623" w:rsidP="005C256A">
      <w:pPr>
        <w:spacing w:after="40"/>
        <w:jc w:val="both"/>
        <w:rPr>
          <w:color w:val="373737"/>
          <w:sz w:val="20"/>
        </w:rPr>
      </w:pPr>
    </w:p>
    <w:p w14:paraId="0100164F" w14:textId="77777777" w:rsidR="002B7623" w:rsidRDefault="002B7623" w:rsidP="005C256A">
      <w:pPr>
        <w:spacing w:after="40"/>
        <w:jc w:val="both"/>
        <w:rPr>
          <w:color w:val="373737"/>
          <w:sz w:val="20"/>
        </w:rPr>
      </w:pPr>
    </w:p>
    <w:p w14:paraId="5D2F8EF6" w14:textId="77777777" w:rsidR="002B7623" w:rsidRDefault="002B7623" w:rsidP="005C256A">
      <w:pPr>
        <w:spacing w:after="40"/>
        <w:jc w:val="both"/>
        <w:rPr>
          <w:color w:val="373737"/>
          <w:sz w:val="20"/>
        </w:rPr>
      </w:pPr>
    </w:p>
    <w:p w14:paraId="3A467712" w14:textId="77777777" w:rsidR="002B7623" w:rsidRDefault="002B7623" w:rsidP="005C256A">
      <w:pPr>
        <w:spacing w:after="40"/>
        <w:jc w:val="both"/>
        <w:rPr>
          <w:color w:val="373737"/>
          <w:sz w:val="20"/>
        </w:rPr>
      </w:pPr>
    </w:p>
    <w:p w14:paraId="7E18F12B" w14:textId="77777777" w:rsidR="002B7623" w:rsidRDefault="002B7623" w:rsidP="005C256A">
      <w:pPr>
        <w:spacing w:after="40"/>
        <w:jc w:val="both"/>
        <w:rPr>
          <w:color w:val="373737"/>
          <w:sz w:val="20"/>
        </w:rPr>
      </w:pPr>
    </w:p>
    <w:p w14:paraId="4271C750" w14:textId="77777777" w:rsidR="002B7623" w:rsidRDefault="002B7623" w:rsidP="005C256A">
      <w:pPr>
        <w:spacing w:after="40"/>
        <w:jc w:val="both"/>
        <w:rPr>
          <w:color w:val="373737"/>
          <w:sz w:val="20"/>
        </w:rPr>
      </w:pPr>
    </w:p>
    <w:p w14:paraId="3C08D993" w14:textId="77777777" w:rsidR="002B7623" w:rsidRDefault="002B7623" w:rsidP="005C256A">
      <w:pPr>
        <w:spacing w:after="40"/>
        <w:jc w:val="both"/>
        <w:rPr>
          <w:color w:val="373737"/>
          <w:sz w:val="20"/>
        </w:rPr>
      </w:pPr>
    </w:p>
    <w:p w14:paraId="52FFC843" w14:textId="77777777" w:rsidR="002B7623" w:rsidRDefault="002B7623" w:rsidP="005C256A">
      <w:pPr>
        <w:spacing w:after="40"/>
        <w:jc w:val="both"/>
        <w:rPr>
          <w:color w:val="373737"/>
          <w:sz w:val="20"/>
        </w:rPr>
      </w:pPr>
    </w:p>
    <w:p w14:paraId="0079737B" w14:textId="77777777" w:rsidR="002B7623" w:rsidRDefault="002B7623" w:rsidP="005C256A">
      <w:pPr>
        <w:spacing w:after="40"/>
        <w:jc w:val="both"/>
        <w:rPr>
          <w:color w:val="373737"/>
          <w:sz w:val="20"/>
        </w:rPr>
      </w:pPr>
    </w:p>
    <w:p w14:paraId="09B8E9A0" w14:textId="77777777" w:rsidR="002B7623" w:rsidRDefault="002B7623" w:rsidP="005C256A">
      <w:pPr>
        <w:spacing w:after="40"/>
        <w:jc w:val="both"/>
        <w:rPr>
          <w:color w:val="373737"/>
          <w:sz w:val="20"/>
        </w:rPr>
      </w:pPr>
    </w:p>
    <w:p w14:paraId="6B3C0F4A" w14:textId="77777777" w:rsidR="002B7623" w:rsidRDefault="002B7623" w:rsidP="005C256A">
      <w:pPr>
        <w:spacing w:after="40"/>
        <w:jc w:val="both"/>
        <w:rPr>
          <w:color w:val="373737"/>
          <w:sz w:val="20"/>
        </w:rPr>
      </w:pPr>
    </w:p>
    <w:p w14:paraId="6A9FB8C9" w14:textId="77777777" w:rsidR="002B7623" w:rsidRDefault="002B7623" w:rsidP="005C256A">
      <w:pPr>
        <w:spacing w:after="40"/>
        <w:jc w:val="both"/>
        <w:rPr>
          <w:color w:val="373737"/>
          <w:sz w:val="20"/>
        </w:rPr>
      </w:pPr>
    </w:p>
    <w:p w14:paraId="3FD5AB81" w14:textId="77777777" w:rsidR="002B7623" w:rsidRDefault="002B7623" w:rsidP="005C256A">
      <w:pPr>
        <w:spacing w:after="40"/>
        <w:jc w:val="both"/>
        <w:rPr>
          <w:color w:val="373737"/>
          <w:sz w:val="20"/>
        </w:rPr>
      </w:pPr>
    </w:p>
    <w:p w14:paraId="494EE92A" w14:textId="77777777" w:rsidR="002B7623" w:rsidRDefault="002B7623" w:rsidP="005C256A">
      <w:pPr>
        <w:spacing w:after="40"/>
        <w:jc w:val="both"/>
        <w:rPr>
          <w:color w:val="373737"/>
          <w:sz w:val="20"/>
        </w:rPr>
      </w:pPr>
    </w:p>
    <w:p w14:paraId="0281D64C" w14:textId="2B413E94" w:rsidR="002B7623" w:rsidRPr="00A62FE8" w:rsidRDefault="002B7623" w:rsidP="005C256A">
      <w:pPr>
        <w:spacing w:after="40"/>
        <w:jc w:val="both"/>
        <w:rPr>
          <w:color w:val="373737"/>
          <w:sz w:val="20"/>
        </w:rPr>
        <w:sectPr w:rsidR="002B7623" w:rsidRPr="00A62FE8" w:rsidSect="00C46393">
          <w:footerReference w:type="default" r:id="rId19"/>
          <w:footerReference w:type="first" r:id="rId20"/>
          <w:pgSz w:w="16838" w:h="11906" w:orient="landscape" w:code="9"/>
          <w:pgMar w:top="992" w:right="1440" w:bottom="1440" w:left="1440" w:header="709" w:footer="709" w:gutter="0"/>
          <w:pgNumType w:start="1"/>
          <w:cols w:num="2" w:space="708"/>
          <w:docGrid w:linePitch="360"/>
        </w:sectPr>
      </w:pPr>
    </w:p>
    <w:p w14:paraId="4A06DA1B" w14:textId="016FED34" w:rsidR="005C256A" w:rsidRPr="00A62FE8" w:rsidRDefault="005C256A" w:rsidP="00C97679">
      <w:pPr>
        <w:pStyle w:val="Caption"/>
        <w:rPr>
          <w:lang w:val="en"/>
        </w:rPr>
      </w:pPr>
      <w:r w:rsidRPr="00A62FE8">
        <w:rPr>
          <w:lang w:val="en"/>
        </w:rPr>
        <w:lastRenderedPageBreak/>
        <w:t>Table</w:t>
      </w:r>
      <w:r>
        <w:rPr>
          <w:lang w:val="en"/>
        </w:rPr>
        <w:t xml:space="preserve"> 1.1</w:t>
      </w:r>
      <w:r w:rsidRPr="00A62FE8">
        <w:rPr>
          <w:lang w:val="en"/>
        </w:rPr>
        <w:t>: Scenario Comparison</w:t>
      </w:r>
    </w:p>
    <w:tbl>
      <w:tblPr>
        <w:tblStyle w:val="OCETable"/>
        <w:tblW w:w="5000" w:type="pct"/>
        <w:tblLayout w:type="fixed"/>
        <w:tblLook w:val="04A0" w:firstRow="1" w:lastRow="0" w:firstColumn="1" w:lastColumn="0" w:noHBand="0" w:noVBand="1"/>
      </w:tblPr>
      <w:tblGrid>
        <w:gridCol w:w="1219"/>
        <w:gridCol w:w="1276"/>
        <w:gridCol w:w="1417"/>
        <w:gridCol w:w="1560"/>
        <w:gridCol w:w="4819"/>
        <w:gridCol w:w="3667"/>
      </w:tblGrid>
      <w:tr w:rsidR="005C256A" w:rsidRPr="00A62FE8" w14:paraId="10FDF057" w14:textId="77777777" w:rsidTr="0060680E">
        <w:trPr>
          <w:cnfStyle w:val="100000000000" w:firstRow="1" w:lastRow="0" w:firstColumn="0" w:lastColumn="0" w:oddVBand="0" w:evenVBand="0" w:oddHBand="0" w:evenHBand="0" w:firstRowFirstColumn="0" w:firstRowLastColumn="0" w:lastRowFirstColumn="0" w:lastRowLastColumn="0"/>
          <w:trHeight w:val="357"/>
        </w:trPr>
        <w:tc>
          <w:tcPr>
            <w:tcW w:w="1219" w:type="dxa"/>
          </w:tcPr>
          <w:p w14:paraId="03EA1601" w14:textId="77777777" w:rsidR="005C256A" w:rsidRPr="00A62FE8" w:rsidRDefault="005C256A" w:rsidP="0060680E">
            <w:pPr>
              <w:keepNext/>
              <w:spacing w:before="120" w:after="120" w:line="240" w:lineRule="auto"/>
              <w:rPr>
                <w:rFonts w:cs="Arial"/>
                <w:b/>
                <w:szCs w:val="18"/>
                <w:lang w:eastAsia="en-AU"/>
              </w:rPr>
            </w:pPr>
            <w:r w:rsidRPr="00A62FE8">
              <w:rPr>
                <w:rFonts w:cs="Arial"/>
                <w:b/>
                <w:sz w:val="20"/>
                <w:szCs w:val="20"/>
                <w:lang w:eastAsia="en-AU"/>
              </w:rPr>
              <w:t>Scenario</w:t>
            </w:r>
          </w:p>
        </w:tc>
        <w:tc>
          <w:tcPr>
            <w:tcW w:w="1276" w:type="dxa"/>
          </w:tcPr>
          <w:p w14:paraId="465AE6D3" w14:textId="77777777" w:rsidR="005C256A" w:rsidRPr="00A62FE8" w:rsidRDefault="005C256A" w:rsidP="0060680E">
            <w:pPr>
              <w:keepNext/>
              <w:spacing w:before="120" w:after="120" w:line="240" w:lineRule="auto"/>
              <w:rPr>
                <w:rFonts w:cs="Arial"/>
                <w:b/>
                <w:szCs w:val="18"/>
                <w:lang w:eastAsia="en-AU"/>
              </w:rPr>
            </w:pPr>
            <w:r w:rsidRPr="00A62FE8">
              <w:rPr>
                <w:rFonts w:cs="Arial"/>
                <w:b/>
                <w:sz w:val="20"/>
                <w:szCs w:val="20"/>
                <w:lang w:eastAsia="en-AU"/>
              </w:rPr>
              <w:t>Climate Pathway</w:t>
            </w:r>
          </w:p>
        </w:tc>
        <w:tc>
          <w:tcPr>
            <w:tcW w:w="1417" w:type="dxa"/>
          </w:tcPr>
          <w:p w14:paraId="28560AEA" w14:textId="77777777" w:rsidR="005C256A" w:rsidRPr="00A62FE8" w:rsidRDefault="005C256A" w:rsidP="0060680E">
            <w:pPr>
              <w:keepNext/>
              <w:spacing w:before="120" w:after="120" w:line="240" w:lineRule="auto"/>
              <w:rPr>
                <w:rFonts w:cs="Arial"/>
                <w:b/>
                <w:szCs w:val="18"/>
                <w:lang w:eastAsia="en-AU"/>
              </w:rPr>
            </w:pPr>
            <w:r w:rsidRPr="00A62FE8">
              <w:rPr>
                <w:rFonts w:cs="Arial"/>
                <w:b/>
                <w:sz w:val="20"/>
                <w:szCs w:val="20"/>
                <w:lang w:eastAsia="en-AU"/>
              </w:rPr>
              <w:t>IEA Scenario</w:t>
            </w:r>
          </w:p>
        </w:tc>
        <w:tc>
          <w:tcPr>
            <w:tcW w:w="1560" w:type="dxa"/>
          </w:tcPr>
          <w:p w14:paraId="07ED79D2" w14:textId="77777777" w:rsidR="005C256A" w:rsidRPr="00A62FE8" w:rsidRDefault="005C256A" w:rsidP="0060680E">
            <w:pPr>
              <w:keepNext/>
              <w:spacing w:before="120" w:after="120" w:line="240" w:lineRule="auto"/>
              <w:rPr>
                <w:rFonts w:cs="Arial"/>
                <w:b/>
                <w:szCs w:val="18"/>
                <w:lang w:eastAsia="en-AU"/>
              </w:rPr>
            </w:pPr>
            <w:r w:rsidRPr="00A62FE8">
              <w:rPr>
                <w:rFonts w:cs="Arial"/>
                <w:b/>
                <w:sz w:val="20"/>
                <w:szCs w:val="20"/>
                <w:lang w:eastAsia="en-AU"/>
              </w:rPr>
              <w:t>AEMO Scenario</w:t>
            </w:r>
          </w:p>
        </w:tc>
        <w:tc>
          <w:tcPr>
            <w:tcW w:w="4819" w:type="dxa"/>
          </w:tcPr>
          <w:p w14:paraId="3C67135A" w14:textId="77777777" w:rsidR="005C256A" w:rsidRPr="00A62FE8" w:rsidRDefault="005C256A" w:rsidP="0060680E">
            <w:pPr>
              <w:keepNext/>
              <w:spacing w:before="120" w:after="120" w:line="240" w:lineRule="auto"/>
              <w:rPr>
                <w:rFonts w:cs="Arial"/>
                <w:b/>
                <w:szCs w:val="18"/>
                <w:lang w:eastAsia="en-AU"/>
              </w:rPr>
            </w:pPr>
            <w:r w:rsidRPr="00A62FE8">
              <w:rPr>
                <w:rFonts w:cs="Arial"/>
                <w:b/>
                <w:szCs w:val="18"/>
              </w:rPr>
              <w:t>How to interpret scenarios?</w:t>
            </w:r>
          </w:p>
        </w:tc>
        <w:tc>
          <w:tcPr>
            <w:tcW w:w="3667" w:type="dxa"/>
          </w:tcPr>
          <w:p w14:paraId="595E4806" w14:textId="77777777" w:rsidR="005C256A" w:rsidRPr="00A62FE8" w:rsidRDefault="005C256A" w:rsidP="0060680E">
            <w:pPr>
              <w:keepNext/>
              <w:spacing w:before="120" w:after="120" w:line="240" w:lineRule="auto"/>
              <w:rPr>
                <w:rFonts w:cs="Arial"/>
                <w:b/>
                <w:szCs w:val="18"/>
                <w:lang w:eastAsia="en-AU"/>
              </w:rPr>
            </w:pPr>
            <w:r w:rsidRPr="00A62FE8">
              <w:rPr>
                <w:rFonts w:cs="Arial"/>
                <w:b/>
                <w:sz w:val="20"/>
                <w:szCs w:val="20"/>
                <w:lang w:eastAsia="en-AU"/>
              </w:rPr>
              <w:t>Energy implications</w:t>
            </w:r>
          </w:p>
        </w:tc>
      </w:tr>
      <w:tr w:rsidR="005C256A" w:rsidRPr="00A62FE8" w14:paraId="1B1954F4" w14:textId="77777777" w:rsidTr="0060680E">
        <w:trPr>
          <w:cnfStyle w:val="000000100000" w:firstRow="0" w:lastRow="0" w:firstColumn="0" w:lastColumn="0" w:oddVBand="0" w:evenVBand="0" w:oddHBand="1" w:evenHBand="0" w:firstRowFirstColumn="0" w:firstRowLastColumn="0" w:lastRowFirstColumn="0" w:lastRowLastColumn="0"/>
          <w:trHeight w:val="356"/>
        </w:trPr>
        <w:tc>
          <w:tcPr>
            <w:tcW w:w="1219" w:type="dxa"/>
            <w:vAlign w:val="center"/>
          </w:tcPr>
          <w:p w14:paraId="78F9EB21" w14:textId="77777777"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Current Policies</w:t>
            </w:r>
          </w:p>
        </w:tc>
        <w:tc>
          <w:tcPr>
            <w:tcW w:w="1276" w:type="dxa"/>
            <w:vAlign w:val="center"/>
          </w:tcPr>
          <w:p w14:paraId="26BE53AA" w14:textId="77777777" w:rsidR="005C256A" w:rsidRPr="00A62FE8" w:rsidRDefault="005C256A" w:rsidP="0060680E">
            <w:pPr>
              <w:keepNext/>
              <w:keepLines/>
              <w:spacing w:before="60" w:after="60" w:line="240" w:lineRule="auto"/>
              <w:rPr>
                <w:rFonts w:cs="Arial"/>
                <w:bCs/>
                <w:sz w:val="20"/>
                <w:szCs w:val="20"/>
                <w:lang w:eastAsia="en-AU"/>
              </w:rPr>
            </w:pPr>
            <w:r w:rsidRPr="00A62FE8">
              <w:rPr>
                <w:rFonts w:cs="Arial"/>
                <w:bCs/>
                <w:sz w:val="20"/>
                <w:szCs w:val="20"/>
                <w:lang w:eastAsia="en-AU"/>
              </w:rPr>
              <w:t>RCP 4.5</w:t>
            </w:r>
          </w:p>
          <w:p w14:paraId="6E9C7234" w14:textId="77777777"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~2.4 to ~2.6°C</w:t>
            </w:r>
          </w:p>
        </w:tc>
        <w:tc>
          <w:tcPr>
            <w:tcW w:w="1417" w:type="dxa"/>
            <w:vAlign w:val="center"/>
          </w:tcPr>
          <w:p w14:paraId="02D61FBE" w14:textId="77777777"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Stated Policies Scenario (STEPS)</w:t>
            </w:r>
          </w:p>
        </w:tc>
        <w:tc>
          <w:tcPr>
            <w:tcW w:w="1560" w:type="dxa"/>
            <w:vAlign w:val="center"/>
          </w:tcPr>
          <w:p w14:paraId="6B8C7065" w14:textId="77777777" w:rsidR="005C256A" w:rsidRPr="00A62FE8" w:rsidRDefault="005C256A" w:rsidP="0060680E">
            <w:pPr>
              <w:keepNext/>
              <w:keepLines/>
              <w:spacing w:before="60" w:after="60" w:line="240" w:lineRule="auto"/>
              <w:rPr>
                <w:rFonts w:cs="Arial"/>
                <w:bCs/>
                <w:sz w:val="20"/>
                <w:szCs w:val="20"/>
                <w:lang w:eastAsia="en-AU"/>
              </w:rPr>
            </w:pPr>
            <w:r w:rsidRPr="00A62FE8">
              <w:rPr>
                <w:rFonts w:cs="Arial"/>
                <w:bCs/>
                <w:sz w:val="20"/>
                <w:szCs w:val="20"/>
                <w:lang w:eastAsia="en-AU"/>
              </w:rPr>
              <w:t>Progressive Change (</w:t>
            </w:r>
            <w:r>
              <w:rPr>
                <w:rFonts w:cs="Arial"/>
                <w:bCs/>
                <w:sz w:val="20"/>
                <w:szCs w:val="20"/>
                <w:lang w:eastAsia="en-AU"/>
              </w:rPr>
              <w:t>e</w:t>
            </w:r>
            <w:r w:rsidRPr="00A62FE8">
              <w:rPr>
                <w:rFonts w:cs="Arial"/>
                <w:bCs/>
                <w:sz w:val="20"/>
                <w:szCs w:val="20"/>
                <w:lang w:eastAsia="en-AU"/>
              </w:rPr>
              <w:t xml:space="preserve">ast </w:t>
            </w:r>
            <w:r>
              <w:rPr>
                <w:rFonts w:cs="Arial"/>
                <w:bCs/>
                <w:sz w:val="20"/>
                <w:szCs w:val="20"/>
                <w:lang w:eastAsia="en-AU"/>
              </w:rPr>
              <w:t>c</w:t>
            </w:r>
            <w:r w:rsidRPr="00A62FE8">
              <w:rPr>
                <w:rFonts w:cs="Arial"/>
                <w:bCs/>
                <w:sz w:val="20"/>
                <w:szCs w:val="20"/>
                <w:lang w:eastAsia="en-AU"/>
              </w:rPr>
              <w:t>oast)</w:t>
            </w:r>
          </w:p>
          <w:p w14:paraId="05C0D1A0" w14:textId="77777777" w:rsidR="005C256A" w:rsidRPr="00A62FE8" w:rsidRDefault="005C256A" w:rsidP="0060680E">
            <w:pPr>
              <w:keepNext/>
              <w:spacing w:before="120" w:after="120" w:line="240" w:lineRule="auto"/>
              <w:rPr>
                <w:rFonts w:asciiTheme="minorHAnsi" w:hAnsiTheme="minorHAnsi" w:cs="Arial"/>
                <w:bCs/>
                <w:szCs w:val="18"/>
                <w:lang w:eastAsia="en-AU"/>
              </w:rPr>
            </w:pPr>
          </w:p>
        </w:tc>
        <w:tc>
          <w:tcPr>
            <w:tcW w:w="4819" w:type="dxa"/>
          </w:tcPr>
          <w:p w14:paraId="5136A624" w14:textId="77777777" w:rsidR="005C256A" w:rsidRPr="00A62FE8" w:rsidRDefault="005C256A" w:rsidP="0060680E">
            <w:pPr>
              <w:keepNext/>
              <w:spacing w:before="120" w:after="120" w:line="240" w:lineRule="auto"/>
              <w:rPr>
                <w:rFonts w:asciiTheme="minorHAnsi" w:hAnsiTheme="minorHAnsi" w:cs="Arial"/>
                <w:bCs/>
                <w:sz w:val="20"/>
                <w:szCs w:val="20"/>
                <w:lang w:eastAsia="en-AU"/>
              </w:rPr>
            </w:pPr>
            <w:r w:rsidRPr="00A62FE8">
              <w:rPr>
                <w:rFonts w:cs="Arial"/>
                <w:bCs/>
                <w:sz w:val="20"/>
                <w:szCs w:val="20"/>
              </w:rPr>
              <w:t>A conservative benchmark about where the energy system might go without a major additional steer from policy makers</w:t>
            </w:r>
            <w:r>
              <w:rPr>
                <w:rFonts w:cs="Arial"/>
                <w:bCs/>
                <w:sz w:val="20"/>
                <w:szCs w:val="20"/>
              </w:rPr>
              <w:t xml:space="preserve"> or significant technological development</w:t>
            </w:r>
            <w:r w:rsidRPr="00A62FE8">
              <w:rPr>
                <w:rFonts w:cs="Arial"/>
                <w:bCs/>
                <w:sz w:val="20"/>
                <w:szCs w:val="20"/>
              </w:rPr>
              <w:t>, based on measures and policies that have actually been put in place.</w:t>
            </w:r>
          </w:p>
        </w:tc>
        <w:tc>
          <w:tcPr>
            <w:tcW w:w="3667" w:type="dxa"/>
          </w:tcPr>
          <w:p w14:paraId="389083B4" w14:textId="00F4CC4D" w:rsidR="005C256A" w:rsidRPr="00A62FE8" w:rsidRDefault="005C256A" w:rsidP="0060680E">
            <w:pPr>
              <w:keepNext/>
              <w:spacing w:before="120" w:after="120" w:line="240" w:lineRule="auto"/>
              <w:rPr>
                <w:rFonts w:cs="Arial"/>
                <w:bCs/>
                <w:sz w:val="20"/>
                <w:szCs w:val="20"/>
                <w:lang w:eastAsia="en-AU"/>
              </w:rPr>
            </w:pPr>
            <w:r w:rsidRPr="00A62FE8">
              <w:rPr>
                <w:rFonts w:cs="Arial"/>
                <w:bCs/>
                <w:sz w:val="20"/>
                <w:szCs w:val="20"/>
              </w:rPr>
              <w:t>Vast majority of energy mix in 2050 (&gt;85% of ~4600</w:t>
            </w:r>
            <w:r>
              <w:rPr>
                <w:rFonts w:cs="Arial"/>
                <w:bCs/>
                <w:sz w:val="20"/>
                <w:szCs w:val="20"/>
              </w:rPr>
              <w:t xml:space="preserve"> </w:t>
            </w:r>
            <w:r w:rsidRPr="00A62FE8">
              <w:rPr>
                <w:rFonts w:cs="Arial"/>
                <w:bCs/>
                <w:sz w:val="20"/>
                <w:szCs w:val="20"/>
              </w:rPr>
              <w:t>b</w:t>
            </w:r>
            <w:r w:rsidR="008A0EE9">
              <w:rPr>
                <w:rFonts w:cs="Arial"/>
                <w:bCs/>
                <w:sz w:val="20"/>
                <w:szCs w:val="20"/>
              </w:rPr>
              <w:t xml:space="preserve">illion </w:t>
            </w:r>
            <w:r w:rsidRPr="00A62FE8">
              <w:rPr>
                <w:rFonts w:cs="Arial"/>
                <w:bCs/>
                <w:sz w:val="20"/>
                <w:szCs w:val="20"/>
              </w:rPr>
              <w:t>c</w:t>
            </w:r>
            <w:r w:rsidR="008A0EE9">
              <w:rPr>
                <w:rFonts w:cs="Arial"/>
                <w:bCs/>
                <w:sz w:val="20"/>
                <w:szCs w:val="20"/>
              </w:rPr>
              <w:t xml:space="preserve">ubic </w:t>
            </w:r>
            <w:r w:rsidRPr="00A62FE8">
              <w:rPr>
                <w:rFonts w:cs="Arial"/>
                <w:bCs/>
                <w:sz w:val="20"/>
                <w:szCs w:val="20"/>
              </w:rPr>
              <w:t>m</w:t>
            </w:r>
            <w:r w:rsidR="008A0EE9">
              <w:rPr>
                <w:rFonts w:cs="Arial"/>
                <w:bCs/>
                <w:sz w:val="20"/>
                <w:szCs w:val="20"/>
              </w:rPr>
              <w:t>etr</w:t>
            </w:r>
            <w:r w:rsidR="00243E1F">
              <w:rPr>
                <w:rFonts w:cs="Arial"/>
                <w:bCs/>
                <w:sz w:val="20"/>
                <w:szCs w:val="20"/>
              </w:rPr>
              <w:t>e</w:t>
            </w:r>
            <w:r w:rsidR="008A0EE9">
              <w:rPr>
                <w:rFonts w:cs="Arial"/>
                <w:bCs/>
                <w:sz w:val="20"/>
                <w:szCs w:val="20"/>
              </w:rPr>
              <w:t>s i.e. bcm</w:t>
            </w:r>
            <w:r w:rsidRPr="00A62FE8">
              <w:rPr>
                <w:rFonts w:cs="Arial"/>
                <w:bCs/>
                <w:sz w:val="20"/>
                <w:szCs w:val="20"/>
              </w:rPr>
              <w:t>) is sourced from unabated natural gas. Important role for biogases.</w:t>
            </w:r>
          </w:p>
        </w:tc>
      </w:tr>
      <w:tr w:rsidR="005C256A" w:rsidRPr="00A62FE8" w14:paraId="771F4CD0" w14:textId="77777777" w:rsidTr="0060680E">
        <w:trPr>
          <w:cnfStyle w:val="000000010000" w:firstRow="0" w:lastRow="0" w:firstColumn="0" w:lastColumn="0" w:oddVBand="0" w:evenVBand="0" w:oddHBand="0" w:evenHBand="1" w:firstRowFirstColumn="0" w:firstRowLastColumn="0" w:lastRowFirstColumn="0" w:lastRowLastColumn="0"/>
          <w:trHeight w:val="356"/>
        </w:trPr>
        <w:tc>
          <w:tcPr>
            <w:tcW w:w="1219" w:type="dxa"/>
            <w:vAlign w:val="center"/>
          </w:tcPr>
          <w:p w14:paraId="35DCCFD6" w14:textId="26451044"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 xml:space="preserve">Net </w:t>
            </w:r>
            <w:r>
              <w:rPr>
                <w:rFonts w:cs="Arial"/>
                <w:bCs/>
                <w:sz w:val="20"/>
                <w:szCs w:val="20"/>
                <w:lang w:eastAsia="en-AU"/>
              </w:rPr>
              <w:t>z</w:t>
            </w:r>
            <w:r w:rsidRPr="00A62FE8">
              <w:rPr>
                <w:rFonts w:cs="Arial"/>
                <w:bCs/>
                <w:sz w:val="20"/>
                <w:szCs w:val="20"/>
                <w:lang w:eastAsia="en-AU"/>
              </w:rPr>
              <w:t>ero post</w:t>
            </w:r>
            <w:r w:rsidR="00DB5745">
              <w:rPr>
                <w:rFonts w:cs="Arial"/>
                <w:bCs/>
                <w:sz w:val="20"/>
                <w:szCs w:val="20"/>
                <w:lang w:eastAsia="en-AU"/>
              </w:rPr>
              <w:t>–</w:t>
            </w:r>
            <w:r w:rsidRPr="00A62FE8">
              <w:rPr>
                <w:rFonts w:cs="Arial"/>
                <w:bCs/>
                <w:sz w:val="20"/>
                <w:szCs w:val="20"/>
                <w:lang w:eastAsia="en-AU"/>
              </w:rPr>
              <w:t>2050</w:t>
            </w:r>
          </w:p>
        </w:tc>
        <w:tc>
          <w:tcPr>
            <w:tcW w:w="1276" w:type="dxa"/>
            <w:vAlign w:val="center"/>
          </w:tcPr>
          <w:p w14:paraId="731E0B3F" w14:textId="77777777"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RCP 2.6</w:t>
            </w:r>
            <w:r w:rsidRPr="00A62FE8">
              <w:rPr>
                <w:rFonts w:cs="Arial"/>
                <w:bCs/>
                <w:sz w:val="20"/>
                <w:szCs w:val="20"/>
                <w:lang w:eastAsia="en-AU"/>
              </w:rPr>
              <w:br/>
              <w:t>~1.6 to ~1.8°C</w:t>
            </w:r>
          </w:p>
        </w:tc>
        <w:tc>
          <w:tcPr>
            <w:tcW w:w="1417" w:type="dxa"/>
            <w:vAlign w:val="center"/>
          </w:tcPr>
          <w:p w14:paraId="62A26D2A" w14:textId="77777777"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Announced Pledges Scenario (APS)</w:t>
            </w:r>
          </w:p>
        </w:tc>
        <w:tc>
          <w:tcPr>
            <w:tcW w:w="1560" w:type="dxa"/>
            <w:vAlign w:val="center"/>
          </w:tcPr>
          <w:p w14:paraId="0C42D913" w14:textId="18FE78E7" w:rsidR="005C256A" w:rsidRPr="00A62FE8" w:rsidRDefault="005C256A" w:rsidP="0060680E">
            <w:pPr>
              <w:keepNext/>
              <w:keepLines/>
              <w:spacing w:before="60" w:after="60" w:line="240" w:lineRule="auto"/>
              <w:rPr>
                <w:rFonts w:cs="Arial"/>
                <w:bCs/>
                <w:sz w:val="20"/>
                <w:szCs w:val="20"/>
                <w:lang w:eastAsia="en-AU"/>
              </w:rPr>
            </w:pPr>
            <w:r w:rsidRPr="00A62FE8">
              <w:rPr>
                <w:rFonts w:cs="Arial"/>
                <w:bCs/>
                <w:sz w:val="20"/>
                <w:szCs w:val="20"/>
                <w:lang w:eastAsia="en-AU"/>
              </w:rPr>
              <w:t>Step Change</w:t>
            </w:r>
          </w:p>
          <w:p w14:paraId="7B8E6831" w14:textId="77777777" w:rsidR="005C256A" w:rsidRPr="00A62FE8" w:rsidRDefault="005C256A" w:rsidP="0060680E">
            <w:pPr>
              <w:keepNext/>
              <w:spacing w:before="120" w:after="120" w:line="240" w:lineRule="auto"/>
              <w:rPr>
                <w:rFonts w:asciiTheme="minorHAnsi" w:hAnsiTheme="minorHAnsi" w:cs="Arial"/>
                <w:bCs/>
                <w:szCs w:val="18"/>
                <w:lang w:eastAsia="en-AU"/>
              </w:rPr>
            </w:pPr>
          </w:p>
        </w:tc>
        <w:tc>
          <w:tcPr>
            <w:tcW w:w="4819" w:type="dxa"/>
          </w:tcPr>
          <w:p w14:paraId="21402C25" w14:textId="328A8FA0" w:rsidR="005C256A" w:rsidRPr="00A62FE8" w:rsidRDefault="005C256A" w:rsidP="0060680E">
            <w:pPr>
              <w:keepNext/>
              <w:spacing w:before="120" w:after="120" w:line="240" w:lineRule="auto"/>
              <w:rPr>
                <w:rFonts w:asciiTheme="minorHAnsi" w:hAnsiTheme="minorHAnsi" w:cs="Arial"/>
                <w:bCs/>
                <w:sz w:val="20"/>
                <w:szCs w:val="20"/>
                <w:lang w:eastAsia="en-AU"/>
              </w:rPr>
            </w:pPr>
            <w:r w:rsidRPr="00A62FE8">
              <w:rPr>
                <w:rFonts w:cs="Arial"/>
                <w:bCs/>
                <w:sz w:val="20"/>
                <w:szCs w:val="20"/>
              </w:rPr>
              <w:t xml:space="preserve">Assumes all the climate commitments made by governments around the world will be met in full and on time. There remains an </w:t>
            </w:r>
            <w:r w:rsidR="00BD393C">
              <w:rPr>
                <w:rFonts w:cs="Arial"/>
                <w:bCs/>
                <w:sz w:val="20"/>
                <w:szCs w:val="20"/>
              </w:rPr>
              <w:t>‘</w:t>
            </w:r>
            <w:r w:rsidRPr="00A62FE8">
              <w:rPr>
                <w:rFonts w:cs="Arial"/>
                <w:bCs/>
                <w:sz w:val="20"/>
                <w:szCs w:val="20"/>
              </w:rPr>
              <w:t>ambition gap</w:t>
            </w:r>
            <w:r w:rsidR="00BD393C">
              <w:rPr>
                <w:rFonts w:cs="Arial"/>
                <w:bCs/>
                <w:sz w:val="20"/>
                <w:szCs w:val="20"/>
              </w:rPr>
              <w:t>’</w:t>
            </w:r>
            <w:r w:rsidRPr="00A62FE8">
              <w:rPr>
                <w:rFonts w:cs="Arial"/>
                <w:bCs/>
                <w:sz w:val="20"/>
                <w:szCs w:val="20"/>
              </w:rPr>
              <w:t xml:space="preserve"> that needs to be closed to achieve the 1.5°C goals agreed at Paris in 2015.</w:t>
            </w:r>
          </w:p>
        </w:tc>
        <w:tc>
          <w:tcPr>
            <w:tcW w:w="3667" w:type="dxa"/>
          </w:tcPr>
          <w:p w14:paraId="35EA4329" w14:textId="77777777" w:rsidR="005C256A" w:rsidRPr="00A62FE8" w:rsidRDefault="005C256A" w:rsidP="0060680E">
            <w:pPr>
              <w:keepNext/>
              <w:spacing w:before="120" w:after="120" w:line="240" w:lineRule="auto"/>
              <w:rPr>
                <w:rFonts w:cs="Arial"/>
                <w:bCs/>
                <w:sz w:val="20"/>
                <w:szCs w:val="20"/>
                <w:lang w:eastAsia="en-AU"/>
              </w:rPr>
            </w:pPr>
            <w:r w:rsidRPr="00A62FE8">
              <w:rPr>
                <w:rFonts w:cs="Arial"/>
                <w:bCs/>
                <w:sz w:val="20"/>
                <w:szCs w:val="20"/>
              </w:rPr>
              <w:t>Majority of global energy mix in 2050 (&gt;50% of ~3500</w:t>
            </w:r>
            <w:r>
              <w:rPr>
                <w:rFonts w:cs="Arial"/>
                <w:bCs/>
                <w:sz w:val="20"/>
                <w:szCs w:val="20"/>
              </w:rPr>
              <w:t xml:space="preserve"> </w:t>
            </w:r>
            <w:r w:rsidRPr="00A62FE8">
              <w:rPr>
                <w:rFonts w:cs="Arial"/>
                <w:bCs/>
                <w:sz w:val="20"/>
                <w:szCs w:val="20"/>
              </w:rPr>
              <w:t>bcm) is sourced from unabated natural gas. Important role for low-emissions hydrogen production (incl. with CCUS) and biogases.</w:t>
            </w:r>
          </w:p>
        </w:tc>
      </w:tr>
      <w:tr w:rsidR="005C256A" w:rsidRPr="00A62FE8" w14:paraId="29141AE3" w14:textId="77777777" w:rsidTr="0060680E">
        <w:trPr>
          <w:cnfStyle w:val="000000100000" w:firstRow="0" w:lastRow="0" w:firstColumn="0" w:lastColumn="0" w:oddVBand="0" w:evenVBand="0" w:oddHBand="1" w:evenHBand="0" w:firstRowFirstColumn="0" w:firstRowLastColumn="0" w:lastRowFirstColumn="0" w:lastRowLastColumn="0"/>
          <w:trHeight w:val="356"/>
        </w:trPr>
        <w:tc>
          <w:tcPr>
            <w:tcW w:w="1219" w:type="dxa"/>
            <w:vAlign w:val="center"/>
          </w:tcPr>
          <w:p w14:paraId="06D2CE5D" w14:textId="77777777"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 xml:space="preserve">Net </w:t>
            </w:r>
            <w:r>
              <w:rPr>
                <w:rFonts w:cs="Arial"/>
                <w:bCs/>
                <w:sz w:val="20"/>
                <w:szCs w:val="20"/>
                <w:lang w:eastAsia="en-AU"/>
              </w:rPr>
              <w:t>z</w:t>
            </w:r>
            <w:r w:rsidRPr="00A62FE8">
              <w:rPr>
                <w:rFonts w:cs="Arial"/>
                <w:bCs/>
                <w:sz w:val="20"/>
                <w:szCs w:val="20"/>
                <w:lang w:eastAsia="en-AU"/>
              </w:rPr>
              <w:t>ero by 2050</w:t>
            </w:r>
          </w:p>
        </w:tc>
        <w:tc>
          <w:tcPr>
            <w:tcW w:w="1276" w:type="dxa"/>
            <w:vAlign w:val="center"/>
          </w:tcPr>
          <w:p w14:paraId="60437091" w14:textId="77777777"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RCP 1.9</w:t>
            </w:r>
            <w:r w:rsidRPr="00A62FE8">
              <w:rPr>
                <w:rFonts w:cs="Arial"/>
                <w:bCs/>
                <w:sz w:val="20"/>
                <w:szCs w:val="20"/>
                <w:lang w:eastAsia="en-AU"/>
              </w:rPr>
              <w:br/>
              <w:t>~1.5°C</w:t>
            </w:r>
          </w:p>
        </w:tc>
        <w:tc>
          <w:tcPr>
            <w:tcW w:w="1417" w:type="dxa"/>
            <w:vAlign w:val="center"/>
          </w:tcPr>
          <w:p w14:paraId="16426004" w14:textId="77777777"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Net Zero Emissions Scenario (NZE)</w:t>
            </w:r>
          </w:p>
        </w:tc>
        <w:tc>
          <w:tcPr>
            <w:tcW w:w="1560" w:type="dxa"/>
            <w:vAlign w:val="center"/>
          </w:tcPr>
          <w:p w14:paraId="0B6A3E2A" w14:textId="77777777" w:rsidR="005C256A" w:rsidRPr="00A62FE8" w:rsidRDefault="005C256A" w:rsidP="0060680E">
            <w:pPr>
              <w:keepNext/>
              <w:spacing w:before="120" w:after="120" w:line="240" w:lineRule="auto"/>
              <w:rPr>
                <w:rFonts w:asciiTheme="minorHAnsi" w:hAnsiTheme="minorHAnsi" w:cs="Arial"/>
                <w:bCs/>
                <w:szCs w:val="18"/>
                <w:lang w:eastAsia="en-AU"/>
              </w:rPr>
            </w:pPr>
            <w:r w:rsidRPr="00A62FE8">
              <w:rPr>
                <w:rFonts w:cs="Arial"/>
                <w:bCs/>
                <w:sz w:val="20"/>
                <w:szCs w:val="20"/>
                <w:lang w:eastAsia="en-AU"/>
              </w:rPr>
              <w:t>Green Energy Exports</w:t>
            </w:r>
          </w:p>
        </w:tc>
        <w:tc>
          <w:tcPr>
            <w:tcW w:w="4819" w:type="dxa"/>
          </w:tcPr>
          <w:p w14:paraId="05DF9A64" w14:textId="77777777" w:rsidR="005C256A" w:rsidRPr="00A62FE8" w:rsidRDefault="005C256A" w:rsidP="0060680E">
            <w:pPr>
              <w:keepNext/>
              <w:spacing w:before="120" w:after="120" w:line="240" w:lineRule="auto"/>
              <w:rPr>
                <w:rFonts w:asciiTheme="minorHAnsi" w:hAnsiTheme="minorHAnsi" w:cs="Arial"/>
                <w:bCs/>
                <w:sz w:val="20"/>
                <w:szCs w:val="20"/>
                <w:lang w:eastAsia="en-AU"/>
              </w:rPr>
            </w:pPr>
            <w:r w:rsidRPr="00A62FE8">
              <w:rPr>
                <w:rFonts w:cs="Arial"/>
                <w:bCs/>
                <w:sz w:val="20"/>
                <w:szCs w:val="20"/>
              </w:rPr>
              <w:t>A narrow but achievable pathway for the global energy sector to achieve net zero CO</w:t>
            </w:r>
            <w:r w:rsidRPr="0052215B">
              <w:rPr>
                <w:sz w:val="20"/>
                <w:vertAlign w:val="subscript"/>
              </w:rPr>
              <w:t>2</w:t>
            </w:r>
            <w:r w:rsidRPr="00A62FE8">
              <w:rPr>
                <w:rFonts w:cs="Arial"/>
                <w:bCs/>
                <w:sz w:val="20"/>
                <w:szCs w:val="20"/>
              </w:rPr>
              <w:t xml:space="preserve"> emissions by 2050, consistent with limiting the global temperature rise to 1.5°C without a temperature overshoot (with a 50% probability).</w:t>
            </w:r>
          </w:p>
        </w:tc>
        <w:tc>
          <w:tcPr>
            <w:tcW w:w="3667" w:type="dxa"/>
          </w:tcPr>
          <w:p w14:paraId="6E32AC97" w14:textId="77777777" w:rsidR="005C256A" w:rsidRPr="00A62FE8" w:rsidRDefault="005C256A" w:rsidP="0060680E">
            <w:pPr>
              <w:keepNext/>
              <w:spacing w:before="120" w:after="120" w:line="240" w:lineRule="auto"/>
              <w:rPr>
                <w:rFonts w:cs="Arial"/>
                <w:bCs/>
                <w:sz w:val="20"/>
                <w:szCs w:val="20"/>
                <w:lang w:eastAsia="en-AU"/>
              </w:rPr>
            </w:pPr>
            <w:r w:rsidRPr="00A62FE8">
              <w:rPr>
                <w:rFonts w:cs="Arial"/>
                <w:bCs/>
                <w:sz w:val="20"/>
                <w:szCs w:val="20"/>
              </w:rPr>
              <w:t xml:space="preserve">Minority of global energy mix in 2050 is sourced from abated natural gas. Majority of energy produced from low-emissions hydrogen production and biogases. </w:t>
            </w:r>
          </w:p>
        </w:tc>
      </w:tr>
    </w:tbl>
    <w:p w14:paraId="03583E07" w14:textId="614FB542" w:rsidR="005C256A" w:rsidRPr="00A62FE8" w:rsidRDefault="005C256A" w:rsidP="00A654B3">
      <w:pPr>
        <w:pStyle w:val="Source"/>
        <w:rPr>
          <w:lang w:eastAsia="en-AU"/>
        </w:rPr>
        <w:sectPr w:rsidR="005C256A" w:rsidRPr="00A62FE8" w:rsidSect="00C46393">
          <w:footerReference w:type="default" r:id="rId21"/>
          <w:footerReference w:type="first" r:id="rId22"/>
          <w:type w:val="continuous"/>
          <w:pgSz w:w="16838" w:h="11906" w:orient="landscape" w:code="9"/>
          <w:pgMar w:top="992" w:right="1440" w:bottom="1440" w:left="1440" w:header="709" w:footer="709" w:gutter="0"/>
          <w:cols w:space="708"/>
          <w:docGrid w:linePitch="360"/>
        </w:sectPr>
      </w:pPr>
      <w:r w:rsidRPr="00A62FE8">
        <w:rPr>
          <w:lang w:eastAsia="en-AU"/>
        </w:rPr>
        <w:t>Source: AEMO</w:t>
      </w:r>
      <w:r w:rsidR="009960D8">
        <w:rPr>
          <w:lang w:eastAsia="en-AU"/>
        </w:rPr>
        <w:t xml:space="preserve"> (2024a)</w:t>
      </w:r>
      <w:r w:rsidRPr="00A62FE8">
        <w:rPr>
          <w:lang w:eastAsia="en-AU"/>
        </w:rPr>
        <w:t>, IEA</w:t>
      </w:r>
      <w:r w:rsidR="009960D8">
        <w:rPr>
          <w:lang w:eastAsia="en-AU"/>
        </w:rPr>
        <w:t xml:space="preserve"> (2023f)</w:t>
      </w:r>
    </w:p>
    <w:p w14:paraId="2AB07E1E" w14:textId="128506E7" w:rsidR="00EC7EC7" w:rsidRDefault="00EC7EC7" w:rsidP="009F405D">
      <w:pPr>
        <w:pStyle w:val="Heading1"/>
        <w:numPr>
          <w:ilvl w:val="0"/>
          <w:numId w:val="22"/>
        </w:numPr>
      </w:pPr>
      <w:bookmarkStart w:id="14" w:name="_Toc172794499"/>
      <w:r>
        <w:lastRenderedPageBreak/>
        <w:t>A primer on the</w:t>
      </w:r>
      <w:r w:rsidDel="00E41E4F">
        <w:t xml:space="preserve"> global </w:t>
      </w:r>
      <w:r>
        <w:t>and Australian gas markets</w:t>
      </w:r>
      <w:bookmarkEnd w:id="14"/>
    </w:p>
    <w:p w14:paraId="4FE2FF0B" w14:textId="2C557810" w:rsidR="00EC7EC7" w:rsidRDefault="00EC7EC7" w:rsidP="003568D2">
      <w:pPr>
        <w:pStyle w:val="Heading2"/>
        <w:numPr>
          <w:ilvl w:val="0"/>
          <w:numId w:val="0"/>
        </w:numPr>
        <w:spacing w:before="120"/>
      </w:pPr>
      <w:bookmarkStart w:id="15" w:name="_Toc172794500"/>
      <w:r>
        <w:t>Summary</w:t>
      </w:r>
      <w:bookmarkEnd w:id="15"/>
    </w:p>
    <w:p w14:paraId="525F380A" w14:textId="10FEF557" w:rsidR="00EC7EC7" w:rsidRDefault="00EC7EC7" w:rsidP="00EC7EC7">
      <w:pPr>
        <w:pStyle w:val="BodyText"/>
      </w:pPr>
      <w:r>
        <w:t>Chapter 1 highlights the diverse use of gas within the economy. Domestically</w:t>
      </w:r>
      <w:r w:rsidR="008047DB">
        <w:t>,</w:t>
      </w:r>
      <w:r>
        <w:t xml:space="preserve"> Australia’s gas underpins a wide range of economic activity across the residential, industrial, mining and power generation sectors. However, gas use also accounts for a large proportion of Australia’s emissions. </w:t>
      </w:r>
    </w:p>
    <w:p w14:paraId="29F5B8D1" w14:textId="662FC3DF" w:rsidR="00EC7EC7" w:rsidRDefault="00EC7EC7" w:rsidP="00EC7EC7">
      <w:pPr>
        <w:pStyle w:val="BodyText"/>
      </w:pPr>
      <w:r>
        <w:t xml:space="preserve">Australian gas is </w:t>
      </w:r>
      <w:r w:rsidR="008047DB">
        <w:t>exported</w:t>
      </w:r>
      <w:r>
        <w:t xml:space="preserve"> as LNG</w:t>
      </w:r>
      <w:r w:rsidR="008047DB">
        <w:t>,</w:t>
      </w:r>
      <w:r>
        <w:t xml:space="preserve"> largely under long</w:t>
      </w:r>
      <w:r w:rsidR="009F6064">
        <w:t>-</w:t>
      </w:r>
      <w:r>
        <w:t xml:space="preserve">term contracts </w:t>
      </w:r>
      <w:r w:rsidR="00A55936">
        <w:t xml:space="preserve">which </w:t>
      </w:r>
      <w:r>
        <w:t xml:space="preserve">extend to between 2030 and 2035. Australian LNG is primarily used for power generation in </w:t>
      </w:r>
      <w:r w:rsidR="001E4E51">
        <w:t>our</w:t>
      </w:r>
      <w:r>
        <w:t xml:space="preserve"> key Asian regional trading partner</w:t>
      </w:r>
      <w:r w:rsidR="001E4E51">
        <w:t xml:space="preserve">s </w:t>
      </w:r>
      <w:r>
        <w:t xml:space="preserve">that have adapted their systems to run on LNG imports. Looking forward, several </w:t>
      </w:r>
      <w:r w:rsidR="001E4E51">
        <w:t xml:space="preserve">trading partners </w:t>
      </w:r>
      <w:r>
        <w:t>face challenges with regards to renewable energy due to the differences in economies, geography</w:t>
      </w:r>
      <w:r w:rsidR="006A7743">
        <w:t>,</w:t>
      </w:r>
      <w:r>
        <w:t xml:space="preserve"> and geology. </w:t>
      </w:r>
    </w:p>
    <w:p w14:paraId="52BFF3F4" w14:textId="44203D02" w:rsidR="00EC7EC7" w:rsidRPr="00093E2A" w:rsidRDefault="00EC7EC7" w:rsidP="00EC7EC7">
      <w:pPr>
        <w:pStyle w:val="Heading2"/>
        <w:numPr>
          <w:ilvl w:val="1"/>
          <w:numId w:val="3"/>
        </w:numPr>
      </w:pPr>
      <w:bookmarkStart w:id="16" w:name="_Toc172794501"/>
      <w:r>
        <w:t xml:space="preserve">Global and </w:t>
      </w:r>
      <w:r w:rsidR="005A4F9B">
        <w:t>d</w:t>
      </w:r>
      <w:r>
        <w:t xml:space="preserve">omestic </w:t>
      </w:r>
      <w:r w:rsidR="005A4F9B">
        <w:t>g</w:t>
      </w:r>
      <w:r>
        <w:t xml:space="preserve">as </w:t>
      </w:r>
      <w:r w:rsidR="005A4F9B">
        <w:t>m</w:t>
      </w:r>
      <w:r>
        <w:t>arkets</w:t>
      </w:r>
      <w:bookmarkEnd w:id="16"/>
    </w:p>
    <w:p w14:paraId="28FEC32A" w14:textId="77777777" w:rsidR="00EC7EC7" w:rsidRPr="006A7743" w:rsidRDefault="00EC7EC7" w:rsidP="003568D2">
      <w:pPr>
        <w:pStyle w:val="Heading3"/>
        <w:spacing w:before="120"/>
        <w:rPr>
          <w:lang w:eastAsia="en-AU"/>
        </w:rPr>
      </w:pPr>
      <w:r w:rsidRPr="006A7743">
        <w:rPr>
          <w:lang w:eastAsia="en-AU"/>
        </w:rPr>
        <w:t>Gas accounts for a quarter of current global energy consumption</w:t>
      </w:r>
    </w:p>
    <w:p w14:paraId="5091EED5" w14:textId="2FFE6AC4" w:rsidR="00EC7EC7" w:rsidRDefault="00EC7EC7" w:rsidP="00EC7EC7">
      <w:pPr>
        <w:pStyle w:val="BodyText"/>
        <w:rPr>
          <w:lang w:eastAsia="en-AU"/>
        </w:rPr>
      </w:pPr>
      <w:r>
        <w:rPr>
          <w:lang w:eastAsia="en-AU"/>
        </w:rPr>
        <w:t>Roughly 83% of global energy consumption is sourced from fossil fuels, including 25% from natural gas</w:t>
      </w:r>
      <w:r w:rsidR="006A7743">
        <w:rPr>
          <w:lang w:eastAsia="en-AU"/>
        </w:rPr>
        <w:t>.</w:t>
      </w:r>
      <w:r>
        <w:rPr>
          <w:rStyle w:val="FootnoteReference"/>
          <w:lang w:eastAsia="en-AU"/>
        </w:rPr>
        <w:footnoteReference w:id="2"/>
      </w:r>
      <w:r>
        <w:rPr>
          <w:lang w:eastAsia="en-AU"/>
        </w:rPr>
        <w:t xml:space="preserve"> Australian domestic use of fossil fuels is </w:t>
      </w:r>
      <w:r w:rsidR="008047DB">
        <w:rPr>
          <w:lang w:eastAsia="en-AU"/>
        </w:rPr>
        <w:t>higher than</w:t>
      </w:r>
      <w:r>
        <w:rPr>
          <w:lang w:eastAsia="en-AU"/>
        </w:rPr>
        <w:t xml:space="preserve"> global consumption levels</w:t>
      </w:r>
      <w:r w:rsidR="008047DB">
        <w:rPr>
          <w:lang w:eastAsia="en-AU"/>
        </w:rPr>
        <w:t>: r</w:t>
      </w:r>
      <w:r>
        <w:t xml:space="preserve">oughly 92% of current Australian energy consumption is derived from fossil fuels. </w:t>
      </w:r>
      <w:r w:rsidRPr="00514DAB">
        <w:t xml:space="preserve">Gas accounts for </w:t>
      </w:r>
      <w:r>
        <w:t xml:space="preserve">just over a quarter </w:t>
      </w:r>
      <w:r w:rsidRPr="00514DAB">
        <w:t xml:space="preserve">(27%) of Australia's </w:t>
      </w:r>
      <w:r w:rsidR="00A92BBE">
        <w:t xml:space="preserve">energy </w:t>
      </w:r>
      <w:r w:rsidRPr="00514DAB">
        <w:t>consumption</w:t>
      </w:r>
      <w:r w:rsidRPr="00514DAB" w:rsidDel="00514DAB">
        <w:t xml:space="preserve"> </w:t>
      </w:r>
      <w:r>
        <w:t>(Figures 1.1 &amp; 1.2).</w:t>
      </w:r>
      <w:r w:rsidRPr="00410369">
        <w:rPr>
          <w:lang w:eastAsia="en-AU"/>
        </w:rPr>
        <w:t xml:space="preserve"> </w:t>
      </w:r>
    </w:p>
    <w:p w14:paraId="4E28B3BB" w14:textId="77777777" w:rsidR="00E118FE" w:rsidRDefault="00E118FE" w:rsidP="00E118FE">
      <w:pPr>
        <w:pStyle w:val="Heading3"/>
        <w:rPr>
          <w:rFonts w:eastAsia="Arial"/>
        </w:rPr>
      </w:pPr>
      <w:r w:rsidRPr="00D57C59">
        <w:rPr>
          <w:rFonts w:eastAsia="Arial"/>
          <w:lang w:eastAsia="en-AU"/>
        </w:rPr>
        <w:t xml:space="preserve">Gas is a versatile fuel </w:t>
      </w:r>
      <w:r>
        <w:rPr>
          <w:rFonts w:eastAsia="Arial"/>
          <w:lang w:eastAsia="en-AU"/>
        </w:rPr>
        <w:t xml:space="preserve">which </w:t>
      </w:r>
      <w:r w:rsidRPr="00D57C59" w:rsidDel="00E16405">
        <w:rPr>
          <w:rFonts w:eastAsia="Arial"/>
          <w:lang w:eastAsia="en-AU"/>
        </w:rPr>
        <w:t>is</w:t>
      </w:r>
      <w:r w:rsidRPr="00D57C59">
        <w:rPr>
          <w:rFonts w:eastAsia="Arial"/>
          <w:lang w:eastAsia="en-AU"/>
        </w:rPr>
        <w:t xml:space="preserve"> utilised differently in </w:t>
      </w:r>
      <w:r w:rsidRPr="00D57C59" w:rsidDel="00E16405">
        <w:rPr>
          <w:rFonts w:eastAsia="Arial"/>
          <w:lang w:eastAsia="en-AU"/>
        </w:rPr>
        <w:t>different</w:t>
      </w:r>
      <w:r w:rsidRPr="00D57C59">
        <w:rPr>
          <w:rFonts w:eastAsia="Arial"/>
          <w:lang w:eastAsia="en-AU"/>
        </w:rPr>
        <w:t xml:space="preserve"> markets</w:t>
      </w:r>
    </w:p>
    <w:p w14:paraId="0A83FCA8" w14:textId="3F351DF8" w:rsidR="00E118FE" w:rsidRDefault="00E118FE" w:rsidP="00E118FE">
      <w:pPr>
        <w:pStyle w:val="BodyText"/>
      </w:pPr>
      <w:r w:rsidRPr="00D57C59">
        <w:rPr>
          <w:rFonts w:ascii="Arial" w:eastAsia="Arial" w:hAnsi="Arial" w:cs="Arial"/>
          <w:szCs w:val="20"/>
          <w:lang w:eastAsia="en-AU"/>
        </w:rPr>
        <w:t>A defining feature of gas is its versatility across a wide range of economic activit</w:t>
      </w:r>
      <w:r>
        <w:rPr>
          <w:rFonts w:ascii="Arial" w:eastAsia="Arial" w:hAnsi="Arial" w:cs="Arial"/>
          <w:szCs w:val="20"/>
          <w:lang w:eastAsia="en-AU"/>
        </w:rPr>
        <w:t>ies</w:t>
      </w:r>
      <w:r>
        <w:t>. Gas is heavily used in all types of energy and all parts of the economy, with data on gas consumption, production and trade statistics available, in energy content units and volume or mass units. A brief explanation of units used in gas are provided in Appendix C.</w:t>
      </w:r>
    </w:p>
    <w:p w14:paraId="098453A6" w14:textId="43315C53" w:rsidR="00EC7EC7" w:rsidRDefault="00EC7EC7" w:rsidP="00C97679">
      <w:pPr>
        <w:pStyle w:val="Caption"/>
      </w:pPr>
      <w:r>
        <w:t xml:space="preserve">Figure </w:t>
      </w:r>
      <w:r w:rsidR="00150C16">
        <w:rPr>
          <w:noProof/>
        </w:rPr>
        <w:fldChar w:fldCharType="begin"/>
      </w:r>
      <w:r w:rsidR="00150C16">
        <w:rPr>
          <w:noProof/>
        </w:rPr>
        <w:instrText xml:space="preserve"> STYLEREF 1 \s </w:instrText>
      </w:r>
      <w:r w:rsidR="00150C16">
        <w:rPr>
          <w:noProof/>
        </w:rPr>
        <w:fldChar w:fldCharType="separate"/>
      </w:r>
      <w:r w:rsidR="00BF178A">
        <w:rPr>
          <w:noProof/>
        </w:rPr>
        <w:t>1</w:t>
      </w:r>
      <w:r w:rsidR="00150C16">
        <w:rPr>
          <w:noProof/>
        </w:rPr>
        <w:fldChar w:fldCharType="end"/>
      </w:r>
      <w:r w:rsidR="00150C16">
        <w:rPr>
          <w:noProof/>
        </w:rPr>
        <w:t>.</w:t>
      </w:r>
      <w:r w:rsidR="00150C16">
        <w:rPr>
          <w:noProof/>
        </w:rPr>
        <w:fldChar w:fldCharType="begin"/>
      </w:r>
      <w:r w:rsidR="00150C16">
        <w:rPr>
          <w:noProof/>
        </w:rPr>
        <w:instrText xml:space="preserve"> SEQ Figure \* ARABIC \s 1 </w:instrText>
      </w:r>
      <w:r w:rsidR="00150C16">
        <w:rPr>
          <w:noProof/>
        </w:rPr>
        <w:fldChar w:fldCharType="separate"/>
      </w:r>
      <w:r w:rsidR="00BF178A">
        <w:rPr>
          <w:noProof/>
        </w:rPr>
        <w:t>1</w:t>
      </w:r>
      <w:r w:rsidR="00150C16">
        <w:rPr>
          <w:noProof/>
        </w:rPr>
        <w:fldChar w:fldCharType="end"/>
      </w:r>
      <w:r>
        <w:t xml:space="preserve"> Global </w:t>
      </w:r>
      <w:r w:rsidR="001235C9">
        <w:t>e</w:t>
      </w:r>
      <w:r>
        <w:t xml:space="preserve">nergy </w:t>
      </w:r>
      <w:r w:rsidR="001235C9">
        <w:t>c</w:t>
      </w:r>
      <w:r>
        <w:t>onsumption by fuel, 2022</w:t>
      </w:r>
    </w:p>
    <w:p w14:paraId="3489BADB" w14:textId="6F78F821" w:rsidR="00EC7EC7" w:rsidRDefault="00181F36" w:rsidP="00EC7EC7">
      <w:pPr>
        <w:pStyle w:val="Note"/>
      </w:pPr>
      <w:r>
        <w:rPr>
          <w:noProof/>
        </w:rPr>
        <w:drawing>
          <wp:inline distT="0" distB="0" distL="0" distR="0" wp14:anchorId="0ED4094B" wp14:editId="7C414C43">
            <wp:extent cx="4060825" cy="2232000"/>
            <wp:effectExtent l="0" t="0" r="0" b="0"/>
            <wp:docPr id="1" name="Chart 1" descr="This figure shows the global energy consumption by fuel type in 2022, measured in Exajoules. Oil is the dominant fuel source, with consumption being 185 Exajoules or 33% of the total energy consumption. Oil is followed by coal (160 Exajoules) and gas (146 Exajoules). Consumption for renewable energy sources and hydrogen is 80 Exajoules, which makes up 15% of the global energy mix, while nuclear power has a 4% share. ">
              <a:extLst xmlns:a="http://schemas.openxmlformats.org/drawingml/2006/main">
                <a:ext uri="{FF2B5EF4-FFF2-40B4-BE49-F238E27FC236}">
                  <a16:creationId xmlns:a16="http://schemas.microsoft.com/office/drawing/2014/main" id="{9ED3125C-F060-43F4-903A-C8732ACE0CCA}"/>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D23C33" w14:textId="77777777" w:rsidR="00EC7EC7" w:rsidRPr="00C62F3A" w:rsidRDefault="00EC7EC7" w:rsidP="00A654B3">
      <w:pPr>
        <w:pStyle w:val="Source"/>
      </w:pPr>
      <w:r>
        <w:t>Notes: Figures are in Exajoules. Primary energy comprises commercially traded fuels including renewables used to generate electricity.</w:t>
      </w:r>
    </w:p>
    <w:p w14:paraId="765C45CB" w14:textId="1F35CB3A" w:rsidR="00EC7EC7" w:rsidRDefault="00EC7EC7" w:rsidP="00A654B3">
      <w:pPr>
        <w:pStyle w:val="Source"/>
      </w:pPr>
      <w:r>
        <w:t>Source: Energy Institute (2023)</w:t>
      </w:r>
    </w:p>
    <w:p w14:paraId="4CEE71B5" w14:textId="6E7F3621" w:rsidR="00EC7EC7" w:rsidRDefault="00EC7EC7" w:rsidP="00C97679">
      <w:pPr>
        <w:pStyle w:val="Caption"/>
      </w:pPr>
      <w:r>
        <w:t xml:space="preserve">Figure </w:t>
      </w:r>
      <w:r w:rsidR="00150C16">
        <w:rPr>
          <w:noProof/>
        </w:rPr>
        <w:fldChar w:fldCharType="begin"/>
      </w:r>
      <w:r w:rsidR="00150C16">
        <w:rPr>
          <w:noProof/>
        </w:rPr>
        <w:instrText xml:space="preserve"> STYLEREF 1 \s </w:instrText>
      </w:r>
      <w:r w:rsidR="00150C16">
        <w:rPr>
          <w:noProof/>
        </w:rPr>
        <w:fldChar w:fldCharType="separate"/>
      </w:r>
      <w:r w:rsidR="00BF178A">
        <w:rPr>
          <w:noProof/>
        </w:rPr>
        <w:t>1</w:t>
      </w:r>
      <w:r w:rsidR="00150C16">
        <w:rPr>
          <w:noProof/>
        </w:rPr>
        <w:fldChar w:fldCharType="end"/>
      </w:r>
      <w:r w:rsidR="00150C16">
        <w:rPr>
          <w:noProof/>
        </w:rPr>
        <w:t>.</w:t>
      </w:r>
      <w:r w:rsidR="00150C16">
        <w:rPr>
          <w:noProof/>
        </w:rPr>
        <w:fldChar w:fldCharType="begin"/>
      </w:r>
      <w:r w:rsidR="00150C16">
        <w:rPr>
          <w:noProof/>
        </w:rPr>
        <w:instrText xml:space="preserve"> SEQ Figure \* ARABIC \s 1 </w:instrText>
      </w:r>
      <w:r w:rsidR="00150C16">
        <w:rPr>
          <w:noProof/>
        </w:rPr>
        <w:fldChar w:fldCharType="separate"/>
      </w:r>
      <w:r w:rsidR="00BF178A">
        <w:rPr>
          <w:noProof/>
        </w:rPr>
        <w:t>2</w:t>
      </w:r>
      <w:r w:rsidR="00150C16">
        <w:rPr>
          <w:noProof/>
        </w:rPr>
        <w:fldChar w:fldCharType="end"/>
      </w:r>
      <w:r>
        <w:t xml:space="preserve">: Australian </w:t>
      </w:r>
      <w:r w:rsidR="001235C9">
        <w:t>e</w:t>
      </w:r>
      <w:r>
        <w:t xml:space="preserve">nergy </w:t>
      </w:r>
      <w:r w:rsidR="001235C9">
        <w:t>c</w:t>
      </w:r>
      <w:r>
        <w:t xml:space="preserve">onsumption by fuel, </w:t>
      </w:r>
      <w:r w:rsidRPr="009837FE">
        <w:t>202</w:t>
      </w:r>
      <w:r w:rsidR="002B77E5">
        <w:t>1</w:t>
      </w:r>
      <w:r w:rsidRPr="009837FE">
        <w:t>–2</w:t>
      </w:r>
      <w:r w:rsidR="002B77E5">
        <w:t>2</w:t>
      </w:r>
    </w:p>
    <w:p w14:paraId="728D1B6C" w14:textId="75F08B71" w:rsidR="00EC7EC7" w:rsidRDefault="00A90B9F" w:rsidP="00EC7EC7">
      <w:pPr>
        <w:pStyle w:val="Note"/>
      </w:pPr>
      <w:r>
        <w:rPr>
          <w:noProof/>
        </w:rPr>
        <w:drawing>
          <wp:inline distT="0" distB="0" distL="0" distR="0" wp14:anchorId="0377E65A" wp14:editId="28B6A180">
            <wp:extent cx="4206875" cy="2232000"/>
            <wp:effectExtent l="0" t="0" r="3175" b="0"/>
            <wp:docPr id="125" name="Chart 125" descr="This figure shows the Australian energy consumption by fuel type in financial year 2021-22, measured in Exajoules. Oil is the most consumed fuel at 2.1 Exajoules, followed by coal (1.6 Exajoules) and gas (1.6 Exajoules). Consumption for renewable energy resources is 0.5 Exajoules. ">
              <a:extLst xmlns:a="http://schemas.openxmlformats.org/drawingml/2006/main">
                <a:ext uri="{FF2B5EF4-FFF2-40B4-BE49-F238E27FC236}">
                  <a16:creationId xmlns:a16="http://schemas.microsoft.com/office/drawing/2014/main" id="{33D889A7-FE16-46A4-8620-8508E522F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61E2F1" w14:textId="77777777" w:rsidR="00EC7EC7" w:rsidRPr="00C62F3A" w:rsidRDefault="00EC7EC7" w:rsidP="00A654B3">
      <w:pPr>
        <w:pStyle w:val="Source"/>
      </w:pPr>
      <w:r>
        <w:t xml:space="preserve">Notes: Figures are in Exajoules. Renewables include hydroelectric generation. </w:t>
      </w:r>
    </w:p>
    <w:p w14:paraId="084BEFD3" w14:textId="4FD7D489" w:rsidR="00EC7EC7" w:rsidRDefault="00EC7EC7" w:rsidP="00A654B3">
      <w:pPr>
        <w:pStyle w:val="Source"/>
      </w:pPr>
      <w:r>
        <w:t xml:space="preserve">Source: </w:t>
      </w:r>
      <w:r w:rsidR="0057269C">
        <w:t>DCCEEW</w:t>
      </w:r>
      <w:r>
        <w:t xml:space="preserve"> (202</w:t>
      </w:r>
      <w:r w:rsidR="00540EAD">
        <w:t>3</w:t>
      </w:r>
      <w:r w:rsidR="009960D8">
        <w:t>b</w:t>
      </w:r>
      <w:r>
        <w:t>)</w:t>
      </w:r>
    </w:p>
    <w:p w14:paraId="739175B6" w14:textId="568AB045" w:rsidR="00EC7EC7" w:rsidRPr="00DA735B" w:rsidRDefault="00EC7EC7" w:rsidP="00EC7EC7">
      <w:pPr>
        <w:pStyle w:val="BodyText"/>
        <w:rPr>
          <w:color w:val="auto"/>
        </w:rPr>
      </w:pPr>
      <w:bookmarkStart w:id="17" w:name="_Hlk146811235"/>
      <w:r w:rsidRPr="00D11C5A">
        <w:lastRenderedPageBreak/>
        <w:t xml:space="preserve">Domestically, gas </w:t>
      </w:r>
      <w:r w:rsidR="007010A0">
        <w:t xml:space="preserve">has become an important component </w:t>
      </w:r>
      <w:r w:rsidRPr="00D11C5A" w:rsidDel="007010A0">
        <w:t>of</w:t>
      </w:r>
      <w:r w:rsidRPr="00D11C5A">
        <w:t xml:space="preserve"> the Australian energy system. Australia used 5,762 </w:t>
      </w:r>
      <w:r w:rsidR="005A4F9B">
        <w:t>petajoules (</w:t>
      </w:r>
      <w:r w:rsidRPr="00D11C5A">
        <w:t>PJ</w:t>
      </w:r>
      <w:r w:rsidR="005A4F9B">
        <w:t>)</w:t>
      </w:r>
      <w:r w:rsidRPr="00D11C5A">
        <w:t xml:space="preserve"> of gross gas in 2021–22 (including gas for LNG production </w:t>
      </w:r>
      <w:r w:rsidR="006A7743">
        <w:t>and</w:t>
      </w:r>
      <w:r w:rsidRPr="00D11C5A">
        <w:t xml:space="preserve"> export). Gas </w:t>
      </w:r>
      <w:r w:rsidR="00767112">
        <w:t>is</w:t>
      </w:r>
      <w:r w:rsidR="006449DF">
        <w:t xml:space="preserve"> </w:t>
      </w:r>
      <w:r w:rsidRPr="00D11C5A">
        <w:t>used in most sectors in the Australian economy due to its responsiveness (it can be turned on and off quickly) and ability to deliver high volumes of heat.</w:t>
      </w:r>
    </w:p>
    <w:p w14:paraId="0EC45D7F" w14:textId="1AF5BE24" w:rsidR="00EC7EC7" w:rsidRDefault="00EC7EC7" w:rsidP="00A61690">
      <w:pPr>
        <w:pStyle w:val="BodyText"/>
        <w:rPr>
          <w:lang w:eastAsia="en-AU"/>
        </w:rPr>
      </w:pPr>
      <w:r w:rsidRPr="00FC7FE8">
        <w:rPr>
          <w:lang w:eastAsia="en-AU"/>
        </w:rPr>
        <w:t xml:space="preserve">Globally, 40% of gas is used </w:t>
      </w:r>
      <w:r w:rsidR="006449DF">
        <w:rPr>
          <w:lang w:eastAsia="en-AU"/>
        </w:rPr>
        <w:t xml:space="preserve">to </w:t>
      </w:r>
      <w:r w:rsidRPr="00FC7FE8">
        <w:rPr>
          <w:lang w:eastAsia="en-AU"/>
        </w:rPr>
        <w:t>produce electricity (Figure 1.</w:t>
      </w:r>
      <w:r w:rsidR="00B46371">
        <w:rPr>
          <w:lang w:eastAsia="en-AU"/>
        </w:rPr>
        <w:t>3</w:t>
      </w:r>
      <w:r w:rsidRPr="00FC7FE8">
        <w:rPr>
          <w:lang w:eastAsia="en-AU"/>
        </w:rPr>
        <w:t xml:space="preserve">). </w:t>
      </w:r>
      <w:r>
        <w:rPr>
          <w:lang w:eastAsia="en-AU"/>
        </w:rPr>
        <w:t xml:space="preserve">Another </w:t>
      </w:r>
      <w:r w:rsidRPr="00FC7FE8">
        <w:rPr>
          <w:lang w:eastAsia="en-AU"/>
        </w:rPr>
        <w:t xml:space="preserve">35% of gas is used in the industrial sector </w:t>
      </w:r>
      <w:r w:rsidR="006449DF">
        <w:rPr>
          <w:lang w:eastAsia="en-AU"/>
        </w:rPr>
        <w:t xml:space="preserve">— </w:t>
      </w:r>
      <w:r w:rsidRPr="00FC7FE8">
        <w:rPr>
          <w:lang w:eastAsia="en-AU"/>
        </w:rPr>
        <w:t>as either a chemical feedstock (mainly</w:t>
      </w:r>
      <w:r>
        <w:rPr>
          <w:lang w:eastAsia="en-AU"/>
        </w:rPr>
        <w:t xml:space="preserve"> to produce </w:t>
      </w:r>
      <w:r w:rsidRPr="00514DAB">
        <w:rPr>
          <w:lang w:eastAsia="en-AU"/>
        </w:rPr>
        <w:t xml:space="preserve">hydrogen as a precursor to nitrogen fixation) </w:t>
      </w:r>
      <w:r>
        <w:rPr>
          <w:lang w:eastAsia="en-AU"/>
        </w:rPr>
        <w:t xml:space="preserve">or as a high-grade source of industrial heat. And 24% of gas is used to fuel (space) heating in buildings. </w:t>
      </w:r>
      <w:r w:rsidRPr="00A350FE">
        <w:rPr>
          <w:lang w:eastAsia="en-AU"/>
        </w:rPr>
        <w:t>This diversity in consumption use differs to coal, where 60% of the fuel is used for thermal generation (electricity), and oil, where 60% is used for transport fuel.</w:t>
      </w:r>
    </w:p>
    <w:p w14:paraId="1C2CA1A2" w14:textId="0DE988E8" w:rsidR="00EC7EC7" w:rsidRDefault="00EC7EC7" w:rsidP="00EC7EC7">
      <w:pPr>
        <w:pStyle w:val="BodyText"/>
        <w:rPr>
          <w:lang w:eastAsia="en-AU"/>
        </w:rPr>
      </w:pPr>
      <w:r>
        <w:rPr>
          <w:lang w:eastAsia="en-AU"/>
        </w:rPr>
        <w:t xml:space="preserve">Gas use varies substantially by geography. In Europe, North America and China, gas plays a large role in space heating for buildings. </w:t>
      </w:r>
      <w:r w:rsidR="006449DF">
        <w:rPr>
          <w:lang w:eastAsia="en-AU"/>
        </w:rPr>
        <w:t>By contrast,</w:t>
      </w:r>
      <w:r w:rsidDel="006449DF">
        <w:rPr>
          <w:lang w:eastAsia="en-AU"/>
        </w:rPr>
        <w:t xml:space="preserve"> </w:t>
      </w:r>
      <w:r w:rsidR="0044286C">
        <w:rPr>
          <w:lang w:eastAsia="en-AU"/>
        </w:rPr>
        <w:t xml:space="preserve">East </w:t>
      </w:r>
      <w:r>
        <w:rPr>
          <w:lang w:eastAsia="en-AU"/>
        </w:rPr>
        <w:t>and Southeast Asia</w:t>
      </w:r>
      <w:r w:rsidR="0044286C">
        <w:rPr>
          <w:lang w:eastAsia="en-AU"/>
        </w:rPr>
        <w:t>n</w:t>
      </w:r>
      <w:r w:rsidR="006449DF">
        <w:rPr>
          <w:lang w:eastAsia="en-AU"/>
        </w:rPr>
        <w:t xml:space="preserve"> </w:t>
      </w:r>
      <w:r>
        <w:rPr>
          <w:lang w:eastAsia="en-AU"/>
        </w:rPr>
        <w:t xml:space="preserve">gas </w:t>
      </w:r>
      <w:r w:rsidR="006449DF">
        <w:rPr>
          <w:lang w:eastAsia="en-AU"/>
        </w:rPr>
        <w:t xml:space="preserve">usage </w:t>
      </w:r>
      <w:r w:rsidDel="006449DF">
        <w:rPr>
          <w:lang w:eastAsia="en-AU"/>
        </w:rPr>
        <w:t xml:space="preserve">is </w:t>
      </w:r>
      <w:r>
        <w:rPr>
          <w:lang w:eastAsia="en-AU"/>
        </w:rPr>
        <w:t xml:space="preserve">more in industry and </w:t>
      </w:r>
      <w:r w:rsidR="006449DF">
        <w:rPr>
          <w:lang w:eastAsia="en-AU"/>
        </w:rPr>
        <w:t xml:space="preserve">in </w:t>
      </w:r>
      <w:r>
        <w:rPr>
          <w:lang w:eastAsia="en-AU"/>
        </w:rPr>
        <w:t>electricity generation.</w:t>
      </w:r>
    </w:p>
    <w:bookmarkEnd w:id="17"/>
    <w:p w14:paraId="77418D47" w14:textId="77777777" w:rsidR="00E118FE" w:rsidRDefault="00E118FE" w:rsidP="00E118FE">
      <w:pPr>
        <w:pStyle w:val="Heading3"/>
      </w:pPr>
      <w:r>
        <w:t>Gas is a complex fuel that is traded less than other fossil fuels</w:t>
      </w:r>
    </w:p>
    <w:p w14:paraId="28D5DD4C" w14:textId="4A40442C" w:rsidR="00E118FE" w:rsidRDefault="00E118FE" w:rsidP="00E118FE">
      <w:pPr>
        <w:pStyle w:val="BodyText"/>
      </w:pPr>
      <w:r>
        <w:t>Gas has low energy density by volume when compared with conventional fuels, such as oil and coal. This feature renders gas expensive to transport and has confined natural gas to generally being a ‘localised commodity’ —globally 75% of all produced gas is consumed domestically compared to 29% of oil (Figure 1.</w:t>
      </w:r>
      <w:r w:rsidR="00B46371">
        <w:t>4</w:t>
      </w:r>
      <w:r>
        <w:t>).</w:t>
      </w:r>
    </w:p>
    <w:p w14:paraId="2B7FE208" w14:textId="2EF723B8" w:rsidR="00E118FE" w:rsidRDefault="00E118FE" w:rsidP="00E118FE">
      <w:pPr>
        <w:pStyle w:val="BodyText"/>
      </w:pPr>
      <w:r>
        <w:t xml:space="preserve">When gas is traded, </w:t>
      </w:r>
      <w:r w:rsidRPr="00FC7FE8">
        <w:t xml:space="preserve">it either involves pumping gas through large, long-distance pipelines or </w:t>
      </w:r>
      <w:r>
        <w:t>cooling</w:t>
      </w:r>
      <w:r w:rsidRPr="00FC7FE8">
        <w:t xml:space="preserve"> gas at very low temperatures (</w:t>
      </w:r>
      <w:r w:rsidRPr="00172BF6">
        <w:t xml:space="preserve">below </w:t>
      </w:r>
      <w:r w:rsidRPr="00FC7FE8">
        <w:t xml:space="preserve">approx. </w:t>
      </w:r>
      <w:r w:rsidRPr="00172BF6">
        <w:t>-161</w:t>
      </w:r>
      <w:r w:rsidRPr="00FC7FE8">
        <w:t>°C)</w:t>
      </w:r>
      <w:r>
        <w:t xml:space="preserve"> to create LNG</w:t>
      </w:r>
      <w:r w:rsidRPr="00FC7FE8">
        <w:t xml:space="preserve"> in highly technical liquefaction facilities</w:t>
      </w:r>
      <w:r>
        <w:t xml:space="preserve"> </w:t>
      </w:r>
      <w:r w:rsidRPr="00A350FE">
        <w:t>for shipping</w:t>
      </w:r>
      <w:r>
        <w:t>.</w:t>
      </w:r>
    </w:p>
    <w:p w14:paraId="180555E7" w14:textId="22A398F2" w:rsidR="00762CB2" w:rsidRDefault="00762CB2" w:rsidP="00E118FE">
      <w:pPr>
        <w:pStyle w:val="BodyText"/>
      </w:pPr>
      <w:r>
        <w:t xml:space="preserve">Both methods involve significant upfront capital costs and often necessitate the construction of large-scale projects. To secure finance to construct such facilities, gas producers have typically agreed </w:t>
      </w:r>
      <w:r w:rsidR="00C544D7">
        <w:t xml:space="preserve">to </w:t>
      </w:r>
      <w:r>
        <w:t>long-term (15</w:t>
      </w:r>
      <w:r w:rsidR="00DB5745">
        <w:t>–</w:t>
      </w:r>
      <w:r>
        <w:t xml:space="preserve">20 year) offtake contracts, providing a level of price and volume security for </w:t>
      </w:r>
      <w:r w:rsidDel="00F337A5">
        <w:t xml:space="preserve">both </w:t>
      </w:r>
      <w:r>
        <w:t>buyers</w:t>
      </w:r>
      <w:r w:rsidDel="00F337A5">
        <w:t xml:space="preserve"> and sellers</w:t>
      </w:r>
      <w:r>
        <w:t>. This security ensures that each party will be able to pay back the high costs associated with establishing their export and import infrastructure.</w:t>
      </w:r>
    </w:p>
    <w:p w14:paraId="77E9F0CF" w14:textId="018C473A" w:rsidR="00B46371" w:rsidRDefault="00B46371" w:rsidP="00C97679">
      <w:pPr>
        <w:pStyle w:val="Caption"/>
      </w:pPr>
      <w:r>
        <w:t xml:space="preserve">Figure </w:t>
      </w:r>
      <w:r>
        <w:rPr>
          <w:noProof/>
        </w:rPr>
        <w:t>1.3</w:t>
      </w:r>
      <w:r>
        <w:t>: Share of natural gas consumption by sector</w:t>
      </w:r>
      <w:r w:rsidR="001235C9">
        <w:t xml:space="preserve"> and </w:t>
      </w:r>
      <w:r>
        <w:t>region, 2022</w:t>
      </w:r>
    </w:p>
    <w:p w14:paraId="64C827D6" w14:textId="412A7DCF" w:rsidR="00B46371" w:rsidRDefault="00181F36" w:rsidP="00B46371">
      <w:pPr>
        <w:pStyle w:val="Note"/>
      </w:pPr>
      <w:r>
        <w:rPr>
          <w:noProof/>
        </w:rPr>
        <w:drawing>
          <wp:inline distT="0" distB="0" distL="0" distR="0" wp14:anchorId="16293F6D" wp14:editId="0C0D46E6">
            <wp:extent cx="4206875" cy="5088255"/>
            <wp:effectExtent l="0" t="0" r="3175" b="0"/>
            <wp:docPr id="8" name="Chart 8" descr="This figure shows the share of gas consumption in 2022 by sector and by region. Globally, 40% of gas is used to produce electricity, another 35% of gas is used in the industrial sector and 24% of gas is used to fuel (space) heating in buildings. The figure also indicates that there are significant regional variations in the share of gas consumption by sector, with Japan, ROK, ASEAN and Taiwan and Africa having the highest share of gas consumption in the power sector, while China and Australia having the highest share of gas consumption in industry.">
              <a:extLst xmlns:a="http://schemas.openxmlformats.org/drawingml/2006/main">
                <a:ext uri="{FF2B5EF4-FFF2-40B4-BE49-F238E27FC236}">
                  <a16:creationId xmlns:a16="http://schemas.microsoft.com/office/drawing/2014/main" id="{668BFFAA-069D-4DF1-8DB9-F8498FCB6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AD39A5" w14:textId="77777777" w:rsidR="00EC7EC7" w:rsidRPr="00C62F3A" w:rsidRDefault="00EC7EC7" w:rsidP="00A654B3">
      <w:pPr>
        <w:pStyle w:val="Source"/>
      </w:pPr>
      <w:r>
        <w:t>Notes: Gas consumption excludes gas used in energy transformation to make LNG. Residential and commercial gas demand is captured in buildings category.</w:t>
      </w:r>
    </w:p>
    <w:p w14:paraId="29896747" w14:textId="77777777" w:rsidR="00EC7EC7" w:rsidRDefault="00EC7EC7" w:rsidP="00A654B3">
      <w:pPr>
        <w:pStyle w:val="Source"/>
      </w:pPr>
      <w:r>
        <w:t>Source: NexantECA (2024)</w:t>
      </w:r>
    </w:p>
    <w:p w14:paraId="7960E8E6" w14:textId="77777777" w:rsidR="00B46371" w:rsidRDefault="00B46371" w:rsidP="00C97679">
      <w:pPr>
        <w:pStyle w:val="Caption"/>
      </w:pPr>
      <w:r>
        <w:t xml:space="preserve">Figure </w:t>
      </w:r>
      <w:r>
        <w:rPr>
          <w:noProof/>
        </w:rPr>
        <w:t>1.4</w:t>
      </w:r>
      <w:r>
        <w:t>: Global gas consumption by source, 2022</w:t>
      </w:r>
    </w:p>
    <w:p w14:paraId="15D3B7BE" w14:textId="3A37CA88" w:rsidR="00B46371" w:rsidRDefault="00BF5240" w:rsidP="00B46371">
      <w:pPr>
        <w:pStyle w:val="Note"/>
      </w:pPr>
      <w:r>
        <w:rPr>
          <w:noProof/>
        </w:rPr>
        <mc:AlternateContent>
          <mc:Choice Requires="wpg">
            <w:drawing>
              <wp:anchor distT="0" distB="0" distL="114300" distR="114300" simplePos="0" relativeHeight="251658240" behindDoc="0" locked="0" layoutInCell="1" allowOverlap="1" wp14:anchorId="09618D10" wp14:editId="06880BE7">
                <wp:simplePos x="0" y="0"/>
                <wp:positionH relativeFrom="column">
                  <wp:posOffset>1881963</wp:posOffset>
                </wp:positionH>
                <wp:positionV relativeFrom="paragraph">
                  <wp:posOffset>301300</wp:posOffset>
                </wp:positionV>
                <wp:extent cx="2131385" cy="2514600"/>
                <wp:effectExtent l="0" t="0" r="0" b="1905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31385" cy="2514600"/>
                          <a:chOff x="0" y="0"/>
                          <a:chExt cx="2131385" cy="2514600"/>
                        </a:xfrm>
                      </wpg:grpSpPr>
                      <wps:wsp>
                        <wps:cNvPr id="4" name="Right Brace 4"/>
                        <wps:cNvSpPr/>
                        <wps:spPr>
                          <a:xfrm>
                            <a:off x="0" y="0"/>
                            <a:ext cx="237490" cy="2514600"/>
                          </a:xfrm>
                          <a:prstGeom prst="rightBrac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rap="square"/>
                      </wps:wsp>
                      <wps:wsp>
                        <wps:cNvPr id="16" name="Text Box 16"/>
                        <wps:cNvSpPr txBox="1"/>
                        <wps:spPr>
                          <a:xfrm>
                            <a:off x="202018" y="1116419"/>
                            <a:ext cx="1419225" cy="283210"/>
                          </a:xfrm>
                          <a:prstGeom prst="rect">
                            <a:avLst/>
                          </a:prstGeom>
                        </wps:spPr>
                        <wps:txbx>
                          <w:txbxContent>
                            <w:p w14:paraId="22571FF1" w14:textId="77777777" w:rsidR="00500A1F" w:rsidRDefault="00500A1F" w:rsidP="00500A1F">
                              <w:pPr>
                                <w:rPr>
                                  <w:rFonts w:asciiTheme="minorHAnsi" w:hAnsi="Arial"/>
                                </w:rPr>
                              </w:pPr>
                              <w:r>
                                <w:rPr>
                                  <w:rFonts w:asciiTheme="minorHAnsi" w:hAnsi="Arial"/>
                                </w:rPr>
                                <w:t xml:space="preserve">75% </w:t>
                              </w:r>
                              <w:r>
                                <w:rPr>
                                  <w:rFonts w:ascii="Arial" w:hAnsi="Arial" w:cs="Arial"/>
                                </w:rPr>
                                <w:t>vs</w:t>
                              </w:r>
                              <w:r>
                                <w:rPr>
                                  <w:rFonts w:asciiTheme="minorHAnsi" w:hAnsi="Arial"/>
                                </w:rPr>
                                <w:t xml:space="preserve"> 29% for oil</w:t>
                              </w:r>
                            </w:p>
                          </w:txbxContent>
                        </wps:txbx>
                        <wps:bodyPr wrap="square" rtlCol="0"/>
                      </wps:wsp>
                      <wps:wsp>
                        <wps:cNvPr id="26" name="Right Brace 26"/>
                        <wps:cNvSpPr/>
                        <wps:spPr>
                          <a:xfrm rot="16200000">
                            <a:off x="1395723" y="1714699"/>
                            <a:ext cx="267970" cy="980440"/>
                          </a:xfrm>
                          <a:prstGeom prst="rightBrac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rap="square"/>
                      </wps:wsp>
                      <wps:wsp>
                        <wps:cNvPr id="36" name="Text Box 36"/>
                        <wps:cNvSpPr txBox="1"/>
                        <wps:spPr>
                          <a:xfrm>
                            <a:off x="893135" y="1786270"/>
                            <a:ext cx="1238250" cy="332740"/>
                          </a:xfrm>
                          <a:prstGeom prst="rect">
                            <a:avLst/>
                          </a:prstGeom>
                        </wps:spPr>
                        <wps:txbx>
                          <w:txbxContent>
                            <w:p w14:paraId="25399549" w14:textId="77777777" w:rsidR="00500A1F" w:rsidRDefault="00500A1F" w:rsidP="00500A1F">
                              <w:pPr>
                                <w:jc w:val="center"/>
                                <w:rPr>
                                  <w:rFonts w:asciiTheme="minorHAnsi" w:hAnsi="Arial"/>
                                </w:rPr>
                              </w:pPr>
                              <w:r>
                                <w:rPr>
                                  <w:rFonts w:asciiTheme="minorHAnsi" w:hAnsi="Arial"/>
                                </w:rPr>
                                <w:t>LNG: 14%</w:t>
                              </w:r>
                            </w:p>
                          </w:txbxContent>
                        </wps:txbx>
                        <wps:bodyPr wrap="square" rtlCol="0" anchor="ctr"/>
                      </wps:wsp>
                    </wpg:wgp>
                  </a:graphicData>
                </a:graphic>
              </wp:anchor>
            </w:drawing>
          </mc:Choice>
          <mc:Fallback>
            <w:pict>
              <v:group w14:anchorId="09618D10" id="Group 19" o:spid="_x0000_s1029" alt="&quot;&quot;" style="position:absolute;margin-left:148.2pt;margin-top:23.7pt;width:167.85pt;height:198pt;z-index:251658240;mso-position-horizontal-relative:text;mso-position-vertical-relative:text" coordsize="2131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30" type="#_x0000_t88" style="position:absolute;width:2374;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" adj="170" strokecolor="windowText"/>
                <v:shape id="Text Box 16" o:spid="_x0000_s1031" type="#_x0000_t202" style="position:absolute;left:2020;top:11164;width:1419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2571FF1" w14:textId="77777777" w:rsidR="00500A1F" w:rsidRDefault="00500A1F" w:rsidP="00500A1F">
                        <w:pPr>
                          <w:rPr>
                            <w:rFonts w:asciiTheme="minorHAnsi" w:hAnsi="Arial"/>
                          </w:rPr>
                        </w:pPr>
                        <w:r>
                          <w:rPr>
                            <w:rFonts w:asciiTheme="minorHAnsi" w:hAnsi="Arial"/>
                          </w:rPr>
                          <w:t xml:space="preserve">75% </w:t>
                        </w:r>
                        <w:r>
                          <w:rPr>
                            <w:rFonts w:ascii="Arial" w:hAnsi="Arial" w:cs="Arial"/>
                          </w:rPr>
                          <w:t>vs</w:t>
                        </w:r>
                        <w:r>
                          <w:rPr>
                            <w:rFonts w:asciiTheme="minorHAnsi" w:hAnsi="Arial"/>
                          </w:rPr>
                          <w:t xml:space="preserve"> 29% for oil</w:t>
                        </w:r>
                      </w:p>
                    </w:txbxContent>
                  </v:textbox>
                </v:shape>
                <v:shape id="Right Brace 26" o:spid="_x0000_s1032" type="#_x0000_t88" style="position:absolute;left:13957;top:17146;width:2680;height:98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" adj="492" strokecolor="windowText"/>
                <v:shape id="Text Box 36" o:spid="_x0000_s1033" type="#_x0000_t202" style="position:absolute;left:8931;top:17862;width:12382;height: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25399549" w14:textId="77777777" w:rsidR="00500A1F" w:rsidRDefault="00500A1F" w:rsidP="00500A1F">
                        <w:pPr>
                          <w:jc w:val="center"/>
                          <w:rPr>
                            <w:rFonts w:asciiTheme="minorHAnsi" w:hAnsi="Arial"/>
                          </w:rPr>
                        </w:pPr>
                        <w:r>
                          <w:rPr>
                            <w:rFonts w:asciiTheme="minorHAnsi" w:hAnsi="Arial"/>
                          </w:rPr>
                          <w:t>LNG: 14%</w:t>
                        </w:r>
                      </w:p>
                    </w:txbxContent>
                  </v:textbox>
                </v:shape>
              </v:group>
            </w:pict>
          </mc:Fallback>
        </mc:AlternateContent>
      </w:r>
      <w:r w:rsidR="00B46371" w:rsidRPr="005C35F5">
        <w:rPr>
          <w:noProof/>
        </w:rPr>
        <w:t xml:space="preserve"> </w:t>
      </w:r>
      <w:r w:rsidR="00500A1F">
        <w:rPr>
          <w:noProof/>
        </w:rPr>
        <w:drawing>
          <wp:inline distT="0" distB="0" distL="0" distR="0" wp14:anchorId="31E89A50" wp14:editId="1D22B852">
            <wp:extent cx="4206875" cy="4648200"/>
            <wp:effectExtent l="0" t="0" r="3175" b="0"/>
            <wp:docPr id="37" name="Chart 37" descr="This figure shows global gas consumption by source in 2022. 75% of all produced gas is consumed domestically (compared to 29% of oil); 14% of all produced gas is consumed by other regions via contracted or short-term LNG and the rest 11% by inter-regional pipeline.">
              <a:extLst xmlns:a="http://schemas.openxmlformats.org/drawingml/2006/main">
                <a:ext uri="{FF2B5EF4-FFF2-40B4-BE49-F238E27FC236}">
                  <a16:creationId xmlns:a16="http://schemas.microsoft.com/office/drawing/2014/main" id="{134C9E81-8806-4F0F-A364-0AC1ABA0D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3CB4FC" w14:textId="5E463230" w:rsidR="00B46371" w:rsidRPr="00C62F3A" w:rsidRDefault="00B46371" w:rsidP="00932AAD">
      <w:pPr>
        <w:pStyle w:val="Source"/>
      </w:pPr>
      <w:r>
        <w:t xml:space="preserve">Notes: Locally consumed gas is inferred as the difference between total gas consumption and total gas trade. </w:t>
      </w:r>
      <w:r w:rsidR="00387122">
        <w:t>Pipeline trade data was sourced from Bloomberg and LNG data was sourced from GIIGNL.</w:t>
      </w:r>
    </w:p>
    <w:p w14:paraId="11F813E5" w14:textId="133277C3" w:rsidR="00B46371" w:rsidRDefault="00B46371" w:rsidP="00932AAD">
      <w:pPr>
        <w:pStyle w:val="Source"/>
      </w:pPr>
      <w:r>
        <w:t xml:space="preserve">Source: Bloomberg </w:t>
      </w:r>
      <w:r w:rsidR="00387122">
        <w:t xml:space="preserve">L.P </w:t>
      </w:r>
      <w:r>
        <w:t xml:space="preserve">(2024); </w:t>
      </w:r>
      <w:r w:rsidRPr="009837FE">
        <w:t>Energy Institute (2023)</w:t>
      </w:r>
      <w:r>
        <w:t>; GIIGNL (2023)</w:t>
      </w:r>
    </w:p>
    <w:p w14:paraId="1C4BF2BC" w14:textId="77777777" w:rsidR="00F67AD3" w:rsidRDefault="00F67AD3" w:rsidP="00F22071">
      <w:pPr>
        <w:pStyle w:val="BodyText"/>
        <w:spacing w:before="120"/>
      </w:pPr>
      <w:r w:rsidRPr="00514DAB">
        <w:t xml:space="preserve">The high upfront costs associated with constructing this infrastructure means that Australia has </w:t>
      </w:r>
      <w:r>
        <w:t>historically r</w:t>
      </w:r>
      <w:r w:rsidRPr="00514DAB">
        <w:t>el</w:t>
      </w:r>
      <w:r>
        <w:t>ied</w:t>
      </w:r>
      <w:r w:rsidRPr="00514DAB">
        <w:t xml:space="preserve"> on large flows of foreign direct investment to finance the construction of our export facilities.</w:t>
      </w:r>
    </w:p>
    <w:p w14:paraId="579DEE62" w14:textId="77777777" w:rsidR="00EC7EC7" w:rsidRDefault="00EC7EC7" w:rsidP="00762CB2">
      <w:pPr>
        <w:pStyle w:val="Heading3"/>
        <w:spacing w:before="240"/>
      </w:pPr>
      <w:r>
        <w:t>Global LNG trade has grown rapidly this century</w:t>
      </w:r>
    </w:p>
    <w:p w14:paraId="48040609" w14:textId="5A0CE38C" w:rsidR="00EC7EC7" w:rsidRDefault="00EC7EC7" w:rsidP="00EC7EC7">
      <w:pPr>
        <w:pStyle w:val="BodyText"/>
      </w:pPr>
      <w:r>
        <w:t xml:space="preserve">Between 2000 and 2022, global LNG trade roughly tripled from 140 </w:t>
      </w:r>
      <w:r w:rsidR="0059331F">
        <w:t>billion cubic me</w:t>
      </w:r>
      <w:r w:rsidR="00243E1F">
        <w:t>t</w:t>
      </w:r>
      <w:r w:rsidR="0059331F">
        <w:t>r</w:t>
      </w:r>
      <w:r w:rsidR="00243E1F">
        <w:t>e</w:t>
      </w:r>
      <w:r w:rsidR="0059331F">
        <w:t>s (</w:t>
      </w:r>
      <w:r>
        <w:t>bcm</w:t>
      </w:r>
      <w:r w:rsidR="0059331F">
        <w:t>)</w:t>
      </w:r>
      <w:r>
        <w:t xml:space="preserve"> to 542 bcm — an annualised growth rate of 6% (</w:t>
      </w:r>
      <w:r w:rsidRPr="00FC7FE8">
        <w:t>Figure 1.</w:t>
      </w:r>
      <w:r w:rsidR="00ED2F4A">
        <w:t>5</w:t>
      </w:r>
      <w:r w:rsidRPr="00FC7FE8">
        <w:t>). Geographically</w:t>
      </w:r>
      <w:r>
        <w:t xml:space="preserve">, the demand for LNG has been concentrated in </w:t>
      </w:r>
      <w:r w:rsidR="001E4E51">
        <w:t>E</w:t>
      </w:r>
      <w:r>
        <w:t xml:space="preserve">ast Asia, where it is used almost exclusively to generate electricity. </w:t>
      </w:r>
    </w:p>
    <w:p w14:paraId="5D685425" w14:textId="115C806C" w:rsidR="00EC7EC7" w:rsidRDefault="00EC7EC7" w:rsidP="00EC7EC7">
      <w:pPr>
        <w:pStyle w:val="BodyText"/>
      </w:pPr>
      <w:r w:rsidRPr="00300032">
        <w:t xml:space="preserve">There has been rapid </w:t>
      </w:r>
      <w:r w:rsidR="005B4547">
        <w:t xml:space="preserve">global </w:t>
      </w:r>
      <w:r w:rsidRPr="00300032">
        <w:t xml:space="preserve">development of LNG export and import capacity. </w:t>
      </w:r>
      <w:r w:rsidR="00E6315E">
        <w:t>F</w:t>
      </w:r>
      <w:r w:rsidR="00E6315E" w:rsidRPr="00300032">
        <w:t xml:space="preserve">rom 2013 to 2022, </w:t>
      </w:r>
      <w:r w:rsidR="00E6315E">
        <w:t>g</w:t>
      </w:r>
      <w:r w:rsidRPr="00300032">
        <w:t xml:space="preserve">lobal LNG import capacity </w:t>
      </w:r>
      <w:r w:rsidR="00E6315E">
        <w:t>grew</w:t>
      </w:r>
      <w:r w:rsidRPr="00300032">
        <w:t xml:space="preserve"> by almost 50% across 48 countries and now sits at approximately 4 bcm per day. In the near term, the Asian and European regions are expected to lead growth in import capacity installation. China, India, Germany, Cyprus, and Brazil </w:t>
      </w:r>
      <w:r>
        <w:t xml:space="preserve">are </w:t>
      </w:r>
      <w:r w:rsidRPr="00300032">
        <w:t>all in the process of building terminals, and New Zealand is considering adding capacity. This expansion of LNG import capacity is consistent with a path of strong growth in LNG demand. This aligns with the IEA’s STEPS</w:t>
      </w:r>
      <w:r>
        <w:t xml:space="preserve"> scenario</w:t>
      </w:r>
      <w:r w:rsidRPr="00300032">
        <w:t xml:space="preserve">, but not </w:t>
      </w:r>
      <w:r w:rsidR="00602228">
        <w:t>its</w:t>
      </w:r>
      <w:r w:rsidRPr="00300032">
        <w:t xml:space="preserve"> </w:t>
      </w:r>
      <w:r>
        <w:t>‘</w:t>
      </w:r>
      <w:r w:rsidRPr="00300032">
        <w:t>net zero</w:t>
      </w:r>
      <w:r>
        <w:t>’</w:t>
      </w:r>
      <w:r w:rsidRPr="00300032">
        <w:t xml:space="preserve"> pathway</w:t>
      </w:r>
      <w:r>
        <w:t xml:space="preserve">. </w:t>
      </w:r>
    </w:p>
    <w:p w14:paraId="0670F739" w14:textId="446C334A" w:rsidR="00EC7EC7" w:rsidRDefault="00EC7EC7" w:rsidP="00C97679">
      <w:pPr>
        <w:pStyle w:val="Caption"/>
      </w:pPr>
      <w:r>
        <w:t xml:space="preserve">Figure </w:t>
      </w:r>
      <w:r>
        <w:rPr>
          <w:noProof/>
        </w:rPr>
        <w:t>1.</w:t>
      </w:r>
      <w:r w:rsidR="00ED2F4A">
        <w:rPr>
          <w:noProof/>
        </w:rPr>
        <w:t>5</w:t>
      </w:r>
      <w:r>
        <w:t xml:space="preserve">: Global </w:t>
      </w:r>
      <w:r w:rsidR="002B7524">
        <w:t>g</w:t>
      </w:r>
      <w:r>
        <w:t xml:space="preserve">as </w:t>
      </w:r>
      <w:r w:rsidR="002B7524">
        <w:t>t</w:t>
      </w:r>
      <w:r>
        <w:t>rade, 2000</w:t>
      </w:r>
      <w:r w:rsidR="002B7524">
        <w:t xml:space="preserve"> to </w:t>
      </w:r>
      <w:r>
        <w:t>2022</w:t>
      </w:r>
    </w:p>
    <w:p w14:paraId="36C8E8C6" w14:textId="25FDE7EC" w:rsidR="00EC7EC7" w:rsidRDefault="00E35185" w:rsidP="00EC7EC7">
      <w:pPr>
        <w:pStyle w:val="Note"/>
      </w:pPr>
      <w:r>
        <w:rPr>
          <w:noProof/>
        </w:rPr>
        <w:drawing>
          <wp:inline distT="0" distB="0" distL="0" distR="0" wp14:anchorId="18B7135E" wp14:editId="3C56C925">
            <wp:extent cx="4206875" cy="2621280"/>
            <wp:effectExtent l="0" t="0" r="3175" b="7620"/>
            <wp:docPr id="41" name="Chart 41" descr="The figure shows the global gas trade, including pipeline and LNG trade measured in bcm, from 2000 to 2022. The figures indicates that the global gas pipeline trade volumes have been consistent, ranging between 400 and 500 bcm. In contrast, the global LNG trade has experienced a significant expansion, tripling from 140 bcm to 542 bcm — an annual growth rate of 6%. LNG trade volumes also exceeded those of pipeline trade for the first time in 2019.">
              <a:extLst xmlns:a="http://schemas.openxmlformats.org/drawingml/2006/main">
                <a:ext uri="{FF2B5EF4-FFF2-40B4-BE49-F238E27FC236}">
                  <a16:creationId xmlns:a16="http://schemas.microsoft.com/office/drawing/2014/main" id="{EA54AC14-D6CF-4B4F-91A2-C13F0B636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96CE11" w14:textId="664077CB" w:rsidR="00EC7EC7" w:rsidRPr="00932AAD" w:rsidRDefault="00EC7EC7" w:rsidP="00932AAD">
      <w:pPr>
        <w:pStyle w:val="Source"/>
      </w:pPr>
      <w:r w:rsidRPr="00932AAD">
        <w:t>Source: Energy Institute (2023)</w:t>
      </w:r>
    </w:p>
    <w:p w14:paraId="386C4FB9" w14:textId="77777777" w:rsidR="00EC7EC7" w:rsidRPr="00300032" w:rsidRDefault="00EC7EC7" w:rsidP="009F405D">
      <w:pPr>
        <w:pStyle w:val="Heading3"/>
        <w:rPr>
          <w:rFonts w:asciiTheme="minorHAnsi" w:hAnsiTheme="minorHAnsi" w:cstheme="minorHAnsi"/>
          <w:bCs w:val="0"/>
        </w:rPr>
      </w:pPr>
      <w:r w:rsidRPr="00300032">
        <w:t xml:space="preserve">Australia’s LNG export growth has outpaced global growth </w:t>
      </w:r>
    </w:p>
    <w:p w14:paraId="2E3B351D" w14:textId="4DD72F12" w:rsidR="00EC7EC7" w:rsidRDefault="00EC7EC7" w:rsidP="00EC7EC7">
      <w:pPr>
        <w:pStyle w:val="BodyText"/>
        <w:rPr>
          <w:lang w:eastAsia="en-AU"/>
        </w:rPr>
      </w:pPr>
      <w:r w:rsidRPr="00612868">
        <w:rPr>
          <w:lang w:eastAsia="en-AU"/>
        </w:rPr>
        <w:t>Australia’s LNG exports play an important role in the global gas landscape.</w:t>
      </w:r>
      <w:r w:rsidRPr="00300032">
        <w:rPr>
          <w:rFonts w:asciiTheme="minorHAnsi" w:hAnsiTheme="minorHAnsi" w:cstheme="minorHAnsi"/>
          <w:bCs/>
          <w:color w:val="auto"/>
        </w:rPr>
        <w:t xml:space="preserve"> </w:t>
      </w:r>
      <w:r w:rsidRPr="007D48B8">
        <w:rPr>
          <w:lang w:eastAsia="en-AU"/>
        </w:rPr>
        <w:t>In 2022,</w:t>
      </w:r>
      <w:r>
        <w:rPr>
          <w:lang w:eastAsia="en-AU"/>
        </w:rPr>
        <w:t xml:space="preserve"> Australia produced 152 bcm of natural gas,</w:t>
      </w:r>
      <w:r w:rsidRPr="007D48B8">
        <w:rPr>
          <w:lang w:eastAsia="en-AU"/>
        </w:rPr>
        <w:t xml:space="preserve"> </w:t>
      </w:r>
      <w:r>
        <w:rPr>
          <w:lang w:eastAsia="en-AU"/>
        </w:rPr>
        <w:t xml:space="preserve">of which just under three quarters (111 bcm) was exported as LNG. While Australia accounted for less than 4% of global gas production in 2022, Australia was the largest </w:t>
      </w:r>
      <w:r w:rsidRPr="00FC7FE8">
        <w:rPr>
          <w:lang w:eastAsia="en-AU"/>
        </w:rPr>
        <w:t>global LNG exporter — accounting for 20% of the global LNG trade (Figure 1.</w:t>
      </w:r>
      <w:r w:rsidR="00ED2F4A">
        <w:rPr>
          <w:lang w:eastAsia="en-AU"/>
        </w:rPr>
        <w:t>6</w:t>
      </w:r>
      <w:r w:rsidRPr="00FC7FE8">
        <w:rPr>
          <w:lang w:eastAsia="en-AU"/>
        </w:rPr>
        <w:t>).</w:t>
      </w:r>
      <w:r w:rsidRPr="007D48B8">
        <w:rPr>
          <w:lang w:eastAsia="en-AU"/>
        </w:rPr>
        <w:t xml:space="preserve"> </w:t>
      </w:r>
    </w:p>
    <w:p w14:paraId="09DFED02" w14:textId="030C0BCA" w:rsidR="00EC7EC7" w:rsidRDefault="00EC7EC7" w:rsidP="00EC7EC7">
      <w:pPr>
        <w:pStyle w:val="BodyText"/>
        <w:rPr>
          <w:lang w:eastAsia="en-AU"/>
        </w:rPr>
      </w:pPr>
      <w:r>
        <w:rPr>
          <w:lang w:val="en"/>
        </w:rPr>
        <w:t xml:space="preserve">Australia’s role as a significant net exporter of gas </w:t>
      </w:r>
      <w:r w:rsidR="009D1CCC">
        <w:rPr>
          <w:lang w:val="en"/>
        </w:rPr>
        <w:t xml:space="preserve">has </w:t>
      </w:r>
      <w:r>
        <w:rPr>
          <w:lang w:val="en"/>
        </w:rPr>
        <w:t>only emerged in the past 20 years</w:t>
      </w:r>
      <w:r w:rsidR="009D1CCC">
        <w:rPr>
          <w:lang w:val="en"/>
        </w:rPr>
        <w:t xml:space="preserve">, coming </w:t>
      </w:r>
      <w:r>
        <w:rPr>
          <w:lang w:val="en"/>
        </w:rPr>
        <w:t xml:space="preserve">on the back of dramatic growth in </w:t>
      </w:r>
      <w:r>
        <w:rPr>
          <w:lang w:eastAsia="en-AU"/>
        </w:rPr>
        <w:t xml:space="preserve">Australian gas production and exports. In 12 years, our LNG exports quintupled from 21 bcm in 2010 to 111 bcm in 2022 — an annualised growth rate of 14%. </w:t>
      </w:r>
    </w:p>
    <w:p w14:paraId="6E942C02" w14:textId="70A2CDCE" w:rsidR="00EC7EC7" w:rsidRDefault="00EC7EC7" w:rsidP="00C97679">
      <w:pPr>
        <w:pStyle w:val="Caption"/>
      </w:pPr>
      <w:r>
        <w:t xml:space="preserve">Figure </w:t>
      </w:r>
      <w:r>
        <w:rPr>
          <w:noProof/>
        </w:rPr>
        <w:t>1.</w:t>
      </w:r>
      <w:r w:rsidR="00ED2F4A">
        <w:rPr>
          <w:noProof/>
        </w:rPr>
        <w:t>6</w:t>
      </w:r>
      <w:r>
        <w:t xml:space="preserve">: Australian </w:t>
      </w:r>
      <w:r w:rsidR="00DA36E8">
        <w:t>gas</w:t>
      </w:r>
      <w:r>
        <w:t xml:space="preserve"> production, 1970</w:t>
      </w:r>
      <w:r w:rsidR="00065AE4">
        <w:t xml:space="preserve"> to </w:t>
      </w:r>
      <w:r>
        <w:t>2022</w:t>
      </w:r>
    </w:p>
    <w:p w14:paraId="4569311A" w14:textId="1FC574C5" w:rsidR="00EC7EC7" w:rsidRDefault="00E35185" w:rsidP="00EC7EC7">
      <w:pPr>
        <w:pStyle w:val="Note"/>
      </w:pPr>
      <w:r>
        <w:rPr>
          <w:noProof/>
        </w:rPr>
        <w:drawing>
          <wp:inline distT="0" distB="0" distL="0" distR="0" wp14:anchorId="751D6F2C" wp14:editId="3F6E55DA">
            <wp:extent cx="4206875" cy="2524125"/>
            <wp:effectExtent l="0" t="0" r="3175" b="0"/>
            <wp:docPr id="44" name="Chart 44" descr="The figure shows the Australian gas production by end use from 1970 to 2022, measured in bcm. The figure indicates that Australian domestic gas consumption has maintained a stable and gradual upward trend. In contrast, LNG exports have soared significantly, from around 40 bcm in 2010 to over 150 bcm in 2022. Australia was one of the largest global LNG exporters in 2022—accounting for around 20% of global LNG trade.">
              <a:extLst xmlns:a="http://schemas.openxmlformats.org/drawingml/2006/main">
                <a:ext uri="{FF2B5EF4-FFF2-40B4-BE49-F238E27FC236}">
                  <a16:creationId xmlns:a16="http://schemas.microsoft.com/office/drawing/2014/main" id="{3A6BBAD8-90BA-4D89-9624-715259094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8D8D55" w14:textId="59F21293" w:rsidR="00EC7EC7" w:rsidRPr="00C62F3A" w:rsidRDefault="00EC7EC7" w:rsidP="00932AAD">
      <w:pPr>
        <w:pStyle w:val="Source"/>
      </w:pPr>
      <w:r>
        <w:t xml:space="preserve">Notes: Exports are implied as the difference between Australian production and consumption. </w:t>
      </w:r>
      <w:r w:rsidR="00E35185">
        <w:t xml:space="preserve">Data on </w:t>
      </w:r>
      <w:r>
        <w:t>LNG trade is not available prior to 2000.</w:t>
      </w:r>
    </w:p>
    <w:p w14:paraId="2473DC62" w14:textId="141F02C8" w:rsidR="00EC7EC7" w:rsidRDefault="00EC7EC7" w:rsidP="00932AAD">
      <w:pPr>
        <w:pStyle w:val="Source"/>
      </w:pPr>
      <w:r>
        <w:t xml:space="preserve">Source: </w:t>
      </w:r>
      <w:r w:rsidRPr="009837FE">
        <w:t>Energy Institute (2023)</w:t>
      </w:r>
    </w:p>
    <w:p w14:paraId="4E2001A8" w14:textId="77777777" w:rsidR="003E1419" w:rsidRDefault="003E1419" w:rsidP="003E1419">
      <w:pPr>
        <w:pStyle w:val="Heading3"/>
        <w:rPr>
          <w:lang w:eastAsia="en-AU"/>
        </w:rPr>
      </w:pPr>
      <w:r>
        <w:rPr>
          <w:lang w:eastAsia="en-AU"/>
        </w:rPr>
        <w:t>Australian LNG is mainly exported to gas markets in East Asia</w:t>
      </w:r>
    </w:p>
    <w:p w14:paraId="3CEC6B5D" w14:textId="5C664BFC" w:rsidR="003E1419" w:rsidRDefault="003E1419" w:rsidP="003E1419">
      <w:pPr>
        <w:pStyle w:val="ListBullet"/>
        <w:numPr>
          <w:ilvl w:val="0"/>
          <w:numId w:val="0"/>
        </w:numPr>
        <w:jc w:val="left"/>
        <w:rPr>
          <w:lang w:eastAsia="en-AU"/>
        </w:rPr>
      </w:pPr>
      <w:r w:rsidRPr="00162BEE">
        <w:rPr>
          <w:lang w:eastAsia="en-AU"/>
        </w:rPr>
        <w:t>Unlike most gas markets where gas is primarily supplied from local sources</w:t>
      </w:r>
      <w:r>
        <w:rPr>
          <w:lang w:eastAsia="en-AU"/>
        </w:rPr>
        <w:t>,</w:t>
      </w:r>
      <w:r w:rsidRPr="00162BEE">
        <w:rPr>
          <w:lang w:eastAsia="en-AU"/>
        </w:rPr>
        <w:t xml:space="preserve"> </w:t>
      </w:r>
      <w:r>
        <w:rPr>
          <w:lang w:eastAsia="en-AU"/>
        </w:rPr>
        <w:t>generally</w:t>
      </w:r>
      <w:r w:rsidRPr="00162BEE">
        <w:rPr>
          <w:lang w:eastAsia="en-AU"/>
        </w:rPr>
        <w:t xml:space="preserve"> gas in </w:t>
      </w:r>
      <w:r>
        <w:rPr>
          <w:lang w:eastAsia="en-AU"/>
        </w:rPr>
        <w:t>East</w:t>
      </w:r>
      <w:r w:rsidRPr="00162BEE">
        <w:rPr>
          <w:lang w:eastAsia="en-AU"/>
        </w:rPr>
        <w:t xml:space="preserve"> Asia is primarily supplied via LNG imports. These imports tend to be </w:t>
      </w:r>
      <w:r>
        <w:rPr>
          <w:lang w:eastAsia="en-AU"/>
        </w:rPr>
        <w:t>utilised in</w:t>
      </w:r>
      <w:r w:rsidRPr="00162BEE">
        <w:rPr>
          <w:lang w:eastAsia="en-AU"/>
        </w:rPr>
        <w:t xml:space="preserve"> high value end uses</w:t>
      </w:r>
      <w:r>
        <w:rPr>
          <w:lang w:eastAsia="en-AU"/>
        </w:rPr>
        <w:t>.</w:t>
      </w:r>
    </w:p>
    <w:p w14:paraId="54DFA6C0" w14:textId="1C37E16E" w:rsidR="003E1419" w:rsidRDefault="003E1419" w:rsidP="003E1419">
      <w:pPr>
        <w:pStyle w:val="ListBullet"/>
        <w:numPr>
          <w:ilvl w:val="0"/>
          <w:numId w:val="0"/>
        </w:numPr>
        <w:jc w:val="left"/>
        <w:rPr>
          <w:lang w:eastAsia="en-AU"/>
        </w:rPr>
      </w:pPr>
      <w:r>
        <w:rPr>
          <w:lang w:eastAsia="en-AU"/>
        </w:rPr>
        <w:t>Australia’s LNG exports are concentrated across four economies in Asia: Japan, China, Republic of Korea (</w:t>
      </w:r>
      <w:r w:rsidDel="00D2286F">
        <w:rPr>
          <w:lang w:eastAsia="en-AU"/>
        </w:rPr>
        <w:t>ROK)</w:t>
      </w:r>
      <w:r>
        <w:rPr>
          <w:lang w:eastAsia="en-AU"/>
        </w:rPr>
        <w:t xml:space="preserve"> and Taiwan. In 202</w:t>
      </w:r>
      <w:r w:rsidR="0012753F">
        <w:rPr>
          <w:lang w:eastAsia="en-AU"/>
        </w:rPr>
        <w:t>2</w:t>
      </w:r>
      <w:r>
        <w:rPr>
          <w:lang w:eastAsia="en-AU"/>
        </w:rPr>
        <w:t>–2</w:t>
      </w:r>
      <w:r w:rsidR="0012753F">
        <w:rPr>
          <w:lang w:eastAsia="en-AU"/>
        </w:rPr>
        <w:t>3</w:t>
      </w:r>
      <w:r>
        <w:rPr>
          <w:lang w:eastAsia="en-AU"/>
        </w:rPr>
        <w:t>, t</w:t>
      </w:r>
      <w:r w:rsidRPr="005F040A">
        <w:rPr>
          <w:lang w:eastAsia="en-AU"/>
        </w:rPr>
        <w:t xml:space="preserve">he export earnings derived from these </w:t>
      </w:r>
      <w:r>
        <w:rPr>
          <w:lang w:eastAsia="en-AU"/>
        </w:rPr>
        <w:t xml:space="preserve">four buyers </w:t>
      </w:r>
      <w:r w:rsidRPr="005F040A">
        <w:rPr>
          <w:lang w:eastAsia="en-AU"/>
        </w:rPr>
        <w:t>amount</w:t>
      </w:r>
      <w:r>
        <w:rPr>
          <w:lang w:eastAsia="en-AU"/>
        </w:rPr>
        <w:t>ed</w:t>
      </w:r>
      <w:r w:rsidRPr="005F040A">
        <w:rPr>
          <w:lang w:eastAsia="en-AU"/>
        </w:rPr>
        <w:t xml:space="preserve"> to </w:t>
      </w:r>
      <w:r w:rsidR="0012753F">
        <w:rPr>
          <w:lang w:eastAsia="en-AU"/>
        </w:rPr>
        <w:t>almost</w:t>
      </w:r>
      <w:r w:rsidRPr="005F040A">
        <w:rPr>
          <w:lang w:eastAsia="en-AU"/>
        </w:rPr>
        <w:t xml:space="preserve"> $</w:t>
      </w:r>
      <w:r w:rsidR="0012753F">
        <w:rPr>
          <w:lang w:eastAsia="en-AU"/>
        </w:rPr>
        <w:t>85</w:t>
      </w:r>
      <w:r>
        <w:rPr>
          <w:lang w:eastAsia="en-AU"/>
        </w:rPr>
        <w:t> </w:t>
      </w:r>
      <w:r w:rsidRPr="005F040A">
        <w:rPr>
          <w:lang w:eastAsia="en-AU"/>
        </w:rPr>
        <w:t xml:space="preserve">billion, </w:t>
      </w:r>
      <w:r>
        <w:rPr>
          <w:lang w:eastAsia="en-AU"/>
        </w:rPr>
        <w:t xml:space="preserve">equivalent </w:t>
      </w:r>
      <w:r w:rsidRPr="005F040A">
        <w:rPr>
          <w:lang w:eastAsia="en-AU"/>
        </w:rPr>
        <w:t xml:space="preserve">to nearly </w:t>
      </w:r>
      <w:r>
        <w:rPr>
          <w:lang w:eastAsia="en-AU"/>
        </w:rPr>
        <w:t>92%</w:t>
      </w:r>
      <w:r w:rsidRPr="005F040A">
        <w:rPr>
          <w:lang w:eastAsia="en-AU"/>
        </w:rPr>
        <w:t xml:space="preserve"> of the total</w:t>
      </w:r>
      <w:r>
        <w:rPr>
          <w:lang w:eastAsia="en-AU"/>
        </w:rPr>
        <w:t xml:space="preserve"> Australian</w:t>
      </w:r>
      <w:r w:rsidRPr="005F040A">
        <w:rPr>
          <w:lang w:eastAsia="en-AU"/>
        </w:rPr>
        <w:t xml:space="preserve"> LNG export earnings</w:t>
      </w:r>
      <w:r>
        <w:rPr>
          <w:lang w:eastAsia="en-AU"/>
        </w:rPr>
        <w:t xml:space="preserve"> of $</w:t>
      </w:r>
      <w:r w:rsidR="0012753F">
        <w:rPr>
          <w:lang w:eastAsia="en-AU"/>
        </w:rPr>
        <w:t>92</w:t>
      </w:r>
      <w:r>
        <w:rPr>
          <w:lang w:eastAsia="en-AU"/>
        </w:rPr>
        <w:t xml:space="preserve"> billion</w:t>
      </w:r>
      <w:r w:rsidR="0012753F">
        <w:rPr>
          <w:lang w:eastAsia="en-AU"/>
        </w:rPr>
        <w:t>.</w:t>
      </w:r>
      <w:r>
        <w:rPr>
          <w:lang w:eastAsia="en-AU"/>
        </w:rPr>
        <w:t xml:space="preserve"> (Figure 1.</w:t>
      </w:r>
      <w:r w:rsidR="00ED2F4A">
        <w:rPr>
          <w:lang w:eastAsia="en-AU"/>
        </w:rPr>
        <w:t>7</w:t>
      </w:r>
      <w:r>
        <w:rPr>
          <w:lang w:eastAsia="en-AU"/>
        </w:rPr>
        <w:t>)</w:t>
      </w:r>
      <w:r w:rsidRPr="005F040A">
        <w:rPr>
          <w:lang w:eastAsia="en-AU"/>
        </w:rPr>
        <w:t>.</w:t>
      </w:r>
    </w:p>
    <w:p w14:paraId="37B54540" w14:textId="712B96E1" w:rsidR="00ED2F4A" w:rsidRDefault="00ED2F4A" w:rsidP="003E1419">
      <w:pPr>
        <w:pStyle w:val="ListBullet"/>
        <w:numPr>
          <w:ilvl w:val="0"/>
          <w:numId w:val="0"/>
        </w:numPr>
        <w:jc w:val="left"/>
        <w:rPr>
          <w:lang w:eastAsia="en-AU"/>
        </w:rPr>
      </w:pPr>
      <w:r w:rsidRPr="005F040A">
        <w:rPr>
          <w:lang w:eastAsia="en-AU"/>
        </w:rPr>
        <w:t xml:space="preserve">Australia’s top </w:t>
      </w:r>
      <w:r>
        <w:rPr>
          <w:lang w:eastAsia="en-AU"/>
        </w:rPr>
        <w:t xml:space="preserve">export customers </w:t>
      </w:r>
      <w:r w:rsidRPr="005F040A">
        <w:rPr>
          <w:lang w:eastAsia="en-AU"/>
        </w:rPr>
        <w:t xml:space="preserve">predominately </w:t>
      </w:r>
      <w:r>
        <w:rPr>
          <w:lang w:eastAsia="en-AU"/>
        </w:rPr>
        <w:t xml:space="preserve">use LNG </w:t>
      </w:r>
      <w:r w:rsidRPr="005F040A">
        <w:rPr>
          <w:lang w:eastAsia="en-AU"/>
        </w:rPr>
        <w:t xml:space="preserve">in </w:t>
      </w:r>
      <w:r>
        <w:rPr>
          <w:lang w:eastAsia="en-AU"/>
        </w:rPr>
        <w:t xml:space="preserve">the </w:t>
      </w:r>
      <w:r w:rsidRPr="005F040A">
        <w:rPr>
          <w:lang w:eastAsia="en-AU"/>
        </w:rPr>
        <w:t>power generation</w:t>
      </w:r>
      <w:r>
        <w:rPr>
          <w:lang w:eastAsia="en-AU"/>
        </w:rPr>
        <w:t xml:space="preserve"> sector</w:t>
      </w:r>
      <w:r w:rsidRPr="005F040A">
        <w:rPr>
          <w:lang w:eastAsia="en-AU"/>
        </w:rPr>
        <w:t>,</w:t>
      </w:r>
      <w:r>
        <w:rPr>
          <w:lang w:eastAsia="en-AU"/>
        </w:rPr>
        <w:t xml:space="preserve"> where it plays a</w:t>
      </w:r>
      <w:r w:rsidRPr="005F040A">
        <w:rPr>
          <w:lang w:eastAsia="en-AU"/>
        </w:rPr>
        <w:t xml:space="preserve"> crucial role in maintaining a reliable and robust electricity supply </w:t>
      </w:r>
      <w:r>
        <w:rPr>
          <w:lang w:eastAsia="en-AU"/>
        </w:rPr>
        <w:t>during periods of peak demand.</w:t>
      </w:r>
    </w:p>
    <w:p w14:paraId="7AE607DB" w14:textId="6D51B58B" w:rsidR="00F22071" w:rsidRDefault="00F22071" w:rsidP="00DE24A5">
      <w:pPr>
        <w:pStyle w:val="ListBullet"/>
        <w:numPr>
          <w:ilvl w:val="0"/>
          <w:numId w:val="0"/>
        </w:numPr>
        <w:spacing w:before="180"/>
        <w:jc w:val="left"/>
        <w:rPr>
          <w:lang w:eastAsia="en-AU"/>
        </w:rPr>
      </w:pPr>
      <w:r>
        <w:rPr>
          <w:lang w:eastAsia="en-AU"/>
        </w:rPr>
        <w:t>In most of these markets, gas-fired power generation has been used to displace the market share of oil</w:t>
      </w:r>
      <w:r w:rsidR="00745DE0">
        <w:rPr>
          <w:lang w:eastAsia="en-AU"/>
        </w:rPr>
        <w:t xml:space="preserve">, </w:t>
      </w:r>
      <w:r>
        <w:rPr>
          <w:lang w:eastAsia="en-AU"/>
        </w:rPr>
        <w:t xml:space="preserve">coal and — in </w:t>
      </w:r>
      <w:r w:rsidR="00745DE0">
        <w:rPr>
          <w:lang w:eastAsia="en-AU"/>
        </w:rPr>
        <w:t xml:space="preserve">Japan’s </w:t>
      </w:r>
      <w:r>
        <w:rPr>
          <w:lang w:eastAsia="en-AU"/>
        </w:rPr>
        <w:t xml:space="preserve">case — nuclear power generation (after the Fukushima Daiichi nuclear reactor accident). </w:t>
      </w:r>
    </w:p>
    <w:p w14:paraId="53E163DD" w14:textId="36B43EE0" w:rsidR="00EC7EC7" w:rsidRDefault="00EC7EC7" w:rsidP="00C97679">
      <w:pPr>
        <w:pStyle w:val="Caption"/>
      </w:pPr>
      <w:r>
        <w:t xml:space="preserve">Figure </w:t>
      </w:r>
      <w:r>
        <w:rPr>
          <w:noProof/>
        </w:rPr>
        <w:t>1.</w:t>
      </w:r>
      <w:r w:rsidR="00ED2F4A">
        <w:rPr>
          <w:noProof/>
        </w:rPr>
        <w:t>7</w:t>
      </w:r>
      <w:r>
        <w:t xml:space="preserve">: Australian LNG </w:t>
      </w:r>
      <w:r w:rsidR="00065AE4">
        <w:t xml:space="preserve">export earnings and </w:t>
      </w:r>
      <w:r>
        <w:t>exports by destination</w:t>
      </w:r>
      <w:r w:rsidR="00A63DEC">
        <w:t xml:space="preserve">, </w:t>
      </w:r>
      <w:r w:rsidR="00065AE4">
        <w:t>1989</w:t>
      </w:r>
      <w:r w:rsidR="0012753F" w:rsidRPr="0012753F">
        <w:t>–</w:t>
      </w:r>
      <w:r w:rsidR="00065AE4">
        <w:t xml:space="preserve">90 to </w:t>
      </w:r>
      <w:r w:rsidR="0012753F" w:rsidRPr="0012753F">
        <w:t>2022–23</w:t>
      </w:r>
    </w:p>
    <w:p w14:paraId="08C0FC77" w14:textId="6DD61C29" w:rsidR="00EC7EC7" w:rsidRDefault="00E35185" w:rsidP="00EC7EC7">
      <w:pPr>
        <w:pStyle w:val="Note"/>
      </w:pPr>
      <w:r>
        <w:rPr>
          <w:noProof/>
        </w:rPr>
        <w:drawing>
          <wp:inline distT="0" distB="0" distL="0" distR="0" wp14:anchorId="4A033DEA" wp14:editId="782533B8">
            <wp:extent cx="4206875" cy="2621280"/>
            <wp:effectExtent l="0" t="0" r="3175" b="7620"/>
            <wp:docPr id="45" name="Chart 45" descr="The figure shows the Australian LNG exports by destination from 1989-90 to 2021-22. It highlights that Australia's LNG exports are predominantly to four Asian economies: Japan, China, ROK and Taiwan. The total volume of Australian LNG exports has surged significantly from around 2012-13, increasing more than fourfold by 2021-22, reaching over 80 million tonnes. The figure also shows that in financial year 2021–22, the export earnings derived from these four buyers amounted to $65 billion, equivalent to nearly 92% of the total Australian LNG export earnings of $70 billion.">
              <a:extLst xmlns:a="http://schemas.openxmlformats.org/drawingml/2006/main">
                <a:ext uri="{FF2B5EF4-FFF2-40B4-BE49-F238E27FC236}">
                  <a16:creationId xmlns:a16="http://schemas.microsoft.com/office/drawing/2014/main" id="{D8F32E1F-2EB3-49EC-A9C9-6619561BA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A21946" w14:textId="1631FC65" w:rsidR="00EC7EC7" w:rsidRPr="00C62F3A" w:rsidRDefault="00EC7EC7" w:rsidP="00932AAD">
      <w:pPr>
        <w:pStyle w:val="Source"/>
      </w:pPr>
      <w:r>
        <w:t xml:space="preserve">Notes: Figures cannot be disaggregated prior to </w:t>
      </w:r>
      <w:r w:rsidR="000F4A07" w:rsidRPr="000F4A07">
        <w:t>2011–12.</w:t>
      </w:r>
    </w:p>
    <w:p w14:paraId="5BB08D89" w14:textId="46D55E22" w:rsidR="00EC7EC7" w:rsidRPr="00C61861" w:rsidRDefault="00EC7EC7" w:rsidP="00932AAD">
      <w:pPr>
        <w:pStyle w:val="Source"/>
      </w:pPr>
      <w:r>
        <w:t xml:space="preserve">Source: </w:t>
      </w:r>
      <w:r w:rsidR="004F4DAB">
        <w:t>DISR</w:t>
      </w:r>
      <w:r>
        <w:t xml:space="preserve"> (202</w:t>
      </w:r>
      <w:r w:rsidR="00D2286F">
        <w:t>4</w:t>
      </w:r>
      <w:r>
        <w:t>)</w:t>
      </w:r>
    </w:p>
    <w:p w14:paraId="03189E96" w14:textId="5AC61219" w:rsidR="00EC7EC7" w:rsidRDefault="00EC7EC7" w:rsidP="00F57992">
      <w:pPr>
        <w:pStyle w:val="BodyText"/>
        <w:spacing w:before="180"/>
        <w:rPr>
          <w:lang w:eastAsia="en-AU"/>
        </w:rPr>
      </w:pPr>
      <w:r>
        <w:rPr>
          <w:lang w:eastAsia="en-AU"/>
        </w:rPr>
        <w:t>The foundation of Australia’s LNG infrastructure rests upon a framework of investment and long</w:t>
      </w:r>
      <w:r w:rsidDel="00536289">
        <w:rPr>
          <w:lang w:eastAsia="en-AU"/>
        </w:rPr>
        <w:t>-</w:t>
      </w:r>
      <w:r>
        <w:rPr>
          <w:lang w:eastAsia="en-AU"/>
        </w:rPr>
        <w:t>term legacy contracts with Asian consumers, which provide price and volume security over a long</w:t>
      </w:r>
      <w:r w:rsidDel="00536289">
        <w:rPr>
          <w:lang w:eastAsia="en-AU"/>
        </w:rPr>
        <w:t>-</w:t>
      </w:r>
      <w:r>
        <w:rPr>
          <w:lang w:eastAsia="en-AU"/>
        </w:rPr>
        <w:t>term time horizon. Between 2010 and 202</w:t>
      </w:r>
      <w:r w:rsidR="003030A8">
        <w:rPr>
          <w:lang w:eastAsia="en-AU"/>
        </w:rPr>
        <w:t>3</w:t>
      </w:r>
      <w:r>
        <w:rPr>
          <w:lang w:eastAsia="en-AU"/>
        </w:rPr>
        <w:t>, the cumulative investment in Australia’s oil and gas sector exceeded $</w:t>
      </w:r>
      <w:r w:rsidR="003030A8">
        <w:rPr>
          <w:lang w:eastAsia="en-AU"/>
        </w:rPr>
        <w:t>414</w:t>
      </w:r>
      <w:r>
        <w:rPr>
          <w:lang w:eastAsia="en-AU"/>
        </w:rPr>
        <w:t xml:space="preserve"> billion, which included the completion of 8 LNG </w:t>
      </w:r>
      <w:r w:rsidRPr="00FC7FE8">
        <w:rPr>
          <w:lang w:eastAsia="en-AU"/>
        </w:rPr>
        <w:t>projects across Australia cost</w:t>
      </w:r>
      <w:r>
        <w:rPr>
          <w:lang w:eastAsia="en-AU"/>
        </w:rPr>
        <w:t>ing</w:t>
      </w:r>
      <w:r w:rsidRPr="00FC7FE8">
        <w:rPr>
          <w:lang w:eastAsia="en-AU"/>
        </w:rPr>
        <w:t xml:space="preserve"> an estimated A$</w:t>
      </w:r>
      <w:r w:rsidR="00A90DA1">
        <w:rPr>
          <w:lang w:eastAsia="en-AU"/>
        </w:rPr>
        <w:t>290</w:t>
      </w:r>
      <w:r w:rsidRPr="00FC7FE8">
        <w:rPr>
          <w:lang w:eastAsia="en-AU"/>
        </w:rPr>
        <w:t xml:space="preserve"> billion (Figures 1.</w:t>
      </w:r>
      <w:r w:rsidR="00ED2F4A">
        <w:rPr>
          <w:lang w:eastAsia="en-AU"/>
        </w:rPr>
        <w:t>8</w:t>
      </w:r>
      <w:r w:rsidRPr="00172BF6">
        <w:rPr>
          <w:lang w:eastAsia="en-AU"/>
        </w:rPr>
        <w:t xml:space="preserve"> &amp; 1.</w:t>
      </w:r>
      <w:r w:rsidR="00ED2F4A">
        <w:rPr>
          <w:lang w:eastAsia="en-AU"/>
        </w:rPr>
        <w:t>9</w:t>
      </w:r>
      <w:r w:rsidRPr="00FC7FE8">
        <w:rPr>
          <w:lang w:eastAsia="en-AU"/>
        </w:rPr>
        <w:t>).</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C7EC7" w14:paraId="2DE35449" w14:textId="77777777" w:rsidTr="00D81BB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62889C5C" w14:textId="30787DEA" w:rsidR="00EC7EC7" w:rsidRPr="00401289" w:rsidRDefault="00EC7EC7" w:rsidP="00C50D71">
            <w:pPr>
              <w:pStyle w:val="Boxtext"/>
              <w:spacing w:beforeLines="60" w:before="144" w:afterLines="60" w:after="144"/>
              <w:ind w:left="113" w:right="113"/>
              <w:jc w:val="both"/>
              <w:rPr>
                <w:color w:val="auto"/>
              </w:rPr>
            </w:pPr>
            <w:r w:rsidRPr="005458FA">
              <w:rPr>
                <w:b/>
                <w:bCs/>
                <w:color w:val="auto"/>
              </w:rPr>
              <w:t xml:space="preserve">Insight: </w:t>
            </w:r>
            <w:r w:rsidRPr="000D771C">
              <w:rPr>
                <w:color w:val="auto"/>
              </w:rPr>
              <w:t xml:space="preserve">Japan, </w:t>
            </w:r>
            <w:r>
              <w:rPr>
                <w:color w:val="auto"/>
              </w:rPr>
              <w:t>ROK</w:t>
            </w:r>
            <w:r w:rsidRPr="000D771C">
              <w:rPr>
                <w:color w:val="auto"/>
              </w:rPr>
              <w:t xml:space="preserve"> and Taiwan’s energy sectors are currently reliant on Australia’s LNG exports, secured by long</w:t>
            </w:r>
            <w:r w:rsidR="009F6064">
              <w:rPr>
                <w:color w:val="auto"/>
              </w:rPr>
              <w:t>-</w:t>
            </w:r>
            <w:r w:rsidRPr="000D771C">
              <w:rPr>
                <w:color w:val="auto"/>
              </w:rPr>
              <w:t>term contracts</w:t>
            </w:r>
            <w:r>
              <w:rPr>
                <w:color w:val="auto"/>
              </w:rPr>
              <w:t>.</w:t>
            </w:r>
          </w:p>
        </w:tc>
      </w:tr>
    </w:tbl>
    <w:p w14:paraId="05253D5B" w14:textId="7AE95778" w:rsidR="00EC7EC7" w:rsidRPr="00E043EB" w:rsidRDefault="00EC7EC7" w:rsidP="00EC7EC7">
      <w:pPr>
        <w:pStyle w:val="BodyText"/>
        <w:spacing w:before="120"/>
        <w:rPr>
          <w:lang w:eastAsia="en-AU"/>
        </w:rPr>
      </w:pPr>
      <w:r>
        <w:rPr>
          <w:lang w:eastAsia="en-AU"/>
        </w:rPr>
        <w:t>I</w:t>
      </w:r>
      <w:r w:rsidRPr="00E043EB">
        <w:rPr>
          <w:lang w:eastAsia="en-AU"/>
        </w:rPr>
        <w:t>n 2023</w:t>
      </w:r>
      <w:r>
        <w:rPr>
          <w:lang w:eastAsia="en-AU"/>
        </w:rPr>
        <w:t>,</w:t>
      </w:r>
      <w:r w:rsidRPr="00E043EB">
        <w:rPr>
          <w:lang w:eastAsia="en-AU"/>
        </w:rPr>
        <w:t xml:space="preserve"> ten LNG export facilities operat</w:t>
      </w:r>
      <w:r>
        <w:rPr>
          <w:lang w:eastAsia="en-AU"/>
        </w:rPr>
        <w:t>e</w:t>
      </w:r>
      <w:r w:rsidR="00D2286F">
        <w:rPr>
          <w:lang w:eastAsia="en-AU"/>
        </w:rPr>
        <w:t>d</w:t>
      </w:r>
      <w:r w:rsidRPr="00E043EB">
        <w:rPr>
          <w:lang w:eastAsia="en-AU"/>
        </w:rPr>
        <w:t xml:space="preserve"> in Australia and </w:t>
      </w:r>
      <w:r w:rsidR="00D2286F">
        <w:rPr>
          <w:lang w:eastAsia="en-AU"/>
        </w:rPr>
        <w:t>we</w:t>
      </w:r>
      <w:r w:rsidRPr="00E043EB">
        <w:rPr>
          <w:lang w:eastAsia="en-AU"/>
        </w:rPr>
        <w:t xml:space="preserve">re clustered in three geographic regions on the </w:t>
      </w:r>
      <w:r w:rsidR="008E5712">
        <w:rPr>
          <w:lang w:eastAsia="en-AU"/>
        </w:rPr>
        <w:t>w</w:t>
      </w:r>
      <w:r w:rsidRPr="00E043EB">
        <w:rPr>
          <w:lang w:eastAsia="en-AU"/>
        </w:rPr>
        <w:t xml:space="preserve">est, </w:t>
      </w:r>
      <w:r w:rsidR="008E5712">
        <w:rPr>
          <w:lang w:eastAsia="en-AU"/>
        </w:rPr>
        <w:t>n</w:t>
      </w:r>
      <w:r w:rsidRPr="00E043EB">
        <w:rPr>
          <w:lang w:eastAsia="en-AU"/>
        </w:rPr>
        <w:t xml:space="preserve">orth and </w:t>
      </w:r>
      <w:r w:rsidR="008E5712">
        <w:rPr>
          <w:lang w:eastAsia="en-AU"/>
        </w:rPr>
        <w:t>e</w:t>
      </w:r>
      <w:r w:rsidRPr="00E043EB">
        <w:rPr>
          <w:lang w:eastAsia="en-AU"/>
        </w:rPr>
        <w:t xml:space="preserve">ast coasts. Currently, Australia must produce 68 million tonnes </w:t>
      </w:r>
      <w:r w:rsidR="001F7C36">
        <w:rPr>
          <w:lang w:eastAsia="en-AU"/>
        </w:rPr>
        <w:t xml:space="preserve">(Mt) </w:t>
      </w:r>
      <w:r w:rsidRPr="00E043EB">
        <w:rPr>
          <w:lang w:eastAsia="en-AU"/>
        </w:rPr>
        <w:t xml:space="preserve">of LNG each year to meet contractual obligations </w:t>
      </w:r>
      <w:r w:rsidR="009D1CCC">
        <w:rPr>
          <w:lang w:eastAsia="en-AU"/>
        </w:rPr>
        <w:t xml:space="preserve">that are due </w:t>
      </w:r>
      <w:r w:rsidRPr="00E043EB">
        <w:rPr>
          <w:lang w:eastAsia="en-AU"/>
        </w:rPr>
        <w:t xml:space="preserve">to expire in the </w:t>
      </w:r>
      <w:r w:rsidR="00507FB0">
        <w:rPr>
          <w:lang w:eastAsia="en-AU"/>
        </w:rPr>
        <w:t xml:space="preserve">first half of the </w:t>
      </w:r>
      <w:r w:rsidRPr="00E043EB">
        <w:rPr>
          <w:lang w:eastAsia="en-AU"/>
        </w:rPr>
        <w:t>2030s (Figure 1.</w:t>
      </w:r>
      <w:r w:rsidR="0059331F" w:rsidRPr="00E043EB">
        <w:rPr>
          <w:lang w:eastAsia="en-AU"/>
        </w:rPr>
        <w:t>1</w:t>
      </w:r>
      <w:r w:rsidR="00DE24A5">
        <w:rPr>
          <w:lang w:eastAsia="en-AU"/>
        </w:rPr>
        <w:t>0</w:t>
      </w:r>
      <w:r w:rsidR="0059331F">
        <w:rPr>
          <w:lang w:eastAsia="en-AU"/>
        </w:rPr>
        <w:t xml:space="preserve"> &amp; </w:t>
      </w:r>
      <w:r w:rsidRPr="00E043EB">
        <w:rPr>
          <w:lang w:eastAsia="en-AU"/>
        </w:rPr>
        <w:t>Figure 1.1</w:t>
      </w:r>
      <w:r w:rsidR="00DE24A5">
        <w:rPr>
          <w:lang w:eastAsia="en-AU"/>
        </w:rPr>
        <w:t>1</w:t>
      </w:r>
      <w:r w:rsidRPr="00E043EB">
        <w:rPr>
          <w:lang w:eastAsia="en-AU"/>
        </w:rPr>
        <w:t xml:space="preserve">). These contracts are the foundation of Australia’s total LNG exports, which reached over 80 </w:t>
      </w:r>
      <w:r w:rsidR="001F7C36">
        <w:rPr>
          <w:lang w:eastAsia="en-AU"/>
        </w:rPr>
        <w:t>Mt</w:t>
      </w:r>
      <w:r w:rsidRPr="00E043EB">
        <w:rPr>
          <w:lang w:eastAsia="en-AU"/>
        </w:rPr>
        <w:t xml:space="preserve"> in the last financial year (Figure 1.</w:t>
      </w:r>
      <w:r w:rsidR="00065AE4">
        <w:rPr>
          <w:lang w:eastAsia="en-AU"/>
        </w:rPr>
        <w:t>7</w:t>
      </w:r>
      <w:r w:rsidRPr="00E043EB">
        <w:rPr>
          <w:lang w:eastAsia="en-AU"/>
        </w:rPr>
        <w:t xml:space="preserve">). </w:t>
      </w:r>
    </w:p>
    <w:p w14:paraId="00AF6E74" w14:textId="3FCE449C" w:rsidR="00EC7EC7" w:rsidRDefault="00EC7EC7" w:rsidP="00C97679">
      <w:pPr>
        <w:pStyle w:val="Caption"/>
      </w:pPr>
      <w:r>
        <w:t xml:space="preserve">Figure </w:t>
      </w:r>
      <w:r>
        <w:rPr>
          <w:noProof/>
        </w:rPr>
        <w:t>1.</w:t>
      </w:r>
      <w:r w:rsidR="00ED2F4A">
        <w:rPr>
          <w:noProof/>
        </w:rPr>
        <w:t>8</w:t>
      </w:r>
      <w:r>
        <w:t>: Annual Australian petroleum expenditure, 2010</w:t>
      </w:r>
      <w:r w:rsidR="00065AE4">
        <w:t xml:space="preserve"> to 20</w:t>
      </w:r>
      <w:r>
        <w:t>2</w:t>
      </w:r>
      <w:r w:rsidR="003030A8">
        <w:t>3</w:t>
      </w:r>
    </w:p>
    <w:p w14:paraId="652D19ED" w14:textId="77C05E02" w:rsidR="00EC7EC7" w:rsidRDefault="00E35185" w:rsidP="00EC7EC7">
      <w:pPr>
        <w:pStyle w:val="Note"/>
      </w:pPr>
      <w:r>
        <w:rPr>
          <w:noProof/>
        </w:rPr>
        <w:drawing>
          <wp:inline distT="0" distB="0" distL="0" distR="0" wp14:anchorId="29E35B7A" wp14:editId="2F801172">
            <wp:extent cx="4206875" cy="2392680"/>
            <wp:effectExtent l="0" t="0" r="3175" b="7620"/>
            <wp:docPr id="51" name="Chart 51" descr="The figure shows annual Australian petroleum expenditures from 2010 to 2023, in Australian dollars. The figure shows that Australian petroleum expenditures peaked in 2013 at over than $60 billion and then declined sharply until 2020, reaching its lowest point of less than $10 billion. Since 2021, there has been a modest recovery in expenditures. Overall expenditure is dominated by extraction expenditure.">
              <a:extLst xmlns:a="http://schemas.openxmlformats.org/drawingml/2006/main">
                <a:ext uri="{FF2B5EF4-FFF2-40B4-BE49-F238E27FC236}">
                  <a16:creationId xmlns:a16="http://schemas.microsoft.com/office/drawing/2014/main" id="{8EDA5F02-8ACF-4FF9-804D-E52E72308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488560" w14:textId="77777777" w:rsidR="00EC7EC7" w:rsidRPr="00C62F3A" w:rsidRDefault="00EC7EC7" w:rsidP="00932AAD">
      <w:pPr>
        <w:pStyle w:val="Source"/>
      </w:pPr>
      <w:r>
        <w:t xml:space="preserve">Notes: Extraction expenditure only captures capital expenditure. </w:t>
      </w:r>
    </w:p>
    <w:p w14:paraId="0F315E83" w14:textId="076B5D5C" w:rsidR="00EC7EC7" w:rsidRDefault="00EC7EC7" w:rsidP="00932AAD">
      <w:pPr>
        <w:pStyle w:val="Source"/>
      </w:pPr>
      <w:r>
        <w:t>Source: ABS (2023</w:t>
      </w:r>
      <w:r w:rsidR="002044A2">
        <w:t>a</w:t>
      </w:r>
      <w:r w:rsidR="00350645">
        <w:t>,</w:t>
      </w:r>
      <w:r w:rsidR="00F47202">
        <w:t xml:space="preserve"> </w:t>
      </w:r>
      <w:r w:rsidR="00350645">
        <w:t>b</w:t>
      </w:r>
      <w:r>
        <w:t xml:space="preserve">) </w:t>
      </w:r>
    </w:p>
    <w:p w14:paraId="740388A0" w14:textId="69D523D4" w:rsidR="00EC7EC7" w:rsidRDefault="00EC7EC7" w:rsidP="00C97679">
      <w:pPr>
        <w:pStyle w:val="Caption"/>
      </w:pPr>
      <w:r>
        <w:t>Figure 1</w:t>
      </w:r>
      <w:r>
        <w:rPr>
          <w:noProof/>
        </w:rPr>
        <w:t>.</w:t>
      </w:r>
      <w:r w:rsidR="00ED2F4A">
        <w:rPr>
          <w:noProof/>
        </w:rPr>
        <w:t>9</w:t>
      </w:r>
      <w:r>
        <w:t xml:space="preserve">: Project costs for Australia’s recent LNG </w:t>
      </w:r>
      <w:r w:rsidR="00065AE4">
        <w:t>f</w:t>
      </w:r>
      <w:r>
        <w:t>acilities</w:t>
      </w:r>
    </w:p>
    <w:p w14:paraId="469D5571" w14:textId="47485B86" w:rsidR="00EC7EC7" w:rsidRDefault="0012753F" w:rsidP="00EC7EC7">
      <w:pPr>
        <w:pStyle w:val="Note"/>
      </w:pPr>
      <w:r>
        <w:rPr>
          <w:noProof/>
        </w:rPr>
        <w:drawing>
          <wp:inline distT="0" distB="0" distL="0" distR="0" wp14:anchorId="1C03993E" wp14:editId="73606D94">
            <wp:extent cx="4206875" cy="2339340"/>
            <wp:effectExtent l="0" t="0" r="3175" b="3810"/>
            <wp:docPr id="7" name="Chart 7" descr="The figure presents the project costs for eight of Australia's LNG facilities including Ichthys, Wheatstone, Prelude, Gorgon, GLNG, APLNG, QCLNG and Pluto, with the Gorgon LNG project having the highest cost of almost $80 billion, and the Prelude LNG project having the lowest cost of around $15 billion. The combined project costs for eight of these facilities amount to just under an estimated $290 billion.">
              <a:extLst xmlns:a="http://schemas.openxmlformats.org/drawingml/2006/main">
                <a:ext uri="{FF2B5EF4-FFF2-40B4-BE49-F238E27FC236}">
                  <a16:creationId xmlns:a16="http://schemas.microsoft.com/office/drawing/2014/main" id="{04AF9060-E264-48F4-988E-16FD35867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E39882" w14:textId="565F045A" w:rsidR="00EC7EC7" w:rsidRPr="00C62F3A" w:rsidRDefault="00EC7EC7" w:rsidP="00932AAD">
      <w:pPr>
        <w:pStyle w:val="Source"/>
      </w:pPr>
      <w:r w:rsidRPr="00172BF6">
        <w:t xml:space="preserve">Notes: Figures are departmental estimates derived from publicly </w:t>
      </w:r>
      <w:r w:rsidR="006B2530" w:rsidRPr="00172BF6">
        <w:t>available</w:t>
      </w:r>
      <w:r w:rsidRPr="00172BF6">
        <w:t xml:space="preserve"> information.</w:t>
      </w:r>
    </w:p>
    <w:p w14:paraId="625E7F80" w14:textId="585FC0ED" w:rsidR="00EC7EC7" w:rsidRDefault="00EC7EC7" w:rsidP="00932AAD">
      <w:pPr>
        <w:pStyle w:val="Source"/>
      </w:pPr>
      <w:r>
        <w:t xml:space="preserve">Source: </w:t>
      </w:r>
      <w:r w:rsidR="003C0693">
        <w:t>DISR</w:t>
      </w:r>
      <w:r>
        <w:t xml:space="preserve"> (</w:t>
      </w:r>
      <w:r w:rsidR="00897E6F">
        <w:t>2019</w:t>
      </w:r>
      <w:r>
        <w:t xml:space="preserve">) </w:t>
      </w:r>
    </w:p>
    <w:p w14:paraId="5E4E4E41" w14:textId="071A6108" w:rsidR="00EC7EC7" w:rsidRDefault="00EC7EC7" w:rsidP="00C97679">
      <w:pPr>
        <w:pStyle w:val="Caption"/>
      </w:pPr>
      <w:r>
        <w:t>Figure 1</w:t>
      </w:r>
      <w:r>
        <w:rPr>
          <w:noProof/>
        </w:rPr>
        <w:t>.1</w:t>
      </w:r>
      <w:r w:rsidR="00ED2F4A">
        <w:rPr>
          <w:noProof/>
        </w:rPr>
        <w:t>0</w:t>
      </w:r>
      <w:r>
        <w:t xml:space="preserve">: Australian LNG contracts by </w:t>
      </w:r>
      <w:r w:rsidR="002B7524">
        <w:t>trading partner</w:t>
      </w:r>
      <w:r>
        <w:t>, Mt, 2022</w:t>
      </w:r>
    </w:p>
    <w:p w14:paraId="7D1CFE02" w14:textId="4508AFB1" w:rsidR="00EC7EC7" w:rsidRDefault="009E745C" w:rsidP="00EC7EC7">
      <w:pPr>
        <w:pStyle w:val="Note"/>
      </w:pPr>
      <w:r>
        <w:rPr>
          <w:noProof/>
        </w:rPr>
        <w:drawing>
          <wp:inline distT="0" distB="0" distL="0" distR="0" wp14:anchorId="7948FE00" wp14:editId="0DA2FF43">
            <wp:extent cx="4206875" cy="2354580"/>
            <wp:effectExtent l="0" t="0" r="3175" b="7620"/>
            <wp:docPr id="23" name="Chart 23" descr="The figure shows the total Australian LNG contracts by country for 2022, measured in Mt. It indicates that Japan is the largest buyer of Australian LNG, with contracted volumes of 28 Mt, followed by China (15 Mt). The overall contracted volume for Australian LNG in 2022 is approximately 68 Mt.">
              <a:extLst xmlns:a="http://schemas.openxmlformats.org/drawingml/2006/main">
                <a:ext uri="{FF2B5EF4-FFF2-40B4-BE49-F238E27FC236}">
                  <a16:creationId xmlns:a16="http://schemas.microsoft.com/office/drawing/2014/main" id="{E4B637B7-8C5F-4FF9-835F-B92A77A9D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4E67C4" w14:textId="4E60B769" w:rsidR="005974BD" w:rsidRDefault="00EC7EC7" w:rsidP="00932AAD">
      <w:pPr>
        <w:pStyle w:val="Source"/>
      </w:pPr>
      <w:r>
        <w:t>Source: GIIGNL (2023)</w:t>
      </w:r>
    </w:p>
    <w:p w14:paraId="6F690FB5" w14:textId="77777777" w:rsidR="005974BD" w:rsidRDefault="005974BD">
      <w:pPr>
        <w:spacing w:after="200" w:line="276" w:lineRule="auto"/>
        <w:rPr>
          <w:rFonts w:eastAsia="Times New Roman" w:cs="Arial"/>
          <w:color w:val="005CAF"/>
          <w:sz w:val="16"/>
          <w:szCs w:val="20"/>
          <w:lang w:val="en"/>
        </w:rPr>
      </w:pPr>
      <w:r>
        <w:br w:type="page"/>
      </w:r>
    </w:p>
    <w:p w14:paraId="775D4ECE" w14:textId="2C418BD4" w:rsidR="00E05A74" w:rsidRDefault="00EC7EC7" w:rsidP="002B7524">
      <w:pPr>
        <w:pStyle w:val="Source"/>
        <w:spacing w:before="240"/>
        <w:rPr>
          <w:noProof/>
        </w:rPr>
      </w:pPr>
      <w:r w:rsidRPr="00AF05A5">
        <w:rPr>
          <w:rFonts w:eastAsiaTheme="minorHAnsi" w:cstheme="minorBidi"/>
          <w:b/>
          <w:sz w:val="20"/>
          <w:szCs w:val="18"/>
          <w:lang w:val="en-AU"/>
        </w:rPr>
        <w:t>Figure 1.1</w:t>
      </w:r>
      <w:r w:rsidR="00ED2F4A">
        <w:rPr>
          <w:rFonts w:eastAsiaTheme="minorHAnsi" w:cstheme="minorBidi"/>
          <w:b/>
          <w:sz w:val="20"/>
          <w:szCs w:val="18"/>
          <w:lang w:val="en-AU"/>
        </w:rPr>
        <w:t>1</w:t>
      </w:r>
      <w:r w:rsidRPr="00AF05A5">
        <w:rPr>
          <w:rFonts w:eastAsiaTheme="minorHAnsi" w:cstheme="minorBidi"/>
          <w:b/>
          <w:sz w:val="20"/>
          <w:szCs w:val="18"/>
          <w:lang w:val="en-AU"/>
        </w:rPr>
        <w:t>: Average end-date of Australian contracts</w:t>
      </w:r>
      <w:r w:rsidR="002B7524">
        <w:rPr>
          <w:rFonts w:eastAsiaTheme="minorHAnsi" w:cstheme="minorBidi"/>
          <w:b/>
          <w:sz w:val="20"/>
          <w:szCs w:val="18"/>
          <w:lang w:val="en-AU"/>
        </w:rPr>
        <w:t xml:space="preserve"> by trading partner</w:t>
      </w:r>
      <w:r w:rsidR="009E745C" w:rsidRPr="009E745C">
        <w:rPr>
          <w:noProof/>
        </w:rPr>
        <w:t xml:space="preserve"> </w:t>
      </w:r>
    </w:p>
    <w:p w14:paraId="2192E941" w14:textId="13DBA6F6" w:rsidR="00AF05A5" w:rsidRDefault="00297020" w:rsidP="00932AAD">
      <w:pPr>
        <w:pStyle w:val="Source"/>
      </w:pPr>
      <w:r>
        <w:rPr>
          <w:noProof/>
        </w:rPr>
        <w:drawing>
          <wp:inline distT="0" distB="0" distL="0" distR="0" wp14:anchorId="6CA0F8EA" wp14:editId="0B4E1D88">
            <wp:extent cx="4206875" cy="2276475"/>
            <wp:effectExtent l="0" t="0" r="3175" b="0"/>
            <wp:docPr id="28" name="Chart 28" descr="The figure illustrates the average end-dates for Australian LNG contracts with each international buyer, including Japan, China, Korea (ROK), Malaysia, and Taiwan. The average end-dates for all Australian LNG contracts are projected to fall between 2030 and 2036.">
              <a:extLst xmlns:a="http://schemas.openxmlformats.org/drawingml/2006/main">
                <a:ext uri="{FF2B5EF4-FFF2-40B4-BE49-F238E27FC236}">
                  <a16:creationId xmlns:a16="http://schemas.microsoft.com/office/drawing/2014/main" id="{547C8A12-5DAE-43C6-82AF-63C8AB9FB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C7EC7">
        <w:t>Notes: Only includes contracts that are publicly known.</w:t>
      </w:r>
    </w:p>
    <w:p w14:paraId="20F15100" w14:textId="1F4D1841" w:rsidR="00AF05A5" w:rsidRDefault="00EC7EC7" w:rsidP="00932AAD">
      <w:pPr>
        <w:pStyle w:val="Source"/>
      </w:pPr>
      <w:r>
        <w:t>Source: GIIGNL (2023)</w:t>
      </w:r>
    </w:p>
    <w:p w14:paraId="4B0640B3" w14:textId="77777777" w:rsidR="00BB5E72" w:rsidRDefault="00BB5E72" w:rsidP="00E05A74">
      <w:pPr>
        <w:pStyle w:val="BodyText"/>
      </w:pPr>
    </w:p>
    <w:p w14:paraId="17457256" w14:textId="7B165363" w:rsidR="002D5A07" w:rsidRPr="00556751" w:rsidRDefault="002D5A07" w:rsidP="001B6CD3">
      <w:pPr>
        <w:pStyle w:val="Heading3"/>
        <w:numPr>
          <w:ilvl w:val="0"/>
          <w:numId w:val="0"/>
        </w:numPr>
      </w:pPr>
      <w:r w:rsidRPr="00556751">
        <w:t>Contribution of gas sector to the Australian economy</w:t>
      </w:r>
    </w:p>
    <w:p w14:paraId="5E401B17" w14:textId="57A71FC5" w:rsidR="002D5A07" w:rsidRDefault="002D5A07" w:rsidP="002D5A07">
      <w:pPr>
        <w:pStyle w:val="BodyText"/>
      </w:pPr>
      <w:r>
        <w:t xml:space="preserve">Given the widespread use of gas in Australia and the large contribution to exports, </w:t>
      </w:r>
      <w:r w:rsidR="00F67AD3">
        <w:t>gas contributes significantly to</w:t>
      </w:r>
      <w:r>
        <w:t xml:space="preserve"> the Australian economy today. Consultants ACIL Allen</w:t>
      </w:r>
      <w:r w:rsidR="00D33314">
        <w:t xml:space="preserve"> (2023)</w:t>
      </w:r>
      <w:r>
        <w:t xml:space="preserve"> estimate that the Australian gas industry directly contributed $84 billion (equivalent to 3.5% of Australian GDP) to the Australian economy in the year 2021</w:t>
      </w:r>
      <w:r w:rsidR="00DB5745">
        <w:t>–</w:t>
      </w:r>
      <w:r>
        <w:t>22, encompassing all upstream and downstream sectors including gas production, transportation, chemical manufacturing, electricity generation, and other manufacturing. These sectors rely heavily on the gas industry, as gas serves as a critical input for their operations. The value of gas usage domestically amounts to $6.5 billion, with the percentage of total gas inputs ranging from 7.4% to 12.4% for the top five gas-using sectors in 2021</w:t>
      </w:r>
      <w:r w:rsidR="00DB5745">
        <w:t>–</w:t>
      </w:r>
      <w:r>
        <w:t>22. The gas industry directly supported 81,940 full-time equivalent (FTE) jobs in Australia.</w:t>
      </w:r>
    </w:p>
    <w:p w14:paraId="1CCBB075" w14:textId="4F9691D3" w:rsidR="002D5A07" w:rsidRDefault="002D5A07" w:rsidP="002D5A07">
      <w:pPr>
        <w:pStyle w:val="BodyText"/>
      </w:pPr>
      <w:bookmarkStart w:id="18" w:name="_Hlk165470107"/>
      <w:r>
        <w:t>The LNG export sector is the largest contributor within the Australian gas industry. Australia has 10 LNG facilities operated by 6 LNG joint ventures. Between 2010 and 2020, direct investments in both up and downstream LNG facilities in Australia was nearly $250 billion. For the 2022</w:t>
      </w:r>
      <w:r w:rsidR="00DB5745">
        <w:t>–</w:t>
      </w:r>
      <w:r>
        <w:t>23 financial year, LNG export earnings were $92 billion, representing nearly 20% of total Australian export earnings.</w:t>
      </w:r>
    </w:p>
    <w:bookmarkEnd w:id="18"/>
    <w:p w14:paraId="7DB279E4" w14:textId="210B7CF2" w:rsidR="00487AE8" w:rsidRDefault="002D5A07" w:rsidP="00487AE8">
      <w:pPr>
        <w:pStyle w:val="BodyText"/>
        <w:rPr>
          <w:lang w:eastAsia="en-AU"/>
        </w:rPr>
      </w:pPr>
      <w:r w:rsidRPr="00CC134D">
        <w:t xml:space="preserve">Direct employment within </w:t>
      </w:r>
      <w:r w:rsidR="00650439">
        <w:t>the</w:t>
      </w:r>
      <w:r w:rsidRPr="00CC134D">
        <w:t xml:space="preserve"> LNG industry amounts to around 15,000 people, generating $2.5 billion in wages. The LNG industry makes a valuable regional contribution through spending in local economies, including on community development. For example, </w:t>
      </w:r>
      <w:r>
        <w:t>one large gas producer</w:t>
      </w:r>
      <w:r w:rsidRPr="00CC134D">
        <w:t xml:space="preserve"> allocated over $3.2 billion to Australian local businesses in 2022.</w:t>
      </w:r>
      <w:r>
        <w:t xml:space="preserve"> T</w:t>
      </w:r>
      <w:r w:rsidRPr="00CC134D">
        <w:t>he Maranoa Regional Council highlighted that the mining sector contributed $401</w:t>
      </w:r>
      <w:r>
        <w:t> </w:t>
      </w:r>
      <w:r w:rsidRPr="00CC134D">
        <w:t>million to the</w:t>
      </w:r>
      <w:r>
        <w:t>ir</w:t>
      </w:r>
      <w:r w:rsidRPr="00CC134D">
        <w:t xml:space="preserve"> local economy in 2021</w:t>
      </w:r>
      <w:r w:rsidR="00DB5745">
        <w:t>–</w:t>
      </w:r>
      <w:r w:rsidRPr="00CC134D">
        <w:t>22 financial year.</w:t>
      </w:r>
      <w:r w:rsidR="00487AE8">
        <w:rPr>
          <w:lang w:eastAsia="en-AU"/>
        </w:rPr>
        <w:t xml:space="preserve"> </w:t>
      </w:r>
    </w:p>
    <w:tbl>
      <w:tblPr>
        <w:tblStyle w:val="OCETable"/>
        <w:tblW w:w="6889"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89"/>
      </w:tblGrid>
      <w:tr w:rsidR="00487AE8" w14:paraId="36C96780" w14:textId="77777777" w:rsidTr="00D81BB3">
        <w:trPr>
          <w:cnfStyle w:val="100000000000" w:firstRow="1" w:lastRow="0" w:firstColumn="0" w:lastColumn="0" w:oddVBand="0" w:evenVBand="0" w:oddHBand="0" w:evenHBand="0" w:firstRowFirstColumn="0" w:firstRowLastColumn="0" w:lastRowFirstColumn="0" w:lastRowLastColumn="0"/>
          <w:trHeight w:val="1213"/>
        </w:trPr>
        <w:tc>
          <w:tcPr>
            <w:tcW w:w="5000" w:type="pct"/>
            <w:shd w:val="clear" w:color="auto" w:fill="F1CFCF"/>
          </w:tcPr>
          <w:p w14:paraId="42FB1E62" w14:textId="41A6A9CB" w:rsidR="00487AE8" w:rsidRPr="00401289" w:rsidRDefault="00487AE8" w:rsidP="00F163B9">
            <w:pPr>
              <w:pStyle w:val="Boxtext"/>
              <w:spacing w:beforeLines="60" w:before="144" w:afterLines="60" w:after="144"/>
              <w:ind w:left="113" w:right="113"/>
              <w:jc w:val="both"/>
              <w:rPr>
                <w:color w:val="auto"/>
              </w:rPr>
            </w:pPr>
            <w:r w:rsidRPr="005458FA">
              <w:rPr>
                <w:b/>
                <w:bCs/>
                <w:color w:val="auto"/>
              </w:rPr>
              <w:t xml:space="preserve">Insight: </w:t>
            </w:r>
            <w:r w:rsidRPr="00487AE8">
              <w:rPr>
                <w:color w:val="auto"/>
              </w:rPr>
              <w:t>Gas plays a significant role in today’s Australian economy. In 2021</w:t>
            </w:r>
            <w:r w:rsidR="00DB5745">
              <w:rPr>
                <w:color w:val="auto"/>
              </w:rPr>
              <w:t>–</w:t>
            </w:r>
            <w:r w:rsidRPr="00487AE8">
              <w:rPr>
                <w:color w:val="auto"/>
              </w:rPr>
              <w:t>22, the gas sector contributed 3.5% of GDP, accounted for 7.4</w:t>
            </w:r>
            <w:r w:rsidR="00DB5745">
              <w:rPr>
                <w:color w:val="auto"/>
              </w:rPr>
              <w:t>–</w:t>
            </w:r>
            <w:r w:rsidRPr="00487AE8">
              <w:rPr>
                <w:color w:val="auto"/>
              </w:rPr>
              <w:t>12.4% of inputs for the top 5 gas-using sectors, and LNG was 20% of exports by value.</w:t>
            </w:r>
          </w:p>
        </w:tc>
      </w:tr>
    </w:tbl>
    <w:p w14:paraId="443D0268" w14:textId="279E94B7" w:rsidR="003E5828" w:rsidRPr="00BA50BD" w:rsidRDefault="003E5828" w:rsidP="00291693">
      <w:pPr>
        <w:pStyle w:val="Heading3"/>
        <w:spacing w:before="120"/>
        <w:rPr>
          <w:lang w:val="en"/>
        </w:rPr>
      </w:pPr>
      <w:r w:rsidRPr="00514DAB">
        <w:t>The global gas trade is, and will continue to be, vulnerable to</w:t>
      </w:r>
      <w:r>
        <w:t xml:space="preserve"> </w:t>
      </w:r>
      <w:r w:rsidRPr="00514DAB">
        <w:t>disruption</w:t>
      </w:r>
    </w:p>
    <w:p w14:paraId="73921A08" w14:textId="7A953E23" w:rsidR="003E5828" w:rsidRPr="00D57C59" w:rsidRDefault="003E5828" w:rsidP="003E5828">
      <w:pPr>
        <w:pStyle w:val="BodyText"/>
        <w:rPr>
          <w:rFonts w:ascii="Arial" w:hAnsi="Arial" w:cs="Arial"/>
          <w:szCs w:val="20"/>
        </w:rPr>
      </w:pPr>
      <w:r>
        <w:rPr>
          <w:rFonts w:ascii="Arial" w:hAnsi="Arial" w:cs="Arial"/>
          <w:szCs w:val="20"/>
        </w:rPr>
        <w:t>G</w:t>
      </w:r>
      <w:r w:rsidRPr="00D57C59">
        <w:rPr>
          <w:rFonts w:ascii="Arial" w:hAnsi="Arial" w:cs="Arial"/>
          <w:szCs w:val="20"/>
        </w:rPr>
        <w:t>lobal gas</w:t>
      </w:r>
      <w:r w:rsidR="00E44C85">
        <w:rPr>
          <w:rFonts w:ascii="Arial" w:hAnsi="Arial" w:cs="Arial"/>
          <w:szCs w:val="20"/>
        </w:rPr>
        <w:t xml:space="preserve"> and </w:t>
      </w:r>
      <w:r>
        <w:rPr>
          <w:rFonts w:ascii="Arial" w:hAnsi="Arial" w:cs="Arial"/>
          <w:szCs w:val="20"/>
        </w:rPr>
        <w:t>LNG</w:t>
      </w:r>
      <w:r w:rsidRPr="00D57C59">
        <w:rPr>
          <w:rFonts w:ascii="Arial" w:hAnsi="Arial" w:cs="Arial"/>
          <w:szCs w:val="20"/>
        </w:rPr>
        <w:t xml:space="preserve"> trade is reliant on pipeline and liquefaction infrastructure that makes it vulnerable to disruption. In 2022, Russia </w:t>
      </w:r>
      <w:r>
        <w:rPr>
          <w:rFonts w:ascii="Arial" w:hAnsi="Arial" w:cs="Arial"/>
          <w:szCs w:val="20"/>
        </w:rPr>
        <w:t>disrupted</w:t>
      </w:r>
      <w:r w:rsidRPr="00FE5088">
        <w:rPr>
          <w:rFonts w:ascii="Arial" w:hAnsi="Arial" w:cs="Arial"/>
          <w:szCs w:val="20"/>
        </w:rPr>
        <w:t xml:space="preserve"> </w:t>
      </w:r>
      <w:r w:rsidRPr="00D57C59">
        <w:rPr>
          <w:rFonts w:ascii="Arial" w:hAnsi="Arial" w:cs="Arial"/>
          <w:szCs w:val="20"/>
        </w:rPr>
        <w:t>Europe</w:t>
      </w:r>
      <w:r>
        <w:rPr>
          <w:rFonts w:ascii="Arial" w:hAnsi="Arial" w:cs="Arial"/>
          <w:szCs w:val="20"/>
        </w:rPr>
        <w:t xml:space="preserve">’s supply </w:t>
      </w:r>
      <w:r w:rsidRPr="00D57C59">
        <w:rPr>
          <w:rFonts w:ascii="Arial" w:hAnsi="Arial" w:cs="Arial"/>
          <w:szCs w:val="20"/>
        </w:rPr>
        <w:t>of</w:t>
      </w:r>
      <w:r>
        <w:rPr>
          <w:rFonts w:ascii="Arial" w:hAnsi="Arial" w:cs="Arial"/>
          <w:szCs w:val="20"/>
        </w:rPr>
        <w:t xml:space="preserve"> pipeline </w:t>
      </w:r>
      <w:r w:rsidRPr="00D57C59">
        <w:rPr>
          <w:rFonts w:ascii="Arial" w:hAnsi="Arial" w:cs="Arial"/>
          <w:szCs w:val="20"/>
        </w:rPr>
        <w:t>natural gas</w:t>
      </w:r>
      <w:r>
        <w:rPr>
          <w:rFonts w:ascii="Arial" w:hAnsi="Arial" w:cs="Arial"/>
          <w:szCs w:val="20"/>
        </w:rPr>
        <w:t xml:space="preserve">, </w:t>
      </w:r>
      <w:r w:rsidRPr="00D57C59">
        <w:rPr>
          <w:rFonts w:ascii="Arial" w:hAnsi="Arial" w:cs="Arial"/>
          <w:szCs w:val="20"/>
        </w:rPr>
        <w:t>result</w:t>
      </w:r>
      <w:r>
        <w:rPr>
          <w:rFonts w:ascii="Arial" w:hAnsi="Arial" w:cs="Arial"/>
          <w:szCs w:val="20"/>
        </w:rPr>
        <w:t>ing</w:t>
      </w:r>
      <w:r w:rsidRPr="00D57C59">
        <w:rPr>
          <w:rFonts w:ascii="Arial" w:hAnsi="Arial" w:cs="Arial"/>
          <w:szCs w:val="20"/>
        </w:rPr>
        <w:t xml:space="preserve"> in an enormous spike in </w:t>
      </w:r>
      <w:r>
        <w:rPr>
          <w:rFonts w:ascii="Arial" w:hAnsi="Arial" w:cs="Arial"/>
          <w:szCs w:val="20"/>
        </w:rPr>
        <w:t>global</w:t>
      </w:r>
      <w:r w:rsidRPr="00D57C59">
        <w:rPr>
          <w:rFonts w:ascii="Arial" w:hAnsi="Arial" w:cs="Arial"/>
          <w:szCs w:val="20"/>
        </w:rPr>
        <w:t xml:space="preserve"> gas prices</w:t>
      </w:r>
      <w:r w:rsidRPr="00D57C59" w:rsidDel="007010A0">
        <w:rPr>
          <w:rFonts w:ascii="Arial" w:hAnsi="Arial" w:cs="Arial"/>
          <w:szCs w:val="20"/>
        </w:rPr>
        <w:t xml:space="preserve"> </w:t>
      </w:r>
      <w:r w:rsidRPr="00D57C59">
        <w:rPr>
          <w:rFonts w:ascii="Arial" w:hAnsi="Arial" w:cs="Arial"/>
          <w:szCs w:val="20"/>
        </w:rPr>
        <w:t>—</w:t>
      </w:r>
      <w:r>
        <w:rPr>
          <w:rFonts w:ascii="Arial" w:hAnsi="Arial" w:cs="Arial"/>
          <w:szCs w:val="20"/>
        </w:rPr>
        <w:t xml:space="preserve"> </w:t>
      </w:r>
      <w:r w:rsidRPr="00D57C59">
        <w:rPr>
          <w:rFonts w:ascii="Arial" w:hAnsi="Arial" w:cs="Arial"/>
          <w:szCs w:val="20"/>
        </w:rPr>
        <w:t>in Europe, prices spiked to almost four times the average</w:t>
      </w:r>
      <w:r>
        <w:rPr>
          <w:rFonts w:ascii="Arial" w:hAnsi="Arial" w:cs="Arial"/>
          <w:szCs w:val="20"/>
        </w:rPr>
        <w:t xml:space="preserve"> price of the previous 5 years</w:t>
      </w:r>
      <w:r w:rsidRPr="00D57C59">
        <w:rPr>
          <w:rFonts w:ascii="Arial" w:hAnsi="Arial" w:cs="Arial"/>
          <w:szCs w:val="20"/>
        </w:rPr>
        <w:t xml:space="preserve">. </w:t>
      </w:r>
    </w:p>
    <w:p w14:paraId="46FDA555" w14:textId="0C4FB0A1" w:rsidR="003E5828" w:rsidRDefault="003E5828" w:rsidP="003E5828">
      <w:pPr>
        <w:pStyle w:val="BodyText"/>
        <w:rPr>
          <w:rFonts w:ascii="Arial" w:hAnsi="Arial" w:cs="Arial"/>
          <w:szCs w:val="20"/>
        </w:rPr>
      </w:pPr>
      <w:r>
        <w:rPr>
          <w:rFonts w:ascii="Arial" w:hAnsi="Arial" w:cs="Arial"/>
          <w:szCs w:val="20"/>
        </w:rPr>
        <w:t xml:space="preserve">On the east coast of Australia, higher international gas prices strengthened the incentive for gas producers to export LNG rather than supply into the domestic market. In 2022, this strong incentive to export coincided with higher domestic demand for gas-fired power generation and </w:t>
      </w:r>
      <w:r w:rsidRPr="00FC7FE8">
        <w:rPr>
          <w:rFonts w:ascii="Arial" w:hAnsi="Arial" w:cs="Arial"/>
          <w:szCs w:val="20"/>
        </w:rPr>
        <w:t>residential heating</w:t>
      </w:r>
      <w:r>
        <w:rPr>
          <w:rFonts w:ascii="Arial" w:hAnsi="Arial" w:cs="Arial"/>
          <w:szCs w:val="20"/>
        </w:rPr>
        <w:t>,</w:t>
      </w:r>
      <w:r w:rsidRPr="00FC7FE8">
        <w:rPr>
          <w:rFonts w:ascii="Arial" w:hAnsi="Arial" w:cs="Arial"/>
          <w:szCs w:val="20"/>
        </w:rPr>
        <w:t xml:space="preserve"> causing domestic spot prices to double (Figure 1.</w:t>
      </w:r>
      <w:r w:rsidR="00ED2F4A">
        <w:rPr>
          <w:rFonts w:ascii="Arial" w:hAnsi="Arial" w:cs="Arial"/>
          <w:szCs w:val="20"/>
        </w:rPr>
        <w:t>12</w:t>
      </w:r>
      <w:r>
        <w:rPr>
          <w:rFonts w:ascii="Arial" w:hAnsi="Arial" w:cs="Arial"/>
          <w:szCs w:val="20"/>
        </w:rPr>
        <w:t xml:space="preserve">, also see Box </w:t>
      </w:r>
      <w:r w:rsidR="00D362D1">
        <w:rPr>
          <w:rFonts w:ascii="Arial" w:hAnsi="Arial" w:cs="Arial"/>
          <w:szCs w:val="20"/>
        </w:rPr>
        <w:t>6.2</w:t>
      </w:r>
      <w:r w:rsidR="00DE24A5">
        <w:rPr>
          <w:rFonts w:ascii="Arial" w:hAnsi="Arial" w:cs="Arial"/>
          <w:szCs w:val="20"/>
        </w:rPr>
        <w:t>)</w:t>
      </w:r>
      <w:r w:rsidRPr="00FC7FE8">
        <w:rPr>
          <w:rFonts w:ascii="Arial" w:hAnsi="Arial" w:cs="Arial"/>
          <w:szCs w:val="20"/>
        </w:rPr>
        <w:t>.</w:t>
      </w:r>
    </w:p>
    <w:p w14:paraId="30E4CDFD" w14:textId="2407BE4A" w:rsidR="008B5EBB" w:rsidRDefault="008B5EBB" w:rsidP="00C97679">
      <w:pPr>
        <w:pStyle w:val="Caption"/>
      </w:pPr>
      <w:r>
        <w:t xml:space="preserve">Figure </w:t>
      </w:r>
      <w:r>
        <w:rPr>
          <w:noProof/>
        </w:rPr>
        <w:t>1.</w:t>
      </w:r>
      <w:r w:rsidR="00ED2F4A">
        <w:rPr>
          <w:noProof/>
        </w:rPr>
        <w:t>12</w:t>
      </w:r>
      <w:r>
        <w:t xml:space="preserve">: Historical </w:t>
      </w:r>
      <w:r w:rsidR="00B46371">
        <w:t>g</w:t>
      </w:r>
      <w:r>
        <w:t xml:space="preserve">as </w:t>
      </w:r>
      <w:r w:rsidR="00B46371">
        <w:t>p</w:t>
      </w:r>
      <w:r>
        <w:t>rices, 2000</w:t>
      </w:r>
      <w:r w:rsidR="002B7524">
        <w:t xml:space="preserve"> to </w:t>
      </w:r>
      <w:r w:rsidR="00B46371">
        <w:t>2023</w:t>
      </w:r>
    </w:p>
    <w:p w14:paraId="54BF3B1A" w14:textId="0EB2484A" w:rsidR="008B5EBB" w:rsidRDefault="00E35185" w:rsidP="008B5EBB">
      <w:pPr>
        <w:pStyle w:val="Note"/>
      </w:pPr>
      <w:r>
        <w:rPr>
          <w:noProof/>
        </w:rPr>
        <w:drawing>
          <wp:inline distT="0" distB="0" distL="0" distR="0" wp14:anchorId="688BE4CB" wp14:editId="64F744BF">
            <wp:extent cx="4206875" cy="2276475"/>
            <wp:effectExtent l="0" t="0" r="3175" b="0"/>
            <wp:docPr id="58" name="Chart 58" descr="The figure shows historical trajectory of gas prices across five markets including Japan Korea Marker, UK NBP, US Henry Hub, Dutch TTF and Australian Gas Supply hub from 2000 to 2022. The figure highlights that the US Henry Hub consistently offers the lowest prices. Between 2020 to 2022, pricing trends across these markets were relatively stable and closely aligned. During 2020-2022, there was a sharp rise in gas prices across all markets, with the Dutch TTF surging to more than seven times its earlier rate, and the Australian domestic spot price seeing a doubling.">
              <a:extLst xmlns:a="http://schemas.openxmlformats.org/drawingml/2006/main">
                <a:ext uri="{FF2B5EF4-FFF2-40B4-BE49-F238E27FC236}">
                  <a16:creationId xmlns:a16="http://schemas.microsoft.com/office/drawing/2014/main" id="{7F829A08-D141-409F-B8BD-C6004B0F1E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4B2644" w14:textId="77777777" w:rsidR="008B5EBB" w:rsidRPr="00C62F3A" w:rsidRDefault="008B5EBB" w:rsidP="00932AAD">
      <w:pPr>
        <w:pStyle w:val="Source"/>
      </w:pPr>
      <w:r>
        <w:t xml:space="preserve">Notes: Nominal prices. Australian benchmark prices estimated as the annual average day-ahead price at the Wallumbilla Gas Supply Hub. </w:t>
      </w:r>
    </w:p>
    <w:p w14:paraId="2907E608" w14:textId="329CB3B7" w:rsidR="008B5EBB" w:rsidRDefault="008B5EBB" w:rsidP="00932AAD">
      <w:pPr>
        <w:pStyle w:val="Source"/>
      </w:pPr>
      <w:r>
        <w:t>Source:</w:t>
      </w:r>
      <w:r w:rsidR="003C0693" w:rsidRPr="003C0693">
        <w:t xml:space="preserve"> </w:t>
      </w:r>
      <w:r w:rsidR="003C0693">
        <w:t>AEMO (2023</w:t>
      </w:r>
      <w:r w:rsidR="00DB3724">
        <w:t>a</w:t>
      </w:r>
      <w:r w:rsidR="003C0693">
        <w:t>); AER (2023</w:t>
      </w:r>
      <w:r w:rsidR="00DB3724">
        <w:t>a</w:t>
      </w:r>
      <w:r w:rsidR="003C0693">
        <w:t>);</w:t>
      </w:r>
      <w:r>
        <w:t xml:space="preserve"> </w:t>
      </w:r>
      <w:r w:rsidRPr="009837FE">
        <w:t>Energy Institute (2023)</w:t>
      </w:r>
      <w:r w:rsidR="002044A2">
        <w:t>.</w:t>
      </w:r>
    </w:p>
    <w:tbl>
      <w:tblPr>
        <w:tblStyle w:val="OCETable"/>
        <w:tblW w:w="6804" w:type="dxa"/>
        <w:tblBorders>
          <w:top w:val="single" w:sz="18" w:space="0" w:color="005CAF" w:themeColor="accent1"/>
          <w:left w:val="single" w:sz="18" w:space="0" w:color="005CAF" w:themeColor="accent1"/>
          <w:bottom w:val="single" w:sz="18" w:space="0" w:color="005CAF" w:themeColor="accent1"/>
          <w:right w:val="single" w:sz="18" w:space="0" w:color="005CAF" w:themeColor="accent1"/>
        </w:tblBorders>
        <w:shd w:val="clear" w:color="auto" w:fill="F1CFCF"/>
        <w:tblLayout w:type="fixed"/>
        <w:tblLook w:val="04A0" w:firstRow="1" w:lastRow="0" w:firstColumn="1" w:lastColumn="0" w:noHBand="0" w:noVBand="1"/>
      </w:tblPr>
      <w:tblGrid>
        <w:gridCol w:w="6804"/>
      </w:tblGrid>
      <w:tr w:rsidR="003E5828" w14:paraId="5C9DD945" w14:textId="77777777" w:rsidTr="00D81BB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0BBC949C" w14:textId="77777777" w:rsidR="003E5828" w:rsidRPr="00401289" w:rsidRDefault="003E5828" w:rsidP="00556751">
            <w:pPr>
              <w:pStyle w:val="Boxtext"/>
              <w:spacing w:beforeLines="60" w:before="144" w:afterLines="60" w:after="144"/>
              <w:ind w:left="113" w:right="113"/>
              <w:jc w:val="both"/>
              <w:rPr>
                <w:color w:val="auto"/>
              </w:rPr>
            </w:pPr>
            <w:r w:rsidRPr="005458FA">
              <w:rPr>
                <w:b/>
                <w:bCs/>
                <w:color w:val="auto"/>
              </w:rPr>
              <w:t xml:space="preserve">Insight: </w:t>
            </w:r>
            <w:r w:rsidRPr="005458FA">
              <w:rPr>
                <w:color w:val="auto"/>
              </w:rPr>
              <w:t xml:space="preserve">Like all energy commodities, gas production and LNG trade will remain susceptible to disruption </w:t>
            </w:r>
            <w:r w:rsidRPr="0010218F">
              <w:rPr>
                <w:color w:val="373737" w:themeColor="text1"/>
              </w:rPr>
              <w:t>—</w:t>
            </w:r>
            <w:r w:rsidRPr="005458FA">
              <w:rPr>
                <w:color w:val="auto"/>
              </w:rPr>
              <w:t xml:space="preserve"> from geopolitical </w:t>
            </w:r>
            <w:r>
              <w:rPr>
                <w:color w:val="auto"/>
              </w:rPr>
              <w:t>upheavals</w:t>
            </w:r>
            <w:r w:rsidRPr="005458FA">
              <w:rPr>
                <w:color w:val="auto"/>
              </w:rPr>
              <w:t>, industrial disputes, climate-related events, and other shocks.</w:t>
            </w:r>
          </w:p>
        </w:tc>
      </w:tr>
    </w:tbl>
    <w:p w14:paraId="2EA5198A" w14:textId="7C1949CE" w:rsidR="003E5828" w:rsidRDefault="003E5828" w:rsidP="003E5828">
      <w:pPr>
        <w:pStyle w:val="BodyText"/>
        <w:spacing w:before="120"/>
      </w:pPr>
      <w:r>
        <w:t>The IEA’s</w:t>
      </w:r>
      <w:r w:rsidR="00D33314">
        <w:t xml:space="preserve"> (2023</w:t>
      </w:r>
      <w:r w:rsidR="00330BAC">
        <w:t>f</w:t>
      </w:r>
      <w:r w:rsidR="00D33314">
        <w:t>)</w:t>
      </w:r>
      <w:r>
        <w:t xml:space="preserve"> forward projections for Asian LNG prices are for a return to the low prices seen pre-Russia shock (Figure 1.1</w:t>
      </w:r>
      <w:r w:rsidR="00ED2F4A">
        <w:t>3</w:t>
      </w:r>
      <w:r>
        <w:t>). That is, Asian LNG prices are expected to range between US</w:t>
      </w:r>
      <w:r w:rsidR="00E44C85">
        <w:t>D</w:t>
      </w:r>
      <w:r>
        <w:t>5 and US</w:t>
      </w:r>
      <w:r w:rsidR="00E44C85">
        <w:t>D</w:t>
      </w:r>
      <w:r>
        <w:t>10 per million metric British thermal unit out to 2050. The variation in price</w:t>
      </w:r>
      <w:r w:rsidDel="00AA03F4">
        <w:t xml:space="preserve"> </w:t>
      </w:r>
      <w:r>
        <w:t xml:space="preserve">depends on spare capacity in LNG export facilities (itself, partly a function of demand). </w:t>
      </w:r>
    </w:p>
    <w:p w14:paraId="794B69D5" w14:textId="2C2D1F0A" w:rsidR="0087448B" w:rsidRPr="00B074FD" w:rsidRDefault="0087448B" w:rsidP="0087448B">
      <w:pPr>
        <w:pStyle w:val="BodyText"/>
      </w:pPr>
      <w:r>
        <w:t xml:space="preserve">Over 98% of Australia’s gas is exported to </w:t>
      </w:r>
      <w:r w:rsidR="008D0F56">
        <w:t>economies</w:t>
      </w:r>
      <w:r>
        <w:t xml:space="preserve"> with net zero commitments, suggesting demand may be impacted significantly over time by decarbonisation efforts in partner </w:t>
      </w:r>
      <w:r w:rsidR="008D0F56">
        <w:t>economies</w:t>
      </w:r>
      <w:r>
        <w:t>.</w:t>
      </w:r>
      <w:r>
        <w:rPr>
          <w:rStyle w:val="FootnoteReference"/>
        </w:rPr>
        <w:footnoteReference w:id="3"/>
      </w:r>
      <w:r>
        <w:t xml:space="preserve"> Gas prices are projected to be lower under the IEA’s </w:t>
      </w:r>
      <w:r w:rsidR="00D33314">
        <w:t>(2023)</w:t>
      </w:r>
      <w:r>
        <w:t xml:space="preserve"> NZE scenario than under pathways where decarbonisation goals are less ambitious. The logic for price drops stems from declining LNG demand. Lower LNG demand reduces capacity utilisation of LNG export facilities. The assumed price level is</w:t>
      </w:r>
      <w:r w:rsidR="00794F67">
        <w:t xml:space="preserve"> no</w:t>
      </w:r>
      <w:r>
        <w:t>t high enough to incentivise new investments but does allow some facilities to maintain operations (F</w:t>
      </w:r>
      <w:r w:rsidRPr="00FC7FE8">
        <w:t>igure 1.</w:t>
      </w:r>
      <w:r w:rsidRPr="00172BF6">
        <w:t>1</w:t>
      </w:r>
      <w:r w:rsidR="00ED2F4A">
        <w:t>3</w:t>
      </w:r>
      <w:r w:rsidRPr="00FC7FE8">
        <w:t>).</w:t>
      </w:r>
      <w:r>
        <w:t xml:space="preserve"> Demand scenarios for Australian LNG through the transition are explored in Chapter 4.</w:t>
      </w:r>
    </w:p>
    <w:p w14:paraId="7F7CE654" w14:textId="1423BD90" w:rsidR="0020534D" w:rsidRPr="00B074FD" w:rsidRDefault="0020534D" w:rsidP="00C97679">
      <w:pPr>
        <w:pStyle w:val="Caption"/>
      </w:pPr>
      <w:r>
        <w:t>Figure 1.1</w:t>
      </w:r>
      <w:r w:rsidR="00ED2F4A">
        <w:t>3</w:t>
      </w:r>
      <w:r>
        <w:t>: Asian gas price forecasts by scenario, 2010</w:t>
      </w:r>
      <w:r w:rsidR="002B7524">
        <w:t xml:space="preserve"> to </w:t>
      </w:r>
      <w:r>
        <w:t>2050</w:t>
      </w:r>
    </w:p>
    <w:p w14:paraId="08573B4B" w14:textId="0C4BF717" w:rsidR="003E5828" w:rsidRDefault="00E35185" w:rsidP="003E5828">
      <w:pPr>
        <w:pStyle w:val="Note"/>
      </w:pPr>
      <w:r>
        <w:rPr>
          <w:noProof/>
        </w:rPr>
        <w:drawing>
          <wp:inline distT="0" distB="0" distL="0" distR="0" wp14:anchorId="5952EFF7" wp14:editId="641CF11E">
            <wp:extent cx="4206875" cy="2524125"/>
            <wp:effectExtent l="0" t="0" r="3175" b="0"/>
            <wp:docPr id="59" name="Chart 59" descr="This figure shows historical and projected Asian gas prices under three IEA scenarios: STEPS, APS, and NZE, from 2010 to 2050. All three scenarios show a significant fall in prices until 2030, from which they flatten out or continue to decrease. Prices are projected to be the lowest under the IEA’s NZE scenario than under pathways where decarbonisation goals are less ambitious, reaching around USD5/MMBtu by 2050. In contrast, the STEPS scenario anticipates the highest gas prices, with projections of around USD10/MMBtu by 2050. ">
              <a:extLst xmlns:a="http://schemas.openxmlformats.org/drawingml/2006/main">
                <a:ext uri="{FF2B5EF4-FFF2-40B4-BE49-F238E27FC236}">
                  <a16:creationId xmlns:a16="http://schemas.microsoft.com/office/drawing/2014/main" id="{9D165367-89C2-4678-9DF9-A512252E1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8A6A5D" w14:textId="6ADE09A8" w:rsidR="003E5828" w:rsidRPr="00BA50BD" w:rsidRDefault="003E5828" w:rsidP="00932AAD">
      <w:pPr>
        <w:pStyle w:val="Source"/>
        <w:rPr>
          <w:lang w:eastAsia="en-AU"/>
        </w:rPr>
      </w:pPr>
      <w:r w:rsidRPr="00932AAD">
        <w:t>Source: IEA (2023</w:t>
      </w:r>
      <w:r w:rsidR="00DB3724">
        <w:t>e</w:t>
      </w:r>
      <w:r w:rsidRPr="00932AAD">
        <w:t xml:space="preserve">) </w:t>
      </w:r>
      <w:r>
        <w:rPr>
          <w:lang w:eastAsia="en-AU"/>
        </w:rPr>
        <w:t xml:space="preserve"> </w:t>
      </w:r>
    </w:p>
    <w:p w14:paraId="1AAEF96F" w14:textId="558F7AF7" w:rsidR="004A3B1F" w:rsidRDefault="004A3B1F" w:rsidP="00121A70">
      <w:pPr>
        <w:pStyle w:val="Heading3"/>
        <w:rPr>
          <w:lang w:val="en"/>
        </w:rPr>
      </w:pPr>
      <w:r w:rsidRPr="00D569B2">
        <w:t xml:space="preserve">Rising </w:t>
      </w:r>
      <w:r>
        <w:t>g</w:t>
      </w:r>
      <w:r w:rsidRPr="00D569B2">
        <w:t xml:space="preserve">as </w:t>
      </w:r>
      <w:r>
        <w:t>g</w:t>
      </w:r>
      <w:r w:rsidRPr="00D569B2">
        <w:t xml:space="preserve">eneration can help reduce emissions in </w:t>
      </w:r>
      <w:r>
        <w:t xml:space="preserve">the </w:t>
      </w:r>
      <w:r w:rsidRPr="00D569B2">
        <w:t>electricity sector</w:t>
      </w:r>
    </w:p>
    <w:p w14:paraId="45A3E148" w14:textId="2B0FB41A" w:rsidR="004A3B1F" w:rsidRPr="00AB3CF5" w:rsidRDefault="004A3B1F" w:rsidP="004A3B1F">
      <w:pPr>
        <w:pStyle w:val="BodyText"/>
        <w:rPr>
          <w:lang w:eastAsia="en-AU"/>
        </w:rPr>
      </w:pPr>
      <w:r>
        <w:rPr>
          <w:lang w:eastAsia="en-AU"/>
        </w:rPr>
        <w:t xml:space="preserve">The net benefits for different </w:t>
      </w:r>
      <w:r w:rsidR="00650439">
        <w:rPr>
          <w:lang w:eastAsia="en-AU"/>
        </w:rPr>
        <w:t xml:space="preserve">countries </w:t>
      </w:r>
      <w:r>
        <w:rPr>
          <w:lang w:eastAsia="en-AU"/>
        </w:rPr>
        <w:t xml:space="preserve">and sectors to substitute away from gas depend on the contribution gas makes to economic production (as both a feedstock and a source of energy/heat), the alternatives available (and their emissions profile), and the relative cost (including carbon cost) associated with adopting alternatives. We will explore these considerations further as they apply to Australia in Chapters 3 and 4. </w:t>
      </w:r>
    </w:p>
    <w:p w14:paraId="10E39A25" w14:textId="77777777" w:rsidR="00291693" w:rsidRDefault="00C939F1" w:rsidP="004A3B1F">
      <w:pPr>
        <w:pStyle w:val="BodyText"/>
        <w:spacing w:before="120"/>
        <w:rPr>
          <w:lang w:val="en-US"/>
        </w:rPr>
      </w:pPr>
      <w:r w:rsidRPr="4B832932">
        <w:rPr>
          <w:lang w:val="en-US"/>
        </w:rPr>
        <w:t>Roughly 20% (or 6,600 Terawatts) of global electricity generation is powered by gas (Figure 1.</w:t>
      </w:r>
      <w:r w:rsidR="00ED2F4A">
        <w:rPr>
          <w:lang w:val="en-US"/>
        </w:rPr>
        <w:t>14</w:t>
      </w:r>
      <w:r w:rsidRPr="4B832932">
        <w:rPr>
          <w:lang w:val="en-US"/>
        </w:rPr>
        <w:t xml:space="preserve">). </w:t>
      </w:r>
    </w:p>
    <w:p w14:paraId="2902478B" w14:textId="39C1C14B" w:rsidR="00291693" w:rsidRDefault="00291693" w:rsidP="00C97679">
      <w:pPr>
        <w:pStyle w:val="Caption"/>
      </w:pPr>
      <w:r>
        <w:t xml:space="preserve">Figure </w:t>
      </w:r>
      <w:r>
        <w:rPr>
          <w:noProof/>
        </w:rPr>
        <w:t>1.14</w:t>
      </w:r>
      <w:r>
        <w:t>: Electricity Generation by fuel</w:t>
      </w:r>
      <w:r w:rsidR="002B7524">
        <w:t xml:space="preserve"> and region</w:t>
      </w:r>
      <w:r>
        <w:t xml:space="preserve">, </w:t>
      </w:r>
      <w:r w:rsidR="00E83B16">
        <w:t xml:space="preserve">TWh, </w:t>
      </w:r>
      <w:r>
        <w:t>2022</w:t>
      </w:r>
    </w:p>
    <w:p w14:paraId="577F5944" w14:textId="037FC032" w:rsidR="00291693" w:rsidRPr="00C62F3A" w:rsidRDefault="00E35185" w:rsidP="00291693">
      <w:pPr>
        <w:pStyle w:val="Note"/>
      </w:pPr>
      <w:r>
        <w:rPr>
          <w:noProof/>
        </w:rPr>
        <w:drawing>
          <wp:inline distT="0" distB="0" distL="0" distR="0" wp14:anchorId="56FCDF6E" wp14:editId="72DD10BF">
            <wp:extent cx="4206875" cy="4912360"/>
            <wp:effectExtent l="0" t="0" r="3175" b="2540"/>
            <wp:docPr id="62" name="Chart 62" descr="This figure shows the electricity generation by fuel type in different regions of the world in 2022, measured in TWh. The figure indicates that coal is still the dominant fuel for electricity generation globally, with 10,317 TWh, followed by gas (6,631 TWh) and hydroelectric (4,334 TWh). The figure also indicates the regional diversity of the electricity mix.">
              <a:extLst xmlns:a="http://schemas.openxmlformats.org/drawingml/2006/main">
                <a:ext uri="{FF2B5EF4-FFF2-40B4-BE49-F238E27FC236}">
                  <a16:creationId xmlns:a16="http://schemas.microsoft.com/office/drawing/2014/main" id="{E1A22128-6C8B-4591-9341-4320A6050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906144" w14:textId="260DC1B0" w:rsidR="00291693" w:rsidRPr="00271590" w:rsidRDefault="00291693" w:rsidP="00291693">
      <w:pPr>
        <w:pStyle w:val="Source"/>
      </w:pPr>
      <w:r>
        <w:t xml:space="preserve">Note: Figures are in </w:t>
      </w:r>
      <w:r w:rsidR="00E83B16">
        <w:t>t</w:t>
      </w:r>
      <w:r>
        <w:t>erawatt hours.</w:t>
      </w:r>
      <w:r>
        <w:br/>
        <w:t xml:space="preserve">Source: </w:t>
      </w:r>
      <w:r w:rsidRPr="009837FE">
        <w:t>Energy Institute (2023)</w:t>
      </w:r>
    </w:p>
    <w:p w14:paraId="4909D86E" w14:textId="26F6B4B1" w:rsidR="00D01517" w:rsidRDefault="004A3B1F" w:rsidP="004A3B1F">
      <w:pPr>
        <w:pStyle w:val="BodyText"/>
        <w:spacing w:before="120"/>
        <w:rPr>
          <w:lang w:eastAsia="en-AU"/>
        </w:rPr>
      </w:pPr>
      <w:r>
        <w:rPr>
          <w:lang w:eastAsia="en-AU"/>
        </w:rPr>
        <w:t xml:space="preserve">Within </w:t>
      </w:r>
      <w:r w:rsidR="00D01517">
        <w:rPr>
          <w:lang w:eastAsia="en-AU"/>
        </w:rPr>
        <w:t xml:space="preserve">foreign </w:t>
      </w:r>
      <w:r>
        <w:rPr>
          <w:lang w:eastAsia="en-AU"/>
        </w:rPr>
        <w:t xml:space="preserve">electricity sectors, the key to whether a reduction in the use of gas will be associated with lower </w:t>
      </w:r>
      <w:r w:rsidR="00C422F3">
        <w:rPr>
          <w:lang w:eastAsia="en-AU"/>
        </w:rPr>
        <w:t>greenhouse gas</w:t>
      </w:r>
      <w:r>
        <w:rPr>
          <w:lang w:eastAsia="en-AU"/>
        </w:rPr>
        <w:t xml:space="preserve"> emissions depends on what </w:t>
      </w:r>
      <w:r w:rsidR="00C939F1">
        <w:rPr>
          <w:lang w:eastAsia="en-AU"/>
        </w:rPr>
        <w:t>alternatives energy sources are available</w:t>
      </w:r>
      <w:r>
        <w:rPr>
          <w:lang w:eastAsia="en-AU"/>
        </w:rPr>
        <w:t xml:space="preserve">. In some markets, cheap renewable technologies and expanding electricity grids can both replace the role of </w:t>
      </w:r>
      <w:r w:rsidR="00C939F1">
        <w:rPr>
          <w:lang w:eastAsia="en-AU"/>
        </w:rPr>
        <w:t>fossil fuels</w:t>
      </w:r>
      <w:r>
        <w:rPr>
          <w:lang w:eastAsia="en-AU"/>
        </w:rPr>
        <w:t xml:space="preserve"> and reduce emissions. </w:t>
      </w:r>
      <w:r w:rsidR="00D01517">
        <w:rPr>
          <w:lang w:eastAsia="en-AU"/>
        </w:rPr>
        <w:t xml:space="preserve">Gas may be used to support this transition in a firming role. </w:t>
      </w:r>
      <w:r w:rsidR="00D110DD" w:rsidRPr="00F46D0D">
        <w:rPr>
          <w:lang w:eastAsia="en-AU"/>
        </w:rPr>
        <w:t xml:space="preserve">While hydroelectric </w:t>
      </w:r>
      <w:r w:rsidR="00C939F1" w:rsidRPr="00F46D0D">
        <w:rPr>
          <w:lang w:eastAsia="en-AU"/>
        </w:rPr>
        <w:t xml:space="preserve">power generation </w:t>
      </w:r>
      <w:r w:rsidR="00D110DD" w:rsidRPr="00F46D0D">
        <w:rPr>
          <w:lang w:eastAsia="en-AU"/>
        </w:rPr>
        <w:t>has increased,</w:t>
      </w:r>
      <w:r w:rsidR="00C939F1" w:rsidRPr="00F46D0D">
        <w:rPr>
          <w:lang w:eastAsia="en-AU"/>
        </w:rPr>
        <w:t xml:space="preserve"> </w:t>
      </w:r>
      <w:r w:rsidR="00D110DD" w:rsidRPr="00F46D0D">
        <w:rPr>
          <w:lang w:eastAsia="en-AU"/>
        </w:rPr>
        <w:t xml:space="preserve">nuclear power has remained </w:t>
      </w:r>
      <w:r w:rsidR="00607A20" w:rsidRPr="00F46D0D">
        <w:rPr>
          <w:lang w:eastAsia="en-AU"/>
        </w:rPr>
        <w:t>steady</w:t>
      </w:r>
      <w:r w:rsidR="00C939F1" w:rsidRPr="00F46D0D">
        <w:rPr>
          <w:lang w:eastAsia="en-AU"/>
        </w:rPr>
        <w:t>.</w:t>
      </w:r>
      <w:r w:rsidR="00C939F1">
        <w:rPr>
          <w:lang w:eastAsia="en-AU"/>
        </w:rPr>
        <w:t xml:space="preserve"> </w:t>
      </w:r>
    </w:p>
    <w:p w14:paraId="303F1359" w14:textId="21A26EAA" w:rsidR="009F625D" w:rsidRDefault="004A3B1F" w:rsidP="00121A70">
      <w:pPr>
        <w:pStyle w:val="BodyText"/>
        <w:spacing w:before="120"/>
        <w:rPr>
          <w:lang w:val="en-US"/>
        </w:rPr>
      </w:pPr>
      <w:r>
        <w:rPr>
          <w:lang w:eastAsia="en-AU"/>
        </w:rPr>
        <w:t xml:space="preserve">Where renewable energy sources </w:t>
      </w:r>
      <w:r w:rsidR="00C939F1">
        <w:rPr>
          <w:lang w:eastAsia="en-AU"/>
        </w:rPr>
        <w:t xml:space="preserve">or alternatives </w:t>
      </w:r>
      <w:r>
        <w:rPr>
          <w:lang w:eastAsia="en-AU"/>
        </w:rPr>
        <w:t xml:space="preserve">are limited </w:t>
      </w:r>
      <w:r w:rsidR="00D01517">
        <w:rPr>
          <w:lang w:eastAsia="en-AU"/>
        </w:rPr>
        <w:t xml:space="preserve">or constrained </w:t>
      </w:r>
      <w:r>
        <w:rPr>
          <w:lang w:eastAsia="en-AU"/>
        </w:rPr>
        <w:t xml:space="preserve">(especially in the near term), gas </w:t>
      </w:r>
      <w:r w:rsidR="00C939F1">
        <w:rPr>
          <w:lang w:eastAsia="en-AU"/>
        </w:rPr>
        <w:t xml:space="preserve">or LNG </w:t>
      </w:r>
      <w:r>
        <w:rPr>
          <w:lang w:eastAsia="en-AU"/>
        </w:rPr>
        <w:t xml:space="preserve">may </w:t>
      </w:r>
      <w:r w:rsidR="00D01517">
        <w:rPr>
          <w:lang w:eastAsia="en-AU"/>
        </w:rPr>
        <w:t xml:space="preserve">be a lower emissions option compared to </w:t>
      </w:r>
      <w:r>
        <w:rPr>
          <w:lang w:eastAsia="en-AU"/>
        </w:rPr>
        <w:t xml:space="preserve">other fossil fuels such as oil or coal. </w:t>
      </w:r>
      <w:r w:rsidR="00C939F1">
        <w:rPr>
          <w:rStyle w:val="ui-provider"/>
        </w:rPr>
        <w:t>CSIRO notes that if Australian natural gas was used to displace domestic coal-fired electricity generation, emissions would fall by an estimated 31% (for open cycle gas turbines) and 50% (closed cycle gas turbine).</w:t>
      </w:r>
      <w:r w:rsidR="00C939F1">
        <w:rPr>
          <w:lang w:val="en-US"/>
        </w:rPr>
        <w:t xml:space="preserve"> </w:t>
      </w:r>
    </w:p>
    <w:p w14:paraId="6A72884F" w14:textId="6F6B0AF0" w:rsidR="004A3B1F" w:rsidRPr="00FC7FE8" w:rsidRDefault="00C939F1" w:rsidP="00F57992">
      <w:pPr>
        <w:pStyle w:val="BodyText"/>
        <w:spacing w:before="120"/>
        <w:rPr>
          <w:lang w:val="en"/>
        </w:rPr>
      </w:pPr>
      <w:r>
        <w:rPr>
          <w:lang w:val="en-US"/>
        </w:rPr>
        <w:t>Over recent decades, gas</w:t>
      </w:r>
      <w:r w:rsidR="008D1436">
        <w:rPr>
          <w:lang w:val="en-US"/>
        </w:rPr>
        <w:t>-</w:t>
      </w:r>
      <w:r>
        <w:rPr>
          <w:lang w:val="en-US"/>
        </w:rPr>
        <w:t xml:space="preserve">powered generation has replaced </w:t>
      </w:r>
      <w:r w:rsidR="004A3B1F" w:rsidRPr="4B832932">
        <w:rPr>
          <w:lang w:val="en-US"/>
        </w:rPr>
        <w:t xml:space="preserve">coal in </w:t>
      </w:r>
      <w:r>
        <w:rPr>
          <w:lang w:val="en-US"/>
        </w:rPr>
        <w:t xml:space="preserve">North America and oil in Europe helping to contain emissions </w:t>
      </w:r>
      <w:r w:rsidR="004A3B1F" w:rsidRPr="4B832932">
        <w:rPr>
          <w:lang w:val="en-US"/>
        </w:rPr>
        <w:t>(Figure</w:t>
      </w:r>
      <w:r>
        <w:rPr>
          <w:lang w:val="en-US"/>
        </w:rPr>
        <w:t>s</w:t>
      </w:r>
      <w:r w:rsidR="004A3B1F" w:rsidRPr="4B832932">
        <w:rPr>
          <w:lang w:val="en-US"/>
        </w:rPr>
        <w:t xml:space="preserve"> 1.</w:t>
      </w:r>
      <w:r w:rsidR="00ED2F4A">
        <w:rPr>
          <w:lang w:val="en-US"/>
        </w:rPr>
        <w:t>15</w:t>
      </w:r>
      <w:r>
        <w:rPr>
          <w:lang w:val="en-US"/>
        </w:rPr>
        <w:t xml:space="preserve"> and 1.</w:t>
      </w:r>
      <w:r w:rsidR="00ED2F4A">
        <w:rPr>
          <w:lang w:val="en-US"/>
        </w:rPr>
        <w:t>16</w:t>
      </w:r>
      <w:r w:rsidR="004A3B1F" w:rsidRPr="4B832932">
        <w:rPr>
          <w:lang w:val="en-US"/>
        </w:rPr>
        <w:t xml:space="preserve">). </w:t>
      </w:r>
      <w:r w:rsidR="004A3B1F" w:rsidRPr="00FC7FE8">
        <w:rPr>
          <w:lang w:val="en"/>
        </w:rPr>
        <w:t>In markets where coal</w:t>
      </w:r>
      <w:r w:rsidR="004A3B1F">
        <w:rPr>
          <w:lang w:val="en"/>
        </w:rPr>
        <w:t xml:space="preserve"> </w:t>
      </w:r>
      <w:r>
        <w:rPr>
          <w:lang w:val="en"/>
        </w:rPr>
        <w:t xml:space="preserve">remains the dominant source of power generation </w:t>
      </w:r>
      <w:r w:rsidR="004A3B1F" w:rsidRPr="00FC7FE8">
        <w:rPr>
          <w:lang w:val="en"/>
        </w:rPr>
        <w:t xml:space="preserve">— </w:t>
      </w:r>
      <w:r w:rsidR="004A3B1F">
        <w:rPr>
          <w:lang w:val="en"/>
        </w:rPr>
        <w:t>as</w:t>
      </w:r>
      <w:r w:rsidR="004A3B1F" w:rsidRPr="00FC7FE8">
        <w:rPr>
          <w:lang w:val="en"/>
        </w:rPr>
        <w:t xml:space="preserve"> in </w:t>
      </w:r>
      <w:r w:rsidR="00CC134D">
        <w:rPr>
          <w:lang w:val="en"/>
        </w:rPr>
        <w:t>Asia Pacific</w:t>
      </w:r>
      <w:r w:rsidR="004A3B1F">
        <w:rPr>
          <w:lang w:val="en"/>
        </w:rPr>
        <w:t xml:space="preserve"> </w:t>
      </w:r>
      <w:r w:rsidR="004A3B1F" w:rsidRPr="00FC7FE8">
        <w:rPr>
          <w:lang w:val="en"/>
        </w:rPr>
        <w:t xml:space="preserve">— emissions have </w:t>
      </w:r>
      <w:r w:rsidR="004A3B1F">
        <w:rPr>
          <w:lang w:val="en"/>
        </w:rPr>
        <w:t>risen sharply</w:t>
      </w:r>
      <w:r w:rsidR="004A3B1F" w:rsidRPr="00FC7FE8">
        <w:rPr>
          <w:lang w:val="en"/>
        </w:rPr>
        <w:t xml:space="preserve"> (Figure 1.</w:t>
      </w:r>
      <w:r w:rsidR="00ED2F4A">
        <w:rPr>
          <w:lang w:val="en"/>
        </w:rPr>
        <w:t>17</w:t>
      </w:r>
      <w:r w:rsidR="004A3B1F" w:rsidRPr="00FC7FE8">
        <w:rPr>
          <w:lang w:val="en"/>
        </w:rPr>
        <w:t xml:space="preserve">). </w:t>
      </w:r>
      <w:r w:rsidR="00CC134D">
        <w:rPr>
          <w:lang w:val="en"/>
        </w:rPr>
        <w:t xml:space="preserve">In </w:t>
      </w:r>
      <w:r w:rsidR="008D0F56">
        <w:rPr>
          <w:lang w:val="en"/>
        </w:rPr>
        <w:t>economies</w:t>
      </w:r>
      <w:r w:rsidR="00CC134D">
        <w:rPr>
          <w:lang w:val="en"/>
        </w:rPr>
        <w:t xml:space="preserve"> pursuing a slower track to net zero under the Paris agreement and seeking to raise living standards through greater energy access,</w:t>
      </w:r>
      <w:r w:rsidR="004A3B1F">
        <w:rPr>
          <w:lang w:val="en"/>
        </w:rPr>
        <w:t xml:space="preserve"> gas</w:t>
      </w:r>
      <w:r w:rsidR="00CC134D">
        <w:rPr>
          <w:lang w:val="en"/>
        </w:rPr>
        <w:t xml:space="preserve"> could provide a lower-emissions intensity of energy production than growth through coal or oil as a complement to renewable power generation</w:t>
      </w:r>
      <w:r w:rsidR="004A3B1F">
        <w:rPr>
          <w:lang w:val="en"/>
        </w:rPr>
        <w:t>.</w:t>
      </w:r>
    </w:p>
    <w:p w14:paraId="46E433BD" w14:textId="57D22937" w:rsidR="004A3B1F" w:rsidRDefault="004A3B1F" w:rsidP="00C97679">
      <w:pPr>
        <w:pStyle w:val="Caption"/>
      </w:pPr>
      <w:r>
        <w:t xml:space="preserve">Figure </w:t>
      </w:r>
      <w:r>
        <w:rPr>
          <w:noProof/>
        </w:rPr>
        <w:t>1.</w:t>
      </w:r>
      <w:r w:rsidR="00ED2F4A">
        <w:rPr>
          <w:noProof/>
        </w:rPr>
        <w:t>15</w:t>
      </w:r>
      <w:r>
        <w:t>: North American electricity generation by fuel, 1985</w:t>
      </w:r>
      <w:r w:rsidR="002B7524">
        <w:t xml:space="preserve"> to 20</w:t>
      </w:r>
      <w:r>
        <w:t xml:space="preserve">22 </w:t>
      </w:r>
    </w:p>
    <w:p w14:paraId="3BA1A8DC" w14:textId="0B715052" w:rsidR="004A3B1F" w:rsidRDefault="00AB5851" w:rsidP="004A3B1F">
      <w:pPr>
        <w:pStyle w:val="Note"/>
      </w:pPr>
      <w:r>
        <w:rPr>
          <w:noProof/>
        </w:rPr>
        <w:drawing>
          <wp:inline distT="0" distB="0" distL="0" distR="0" wp14:anchorId="51993F67" wp14:editId="4612E023">
            <wp:extent cx="4206875" cy="2295525"/>
            <wp:effectExtent l="0" t="0" r="3175" b="0"/>
            <wp:docPr id="2" name="Chart 2" descr="This figure shows the electricity generation by fuel type in North America from 1985 to 2022, measured in TWh and its total energy emissions, measured in MtCO2e. The figure shows a steady increase in the share of gas since 1985 and a significant drop in the share of coal after 2005. Gas has surpassed coal as the main fuel for electricity generation since 2016. The figure also shows that the carbon emissions from electricity have declined by 15% from their peak in 2005.">
              <a:extLst xmlns:a="http://schemas.openxmlformats.org/drawingml/2006/main">
                <a:ext uri="{FF2B5EF4-FFF2-40B4-BE49-F238E27FC236}">
                  <a16:creationId xmlns:a16="http://schemas.microsoft.com/office/drawing/2014/main" id="{619E60D7-ACD8-4870-9FD2-8AD8E3085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D7D989" w14:textId="550B77D7" w:rsidR="004A3B1F" w:rsidRDefault="004A3B1F" w:rsidP="004A3B1F">
      <w:pPr>
        <w:pStyle w:val="Source"/>
      </w:pPr>
      <w:r>
        <w:t xml:space="preserve">Source: </w:t>
      </w:r>
      <w:r w:rsidRPr="009837FE">
        <w:t>Energy Institute (2023)</w:t>
      </w:r>
    </w:p>
    <w:p w14:paraId="4AC13FE6" w14:textId="2A2E585C" w:rsidR="004A3B1F" w:rsidRDefault="004A3B1F" w:rsidP="00C97679">
      <w:pPr>
        <w:pStyle w:val="Caption"/>
      </w:pPr>
      <w:r>
        <w:t xml:space="preserve">Figure </w:t>
      </w:r>
      <w:r>
        <w:rPr>
          <w:noProof/>
        </w:rPr>
        <w:t>1.</w:t>
      </w:r>
      <w:r w:rsidR="00ED2F4A">
        <w:rPr>
          <w:noProof/>
        </w:rPr>
        <w:t>16</w:t>
      </w:r>
      <w:r>
        <w:t>: European electricity generation by fuel, 1985</w:t>
      </w:r>
      <w:r w:rsidR="002B7524">
        <w:t xml:space="preserve"> to 20</w:t>
      </w:r>
      <w:r>
        <w:t>22</w:t>
      </w:r>
    </w:p>
    <w:p w14:paraId="72BD404E" w14:textId="15231835" w:rsidR="004A3B1F" w:rsidRDefault="000F4A07" w:rsidP="004A3B1F">
      <w:pPr>
        <w:pStyle w:val="Note"/>
      </w:pPr>
      <w:r w:rsidRPr="000F4A07">
        <w:rPr>
          <w:noProof/>
        </w:rPr>
        <w:t xml:space="preserve"> </w:t>
      </w:r>
      <w:r w:rsidR="00AB5851">
        <w:rPr>
          <w:noProof/>
        </w:rPr>
        <w:drawing>
          <wp:inline distT="0" distB="0" distL="0" distR="0" wp14:anchorId="74896E4E" wp14:editId="5286B6B8">
            <wp:extent cx="4206875" cy="2295525"/>
            <wp:effectExtent l="0" t="0" r="3175" b="0"/>
            <wp:docPr id="6" name="Chart 6" descr="This figure shows the electricity generation by fuel type in Europe from 1985 to 2022, measured in TWh and its total energy emissions, measured in MtCO2e. The figure indicates that the share of coal has decreased significantly post-2012, while the share of gas has experienced steady growth since 1985. It dipped from 2010 to 2015 and picked up again thereafter. The figure also shows that the carbon emissions from electricity have been declined steadily since 1985.">
              <a:extLst xmlns:a="http://schemas.openxmlformats.org/drawingml/2006/main">
                <a:ext uri="{FF2B5EF4-FFF2-40B4-BE49-F238E27FC236}">
                  <a16:creationId xmlns:a16="http://schemas.microsoft.com/office/drawing/2014/main" id="{346C6E11-9DCA-4FF1-933B-DD9079868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58E3CC" w14:textId="213D92FA" w:rsidR="004A3B1F" w:rsidRDefault="004A3B1F" w:rsidP="004A3B1F">
      <w:pPr>
        <w:pStyle w:val="Source"/>
      </w:pPr>
      <w:r>
        <w:t xml:space="preserve">Source: </w:t>
      </w:r>
      <w:r w:rsidRPr="009837FE">
        <w:t>Energy Institute (2023)</w:t>
      </w:r>
    </w:p>
    <w:p w14:paraId="2A2805DE" w14:textId="6280DFA6" w:rsidR="004A3B1F" w:rsidRDefault="004A3B1F" w:rsidP="00C97679">
      <w:pPr>
        <w:pStyle w:val="Caption"/>
      </w:pPr>
      <w:r>
        <w:t xml:space="preserve">Figure </w:t>
      </w:r>
      <w:r>
        <w:rPr>
          <w:noProof/>
        </w:rPr>
        <w:t>1.</w:t>
      </w:r>
      <w:r w:rsidR="00ED2F4A">
        <w:rPr>
          <w:noProof/>
        </w:rPr>
        <w:t>17</w:t>
      </w:r>
      <w:r>
        <w:t>: Asia-Pacific electricity generation by fuel, 1985</w:t>
      </w:r>
      <w:r w:rsidR="002B7524">
        <w:t xml:space="preserve"> to 20</w:t>
      </w:r>
      <w:r>
        <w:t>22</w:t>
      </w:r>
    </w:p>
    <w:p w14:paraId="5C75D9AF" w14:textId="7E6473FE" w:rsidR="004A3B1F" w:rsidRDefault="00AB5851" w:rsidP="004A3B1F">
      <w:pPr>
        <w:pStyle w:val="Note"/>
      </w:pPr>
      <w:r>
        <w:rPr>
          <w:noProof/>
        </w:rPr>
        <w:drawing>
          <wp:inline distT="0" distB="0" distL="0" distR="0" wp14:anchorId="0964F8E0" wp14:editId="69ED6A61">
            <wp:extent cx="4206875" cy="2476500"/>
            <wp:effectExtent l="0" t="0" r="3175" b="0"/>
            <wp:docPr id="11" name="Chart 11" descr="This figure shows the electricity generation by fuel type in Asia-Pacific from 1985 to 2022, measured in TWh and its total energy emissions, measured in million tonnes of CO2 equivalent MtCO2e. The figure indicates that the share of coal has increased sharply since 1985, along with the carbon emissions from electricity. Conversely, the share of gas has witnessed a modest increase. ">
              <a:extLst xmlns:a="http://schemas.openxmlformats.org/drawingml/2006/main">
                <a:ext uri="{FF2B5EF4-FFF2-40B4-BE49-F238E27FC236}">
                  <a16:creationId xmlns:a16="http://schemas.microsoft.com/office/drawing/2014/main" id="{D9F62D49-17B4-46C3-BD6D-F3832DE5E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2CE5B8" w14:textId="5953B930" w:rsidR="004A3B1F" w:rsidRDefault="004A3B1F" w:rsidP="004A3B1F">
      <w:pPr>
        <w:pStyle w:val="Source"/>
      </w:pPr>
      <w:r>
        <w:t xml:space="preserve">Source: </w:t>
      </w:r>
      <w:r w:rsidRPr="009837FE">
        <w:t>Energy Institute (2023)</w:t>
      </w:r>
    </w:p>
    <w:p w14:paraId="47C4C758" w14:textId="4A3AFABA" w:rsidR="00082213" w:rsidRDefault="00082213" w:rsidP="00082213">
      <w:pPr>
        <w:spacing w:after="200" w:line="276" w:lineRule="auto"/>
        <w:rPr>
          <w:rFonts w:eastAsia="Times New Roman" w:cs="Arial"/>
          <w:b/>
          <w:color w:val="005CAF"/>
          <w:kern w:val="32"/>
          <w:sz w:val="32"/>
          <w:szCs w:val="32"/>
        </w:rPr>
      </w:pPr>
    </w:p>
    <w:p w14:paraId="3F206523" w14:textId="499C1EC0" w:rsidR="00082213" w:rsidRPr="009D697A" w:rsidRDefault="00082213" w:rsidP="00121A70">
      <w:pPr>
        <w:pStyle w:val="Heading1"/>
        <w:pageBreakBefore/>
        <w:numPr>
          <w:ilvl w:val="0"/>
          <w:numId w:val="3"/>
        </w:numPr>
      </w:pPr>
      <w:bookmarkStart w:id="19" w:name="_Toc172794502"/>
      <w:bookmarkStart w:id="20" w:name="_Toc158907950"/>
      <w:r>
        <w:t>Emissions from the supply</w:t>
      </w:r>
      <w:r w:rsidR="00AF198F">
        <w:t xml:space="preserve"> and </w:t>
      </w:r>
      <w:r>
        <w:t>use of gas</w:t>
      </w:r>
      <w:bookmarkEnd w:id="19"/>
      <w:r w:rsidRPr="00CA6638">
        <w:t xml:space="preserve"> </w:t>
      </w:r>
      <w:bookmarkEnd w:id="20"/>
    </w:p>
    <w:p w14:paraId="1FD5CE97" w14:textId="3C58CB76" w:rsidR="00EC7EC7" w:rsidRPr="00AF7375" w:rsidRDefault="00EC7EC7" w:rsidP="006E005E">
      <w:pPr>
        <w:pStyle w:val="Heading2"/>
        <w:numPr>
          <w:ilvl w:val="0"/>
          <w:numId w:val="0"/>
        </w:numPr>
        <w:rPr>
          <w:b w:val="0"/>
        </w:rPr>
      </w:pPr>
      <w:bookmarkStart w:id="21" w:name="_Toc172794503"/>
      <w:bookmarkStart w:id="22" w:name="_Hlk156291280"/>
      <w:r w:rsidRPr="00AF7375">
        <w:t>Summary</w:t>
      </w:r>
      <w:bookmarkEnd w:id="21"/>
    </w:p>
    <w:p w14:paraId="769B5A60" w14:textId="29DCFCED" w:rsidR="00082213" w:rsidRPr="00AF7375" w:rsidRDefault="00082213" w:rsidP="00082213">
      <w:pPr>
        <w:spacing w:after="120"/>
        <w:rPr>
          <w:color w:val="373737"/>
          <w:sz w:val="20"/>
        </w:rPr>
      </w:pPr>
      <w:bookmarkStart w:id="23" w:name="_Hlk161236342"/>
      <w:r w:rsidRPr="00AF7375">
        <w:rPr>
          <w:color w:val="373737"/>
          <w:sz w:val="20"/>
        </w:rPr>
        <w:t xml:space="preserve">Chapter </w:t>
      </w:r>
      <w:r>
        <w:rPr>
          <w:color w:val="373737"/>
          <w:sz w:val="20"/>
        </w:rPr>
        <w:t>2</w:t>
      </w:r>
      <w:r w:rsidRPr="00AF7375">
        <w:rPr>
          <w:color w:val="373737"/>
          <w:sz w:val="20"/>
        </w:rPr>
        <w:t xml:space="preserve"> examines the emissions associated with gas supply and use, </w:t>
      </w:r>
      <w:bookmarkStart w:id="24" w:name="_Hlk161238129"/>
      <w:r w:rsidRPr="00AF7375">
        <w:rPr>
          <w:color w:val="373737"/>
          <w:sz w:val="20"/>
        </w:rPr>
        <w:t xml:space="preserve">as well as the opportunities to reduce </w:t>
      </w:r>
      <w:r w:rsidR="00E32A9C">
        <w:rPr>
          <w:color w:val="373737"/>
          <w:sz w:val="20"/>
        </w:rPr>
        <w:t>these</w:t>
      </w:r>
      <w:r w:rsidRPr="00AF7375">
        <w:rPr>
          <w:color w:val="373737"/>
          <w:sz w:val="20"/>
        </w:rPr>
        <w:t xml:space="preserve"> emissions </w:t>
      </w:r>
      <w:r w:rsidR="00FA7F97" w:rsidRPr="00FC7FE8">
        <w:rPr>
          <w:lang w:val="en"/>
        </w:rPr>
        <w:t>—</w:t>
      </w:r>
      <w:r>
        <w:rPr>
          <w:color w:val="373737"/>
          <w:sz w:val="20"/>
        </w:rPr>
        <w:t xml:space="preserve"> </w:t>
      </w:r>
      <w:r w:rsidRPr="00AF7375">
        <w:rPr>
          <w:color w:val="373737"/>
          <w:sz w:val="20"/>
        </w:rPr>
        <w:t>either through efficiency improvements or other abatement technologies or practices. Opportunities for demand reduction are considered in Chapter 3.</w:t>
      </w:r>
    </w:p>
    <w:p w14:paraId="07ACAE06" w14:textId="0AB84D9C" w:rsidR="00EE5A2C" w:rsidRDefault="00082213" w:rsidP="00082213">
      <w:pPr>
        <w:spacing w:after="120"/>
        <w:rPr>
          <w:color w:val="373737"/>
          <w:sz w:val="20"/>
        </w:rPr>
      </w:pPr>
      <w:r w:rsidRPr="00AF7375">
        <w:rPr>
          <w:color w:val="373737"/>
          <w:sz w:val="20"/>
        </w:rPr>
        <w:t xml:space="preserve">In Australia, emissions associated with </w:t>
      </w:r>
      <w:r>
        <w:rPr>
          <w:color w:val="373737"/>
          <w:sz w:val="20"/>
        </w:rPr>
        <w:t xml:space="preserve">the production and domestic use of </w:t>
      </w:r>
      <w:r w:rsidRPr="00AF7375">
        <w:rPr>
          <w:color w:val="373737"/>
          <w:sz w:val="20"/>
        </w:rPr>
        <w:t>gas account</w:t>
      </w:r>
      <w:r w:rsidR="000E1C00">
        <w:rPr>
          <w:color w:val="373737"/>
          <w:sz w:val="20"/>
        </w:rPr>
        <w:t>ed</w:t>
      </w:r>
      <w:r w:rsidRPr="00AF7375">
        <w:rPr>
          <w:color w:val="373737"/>
          <w:sz w:val="20"/>
        </w:rPr>
        <w:t xml:space="preserve"> for 24% of total emissions</w:t>
      </w:r>
      <w:r>
        <w:rPr>
          <w:color w:val="373737"/>
          <w:sz w:val="20"/>
        </w:rPr>
        <w:t xml:space="preserve"> in 202</w:t>
      </w:r>
      <w:r w:rsidR="00C9568F">
        <w:rPr>
          <w:color w:val="373737"/>
          <w:sz w:val="20"/>
        </w:rPr>
        <w:t>1</w:t>
      </w:r>
      <w:r w:rsidR="00DB5745">
        <w:rPr>
          <w:color w:val="373737"/>
          <w:sz w:val="20"/>
        </w:rPr>
        <w:t>–</w:t>
      </w:r>
      <w:r w:rsidR="00C9568F">
        <w:rPr>
          <w:color w:val="373737"/>
          <w:sz w:val="20"/>
        </w:rPr>
        <w:t>2</w:t>
      </w:r>
      <w:r>
        <w:rPr>
          <w:color w:val="373737"/>
          <w:sz w:val="20"/>
        </w:rPr>
        <w:t>2</w:t>
      </w:r>
      <w:r w:rsidRPr="00AF7375">
        <w:rPr>
          <w:color w:val="373737"/>
          <w:sz w:val="20"/>
        </w:rPr>
        <w:t xml:space="preserve">, similar to the global average of 23%. </w:t>
      </w:r>
      <w:r>
        <w:rPr>
          <w:color w:val="373737"/>
          <w:sz w:val="20"/>
        </w:rPr>
        <w:t>Australian</w:t>
      </w:r>
      <w:r w:rsidRPr="00AF7375">
        <w:rPr>
          <w:color w:val="373737"/>
          <w:sz w:val="20"/>
        </w:rPr>
        <w:t xml:space="preserve"> emissions associated with gas peaked in 201</w:t>
      </w:r>
      <w:r w:rsidR="00575A6D">
        <w:rPr>
          <w:color w:val="373737"/>
          <w:sz w:val="20"/>
        </w:rPr>
        <w:t>8</w:t>
      </w:r>
      <w:r w:rsidR="00DB5745">
        <w:rPr>
          <w:color w:val="373737"/>
          <w:sz w:val="20"/>
        </w:rPr>
        <w:t>–</w:t>
      </w:r>
      <w:r w:rsidR="00575A6D">
        <w:rPr>
          <w:color w:val="373737"/>
          <w:sz w:val="20"/>
        </w:rPr>
        <w:t>19</w:t>
      </w:r>
      <w:r w:rsidRPr="00AF7375">
        <w:rPr>
          <w:color w:val="373737"/>
          <w:sz w:val="20"/>
        </w:rPr>
        <w:t xml:space="preserve"> and have since </w:t>
      </w:r>
      <w:r w:rsidR="00FA7F97">
        <w:rPr>
          <w:color w:val="373737"/>
          <w:sz w:val="20"/>
        </w:rPr>
        <w:t>fallen.</w:t>
      </w:r>
      <w:r w:rsidRPr="00AF7375">
        <w:rPr>
          <w:color w:val="373737"/>
          <w:sz w:val="20"/>
        </w:rPr>
        <w:t xml:space="preserve"> This </w:t>
      </w:r>
      <w:r>
        <w:rPr>
          <w:color w:val="373737"/>
          <w:sz w:val="20"/>
        </w:rPr>
        <w:t xml:space="preserve">recent downward </w:t>
      </w:r>
      <w:r w:rsidRPr="00AF7375">
        <w:rPr>
          <w:color w:val="373737"/>
          <w:sz w:val="20"/>
        </w:rPr>
        <w:t>trend is projected to continue to 2035, driven by policies including the Safeguard Mechanism.</w:t>
      </w:r>
    </w:p>
    <w:p w14:paraId="660CC8FC" w14:textId="2594544B" w:rsidR="00B64D23" w:rsidRDefault="00E640B4" w:rsidP="00082213">
      <w:pPr>
        <w:spacing w:after="120"/>
        <w:rPr>
          <w:color w:val="373737"/>
          <w:sz w:val="20"/>
        </w:rPr>
      </w:pPr>
      <w:r>
        <w:rPr>
          <w:color w:val="373737"/>
          <w:sz w:val="20"/>
        </w:rPr>
        <w:t xml:space="preserve">Projections are not guaranteed </w:t>
      </w:r>
      <w:r w:rsidR="00FA7F97" w:rsidRPr="00FC7FE8">
        <w:rPr>
          <w:lang w:val="en"/>
        </w:rPr>
        <w:t>—</w:t>
      </w:r>
      <w:r>
        <w:rPr>
          <w:color w:val="373737"/>
          <w:sz w:val="20"/>
        </w:rPr>
        <w:t xml:space="preserve"> they are highly uncertain. Crucially, </w:t>
      </w:r>
      <w:r w:rsidR="00BF6B4D">
        <w:rPr>
          <w:color w:val="373737"/>
          <w:sz w:val="20"/>
        </w:rPr>
        <w:t>lower</w:t>
      </w:r>
      <w:r>
        <w:rPr>
          <w:color w:val="373737"/>
          <w:sz w:val="20"/>
        </w:rPr>
        <w:t xml:space="preserve"> emissions projections incorporate further action by individuals and firms to reduce emissions in both supply </w:t>
      </w:r>
      <w:r w:rsidR="00692C20">
        <w:rPr>
          <w:color w:val="373737"/>
          <w:sz w:val="20"/>
        </w:rPr>
        <w:t>of gas and LNG</w:t>
      </w:r>
      <w:r>
        <w:rPr>
          <w:color w:val="373737"/>
          <w:sz w:val="20"/>
        </w:rPr>
        <w:t xml:space="preserve"> and domestic use (largely residential</w:t>
      </w:r>
      <w:r w:rsidR="001A3516">
        <w:rPr>
          <w:color w:val="373737"/>
          <w:sz w:val="20"/>
        </w:rPr>
        <w:t xml:space="preserve">, </w:t>
      </w:r>
      <w:r>
        <w:rPr>
          <w:color w:val="373737"/>
          <w:sz w:val="20"/>
        </w:rPr>
        <w:t>commercial</w:t>
      </w:r>
      <w:r w:rsidR="001A3516">
        <w:rPr>
          <w:color w:val="373737"/>
          <w:sz w:val="20"/>
        </w:rPr>
        <w:t xml:space="preserve"> and industrial</w:t>
      </w:r>
      <w:r>
        <w:rPr>
          <w:color w:val="373737"/>
          <w:sz w:val="20"/>
        </w:rPr>
        <w:t xml:space="preserve">). </w:t>
      </w:r>
      <w:r w:rsidR="00E31AD6">
        <w:rPr>
          <w:color w:val="373737"/>
          <w:sz w:val="20"/>
        </w:rPr>
        <w:t xml:space="preserve">The most recent </w:t>
      </w:r>
      <w:r w:rsidR="00264937">
        <w:rPr>
          <w:color w:val="373737"/>
          <w:sz w:val="20"/>
        </w:rPr>
        <w:t xml:space="preserve">Australian Government emissions </w:t>
      </w:r>
      <w:r w:rsidR="00E31AD6">
        <w:rPr>
          <w:color w:val="373737"/>
          <w:sz w:val="20"/>
        </w:rPr>
        <w:t xml:space="preserve">projections </w:t>
      </w:r>
      <w:r w:rsidR="0043000A">
        <w:rPr>
          <w:color w:val="373737"/>
          <w:sz w:val="20"/>
        </w:rPr>
        <w:t xml:space="preserve">indicate </w:t>
      </w:r>
      <w:r w:rsidR="0073571A">
        <w:rPr>
          <w:color w:val="373737"/>
          <w:sz w:val="20"/>
        </w:rPr>
        <w:t xml:space="preserve">material progress </w:t>
      </w:r>
      <w:r w:rsidR="00FF5545">
        <w:rPr>
          <w:color w:val="373737"/>
          <w:sz w:val="20"/>
        </w:rPr>
        <w:t xml:space="preserve">towards </w:t>
      </w:r>
      <w:r w:rsidR="001D2417">
        <w:rPr>
          <w:color w:val="373737"/>
          <w:sz w:val="20"/>
        </w:rPr>
        <w:t xml:space="preserve">meeting </w:t>
      </w:r>
      <w:r w:rsidR="0043000A">
        <w:rPr>
          <w:color w:val="373737"/>
          <w:sz w:val="20"/>
        </w:rPr>
        <w:t>Australia</w:t>
      </w:r>
      <w:r w:rsidR="001D2417">
        <w:rPr>
          <w:color w:val="373737"/>
          <w:sz w:val="20"/>
        </w:rPr>
        <w:t>’s</w:t>
      </w:r>
      <w:r w:rsidR="0043000A">
        <w:rPr>
          <w:color w:val="373737"/>
          <w:sz w:val="20"/>
        </w:rPr>
        <w:t xml:space="preserve"> 2030 emissions reduction target</w:t>
      </w:r>
      <w:r w:rsidR="001D2417">
        <w:rPr>
          <w:color w:val="373737"/>
          <w:sz w:val="20"/>
        </w:rPr>
        <w:t xml:space="preserve">. </w:t>
      </w:r>
      <w:r w:rsidR="0043000A">
        <w:rPr>
          <w:color w:val="373737"/>
          <w:sz w:val="20"/>
        </w:rPr>
        <w:t xml:space="preserve"> However, risks associated with inaction or </w:t>
      </w:r>
      <w:r w:rsidR="00BF6B4D">
        <w:rPr>
          <w:color w:val="373737"/>
          <w:sz w:val="20"/>
        </w:rPr>
        <w:t>higher</w:t>
      </w:r>
      <w:r w:rsidR="0043000A">
        <w:rPr>
          <w:color w:val="373737"/>
          <w:sz w:val="20"/>
        </w:rPr>
        <w:t xml:space="preserve"> demand for gas remain. To hit net zero by 2050, sustained action to </w:t>
      </w:r>
      <w:r w:rsidR="00BF6B4D">
        <w:rPr>
          <w:color w:val="373737"/>
          <w:sz w:val="20"/>
        </w:rPr>
        <w:t>lower</w:t>
      </w:r>
      <w:r w:rsidR="0043000A">
        <w:rPr>
          <w:color w:val="373737"/>
          <w:sz w:val="20"/>
        </w:rPr>
        <w:t xml:space="preserve"> gas use and abate emissions from </w:t>
      </w:r>
      <w:r w:rsidR="0073571A">
        <w:rPr>
          <w:color w:val="373737"/>
          <w:sz w:val="20"/>
        </w:rPr>
        <w:t xml:space="preserve">the remaining </w:t>
      </w:r>
      <w:r w:rsidR="0043000A">
        <w:rPr>
          <w:color w:val="373737"/>
          <w:sz w:val="20"/>
        </w:rPr>
        <w:t xml:space="preserve">gas use is required. </w:t>
      </w:r>
    </w:p>
    <w:p w14:paraId="6E27ACD9" w14:textId="19366F6F" w:rsidR="00DA721D" w:rsidRDefault="00DA721D" w:rsidP="00082213">
      <w:pPr>
        <w:spacing w:after="120"/>
        <w:rPr>
          <w:color w:val="373737"/>
          <w:sz w:val="20"/>
        </w:rPr>
      </w:pPr>
      <w:r w:rsidRPr="00AF7375" w:rsidDel="00C640B2">
        <w:rPr>
          <w:color w:val="373737"/>
          <w:sz w:val="20"/>
        </w:rPr>
        <w:t xml:space="preserve">The supply and use of Australian gas exports </w:t>
      </w:r>
      <w:r w:rsidR="008F132E">
        <w:rPr>
          <w:color w:val="373737"/>
          <w:sz w:val="20"/>
        </w:rPr>
        <w:t>account</w:t>
      </w:r>
      <w:r w:rsidRPr="00AF7375" w:rsidDel="00C640B2">
        <w:rPr>
          <w:color w:val="373737"/>
          <w:sz w:val="20"/>
        </w:rPr>
        <w:t xml:space="preserve"> for siz</w:t>
      </w:r>
      <w:r w:rsidR="005165D9">
        <w:rPr>
          <w:color w:val="373737"/>
          <w:sz w:val="20"/>
        </w:rPr>
        <w:t>e</w:t>
      </w:r>
      <w:r w:rsidRPr="00AF7375" w:rsidDel="00C640B2">
        <w:rPr>
          <w:color w:val="373737"/>
          <w:sz w:val="20"/>
        </w:rPr>
        <w:t>able emissions across the Asia Pacific. In 2018</w:t>
      </w:r>
      <w:r w:rsidR="00DB5745">
        <w:rPr>
          <w:color w:val="373737"/>
          <w:sz w:val="20"/>
        </w:rPr>
        <w:t>–</w:t>
      </w:r>
      <w:r w:rsidRPr="00AF7375" w:rsidDel="00C640B2">
        <w:rPr>
          <w:color w:val="373737"/>
          <w:sz w:val="20"/>
        </w:rPr>
        <w:t xml:space="preserve">19, emissions associated with the use of </w:t>
      </w:r>
      <w:r>
        <w:rPr>
          <w:color w:val="373737"/>
          <w:sz w:val="20"/>
        </w:rPr>
        <w:t xml:space="preserve">Australian LNG exports </w:t>
      </w:r>
      <w:r w:rsidRPr="00AF7375">
        <w:rPr>
          <w:color w:val="373737"/>
          <w:sz w:val="20"/>
        </w:rPr>
        <w:t>(</w:t>
      </w:r>
      <w:r w:rsidR="00BD393C">
        <w:rPr>
          <w:color w:val="373737"/>
          <w:sz w:val="20"/>
        </w:rPr>
        <w:t>‘</w:t>
      </w:r>
      <w:r w:rsidRPr="00AF7375">
        <w:rPr>
          <w:color w:val="373737"/>
          <w:sz w:val="20"/>
        </w:rPr>
        <w:t>consequential emissions</w:t>
      </w:r>
      <w:r w:rsidR="00BD393C">
        <w:rPr>
          <w:color w:val="373737"/>
          <w:sz w:val="20"/>
        </w:rPr>
        <w:t>’</w:t>
      </w:r>
      <w:r w:rsidRPr="00AF7375">
        <w:rPr>
          <w:color w:val="373737"/>
          <w:sz w:val="20"/>
        </w:rPr>
        <w:t xml:space="preserve">) were </w:t>
      </w:r>
      <w:r w:rsidR="00481BD6">
        <w:rPr>
          <w:color w:val="373737"/>
          <w:sz w:val="20"/>
        </w:rPr>
        <w:t xml:space="preserve">approximately equivalent </w:t>
      </w:r>
      <w:r w:rsidRPr="00AF7375" w:rsidDel="00C640B2">
        <w:rPr>
          <w:color w:val="373737"/>
          <w:sz w:val="20"/>
        </w:rPr>
        <w:t>to 40%</w:t>
      </w:r>
      <w:r w:rsidR="00D777C6">
        <w:rPr>
          <w:color w:val="373737"/>
          <w:sz w:val="20"/>
        </w:rPr>
        <w:t xml:space="preserve"> </w:t>
      </w:r>
      <w:r w:rsidR="00481BD6">
        <w:rPr>
          <w:color w:val="373737"/>
          <w:sz w:val="20"/>
        </w:rPr>
        <w:t xml:space="preserve">of </w:t>
      </w:r>
      <w:r w:rsidRPr="00AF7375" w:rsidDel="00C640B2">
        <w:rPr>
          <w:color w:val="373737"/>
          <w:sz w:val="20"/>
        </w:rPr>
        <w:t xml:space="preserve">Australian domestic emissions across all sectors and 195% </w:t>
      </w:r>
      <w:r w:rsidR="00481BD6">
        <w:rPr>
          <w:color w:val="373737"/>
          <w:sz w:val="20"/>
        </w:rPr>
        <w:t xml:space="preserve">of </w:t>
      </w:r>
      <w:r w:rsidRPr="00AF7375" w:rsidDel="00C640B2">
        <w:rPr>
          <w:color w:val="373737"/>
          <w:sz w:val="20"/>
        </w:rPr>
        <w:t xml:space="preserve">emissions from </w:t>
      </w:r>
      <w:r w:rsidR="00D777C6">
        <w:rPr>
          <w:color w:val="373737"/>
          <w:sz w:val="20"/>
        </w:rPr>
        <w:t xml:space="preserve">domestic production and use </w:t>
      </w:r>
      <w:r w:rsidR="00481BD6">
        <w:rPr>
          <w:color w:val="373737"/>
          <w:sz w:val="20"/>
        </w:rPr>
        <w:t xml:space="preserve">of </w:t>
      </w:r>
      <w:r w:rsidRPr="00AF7375" w:rsidDel="00C640B2">
        <w:rPr>
          <w:color w:val="373737"/>
          <w:sz w:val="20"/>
        </w:rPr>
        <w:t>natural gas</w:t>
      </w:r>
      <w:r>
        <w:rPr>
          <w:color w:val="373737"/>
          <w:sz w:val="20"/>
        </w:rPr>
        <w:t xml:space="preserve"> (Burke et al. 2022)</w:t>
      </w:r>
      <w:r w:rsidRPr="00AF7375" w:rsidDel="00C640B2">
        <w:rPr>
          <w:color w:val="373737"/>
          <w:sz w:val="20"/>
        </w:rPr>
        <w:t>.</w:t>
      </w:r>
      <w:r w:rsidRPr="00AF7375">
        <w:rPr>
          <w:color w:val="373737"/>
          <w:sz w:val="20"/>
        </w:rPr>
        <w:t xml:space="preserve"> </w:t>
      </w:r>
      <w:r w:rsidR="00BB5717">
        <w:rPr>
          <w:color w:val="373737"/>
          <w:sz w:val="20"/>
        </w:rPr>
        <w:t xml:space="preserve">Under the </w:t>
      </w:r>
      <w:r w:rsidR="00E31AD6" w:rsidRPr="00E31AD6">
        <w:rPr>
          <w:color w:val="373737"/>
          <w:sz w:val="20"/>
        </w:rPr>
        <w:t xml:space="preserve">United Nations Framework Convention on Climate Change </w:t>
      </w:r>
      <w:r w:rsidR="00E31AD6">
        <w:rPr>
          <w:color w:val="373737"/>
          <w:sz w:val="20"/>
        </w:rPr>
        <w:t xml:space="preserve">(UNFCCC), </w:t>
      </w:r>
      <w:r w:rsidR="008F132E">
        <w:rPr>
          <w:color w:val="373737"/>
          <w:sz w:val="20"/>
        </w:rPr>
        <w:t>cutting</w:t>
      </w:r>
      <w:r w:rsidRPr="00AF7375">
        <w:rPr>
          <w:color w:val="373737"/>
          <w:sz w:val="20"/>
        </w:rPr>
        <w:t xml:space="preserve"> these emissions is the responsibility of </w:t>
      </w:r>
      <w:r w:rsidR="003151BE">
        <w:rPr>
          <w:color w:val="373737"/>
          <w:sz w:val="20"/>
        </w:rPr>
        <w:t>relevant parties</w:t>
      </w:r>
      <w:r w:rsidR="00BB5717">
        <w:rPr>
          <w:color w:val="373737"/>
          <w:sz w:val="20"/>
        </w:rPr>
        <w:t xml:space="preserve"> who set their own </w:t>
      </w:r>
      <w:r w:rsidR="005D3B8D">
        <w:rPr>
          <w:color w:val="373737"/>
          <w:sz w:val="20"/>
        </w:rPr>
        <w:t xml:space="preserve">emission reduction </w:t>
      </w:r>
      <w:r w:rsidR="00BB5717">
        <w:rPr>
          <w:color w:val="373737"/>
          <w:sz w:val="20"/>
        </w:rPr>
        <w:t xml:space="preserve">targets </w:t>
      </w:r>
      <w:r>
        <w:rPr>
          <w:color w:val="373737"/>
          <w:sz w:val="20"/>
        </w:rPr>
        <w:t>(see Chapter 4).</w:t>
      </w:r>
    </w:p>
    <w:p w14:paraId="445CE6DF" w14:textId="2EB4978C" w:rsidR="00C92CB8" w:rsidRPr="00AF7375" w:rsidRDefault="00DA721D" w:rsidP="00BC6E29">
      <w:pPr>
        <w:spacing w:after="120"/>
        <w:rPr>
          <w:color w:val="373737"/>
          <w:sz w:val="20"/>
        </w:rPr>
      </w:pPr>
      <w:r>
        <w:rPr>
          <w:color w:val="373737"/>
          <w:sz w:val="20"/>
        </w:rPr>
        <w:t>Significant i</w:t>
      </w:r>
      <w:r w:rsidR="00082213" w:rsidRPr="00AF7375">
        <w:rPr>
          <w:color w:val="373737"/>
          <w:sz w:val="20"/>
        </w:rPr>
        <w:t>mprovements in the emissions intensity of production and use</w:t>
      </w:r>
      <w:r w:rsidR="00082213">
        <w:rPr>
          <w:color w:val="373737"/>
          <w:sz w:val="20"/>
        </w:rPr>
        <w:t>,</w:t>
      </w:r>
      <w:r w:rsidR="00082213" w:rsidRPr="00AF7375">
        <w:rPr>
          <w:color w:val="373737"/>
          <w:sz w:val="20"/>
        </w:rPr>
        <w:t xml:space="preserve"> and </w:t>
      </w:r>
      <w:r w:rsidR="00082213">
        <w:rPr>
          <w:color w:val="373737"/>
          <w:sz w:val="20"/>
        </w:rPr>
        <w:t xml:space="preserve">in </w:t>
      </w:r>
      <w:r w:rsidR="00082213" w:rsidRPr="00AF7375">
        <w:rPr>
          <w:color w:val="373737"/>
          <w:sz w:val="20"/>
        </w:rPr>
        <w:t>finding alternatives to gas</w:t>
      </w:r>
      <w:r w:rsidR="00082213">
        <w:rPr>
          <w:color w:val="373737"/>
          <w:sz w:val="20"/>
        </w:rPr>
        <w:t>,</w:t>
      </w:r>
      <w:r w:rsidR="00082213" w:rsidRPr="00AF7375">
        <w:rPr>
          <w:color w:val="373737"/>
          <w:sz w:val="20"/>
        </w:rPr>
        <w:t xml:space="preserve"> will be essential to reaching Australia’s net zero </w:t>
      </w:r>
      <w:r w:rsidR="00B241A7">
        <w:rPr>
          <w:color w:val="373737"/>
          <w:sz w:val="20"/>
        </w:rPr>
        <w:t>target</w:t>
      </w:r>
      <w:r w:rsidR="00082213" w:rsidRPr="00AF7375">
        <w:rPr>
          <w:color w:val="373737"/>
          <w:sz w:val="20"/>
        </w:rPr>
        <w:t xml:space="preserve">. </w:t>
      </w:r>
      <w:r w:rsidR="00B64D23">
        <w:rPr>
          <w:color w:val="373737"/>
          <w:sz w:val="20"/>
        </w:rPr>
        <w:t xml:space="preserve">The emissions intensity of use is much higher than </w:t>
      </w:r>
      <w:r w:rsidR="00BB5717">
        <w:rPr>
          <w:color w:val="373737"/>
          <w:sz w:val="20"/>
        </w:rPr>
        <w:t>for</w:t>
      </w:r>
      <w:r w:rsidR="00B64D23">
        <w:rPr>
          <w:color w:val="373737"/>
          <w:sz w:val="20"/>
        </w:rPr>
        <w:t xml:space="preserve"> supply, so demand reduction and </w:t>
      </w:r>
      <w:r w:rsidR="005B0A44">
        <w:rPr>
          <w:color w:val="373737"/>
          <w:sz w:val="20"/>
        </w:rPr>
        <w:t>abatement</w:t>
      </w:r>
      <w:r w:rsidR="00BC6E29">
        <w:rPr>
          <w:color w:val="373737"/>
          <w:sz w:val="20"/>
        </w:rPr>
        <w:t xml:space="preserve"> </w:t>
      </w:r>
      <w:r w:rsidR="00B64D23">
        <w:rPr>
          <w:color w:val="373737"/>
          <w:sz w:val="20"/>
        </w:rPr>
        <w:t>will play a key role</w:t>
      </w:r>
      <w:r w:rsidR="00BC6E29">
        <w:rPr>
          <w:color w:val="373737"/>
          <w:sz w:val="20"/>
        </w:rPr>
        <w:t xml:space="preserve"> in reducing emissions</w:t>
      </w:r>
      <w:r w:rsidR="00B64D23">
        <w:rPr>
          <w:color w:val="373737"/>
          <w:sz w:val="20"/>
        </w:rPr>
        <w:t xml:space="preserve">. </w:t>
      </w:r>
      <w:r w:rsidR="009B76C5" w:rsidRPr="009B76C5">
        <w:rPr>
          <w:color w:val="373737"/>
          <w:sz w:val="20"/>
        </w:rPr>
        <w:t>Six sectoral plans will map out decarbonisation</w:t>
      </w:r>
      <w:r w:rsidR="00082213" w:rsidRPr="00AF7375">
        <w:rPr>
          <w:color w:val="373737"/>
          <w:sz w:val="20"/>
        </w:rPr>
        <w:t xml:space="preserve"> pathways </w:t>
      </w:r>
      <w:r w:rsidR="009B76C5" w:rsidRPr="009B76C5">
        <w:rPr>
          <w:color w:val="373737"/>
          <w:sz w:val="20"/>
        </w:rPr>
        <w:t>by 2050 for each sector, articulating how</w:t>
      </w:r>
      <w:r w:rsidR="00082213" w:rsidRPr="00AF7375">
        <w:rPr>
          <w:color w:val="373737"/>
          <w:sz w:val="20"/>
        </w:rPr>
        <w:t xml:space="preserve"> Australia </w:t>
      </w:r>
      <w:r w:rsidR="009B76C5" w:rsidRPr="009B76C5">
        <w:rPr>
          <w:color w:val="373737"/>
          <w:sz w:val="20"/>
        </w:rPr>
        <w:t>will transition to a</w:t>
      </w:r>
      <w:r w:rsidR="00082213" w:rsidRPr="00AF7375">
        <w:rPr>
          <w:color w:val="373737"/>
          <w:sz w:val="20"/>
        </w:rPr>
        <w:t xml:space="preserve"> net zero </w:t>
      </w:r>
      <w:r w:rsidR="009B76C5" w:rsidRPr="009B76C5">
        <w:rPr>
          <w:color w:val="373737"/>
          <w:sz w:val="20"/>
        </w:rPr>
        <w:t>economy, consistent with our international and domestic commitments</w:t>
      </w:r>
      <w:r w:rsidR="009B76C5">
        <w:rPr>
          <w:color w:val="373737"/>
          <w:sz w:val="20"/>
        </w:rPr>
        <w:t>.</w:t>
      </w:r>
      <w:r w:rsidR="00082213" w:rsidRPr="00AF7375">
        <w:rPr>
          <w:color w:val="373737"/>
          <w:sz w:val="20"/>
        </w:rPr>
        <w:t xml:space="preserve"> </w:t>
      </w:r>
      <w:r w:rsidR="00BC6E29" w:rsidRPr="00AF7375">
        <w:rPr>
          <w:color w:val="373737"/>
          <w:sz w:val="20"/>
        </w:rPr>
        <w:t>Alternatives exist for many applications, with the primary option being electrification to harness renewable energy (see Chapter 3).</w:t>
      </w:r>
    </w:p>
    <w:p w14:paraId="7AC78187" w14:textId="47088F85" w:rsidR="00082213" w:rsidRPr="00AF7375" w:rsidRDefault="00B64D23" w:rsidP="00082213">
      <w:pPr>
        <w:spacing w:after="120"/>
        <w:rPr>
          <w:color w:val="373737"/>
          <w:sz w:val="20"/>
        </w:rPr>
      </w:pPr>
      <w:r>
        <w:rPr>
          <w:color w:val="373737"/>
          <w:sz w:val="20"/>
        </w:rPr>
        <w:t>Yet</w:t>
      </w:r>
      <w:r w:rsidR="00082213" w:rsidRPr="00AF7375">
        <w:rPr>
          <w:color w:val="373737"/>
          <w:sz w:val="20"/>
        </w:rPr>
        <w:t xml:space="preserve"> </w:t>
      </w:r>
      <w:r w:rsidR="00BC6E29">
        <w:rPr>
          <w:color w:val="373737"/>
          <w:sz w:val="20"/>
        </w:rPr>
        <w:t xml:space="preserve">it will also be necessary to focus on reducing </w:t>
      </w:r>
      <w:r w:rsidR="00BB7746">
        <w:rPr>
          <w:color w:val="373737"/>
          <w:sz w:val="20"/>
        </w:rPr>
        <w:t xml:space="preserve">the </w:t>
      </w:r>
      <w:r w:rsidR="00BC6E29">
        <w:rPr>
          <w:color w:val="373737"/>
          <w:sz w:val="20"/>
        </w:rPr>
        <w:t xml:space="preserve">emissions intensity of </w:t>
      </w:r>
      <w:r w:rsidR="006E5F33">
        <w:rPr>
          <w:color w:val="373737"/>
          <w:sz w:val="20"/>
        </w:rPr>
        <w:t xml:space="preserve">gas </w:t>
      </w:r>
      <w:r w:rsidR="00BC6E29">
        <w:rPr>
          <w:color w:val="373737"/>
          <w:sz w:val="20"/>
        </w:rPr>
        <w:t>supply. F</w:t>
      </w:r>
      <w:r w:rsidR="00082213" w:rsidRPr="00AF7375">
        <w:rPr>
          <w:color w:val="373737"/>
          <w:sz w:val="20"/>
        </w:rPr>
        <w:t>or many sectors</w:t>
      </w:r>
      <w:r w:rsidR="00B5205B" w:rsidRPr="00AF7375">
        <w:rPr>
          <w:color w:val="373737"/>
          <w:sz w:val="20"/>
        </w:rPr>
        <w:t>,</w:t>
      </w:r>
      <w:r w:rsidR="00082213" w:rsidRPr="00AF7375">
        <w:rPr>
          <w:color w:val="373737"/>
          <w:sz w:val="20"/>
        </w:rPr>
        <w:t xml:space="preserve"> it is costly to shift off gas</w:t>
      </w:r>
      <w:r>
        <w:rPr>
          <w:color w:val="373737"/>
          <w:sz w:val="20"/>
        </w:rPr>
        <w:t xml:space="preserve"> (see Chapter 3)</w:t>
      </w:r>
      <w:r w:rsidR="00082213" w:rsidRPr="00AF7375">
        <w:rPr>
          <w:color w:val="373737"/>
          <w:sz w:val="20"/>
        </w:rPr>
        <w:t xml:space="preserve">, and gas demand </w:t>
      </w:r>
      <w:r w:rsidR="00082213">
        <w:rPr>
          <w:color w:val="373737"/>
          <w:sz w:val="20"/>
        </w:rPr>
        <w:t>will likely</w:t>
      </w:r>
      <w:r w:rsidR="00082213" w:rsidRPr="00AF7375">
        <w:rPr>
          <w:color w:val="373737"/>
          <w:sz w:val="20"/>
        </w:rPr>
        <w:t xml:space="preserve"> remain </w:t>
      </w:r>
      <w:r w:rsidR="006A7119">
        <w:rPr>
          <w:color w:val="373737"/>
          <w:sz w:val="20"/>
        </w:rPr>
        <w:t>after</w:t>
      </w:r>
      <w:r w:rsidR="00082213" w:rsidRPr="00AF7375">
        <w:rPr>
          <w:color w:val="373737"/>
          <w:sz w:val="20"/>
        </w:rPr>
        <w:t xml:space="preserve"> 2050</w:t>
      </w:r>
      <w:r w:rsidR="00E32A9C">
        <w:rPr>
          <w:color w:val="373737"/>
          <w:sz w:val="20"/>
        </w:rPr>
        <w:t>. Gas w</w:t>
      </w:r>
      <w:r w:rsidR="002C5830">
        <w:rPr>
          <w:color w:val="373737"/>
          <w:sz w:val="20"/>
        </w:rPr>
        <w:t>ill</w:t>
      </w:r>
      <w:r w:rsidR="00082213" w:rsidRPr="00AF7375">
        <w:rPr>
          <w:color w:val="373737"/>
          <w:sz w:val="20"/>
        </w:rPr>
        <w:t xml:space="preserve"> play a small but important role in firming renewable energy generation </w:t>
      </w:r>
      <w:r w:rsidR="00BF6B4D" w:rsidRPr="00FC7FE8">
        <w:rPr>
          <w:lang w:val="en"/>
        </w:rPr>
        <w:t>—</w:t>
      </w:r>
      <w:r w:rsidR="00082213" w:rsidRPr="00AF7375">
        <w:rPr>
          <w:color w:val="373737"/>
          <w:sz w:val="20"/>
        </w:rPr>
        <w:t xml:space="preserve"> depending on the relative cost of offsets, abatement technologies and alternative fuels.</w:t>
      </w:r>
    </w:p>
    <w:p w14:paraId="552516B3" w14:textId="5E0B8618" w:rsidR="00082213" w:rsidRPr="00AF7375" w:rsidRDefault="00082213" w:rsidP="00082213">
      <w:pPr>
        <w:spacing w:after="120"/>
        <w:rPr>
          <w:color w:val="373737"/>
          <w:sz w:val="20"/>
        </w:rPr>
      </w:pPr>
      <w:r w:rsidRPr="00AF7375">
        <w:rPr>
          <w:color w:val="373737"/>
          <w:sz w:val="20"/>
        </w:rPr>
        <w:t xml:space="preserve">Options to reduce (rather than offset) emissions in </w:t>
      </w:r>
      <w:r>
        <w:rPr>
          <w:color w:val="373737"/>
          <w:sz w:val="20"/>
        </w:rPr>
        <w:t>gas</w:t>
      </w:r>
      <w:r w:rsidR="005D3B8D">
        <w:rPr>
          <w:color w:val="373737"/>
          <w:sz w:val="20"/>
        </w:rPr>
        <w:t>/L</w:t>
      </w:r>
      <w:r>
        <w:rPr>
          <w:color w:val="373737"/>
          <w:sz w:val="20"/>
        </w:rPr>
        <w:t xml:space="preserve">NG </w:t>
      </w:r>
      <w:r w:rsidR="00BC6E29">
        <w:rPr>
          <w:color w:val="373737"/>
          <w:sz w:val="20"/>
        </w:rPr>
        <w:t>supply</w:t>
      </w:r>
      <w:r w:rsidR="00BC6E29" w:rsidRPr="00AF7375">
        <w:rPr>
          <w:color w:val="373737"/>
          <w:sz w:val="20"/>
        </w:rPr>
        <w:t xml:space="preserve"> </w:t>
      </w:r>
      <w:r w:rsidRPr="00AF7375">
        <w:rPr>
          <w:color w:val="373737"/>
          <w:sz w:val="20"/>
        </w:rPr>
        <w:t xml:space="preserve">range </w:t>
      </w:r>
      <w:r w:rsidR="005D3B8D">
        <w:rPr>
          <w:color w:val="373737"/>
          <w:sz w:val="20"/>
        </w:rPr>
        <w:t xml:space="preserve">in </w:t>
      </w:r>
      <w:r w:rsidRPr="00AF7375">
        <w:rPr>
          <w:color w:val="373737"/>
          <w:sz w:val="20"/>
        </w:rPr>
        <w:t xml:space="preserve">cost. There are abatement technologies at the production stages that have low economic cost and may even create economic value if adopted. These include reduced use of flaring, energy optimisation, and methane leak mitigation. </w:t>
      </w:r>
      <w:r w:rsidR="00DA721D">
        <w:rPr>
          <w:color w:val="373737"/>
          <w:sz w:val="20"/>
        </w:rPr>
        <w:t>R</w:t>
      </w:r>
      <w:r w:rsidRPr="00AF7375">
        <w:rPr>
          <w:color w:val="373737"/>
          <w:sz w:val="20"/>
        </w:rPr>
        <w:t xml:space="preserve">ecent studies suggest </w:t>
      </w:r>
      <w:r w:rsidR="00DA721D">
        <w:rPr>
          <w:color w:val="373737"/>
          <w:sz w:val="20"/>
        </w:rPr>
        <w:t xml:space="preserve">electric-powered LNG trains </w:t>
      </w:r>
      <w:r w:rsidR="00BB5717">
        <w:rPr>
          <w:color w:val="373737"/>
          <w:sz w:val="20"/>
        </w:rPr>
        <w:t>are</w:t>
      </w:r>
      <w:r w:rsidR="00DA721D">
        <w:rPr>
          <w:color w:val="373737"/>
          <w:sz w:val="20"/>
        </w:rPr>
        <w:t xml:space="preserve"> increasingly economic for new facilities </w:t>
      </w:r>
      <w:r w:rsidRPr="00AF7375">
        <w:rPr>
          <w:color w:val="373737"/>
          <w:sz w:val="20"/>
        </w:rPr>
        <w:t>if secure firmed renewable electricity is available</w:t>
      </w:r>
      <w:r w:rsidR="00BB5717">
        <w:rPr>
          <w:color w:val="373737"/>
          <w:sz w:val="20"/>
        </w:rPr>
        <w:t xml:space="preserve">, </w:t>
      </w:r>
      <w:r w:rsidR="005D3B8D">
        <w:rPr>
          <w:color w:val="373737"/>
          <w:sz w:val="20"/>
        </w:rPr>
        <w:t>t</w:t>
      </w:r>
      <w:r w:rsidR="00BB5717">
        <w:rPr>
          <w:color w:val="373737"/>
          <w:sz w:val="20"/>
        </w:rPr>
        <w:t>hough it is more costly to retrofit an existing facility</w:t>
      </w:r>
      <w:r w:rsidR="00BB5717" w:rsidRPr="00AF7375">
        <w:rPr>
          <w:color w:val="373737"/>
          <w:sz w:val="20"/>
        </w:rPr>
        <w:t>.</w:t>
      </w:r>
      <w:r w:rsidR="00BB5717">
        <w:rPr>
          <w:color w:val="373737"/>
          <w:sz w:val="20"/>
        </w:rPr>
        <w:t xml:space="preserve"> </w:t>
      </w:r>
    </w:p>
    <w:p w14:paraId="700A4B25" w14:textId="4F00CC9A" w:rsidR="00E550E4" w:rsidRDefault="00E550E4" w:rsidP="00E550E4">
      <w:pPr>
        <w:spacing w:after="120"/>
        <w:rPr>
          <w:color w:val="373737"/>
          <w:sz w:val="20"/>
        </w:rPr>
      </w:pPr>
      <w:r>
        <w:rPr>
          <w:color w:val="373737" w:themeColor="text2"/>
          <w:sz w:val="20"/>
          <w:szCs w:val="20"/>
        </w:rPr>
        <w:t xml:space="preserve">Carbon </w:t>
      </w:r>
      <w:r w:rsidR="00E83B16">
        <w:rPr>
          <w:color w:val="373737" w:themeColor="text2"/>
          <w:sz w:val="20"/>
          <w:szCs w:val="20"/>
        </w:rPr>
        <w:t>c</w:t>
      </w:r>
      <w:r>
        <w:rPr>
          <w:color w:val="373737" w:themeColor="text2"/>
          <w:sz w:val="20"/>
          <w:szCs w:val="20"/>
        </w:rPr>
        <w:t xml:space="preserve">apture, </w:t>
      </w:r>
      <w:r w:rsidR="00E83B16">
        <w:rPr>
          <w:color w:val="373737" w:themeColor="text2"/>
          <w:sz w:val="20"/>
          <w:szCs w:val="20"/>
        </w:rPr>
        <w:t>u</w:t>
      </w:r>
      <w:r>
        <w:rPr>
          <w:color w:val="373737" w:themeColor="text2"/>
          <w:sz w:val="20"/>
          <w:szCs w:val="20"/>
        </w:rPr>
        <w:t xml:space="preserve">se and </w:t>
      </w:r>
      <w:r w:rsidR="00E83B16">
        <w:rPr>
          <w:color w:val="373737" w:themeColor="text2"/>
          <w:sz w:val="20"/>
          <w:szCs w:val="20"/>
        </w:rPr>
        <w:t>s</w:t>
      </w:r>
      <w:r>
        <w:rPr>
          <w:color w:val="373737" w:themeColor="text2"/>
          <w:sz w:val="20"/>
          <w:szCs w:val="20"/>
        </w:rPr>
        <w:t>torage (</w:t>
      </w:r>
      <w:r w:rsidRPr="603E87AA">
        <w:rPr>
          <w:color w:val="373737" w:themeColor="text2"/>
          <w:sz w:val="20"/>
          <w:szCs w:val="20"/>
        </w:rPr>
        <w:t>CCUS</w:t>
      </w:r>
      <w:r>
        <w:rPr>
          <w:color w:val="373737" w:themeColor="text2"/>
          <w:sz w:val="20"/>
          <w:szCs w:val="20"/>
        </w:rPr>
        <w:t>)</w:t>
      </w:r>
      <w:r w:rsidRPr="603E87AA">
        <w:rPr>
          <w:color w:val="373737" w:themeColor="text2"/>
          <w:sz w:val="20"/>
          <w:szCs w:val="20"/>
        </w:rPr>
        <w:t xml:space="preserve"> is </w:t>
      </w:r>
      <w:r w:rsidR="00D61712">
        <w:rPr>
          <w:color w:val="373737" w:themeColor="text2"/>
          <w:sz w:val="20"/>
          <w:szCs w:val="20"/>
        </w:rPr>
        <w:t xml:space="preserve">a </w:t>
      </w:r>
      <w:r w:rsidRPr="603E87AA">
        <w:rPr>
          <w:color w:val="373737" w:themeColor="text2"/>
          <w:sz w:val="20"/>
          <w:szCs w:val="20"/>
        </w:rPr>
        <w:t xml:space="preserve">higher cost </w:t>
      </w:r>
      <w:r w:rsidR="00D61712">
        <w:rPr>
          <w:color w:val="373737" w:themeColor="text2"/>
          <w:sz w:val="20"/>
          <w:szCs w:val="20"/>
        </w:rPr>
        <w:t xml:space="preserve">abatement technology </w:t>
      </w:r>
      <w:r w:rsidRPr="603E87AA">
        <w:rPr>
          <w:color w:val="373737" w:themeColor="text2"/>
          <w:sz w:val="20"/>
          <w:szCs w:val="20"/>
        </w:rPr>
        <w:t xml:space="preserve">but has potential to </w:t>
      </w:r>
      <w:r w:rsidR="005D3B8D">
        <w:rPr>
          <w:color w:val="373737" w:themeColor="text2"/>
          <w:sz w:val="20"/>
          <w:szCs w:val="20"/>
        </w:rPr>
        <w:t>noticeab</w:t>
      </w:r>
      <w:r w:rsidRPr="603E87AA">
        <w:rPr>
          <w:color w:val="373737" w:themeColor="text2"/>
          <w:sz w:val="20"/>
          <w:szCs w:val="20"/>
        </w:rPr>
        <w:t xml:space="preserve">ly reduce emissions from the supply of gas, particularly fugitive emissions. </w:t>
      </w:r>
      <w:r w:rsidR="005165D9">
        <w:rPr>
          <w:color w:val="373737" w:themeColor="text2"/>
          <w:sz w:val="20"/>
          <w:szCs w:val="20"/>
        </w:rPr>
        <w:t>Globally, t</w:t>
      </w:r>
      <w:r w:rsidRPr="603E87AA">
        <w:rPr>
          <w:color w:val="373737" w:themeColor="text2"/>
          <w:sz w:val="20"/>
          <w:szCs w:val="20"/>
        </w:rPr>
        <w:t>here are 41 operational CC</w:t>
      </w:r>
      <w:r>
        <w:rPr>
          <w:color w:val="373737" w:themeColor="text2"/>
          <w:sz w:val="20"/>
          <w:szCs w:val="20"/>
        </w:rPr>
        <w:t>U</w:t>
      </w:r>
      <w:r w:rsidRPr="603E87AA">
        <w:rPr>
          <w:color w:val="373737" w:themeColor="text2"/>
          <w:sz w:val="20"/>
          <w:szCs w:val="20"/>
        </w:rPr>
        <w:t>S projects and 351 in development span</w:t>
      </w:r>
      <w:r w:rsidR="00FA7F97">
        <w:rPr>
          <w:color w:val="373737" w:themeColor="text2"/>
          <w:sz w:val="20"/>
          <w:szCs w:val="20"/>
        </w:rPr>
        <w:t>ning</w:t>
      </w:r>
      <w:r w:rsidRPr="603E87AA">
        <w:rPr>
          <w:color w:val="373737" w:themeColor="text2"/>
          <w:sz w:val="20"/>
          <w:szCs w:val="20"/>
        </w:rPr>
        <w:t xml:space="preserve"> a range of industries. Of these, there are 45 facilities (operatin</w:t>
      </w:r>
      <w:r w:rsidR="006A7119">
        <w:rPr>
          <w:color w:val="373737" w:themeColor="text2"/>
          <w:sz w:val="20"/>
          <w:szCs w:val="20"/>
        </w:rPr>
        <w:t>g</w:t>
      </w:r>
      <w:r w:rsidRPr="603E87AA">
        <w:rPr>
          <w:color w:val="373737" w:themeColor="text2"/>
          <w:sz w:val="20"/>
          <w:szCs w:val="20"/>
        </w:rPr>
        <w:t xml:space="preserve"> or</w:t>
      </w:r>
      <w:r w:rsidR="006A7119">
        <w:rPr>
          <w:color w:val="373737" w:themeColor="text2"/>
          <w:sz w:val="20"/>
          <w:szCs w:val="20"/>
        </w:rPr>
        <w:t xml:space="preserve"> in</w:t>
      </w:r>
      <w:r w:rsidRPr="603E87AA">
        <w:rPr>
          <w:color w:val="373737" w:themeColor="text2"/>
          <w:sz w:val="20"/>
          <w:szCs w:val="20"/>
        </w:rPr>
        <w:t xml:space="preserve"> development) for natural gas processing. In Australia, historically there hasn’t been a commercial driver to deploy CCUS</w:t>
      </w:r>
      <w:r w:rsidR="00FA7F97">
        <w:rPr>
          <w:color w:val="373737" w:themeColor="text2"/>
          <w:sz w:val="20"/>
          <w:szCs w:val="20"/>
        </w:rPr>
        <w:t>,</w:t>
      </w:r>
      <w:r w:rsidRPr="603E87AA">
        <w:rPr>
          <w:color w:val="373737" w:themeColor="text2"/>
          <w:sz w:val="20"/>
          <w:szCs w:val="20"/>
        </w:rPr>
        <w:t xml:space="preserve"> </w:t>
      </w:r>
      <w:r w:rsidR="008F132E">
        <w:rPr>
          <w:color w:val="373737" w:themeColor="text2"/>
          <w:sz w:val="20"/>
          <w:szCs w:val="20"/>
        </w:rPr>
        <w:t>but</w:t>
      </w:r>
      <w:r w:rsidRPr="603E87AA">
        <w:rPr>
          <w:color w:val="373737" w:themeColor="text2"/>
          <w:sz w:val="20"/>
          <w:szCs w:val="20"/>
        </w:rPr>
        <w:t xml:space="preserve"> that may change with the Safeguard Mechanism reforms.</w:t>
      </w:r>
    </w:p>
    <w:p w14:paraId="1363742C" w14:textId="280D72C2" w:rsidR="00082213" w:rsidRDefault="00082213" w:rsidP="00082213">
      <w:pPr>
        <w:spacing w:after="120"/>
        <w:rPr>
          <w:color w:val="373737"/>
          <w:sz w:val="20"/>
        </w:rPr>
      </w:pPr>
      <w:r w:rsidRPr="00AF7375">
        <w:rPr>
          <w:color w:val="373737"/>
          <w:sz w:val="20"/>
        </w:rPr>
        <w:t xml:space="preserve">Gas </w:t>
      </w:r>
      <w:r w:rsidR="00BB5717">
        <w:rPr>
          <w:color w:val="373737"/>
          <w:sz w:val="20"/>
        </w:rPr>
        <w:t xml:space="preserve">can also play an important role in contributing to lower-carbon electricity generation in Australia and </w:t>
      </w:r>
      <w:r w:rsidR="006A7119">
        <w:rPr>
          <w:color w:val="373737"/>
          <w:sz w:val="20"/>
        </w:rPr>
        <w:t>our</w:t>
      </w:r>
      <w:r w:rsidR="00BB5717">
        <w:rPr>
          <w:color w:val="373737"/>
          <w:sz w:val="20"/>
        </w:rPr>
        <w:t xml:space="preserve"> trading partners</w:t>
      </w:r>
      <w:r w:rsidRPr="00AF7375">
        <w:rPr>
          <w:color w:val="373737"/>
          <w:sz w:val="20"/>
        </w:rPr>
        <w:t xml:space="preserve">. </w:t>
      </w:r>
      <w:r w:rsidR="000955F6">
        <w:rPr>
          <w:color w:val="373737"/>
          <w:sz w:val="20"/>
        </w:rPr>
        <w:t>Gas</w:t>
      </w:r>
      <w:r w:rsidR="005165D9">
        <w:rPr>
          <w:color w:val="373737"/>
          <w:sz w:val="20"/>
        </w:rPr>
        <w:t>-</w:t>
      </w:r>
      <w:r w:rsidR="000955F6">
        <w:rPr>
          <w:color w:val="373737"/>
          <w:sz w:val="20"/>
        </w:rPr>
        <w:t xml:space="preserve">powered generation provides firming to enable the renewable </w:t>
      </w:r>
      <w:r w:rsidR="00C92CB8">
        <w:rPr>
          <w:color w:val="373737"/>
          <w:sz w:val="20"/>
        </w:rPr>
        <w:t xml:space="preserve">transition </w:t>
      </w:r>
      <w:r w:rsidR="000955F6">
        <w:rPr>
          <w:color w:val="373737"/>
          <w:sz w:val="20"/>
        </w:rPr>
        <w:t xml:space="preserve">in Australia. </w:t>
      </w:r>
      <w:r w:rsidRPr="00AF7375">
        <w:rPr>
          <w:color w:val="373737"/>
          <w:sz w:val="20"/>
        </w:rPr>
        <w:t>Australia’s LNG exports typically serve to provide energy security to electricity networks of regional trading partners</w:t>
      </w:r>
      <w:r w:rsidR="000955F6">
        <w:rPr>
          <w:color w:val="373737"/>
          <w:sz w:val="20"/>
        </w:rPr>
        <w:t xml:space="preserve"> and provide a cleaner alternative to greater coal use</w:t>
      </w:r>
      <w:r w:rsidRPr="00AF7375">
        <w:rPr>
          <w:color w:val="373737"/>
          <w:sz w:val="20"/>
        </w:rPr>
        <w:t>. Similarly, for heavy industry users of coal (such as steel manufacturing), gas can provide an intermediate step toward future use of hydrogen in production while lowering emissions.</w:t>
      </w:r>
      <w:bookmarkEnd w:id="23"/>
      <w:bookmarkEnd w:id="24"/>
    </w:p>
    <w:p w14:paraId="696C6C76" w14:textId="77777777" w:rsidR="00082213" w:rsidRPr="009D697A" w:rsidRDefault="00082213" w:rsidP="000955F6">
      <w:pPr>
        <w:pStyle w:val="Heading2"/>
        <w:pageBreakBefore/>
        <w:numPr>
          <w:ilvl w:val="1"/>
          <w:numId w:val="3"/>
        </w:numPr>
      </w:pPr>
      <w:bookmarkStart w:id="25" w:name="_Toc165150155"/>
      <w:bookmarkStart w:id="26" w:name="_Toc165157167"/>
      <w:bookmarkStart w:id="27" w:name="_Toc165157739"/>
      <w:bookmarkStart w:id="28" w:name="_Toc165157902"/>
      <w:bookmarkStart w:id="29" w:name="_Toc165269809"/>
      <w:bookmarkStart w:id="30" w:name="_Toc158907951"/>
      <w:bookmarkStart w:id="31" w:name="_Toc172794504"/>
      <w:bookmarkEnd w:id="25"/>
      <w:bookmarkEnd w:id="26"/>
      <w:bookmarkEnd w:id="27"/>
      <w:bookmarkEnd w:id="28"/>
      <w:bookmarkEnd w:id="29"/>
      <w:r w:rsidRPr="009D697A">
        <w:t>Australia’s gas emissions</w:t>
      </w:r>
      <w:bookmarkEnd w:id="30"/>
      <w:bookmarkEnd w:id="31"/>
    </w:p>
    <w:p w14:paraId="72539AAC" w14:textId="551EFC15" w:rsidR="00EC7EC7" w:rsidRPr="00AF7375" w:rsidRDefault="00EC7EC7" w:rsidP="00082213">
      <w:pPr>
        <w:spacing w:after="120"/>
        <w:rPr>
          <w:color w:val="373737"/>
          <w:sz w:val="20"/>
        </w:rPr>
      </w:pPr>
      <w:bookmarkStart w:id="32" w:name="_Hlk161238152"/>
      <w:bookmarkEnd w:id="22"/>
      <w:r w:rsidRPr="00AF7375">
        <w:rPr>
          <w:color w:val="373737"/>
          <w:sz w:val="20"/>
        </w:rPr>
        <w:t>This chapter draws on the 2023 baseline emissions projections from the Department of Climate Change, Energy, the Environment and Water (DCCEEW) to show the expected future trajectory of Australian emissions from the supply and use of gas.</w:t>
      </w:r>
      <w:r w:rsidRPr="000955F6">
        <w:rPr>
          <w:color w:val="373737"/>
          <w:sz w:val="20"/>
          <w:vertAlign w:val="superscript"/>
        </w:rPr>
        <w:t xml:space="preserve"> </w:t>
      </w:r>
      <w:bookmarkEnd w:id="32"/>
      <w:r w:rsidR="000955F6" w:rsidRPr="00AF7375">
        <w:rPr>
          <w:color w:val="373737"/>
          <w:sz w:val="20"/>
          <w:vertAlign w:val="superscript"/>
        </w:rPr>
        <w:footnoteReference w:id="4"/>
      </w:r>
      <w:r w:rsidRPr="00AF7375">
        <w:rPr>
          <w:color w:val="373737"/>
          <w:sz w:val="20"/>
        </w:rPr>
        <w:t xml:space="preserve"> We use a combination of emissions projections (estimates of future emissions) and emissions inventories (historical greenhouse gas emissions data).</w:t>
      </w:r>
      <w:r w:rsidRPr="00AF7375">
        <w:rPr>
          <w:color w:val="373737"/>
          <w:sz w:val="20"/>
          <w:vertAlign w:val="superscript"/>
        </w:rPr>
        <w:footnoteReference w:id="5"/>
      </w:r>
    </w:p>
    <w:p w14:paraId="664BA2E5" w14:textId="1CDD7A1E" w:rsidR="00082213" w:rsidRPr="009D697A" w:rsidRDefault="000955F6" w:rsidP="009F625D">
      <w:pPr>
        <w:pStyle w:val="Heading3"/>
        <w:numPr>
          <w:ilvl w:val="2"/>
          <w:numId w:val="3"/>
        </w:numPr>
        <w:spacing w:before="120"/>
        <w:rPr>
          <w:color w:val="56B4DF"/>
          <w:sz w:val="24"/>
        </w:rPr>
      </w:pPr>
      <w:r>
        <w:t>Relationship of emissions estimates to demand and supply estimates</w:t>
      </w:r>
    </w:p>
    <w:p w14:paraId="0C61A968" w14:textId="638687D6" w:rsidR="00EC7EC7" w:rsidRPr="00AF7375" w:rsidRDefault="00EC7EC7" w:rsidP="00082213">
      <w:pPr>
        <w:spacing w:after="120"/>
        <w:rPr>
          <w:color w:val="373737"/>
          <w:sz w:val="20"/>
        </w:rPr>
      </w:pPr>
      <w:bookmarkStart w:id="33" w:name="_Hlk161236939"/>
      <w:bookmarkStart w:id="34" w:name="_Hlk161238169"/>
      <w:r w:rsidRPr="00AF7375">
        <w:rPr>
          <w:color w:val="373737"/>
          <w:sz w:val="20"/>
        </w:rPr>
        <w:t xml:space="preserve">The emissions projections provide </w:t>
      </w:r>
      <w:r w:rsidR="00082213">
        <w:rPr>
          <w:color w:val="373737"/>
          <w:sz w:val="20"/>
        </w:rPr>
        <w:t xml:space="preserve">annual </w:t>
      </w:r>
      <w:r w:rsidRPr="00AF7375">
        <w:rPr>
          <w:color w:val="373737"/>
          <w:sz w:val="20"/>
        </w:rPr>
        <w:t xml:space="preserve">estimates </w:t>
      </w:r>
      <w:r w:rsidR="00B3567F">
        <w:rPr>
          <w:color w:val="373737"/>
          <w:sz w:val="20"/>
        </w:rPr>
        <w:t xml:space="preserve">of Australia’s emissions </w:t>
      </w:r>
      <w:r w:rsidR="00082213" w:rsidRPr="00AF7375">
        <w:rPr>
          <w:color w:val="373737"/>
          <w:sz w:val="20"/>
        </w:rPr>
        <w:t>out to 2035.</w:t>
      </w:r>
      <w:r w:rsidRPr="00AF7375">
        <w:rPr>
          <w:color w:val="373737"/>
          <w:sz w:val="20"/>
        </w:rPr>
        <w:t xml:space="preserve"> They account for the latest information on economic activity, domestic and international demand for Australian energy products, as well as technology costs and uptake. They are based on </w:t>
      </w:r>
      <w:r w:rsidR="00082213" w:rsidRPr="00AF7375">
        <w:rPr>
          <w:color w:val="373737"/>
          <w:sz w:val="20"/>
        </w:rPr>
        <w:t>federal</w:t>
      </w:r>
      <w:r w:rsidRPr="00AF7375">
        <w:rPr>
          <w:color w:val="373737"/>
          <w:sz w:val="20"/>
        </w:rPr>
        <w:t xml:space="preserve"> and </w:t>
      </w:r>
      <w:r w:rsidR="00082213" w:rsidRPr="00AF7375">
        <w:rPr>
          <w:color w:val="373737"/>
          <w:sz w:val="20"/>
        </w:rPr>
        <w:t>state and territory</w:t>
      </w:r>
      <w:r w:rsidR="00E03468" w:rsidRPr="00AF7375">
        <w:rPr>
          <w:color w:val="373737"/>
          <w:sz w:val="20"/>
        </w:rPr>
        <w:t xml:space="preserve"> </w:t>
      </w:r>
      <w:r w:rsidRPr="00AF7375">
        <w:rPr>
          <w:color w:val="373737"/>
          <w:sz w:val="20"/>
        </w:rPr>
        <w:t xml:space="preserve">policies which have been implemented or where detailed design is well progressed. The emissions projections are compiled using the UNFCCC accounting approach consistent with Australia’s accounting for the 2030 target. </w:t>
      </w:r>
      <w:bookmarkEnd w:id="33"/>
    </w:p>
    <w:p w14:paraId="19ACA412" w14:textId="0B3EEB75" w:rsidR="00EC7EC7" w:rsidRPr="00AF7375" w:rsidRDefault="00EC7EC7" w:rsidP="00082213">
      <w:pPr>
        <w:spacing w:after="120"/>
        <w:rPr>
          <w:color w:val="373737"/>
          <w:sz w:val="20"/>
        </w:rPr>
      </w:pPr>
      <w:bookmarkStart w:id="35" w:name="_Hlk161236959"/>
      <w:r w:rsidRPr="00AF7375">
        <w:rPr>
          <w:color w:val="373737"/>
          <w:sz w:val="20"/>
        </w:rPr>
        <w:t>Presenting a single scenario</w:t>
      </w:r>
      <w:r w:rsidR="006A6286">
        <w:rPr>
          <w:color w:val="373737"/>
          <w:sz w:val="20"/>
        </w:rPr>
        <w:t xml:space="preserve"> </w:t>
      </w:r>
      <w:r w:rsidR="006A6286" w:rsidRPr="00FC7FE8">
        <w:rPr>
          <w:lang w:val="en"/>
        </w:rPr>
        <w:t>—</w:t>
      </w:r>
      <w:r w:rsidRPr="00AF7375">
        <w:rPr>
          <w:color w:val="373737"/>
          <w:sz w:val="20"/>
        </w:rPr>
        <w:t xml:space="preserve"> over the medium term only</w:t>
      </w:r>
      <w:r w:rsidR="006A6286">
        <w:rPr>
          <w:color w:val="373737"/>
          <w:sz w:val="20"/>
        </w:rPr>
        <w:t xml:space="preserve"> </w:t>
      </w:r>
      <w:r w:rsidR="006A6286" w:rsidRPr="00FC7FE8">
        <w:rPr>
          <w:lang w:val="en"/>
        </w:rPr>
        <w:t>—</w:t>
      </w:r>
      <w:r w:rsidRPr="00AF7375">
        <w:rPr>
          <w:color w:val="373737"/>
          <w:sz w:val="20"/>
        </w:rPr>
        <w:t xml:space="preserve"> contrasts with other chapters of this report in two respects. First, a range of projections of gas demand covering low, medium</w:t>
      </w:r>
      <w:r w:rsidR="00082213" w:rsidRPr="00AF7375">
        <w:rPr>
          <w:color w:val="373737"/>
          <w:sz w:val="20"/>
        </w:rPr>
        <w:t>,</w:t>
      </w:r>
      <w:r w:rsidRPr="00AF7375">
        <w:rPr>
          <w:color w:val="373737"/>
          <w:sz w:val="20"/>
        </w:rPr>
        <w:t xml:space="preserve"> and high levels of climate ambition</w:t>
      </w:r>
      <w:r w:rsidR="006A6286">
        <w:rPr>
          <w:color w:val="373737"/>
          <w:sz w:val="20"/>
        </w:rPr>
        <w:t>,</w:t>
      </w:r>
      <w:r w:rsidRPr="00AF7375">
        <w:rPr>
          <w:color w:val="373737"/>
          <w:sz w:val="20"/>
        </w:rPr>
        <w:t xml:space="preserve"> were provided to re</w:t>
      </w:r>
      <w:r w:rsidR="006A6286">
        <w:rPr>
          <w:color w:val="373737"/>
          <w:sz w:val="20"/>
        </w:rPr>
        <w:t>flect the</w:t>
      </w:r>
      <w:r w:rsidRPr="00AF7375">
        <w:rPr>
          <w:color w:val="373737"/>
          <w:sz w:val="20"/>
        </w:rPr>
        <w:t xml:space="preserve"> uncertainty </w:t>
      </w:r>
      <w:r w:rsidR="00592DB3">
        <w:rPr>
          <w:color w:val="373737"/>
          <w:sz w:val="20"/>
        </w:rPr>
        <w:t>of</w:t>
      </w:r>
      <w:r w:rsidRPr="00AF7375">
        <w:rPr>
          <w:color w:val="373737"/>
          <w:sz w:val="20"/>
        </w:rPr>
        <w:t xml:space="preserve"> gas demand. Second, projections in the </w:t>
      </w:r>
      <w:r w:rsidR="00E32A9C">
        <w:rPr>
          <w:color w:val="373737"/>
          <w:sz w:val="20"/>
        </w:rPr>
        <w:t>rest</w:t>
      </w:r>
      <w:r w:rsidRPr="00AF7375">
        <w:rPr>
          <w:color w:val="373737"/>
          <w:sz w:val="20"/>
        </w:rPr>
        <w:t xml:space="preserve"> of this report are provided where possible for the medium</w:t>
      </w:r>
      <w:bookmarkEnd w:id="35"/>
      <w:r w:rsidRPr="00AF7375">
        <w:rPr>
          <w:color w:val="373737"/>
          <w:sz w:val="20"/>
        </w:rPr>
        <w:t xml:space="preserve"> (into 2035) </w:t>
      </w:r>
      <w:r w:rsidRPr="00AF7375">
        <w:rPr>
          <w:i/>
          <w:color w:val="373737"/>
          <w:sz w:val="20"/>
        </w:rPr>
        <w:t>and</w:t>
      </w:r>
      <w:r w:rsidRPr="00AF7375">
        <w:rPr>
          <w:color w:val="373737"/>
          <w:sz w:val="20"/>
        </w:rPr>
        <w:t xml:space="preserve"> long</w:t>
      </w:r>
      <w:r w:rsidRPr="00AF7375" w:rsidDel="00536289">
        <w:rPr>
          <w:color w:val="373737"/>
          <w:sz w:val="20"/>
        </w:rPr>
        <w:t>-</w:t>
      </w:r>
      <w:r w:rsidRPr="00AF7375">
        <w:rPr>
          <w:color w:val="373737"/>
          <w:sz w:val="20"/>
        </w:rPr>
        <w:t>term horizons (into 2050). As</w:t>
      </w:r>
      <w:r w:rsidR="00082213">
        <w:rPr>
          <w:color w:val="373737"/>
          <w:sz w:val="20"/>
        </w:rPr>
        <w:t> </w:t>
      </w:r>
      <w:r w:rsidRPr="00AF7375">
        <w:rPr>
          <w:color w:val="373737"/>
          <w:sz w:val="20"/>
        </w:rPr>
        <w:t>the long</w:t>
      </w:r>
      <w:r w:rsidRPr="00AF7375" w:rsidDel="00536289">
        <w:rPr>
          <w:color w:val="373737"/>
          <w:sz w:val="20"/>
        </w:rPr>
        <w:t>-</w:t>
      </w:r>
      <w:r w:rsidRPr="00AF7375">
        <w:rPr>
          <w:color w:val="373737"/>
          <w:sz w:val="20"/>
        </w:rPr>
        <w:t xml:space="preserve">term emissions trajectory for Australian gas is highly uncertain, we supplement </w:t>
      </w:r>
      <w:r w:rsidRPr="00AF7375">
        <w:rPr>
          <w:i/>
          <w:color w:val="373737"/>
          <w:sz w:val="20"/>
        </w:rPr>
        <w:t>quantitative</w:t>
      </w:r>
      <w:r w:rsidRPr="00AF7375">
        <w:rPr>
          <w:color w:val="373737"/>
          <w:sz w:val="20"/>
        </w:rPr>
        <w:t xml:space="preserve"> emissions projections with other information sources to draw </w:t>
      </w:r>
      <w:r w:rsidRPr="00AF7375">
        <w:rPr>
          <w:i/>
          <w:color w:val="373737"/>
          <w:sz w:val="20"/>
        </w:rPr>
        <w:t>qualitative</w:t>
      </w:r>
      <w:r w:rsidRPr="00AF7375">
        <w:rPr>
          <w:color w:val="373737"/>
          <w:sz w:val="20"/>
        </w:rPr>
        <w:t xml:space="preserve"> descriptions that point to a range of likely paths for future Australian emissions.</w:t>
      </w:r>
    </w:p>
    <w:p w14:paraId="6F19C2E1" w14:textId="30F4B99C" w:rsidR="00082213" w:rsidRPr="00AF7375" w:rsidRDefault="00082213" w:rsidP="00082213">
      <w:pPr>
        <w:spacing w:after="120"/>
        <w:rPr>
          <w:color w:val="373737"/>
          <w:sz w:val="20"/>
        </w:rPr>
      </w:pPr>
      <w:bookmarkStart w:id="36" w:name="_Hlk161236982"/>
      <w:r w:rsidRPr="00AF7375">
        <w:rPr>
          <w:color w:val="373737"/>
          <w:sz w:val="20"/>
        </w:rPr>
        <w:t>The emissions projections are intended to reflect current policy settings and do not neatly align with any particular AEMO projection. For example, residential and commercial consumption is based on the orchestrated step change demand scenario, adjusted with various energy efficiency, electrification and hydrogen blending values</w:t>
      </w:r>
      <w:r w:rsidR="006A6286">
        <w:rPr>
          <w:color w:val="373737"/>
          <w:sz w:val="20"/>
        </w:rPr>
        <w:t>,</w:t>
      </w:r>
      <w:r w:rsidRPr="00AF7375">
        <w:rPr>
          <w:color w:val="373737"/>
          <w:sz w:val="20"/>
        </w:rPr>
        <w:t xml:space="preserve"> based on expert advice.</w:t>
      </w:r>
      <w:bookmarkEnd w:id="34"/>
    </w:p>
    <w:tbl>
      <w:tblPr>
        <w:tblStyle w:val="OCETable"/>
        <w:tblW w:w="6804" w:type="dxa"/>
        <w:shd w:val="clear" w:color="auto" w:fill="DEE8F1"/>
        <w:tblLayout w:type="fixed"/>
        <w:tblCellMar>
          <w:top w:w="57" w:type="dxa"/>
          <w:bottom w:w="57" w:type="dxa"/>
        </w:tblCellMar>
        <w:tblLook w:val="04A0" w:firstRow="1" w:lastRow="0" w:firstColumn="1" w:lastColumn="0" w:noHBand="0" w:noVBand="1"/>
      </w:tblPr>
      <w:tblGrid>
        <w:gridCol w:w="6804"/>
      </w:tblGrid>
      <w:tr w:rsidR="00082213" w:rsidRPr="00AF7375" w14:paraId="32D4475E" w14:textId="77777777" w:rsidTr="00AA38BB">
        <w:trPr>
          <w:cnfStyle w:val="100000000000" w:firstRow="1" w:lastRow="0" w:firstColumn="0" w:lastColumn="0" w:oddVBand="0" w:evenVBand="0" w:oddHBand="0" w:evenHBand="0" w:firstRowFirstColumn="0" w:firstRowLastColumn="0" w:lastRowFirstColumn="0" w:lastRowLastColumn="0"/>
          <w:trHeight w:val="2410"/>
        </w:trPr>
        <w:tc>
          <w:tcPr>
            <w:tcW w:w="0" w:type="pct"/>
            <w:shd w:val="clear" w:color="auto" w:fill="DEE8F1"/>
          </w:tcPr>
          <w:p w14:paraId="4A5614CC" w14:textId="57F42A60" w:rsidR="00082213" w:rsidRDefault="00082213" w:rsidP="00AA38BB">
            <w:pPr>
              <w:pStyle w:val="Boxtext"/>
              <w:spacing w:beforeLines="30" w:before="72" w:afterLines="60" w:after="144"/>
              <w:ind w:left="119" w:right="113"/>
              <w:jc w:val="both"/>
              <w:rPr>
                <w:b/>
                <w:color w:val="005CAF" w:themeColor="accent1"/>
              </w:rPr>
            </w:pPr>
            <w:bookmarkStart w:id="37" w:name="_Hlk156842581"/>
            <w:bookmarkEnd w:id="36"/>
            <w:r w:rsidRPr="00AF7375">
              <w:br w:type="column"/>
            </w:r>
            <w:r w:rsidRPr="00AF7375">
              <w:br w:type="column"/>
            </w:r>
            <w:r w:rsidRPr="00AF7375">
              <w:br w:type="column"/>
            </w:r>
            <w:r w:rsidRPr="00AF7375">
              <w:rPr>
                <w:b/>
                <w:bCs/>
                <w:color w:val="005CAF" w:themeColor="accent1"/>
              </w:rPr>
              <w:t>Box 2.1:</w:t>
            </w:r>
            <w:r w:rsidRPr="00AF7375">
              <w:t xml:space="preserve"> </w:t>
            </w:r>
            <w:r w:rsidR="006D5C19">
              <w:rPr>
                <w:b/>
                <w:bCs/>
                <w:color w:val="005CAF" w:themeColor="accent1"/>
              </w:rPr>
              <w:t>Incentives to decarbonise</w:t>
            </w:r>
            <w:r w:rsidRPr="00AF7375">
              <w:rPr>
                <w:b/>
                <w:bCs/>
                <w:color w:val="005CAF" w:themeColor="accent1"/>
              </w:rPr>
              <w:t xml:space="preserve">  </w:t>
            </w:r>
          </w:p>
          <w:p w14:paraId="0AF61BF6" w14:textId="7AB2CC46" w:rsidR="004077C2" w:rsidRPr="00426C6E" w:rsidRDefault="004077C2" w:rsidP="000467B1">
            <w:pPr>
              <w:pStyle w:val="Boxtext"/>
              <w:spacing w:beforeLines="60" w:before="144" w:afterLines="60" w:after="144"/>
              <w:ind w:left="113" w:right="113"/>
              <w:rPr>
                <w:b/>
                <w:bCs/>
                <w:color w:val="373737"/>
              </w:rPr>
            </w:pPr>
            <w:r>
              <w:rPr>
                <w:b/>
                <w:bCs/>
                <w:color w:val="373737"/>
              </w:rPr>
              <w:t>Targets and policy incentives</w:t>
            </w:r>
          </w:p>
          <w:p w14:paraId="6368A59B" w14:textId="3BCF5F1F" w:rsidR="00082213" w:rsidRDefault="00082213" w:rsidP="000467B1">
            <w:pPr>
              <w:pStyle w:val="Boxtext"/>
              <w:spacing w:beforeLines="60" w:before="144" w:afterLines="60" w:after="144"/>
              <w:ind w:left="113" w:right="113"/>
            </w:pPr>
            <w:r w:rsidRPr="00AF7375">
              <w:rPr>
                <w:color w:val="373737"/>
              </w:rPr>
              <w:t xml:space="preserve">Australia has legislated targets to reduce its emissions </w:t>
            </w:r>
            <w:r>
              <w:rPr>
                <w:color w:val="373737"/>
              </w:rPr>
              <w:t xml:space="preserve">to </w:t>
            </w:r>
            <w:r w:rsidRPr="00AF7375">
              <w:rPr>
                <w:color w:val="373737"/>
              </w:rPr>
              <w:t>43</w:t>
            </w:r>
            <w:r w:rsidR="00B10F42">
              <w:rPr>
                <w:color w:val="373737"/>
              </w:rPr>
              <w:t>%</w:t>
            </w:r>
            <w:r w:rsidRPr="00AF7375">
              <w:rPr>
                <w:color w:val="373737"/>
              </w:rPr>
              <w:t xml:space="preserve"> below 2005 levels by 2030 and achieve net zero by 2050.</w:t>
            </w:r>
            <w:r w:rsidR="00B3567F">
              <w:rPr>
                <w:color w:val="373737"/>
              </w:rPr>
              <w:t xml:space="preserve"> </w:t>
            </w:r>
            <w:r w:rsidRPr="00AF7375">
              <w:rPr>
                <w:color w:val="373737"/>
              </w:rPr>
              <w:t>The</w:t>
            </w:r>
            <w:r>
              <w:rPr>
                <w:color w:val="373737"/>
              </w:rPr>
              <w:t> </w:t>
            </w:r>
            <w:r w:rsidRPr="00AF7375">
              <w:rPr>
                <w:color w:val="373737"/>
              </w:rPr>
              <w:t xml:space="preserve">Australian Government is also developing </w:t>
            </w:r>
            <w:r w:rsidR="00CC0DB9">
              <w:rPr>
                <w:color w:val="373737"/>
              </w:rPr>
              <w:t xml:space="preserve">a </w:t>
            </w:r>
            <w:r w:rsidR="0041382A" w:rsidRPr="00AF7375">
              <w:rPr>
                <w:color w:val="373737"/>
              </w:rPr>
              <w:t>medium</w:t>
            </w:r>
            <w:r w:rsidR="0041382A">
              <w:rPr>
                <w:color w:val="373737"/>
              </w:rPr>
              <w:t>-term</w:t>
            </w:r>
            <w:r w:rsidRPr="00AF7375">
              <w:rPr>
                <w:color w:val="373737"/>
              </w:rPr>
              <w:t xml:space="preserve"> emissions reduction target for 2035 and a plan to reach net zero by 2050. The Paris Agreement requires all parties, including Australia, to submit their next Nationally Determined Contributions, including a 2035 emission reduction target, in 2025. This target will be informed by Climate Change Authority advice and current work mapping Australia’s sectoral emissions reduction pathways. </w:t>
            </w:r>
          </w:p>
          <w:p w14:paraId="4604D8B7" w14:textId="11A7B38A" w:rsidR="00675263" w:rsidRPr="004077C2" w:rsidRDefault="00675263" w:rsidP="000467B1">
            <w:pPr>
              <w:pStyle w:val="Boxtext"/>
              <w:spacing w:beforeLines="60" w:before="144" w:afterLines="60" w:after="144"/>
              <w:ind w:left="113" w:right="113"/>
              <w:rPr>
                <w:color w:val="373737"/>
              </w:rPr>
            </w:pPr>
            <w:r>
              <w:rPr>
                <w:color w:val="373737"/>
              </w:rPr>
              <w:t>In addition, as part of</w:t>
            </w:r>
            <w:r w:rsidRPr="00D47F04">
              <w:rPr>
                <w:color w:val="373737"/>
              </w:rPr>
              <w:t xml:space="preserve"> the first Paris Agreement Global Stocktake at the recent COP28 climate conference held in December 2023, </w:t>
            </w:r>
            <w:r>
              <w:rPr>
                <w:color w:val="373737"/>
              </w:rPr>
              <w:t xml:space="preserve">the 195 </w:t>
            </w:r>
            <w:r w:rsidRPr="00D47F04">
              <w:rPr>
                <w:color w:val="373737"/>
              </w:rPr>
              <w:t>parties to the Paris Agreement recognised the need to transition away from fossil fuels in the energy sector</w:t>
            </w:r>
            <w:r w:rsidR="00173446">
              <w:rPr>
                <w:color w:val="373737"/>
              </w:rPr>
              <w:t xml:space="preserve">. </w:t>
            </w:r>
            <w:r w:rsidR="004077C2" w:rsidRPr="00AF7375">
              <w:rPr>
                <w:color w:val="373737"/>
              </w:rPr>
              <w:t xml:space="preserve">Under the UNFCCC reporting guidelines for the preparation of greenhouse gas inventories, countries account for greenhouse gas emissions that occur within their borders. </w:t>
            </w:r>
            <w:r w:rsidRPr="004077C2">
              <w:rPr>
                <w:color w:val="373737"/>
              </w:rPr>
              <w:t xml:space="preserve">More than 97% of Australia’s </w:t>
            </w:r>
            <w:r w:rsidR="00EF626F">
              <w:rPr>
                <w:color w:val="373737"/>
              </w:rPr>
              <w:t>LNG</w:t>
            </w:r>
            <w:r w:rsidRPr="004077C2">
              <w:rPr>
                <w:color w:val="373737"/>
              </w:rPr>
              <w:t xml:space="preserve"> exports are covered by net zero commitments.</w:t>
            </w:r>
          </w:p>
          <w:p w14:paraId="40A620CC" w14:textId="7447570B" w:rsidR="00082213" w:rsidRPr="00AF7375" w:rsidRDefault="00082213" w:rsidP="000467B1">
            <w:pPr>
              <w:pStyle w:val="Boxtext"/>
              <w:spacing w:beforeLines="60" w:before="144" w:afterLines="60" w:after="144"/>
              <w:ind w:left="113" w:right="113"/>
            </w:pPr>
            <w:r w:rsidRPr="00AF7375">
              <w:rPr>
                <w:color w:val="373737"/>
              </w:rPr>
              <w:t>The Safeguard Mechanism is a key piece of legislation for achieving Australia’s climate objectives. Under the Safeguard Mechanism, Australia’s largest existing industrial facilities (those with direct emissions greater than 100,000</w:t>
            </w:r>
            <w:r>
              <w:rPr>
                <w:color w:val="373737"/>
              </w:rPr>
              <w:t xml:space="preserve"> tonnes </w:t>
            </w:r>
            <w:r w:rsidRPr="00AF7375">
              <w:rPr>
                <w:color w:val="373737"/>
              </w:rPr>
              <w:t xml:space="preserve">of </w:t>
            </w:r>
            <w:r w:rsidR="00310E76">
              <w:rPr>
                <w:color w:val="373737"/>
              </w:rPr>
              <w:t>carbon dioxide equivalent (</w:t>
            </w:r>
            <w:r w:rsidRPr="00AF7375">
              <w:rPr>
                <w:color w:val="373737"/>
              </w:rPr>
              <w:t>CO</w:t>
            </w:r>
            <w:r w:rsidRPr="00AF7375">
              <w:rPr>
                <w:color w:val="373737"/>
                <w:vertAlign w:val="subscript"/>
              </w:rPr>
              <w:t>2</w:t>
            </w:r>
            <w:r w:rsidRPr="00AF7375">
              <w:rPr>
                <w:color w:val="373737"/>
              </w:rPr>
              <w:t>-e</w:t>
            </w:r>
            <w:r w:rsidR="00310E76">
              <w:rPr>
                <w:color w:val="373737"/>
              </w:rPr>
              <w:t>)</w:t>
            </w:r>
            <w:r w:rsidRPr="00AF7375">
              <w:rPr>
                <w:color w:val="373737"/>
              </w:rPr>
              <w:t xml:space="preserve"> per year) are required to keep their net emissions below a specified baseline. Facilities’ baselines are reduced predictably and gradually over time in line with a calculated ‘decline rate’ set to achieve national emissions reduction targets. New entrants are set baselines based upon </w:t>
            </w:r>
            <w:r w:rsidR="00E127D8" w:rsidRPr="00E127D8">
              <w:rPr>
                <w:color w:val="373737"/>
              </w:rPr>
              <w:t>lowest emissions intensity production globally</w:t>
            </w:r>
            <w:r w:rsidRPr="00AF7375">
              <w:rPr>
                <w:color w:val="373737"/>
              </w:rPr>
              <w:t xml:space="preserve">. </w:t>
            </w:r>
            <w:r w:rsidR="00E127D8" w:rsidRPr="00E127D8">
              <w:rPr>
                <w:color w:val="373737"/>
              </w:rPr>
              <w:t>This includes</w:t>
            </w:r>
            <w:r w:rsidRPr="00AF7375">
              <w:rPr>
                <w:color w:val="373737"/>
              </w:rPr>
              <w:t xml:space="preserve"> new gas fields that supply existing LNG facilities</w:t>
            </w:r>
            <w:r w:rsidR="00E127D8" w:rsidRPr="00E127D8">
              <w:rPr>
                <w:color w:val="373737"/>
              </w:rPr>
              <w:t>, which will be given best practice baselines for their</w:t>
            </w:r>
            <w:r w:rsidRPr="00AF7375">
              <w:rPr>
                <w:color w:val="373737"/>
              </w:rPr>
              <w:t xml:space="preserve"> reservoir CO</w:t>
            </w:r>
            <w:r w:rsidRPr="00B3567F">
              <w:rPr>
                <w:color w:val="373737"/>
                <w:vertAlign w:val="subscript"/>
              </w:rPr>
              <w:t>2</w:t>
            </w:r>
            <w:r w:rsidRPr="00AF7375">
              <w:rPr>
                <w:color w:val="373737"/>
              </w:rPr>
              <w:t xml:space="preserve"> emissions of zero</w:t>
            </w:r>
            <w:r w:rsidR="00E127D8" w:rsidRPr="00E127D8">
              <w:rPr>
                <w:color w:val="373737"/>
              </w:rPr>
              <w:t>. New</w:t>
            </w:r>
            <w:r w:rsidRPr="00AF7375">
              <w:rPr>
                <w:color w:val="373737"/>
              </w:rPr>
              <w:t xml:space="preserve"> projects extracting or exploring a shale gas formation are required to have net zero scope 1 emissions from entry.</w:t>
            </w:r>
          </w:p>
          <w:p w14:paraId="146D9188" w14:textId="77777777" w:rsidR="00082213" w:rsidRDefault="00082213" w:rsidP="000467B1">
            <w:pPr>
              <w:pStyle w:val="Boxtext"/>
              <w:spacing w:beforeLines="60" w:before="144" w:afterLines="60" w:after="144"/>
              <w:ind w:left="113" w:right="113"/>
            </w:pPr>
            <w:r w:rsidRPr="00AF7375">
              <w:rPr>
                <w:color w:val="373737"/>
              </w:rPr>
              <w:t>Environmental approvals processes for new gas projects are also important. For projects in Commonwealth waters</w:t>
            </w:r>
            <w:r w:rsidRPr="00AF7375">
              <w:rPr>
                <w:color w:val="373737"/>
                <w:vertAlign w:val="superscript"/>
              </w:rPr>
              <w:footnoteReference w:id="6"/>
            </w:r>
            <w:r w:rsidRPr="00AF7375">
              <w:rPr>
                <w:color w:val="373737"/>
              </w:rPr>
              <w:t xml:space="preserve"> activities are regulated by the National Offshore Petroleum Safety and Environmental Management Authority (NOPSEMA). Under the Offshore Petroleum and Greenhouse Gas Storage Act 2006 (OPGGS Act) and associated regulations, NOPSEMA assesses the potential environmental impacts and risks of activities over the life of an offshore project. For projects that occur onshore or in </w:t>
            </w:r>
            <w:r w:rsidR="00E32A9C">
              <w:rPr>
                <w:color w:val="373737"/>
              </w:rPr>
              <w:t>s</w:t>
            </w:r>
            <w:r w:rsidR="00E32A9C" w:rsidRPr="00AF7375">
              <w:rPr>
                <w:color w:val="373737"/>
              </w:rPr>
              <w:t>tate</w:t>
            </w:r>
            <w:r w:rsidRPr="00AF7375">
              <w:rPr>
                <w:color w:val="373737"/>
              </w:rPr>
              <w:t xml:space="preserve"> and </w:t>
            </w:r>
            <w:r w:rsidR="00E32A9C">
              <w:rPr>
                <w:color w:val="373737"/>
              </w:rPr>
              <w:t>t</w:t>
            </w:r>
            <w:r w:rsidR="00E32A9C" w:rsidRPr="00AF7375">
              <w:rPr>
                <w:color w:val="373737"/>
              </w:rPr>
              <w:t>erritory</w:t>
            </w:r>
            <w:r w:rsidRPr="00AF7375">
              <w:rPr>
                <w:color w:val="373737"/>
              </w:rPr>
              <w:t xml:space="preserve"> waters, relevant </w:t>
            </w:r>
            <w:r w:rsidR="00E32A9C">
              <w:rPr>
                <w:color w:val="373737"/>
              </w:rPr>
              <w:t>s</w:t>
            </w:r>
            <w:r w:rsidR="00E32A9C" w:rsidRPr="00AF7375">
              <w:rPr>
                <w:color w:val="373737"/>
              </w:rPr>
              <w:t>tate</w:t>
            </w:r>
            <w:r w:rsidRPr="00AF7375">
              <w:rPr>
                <w:color w:val="373737"/>
              </w:rPr>
              <w:t xml:space="preserve"> and </w:t>
            </w:r>
            <w:r w:rsidR="00E32A9C">
              <w:rPr>
                <w:color w:val="373737"/>
              </w:rPr>
              <w:t>t</w:t>
            </w:r>
            <w:r w:rsidR="00E32A9C" w:rsidRPr="00AF7375">
              <w:rPr>
                <w:color w:val="373737"/>
              </w:rPr>
              <w:t>erritory</w:t>
            </w:r>
            <w:r w:rsidRPr="00AF7375">
              <w:rPr>
                <w:color w:val="373737"/>
              </w:rPr>
              <w:t xml:space="preserve"> environmental legislation will apply</w:t>
            </w:r>
            <w:r w:rsidR="00E32A9C">
              <w:rPr>
                <w:color w:val="373737"/>
              </w:rPr>
              <w:t>.</w:t>
            </w:r>
            <w:r w:rsidR="00E32A9C" w:rsidRPr="00AF7375">
              <w:rPr>
                <w:color w:val="373737"/>
              </w:rPr>
              <w:t xml:space="preserve"> </w:t>
            </w:r>
            <w:r w:rsidR="00E32A9C">
              <w:rPr>
                <w:color w:val="373737"/>
              </w:rPr>
              <w:t>The</w:t>
            </w:r>
            <w:r w:rsidRPr="00AF7375">
              <w:rPr>
                <w:color w:val="373737"/>
              </w:rPr>
              <w:t xml:space="preserve"> Environment Protection and Biodiversity Conservation (EPBC) Act 1999 assessment will be required if the project is likely to have a significant impact on a matter protected by the EPBC Act.</w:t>
            </w:r>
          </w:p>
          <w:p w14:paraId="42F74441" w14:textId="6CE2D4FD" w:rsidR="0001702F" w:rsidRDefault="0001702F" w:rsidP="000467B1">
            <w:pPr>
              <w:pStyle w:val="Boxtext"/>
              <w:spacing w:beforeLines="60" w:before="144" w:afterLines="60" w:after="144"/>
              <w:ind w:left="113" w:right="113"/>
            </w:pPr>
            <w:r w:rsidRPr="00AF7375">
              <w:rPr>
                <w:color w:val="373737"/>
              </w:rPr>
              <w:t xml:space="preserve">In November 2023, Australia joined the Global Methane Pledge which aims to reduce global methane emissions by at least 30% from 2020 levels by 2030. </w:t>
            </w:r>
            <w:r w:rsidR="009E719D">
              <w:rPr>
                <w:color w:val="373737"/>
              </w:rPr>
              <w:t xml:space="preserve">Under this pledge, Australia and other </w:t>
            </w:r>
            <w:r w:rsidR="00C5789F">
              <w:rPr>
                <w:color w:val="373737"/>
              </w:rPr>
              <w:t xml:space="preserve">signatories </w:t>
            </w:r>
            <w:r w:rsidR="009E719D">
              <w:rPr>
                <w:color w:val="373737"/>
              </w:rPr>
              <w:t xml:space="preserve">will work </w:t>
            </w:r>
            <w:r w:rsidR="009E719D" w:rsidRPr="009E719D">
              <w:rPr>
                <w:color w:val="373737"/>
              </w:rPr>
              <w:t>individually and cooperatively to continuously improve the accuracy, transparency, consistency, comparability, and completeness of national greenhouse gas inventory reporting</w:t>
            </w:r>
            <w:r w:rsidR="009E719D">
              <w:rPr>
                <w:color w:val="373737"/>
              </w:rPr>
              <w:t xml:space="preserve"> </w:t>
            </w:r>
            <w:r w:rsidR="009E719D" w:rsidRPr="009E719D">
              <w:rPr>
                <w:color w:val="373737"/>
              </w:rPr>
              <w:t xml:space="preserve">under the UNFCCC and Paris Agreement. </w:t>
            </w:r>
          </w:p>
          <w:p w14:paraId="3B8415DC" w14:textId="77777777" w:rsidR="004077C2" w:rsidRPr="000467B1" w:rsidRDefault="004077C2" w:rsidP="000467B1">
            <w:pPr>
              <w:pStyle w:val="Boxtext"/>
              <w:spacing w:beforeLines="60" w:before="144" w:afterLines="60" w:after="144"/>
              <w:ind w:left="113" w:right="113"/>
              <w:rPr>
                <w:b/>
                <w:color w:val="373737"/>
              </w:rPr>
            </w:pPr>
            <w:r w:rsidRPr="000467B1">
              <w:rPr>
                <w:b/>
                <w:color w:val="373737"/>
              </w:rPr>
              <w:t>Financial sector and shareholder pressures</w:t>
            </w:r>
          </w:p>
          <w:p w14:paraId="5E1BCA4C" w14:textId="669F4D5B" w:rsidR="006D5C19" w:rsidRPr="000467B1" w:rsidRDefault="00C5789F" w:rsidP="000467B1">
            <w:pPr>
              <w:pStyle w:val="Boxtext"/>
              <w:spacing w:beforeLines="60" w:before="144" w:afterLines="60" w:after="144"/>
              <w:ind w:left="113" w:right="113"/>
              <w:rPr>
                <w:color w:val="373737"/>
              </w:rPr>
            </w:pPr>
            <w:r w:rsidRPr="000467B1">
              <w:rPr>
                <w:color w:val="373737"/>
              </w:rPr>
              <w:t>T</w:t>
            </w:r>
            <w:r w:rsidR="006D5C19" w:rsidRPr="000467B1">
              <w:rPr>
                <w:color w:val="373737"/>
              </w:rPr>
              <w:t xml:space="preserve">here are pressures from the financial sector on producers to improve emissions outcomes. A growing number of financial institutions have been reviewing their engagement with oil and gas companies. Publicly traded oil and gas companies have been most affected by equity and debt coming under greater scrutiny due to shareholder activism and stricter lending policies by the financial sector. To date, this has predominantly affected funds from banks rather than </w:t>
            </w:r>
            <w:r w:rsidR="00C32945" w:rsidRPr="000467B1">
              <w:rPr>
                <w:color w:val="373737"/>
              </w:rPr>
              <w:t xml:space="preserve">from </w:t>
            </w:r>
            <w:r w:rsidR="006D5C19" w:rsidRPr="000467B1">
              <w:rPr>
                <w:color w:val="373737"/>
              </w:rPr>
              <w:t xml:space="preserve">superannuation funds and foreign investors – which has moderated the impact on financing gas projects. In consultations, major banks and superannuation funds all expressed that they were looking for their customers to develop transition plans which outline their plans for decarbonisation.   </w:t>
            </w:r>
          </w:p>
          <w:p w14:paraId="6B2CA777" w14:textId="77EB3AC9" w:rsidR="006D5C19" w:rsidRPr="00AF7375" w:rsidRDefault="006D5C19" w:rsidP="000467B1">
            <w:pPr>
              <w:pStyle w:val="Boxtext"/>
              <w:spacing w:beforeLines="60" w:before="144" w:afterLines="60" w:after="144"/>
              <w:ind w:left="113" w:right="113"/>
              <w:rPr>
                <w:color w:val="373737"/>
              </w:rPr>
            </w:pPr>
            <w:r w:rsidRPr="00AF7375">
              <w:rPr>
                <w:color w:val="373737"/>
              </w:rPr>
              <w:t xml:space="preserve">According to the IEA, just under 20% of global oil and gas production comes from companies that have announced a target to diversify their activities into clean energy. </w:t>
            </w:r>
            <w:r w:rsidR="00C32945">
              <w:rPr>
                <w:color w:val="373737"/>
              </w:rPr>
              <w:t>C</w:t>
            </w:r>
            <w:r w:rsidRPr="00AF7375">
              <w:rPr>
                <w:color w:val="373737"/>
              </w:rPr>
              <w:t xml:space="preserve">lean energy investment represented 2.7% of </w:t>
            </w:r>
            <w:r w:rsidR="00C32945">
              <w:rPr>
                <w:color w:val="373737"/>
              </w:rPr>
              <w:t xml:space="preserve">their </w:t>
            </w:r>
            <w:r w:rsidRPr="00AF7375">
              <w:rPr>
                <w:color w:val="373737"/>
              </w:rPr>
              <w:t>total capital spending in 2022. Furthermore, over half of clean energy investment</w:t>
            </w:r>
            <w:r w:rsidR="00B3567F">
              <w:rPr>
                <w:color w:val="373737"/>
              </w:rPr>
              <w:t xml:space="preserve"> </w:t>
            </w:r>
            <w:r w:rsidR="00954F57">
              <w:rPr>
                <w:color w:val="373737"/>
              </w:rPr>
              <w:t>by oil and gas producing companies</w:t>
            </w:r>
            <w:r w:rsidR="00954F57" w:rsidRPr="00AF7375">
              <w:rPr>
                <w:color w:val="373737"/>
              </w:rPr>
              <w:t xml:space="preserve"> </w:t>
            </w:r>
            <w:r w:rsidRPr="00AF7375">
              <w:rPr>
                <w:color w:val="373737"/>
              </w:rPr>
              <w:t xml:space="preserve">was from four companies – Equinor, TotalEnergies, Shell and BP – which </w:t>
            </w:r>
            <w:r w:rsidR="00793F17">
              <w:rPr>
                <w:color w:val="373737"/>
              </w:rPr>
              <w:t xml:space="preserve">each </w:t>
            </w:r>
            <w:r w:rsidRPr="00AF7375">
              <w:rPr>
                <w:color w:val="373737"/>
              </w:rPr>
              <w:t>spent around 15</w:t>
            </w:r>
            <w:r w:rsidR="00DB5745">
              <w:rPr>
                <w:color w:val="373737"/>
              </w:rPr>
              <w:t>–</w:t>
            </w:r>
            <w:r w:rsidRPr="00AF7375">
              <w:rPr>
                <w:color w:val="373737"/>
              </w:rPr>
              <w:t>25% of their total budgets on clean energy. This report by the IEA was prepared before COP28, where 50 global oil and gas companies committed to net-zero by 2050</w:t>
            </w:r>
            <w:r w:rsidR="00793F17">
              <w:rPr>
                <w:color w:val="373737"/>
              </w:rPr>
              <w:t xml:space="preserve"> and</w:t>
            </w:r>
            <w:r w:rsidRPr="00AF7375">
              <w:rPr>
                <w:color w:val="373737"/>
              </w:rPr>
              <w:t xml:space="preserve"> increas</w:t>
            </w:r>
            <w:r>
              <w:rPr>
                <w:color w:val="373737"/>
              </w:rPr>
              <w:t>ing</w:t>
            </w:r>
            <w:r w:rsidRPr="00AF7375">
              <w:rPr>
                <w:color w:val="373737"/>
              </w:rPr>
              <w:t xml:space="preserve"> their investment in clean energy technologies.</w:t>
            </w:r>
          </w:p>
          <w:p w14:paraId="2B21629D" w14:textId="445DB573" w:rsidR="006D5C19" w:rsidRPr="00AF7375" w:rsidRDefault="006D5C19" w:rsidP="000467B1">
            <w:pPr>
              <w:pStyle w:val="Boxtext"/>
              <w:spacing w:beforeLines="60" w:before="144" w:afterLines="60" w:after="144"/>
              <w:ind w:left="113" w:right="113"/>
              <w:rPr>
                <w:color w:val="373737"/>
              </w:rPr>
            </w:pPr>
            <w:r w:rsidRPr="00AF7375">
              <w:rPr>
                <w:color w:val="373737"/>
              </w:rPr>
              <w:t xml:space="preserve">Emissions abatement will depend on the path that companies </w:t>
            </w:r>
            <w:r w:rsidR="00793F17">
              <w:rPr>
                <w:color w:val="373737"/>
              </w:rPr>
              <w:t>choose</w:t>
            </w:r>
            <w:r w:rsidR="00793F17" w:rsidRPr="00AF7375">
              <w:rPr>
                <w:color w:val="373737"/>
              </w:rPr>
              <w:t xml:space="preserve"> </w:t>
            </w:r>
            <w:r w:rsidRPr="00AF7375">
              <w:rPr>
                <w:color w:val="373737"/>
              </w:rPr>
              <w:t xml:space="preserve">in </w:t>
            </w:r>
            <w:r w:rsidR="00310E76">
              <w:rPr>
                <w:color w:val="373737"/>
              </w:rPr>
              <w:t>research and development (R&amp;D)</w:t>
            </w:r>
            <w:r w:rsidRPr="00AF7375">
              <w:rPr>
                <w:color w:val="373737"/>
              </w:rPr>
              <w:t xml:space="preserve">, abatement technology adoption and offset use. A range of factors influence this choice. </w:t>
            </w:r>
            <w:r w:rsidR="00793F17">
              <w:rPr>
                <w:color w:val="373737"/>
              </w:rPr>
              <w:t>P</w:t>
            </w:r>
            <w:r w:rsidRPr="00AF7375">
              <w:rPr>
                <w:color w:val="373737"/>
              </w:rPr>
              <w:t xml:space="preserve">ressure from shareholders and the lending market to decarbonise is </w:t>
            </w:r>
            <w:r w:rsidR="00793F17">
              <w:rPr>
                <w:color w:val="373737"/>
              </w:rPr>
              <w:t xml:space="preserve">pushing </w:t>
            </w:r>
            <w:r w:rsidRPr="00AF7375">
              <w:rPr>
                <w:color w:val="373737"/>
              </w:rPr>
              <w:t xml:space="preserve">companies to adopt net zero targets. </w:t>
            </w:r>
            <w:r w:rsidR="00794F67">
              <w:rPr>
                <w:color w:val="373737"/>
              </w:rPr>
              <w:t>Investors are looking for companies to develop transition plans that outline their pathway to net zero.</w:t>
            </w:r>
          </w:p>
          <w:p w14:paraId="404504C1" w14:textId="73AE9D2E" w:rsidR="00082213" w:rsidRPr="00AF7375" w:rsidRDefault="006D5C19" w:rsidP="000467B1">
            <w:pPr>
              <w:pStyle w:val="Boxtext"/>
              <w:spacing w:beforeLines="60" w:before="144" w:afterLines="60" w:after="144"/>
              <w:ind w:left="113" w:right="113"/>
              <w:rPr>
                <w:color w:val="373737"/>
              </w:rPr>
            </w:pPr>
            <w:r w:rsidRPr="00AF7375">
              <w:rPr>
                <w:color w:val="373737"/>
              </w:rPr>
              <w:t xml:space="preserve">Many companies have </w:t>
            </w:r>
            <w:r w:rsidR="00793F17">
              <w:rPr>
                <w:color w:val="373737"/>
              </w:rPr>
              <w:t>incorporated</w:t>
            </w:r>
            <w:r w:rsidR="00793F17" w:rsidRPr="00AF7375">
              <w:rPr>
                <w:color w:val="373737"/>
              </w:rPr>
              <w:t xml:space="preserve"> </w:t>
            </w:r>
            <w:r w:rsidRPr="00AF7375">
              <w:rPr>
                <w:color w:val="373737"/>
              </w:rPr>
              <w:t>a price of carbon in their projects well above current market prices (</w:t>
            </w:r>
            <w:r w:rsidRPr="004077C2">
              <w:rPr>
                <w:color w:val="373737"/>
              </w:rPr>
              <w:t xml:space="preserve">such as </w:t>
            </w:r>
            <w:r w:rsidR="00793F17">
              <w:rPr>
                <w:color w:val="373737"/>
              </w:rPr>
              <w:t>Australian Carbon Credit Units (</w:t>
            </w:r>
            <w:r w:rsidRPr="004077C2">
              <w:rPr>
                <w:color w:val="373737"/>
              </w:rPr>
              <w:t>ACCUs</w:t>
            </w:r>
            <w:r w:rsidR="00793F17">
              <w:rPr>
                <w:color w:val="373737"/>
              </w:rPr>
              <w:t>)</w:t>
            </w:r>
            <w:r w:rsidRPr="004077C2">
              <w:rPr>
                <w:color w:val="373737"/>
              </w:rPr>
              <w:t>, which averaged $30.67 per tonne in the second half of 2023</w:t>
            </w:r>
            <w:r w:rsidRPr="00AF7375">
              <w:rPr>
                <w:color w:val="373737"/>
              </w:rPr>
              <w:t>)</w:t>
            </w:r>
            <w:r w:rsidR="00793F17">
              <w:rPr>
                <w:color w:val="373737"/>
              </w:rPr>
              <w:t xml:space="preserve">. This </w:t>
            </w:r>
            <w:r>
              <w:rPr>
                <w:color w:val="373737"/>
              </w:rPr>
              <w:t xml:space="preserve">has the effect of </w:t>
            </w:r>
            <w:r w:rsidRPr="00AF7375">
              <w:rPr>
                <w:color w:val="373737"/>
              </w:rPr>
              <w:t>bringing forward investment in abatement.</w:t>
            </w:r>
            <w:r>
              <w:rPr>
                <w:color w:val="373737"/>
              </w:rPr>
              <w:t xml:space="preserve"> </w:t>
            </w:r>
            <w:r w:rsidRPr="00AF7375">
              <w:rPr>
                <w:color w:val="373737"/>
              </w:rPr>
              <w:t xml:space="preserve">However, many companies </w:t>
            </w:r>
            <w:r w:rsidR="00867ECF">
              <w:rPr>
                <w:color w:val="373737"/>
              </w:rPr>
              <w:t>may</w:t>
            </w:r>
            <w:r w:rsidRPr="00AF7375">
              <w:rPr>
                <w:color w:val="373737"/>
              </w:rPr>
              <w:t xml:space="preserve"> also </w:t>
            </w:r>
            <w:r w:rsidR="00867ECF">
              <w:rPr>
                <w:color w:val="373737"/>
              </w:rPr>
              <w:t>hedge</w:t>
            </w:r>
            <w:r w:rsidRPr="00AF7375">
              <w:rPr>
                <w:color w:val="373737"/>
              </w:rPr>
              <w:t xml:space="preserve"> their adoption of abatement technologies under the Safeguard Mechanism through </w:t>
            </w:r>
            <w:r>
              <w:rPr>
                <w:color w:val="373737"/>
              </w:rPr>
              <w:t xml:space="preserve">buying </w:t>
            </w:r>
            <w:r w:rsidR="00867ECF">
              <w:rPr>
                <w:color w:val="373737"/>
              </w:rPr>
              <w:t>ACCUs and Safeguard Mechanism Credits</w:t>
            </w:r>
            <w:r w:rsidRPr="00AF7375">
              <w:rPr>
                <w:color w:val="373737"/>
              </w:rPr>
              <w:t>.</w:t>
            </w:r>
          </w:p>
        </w:tc>
      </w:tr>
    </w:tbl>
    <w:bookmarkEnd w:id="37"/>
    <w:p w14:paraId="118CF948" w14:textId="0BB14510" w:rsidR="00EC7EC7" w:rsidRDefault="00EC7EC7" w:rsidP="0079586B">
      <w:pPr>
        <w:pStyle w:val="Heading3"/>
        <w:numPr>
          <w:ilvl w:val="0"/>
          <w:numId w:val="0"/>
        </w:numPr>
        <w:spacing w:before="0"/>
      </w:pPr>
      <w:r>
        <w:t xml:space="preserve">Historical emissions from the supply and use of gas </w:t>
      </w:r>
    </w:p>
    <w:p w14:paraId="6843F76D" w14:textId="2EC0E2E6" w:rsidR="00EC7EC7" w:rsidRPr="00AF7375" w:rsidRDefault="00EC7EC7" w:rsidP="00082213">
      <w:pPr>
        <w:spacing w:after="120"/>
        <w:rPr>
          <w:color w:val="373737"/>
          <w:sz w:val="20"/>
        </w:rPr>
      </w:pPr>
      <w:bookmarkStart w:id="39" w:name="_Hlk161238446"/>
      <w:bookmarkStart w:id="40" w:name="_Hlk161237643"/>
      <w:r w:rsidRPr="00AF7375">
        <w:rPr>
          <w:color w:val="373737"/>
          <w:sz w:val="20"/>
        </w:rPr>
        <w:t xml:space="preserve">As discussed in Chapter 1, emissions </w:t>
      </w:r>
      <w:r w:rsidR="00747836">
        <w:rPr>
          <w:color w:val="373737"/>
          <w:sz w:val="20"/>
        </w:rPr>
        <w:t xml:space="preserve">from the supply and use of </w:t>
      </w:r>
      <w:r w:rsidRPr="00AF7375">
        <w:rPr>
          <w:color w:val="373737"/>
          <w:sz w:val="20"/>
        </w:rPr>
        <w:t xml:space="preserve">natural gas </w:t>
      </w:r>
      <w:r w:rsidR="000955F6">
        <w:rPr>
          <w:color w:val="373737"/>
          <w:sz w:val="20"/>
        </w:rPr>
        <w:t>are</w:t>
      </w:r>
      <w:r w:rsidR="00082213" w:rsidRPr="00AF7375">
        <w:rPr>
          <w:color w:val="373737"/>
          <w:sz w:val="20"/>
        </w:rPr>
        <w:t xml:space="preserve"> responsible</w:t>
      </w:r>
      <w:r w:rsidRPr="00AF7375">
        <w:rPr>
          <w:color w:val="373737"/>
          <w:sz w:val="20"/>
        </w:rPr>
        <w:t xml:space="preserve"> for a large share of Australian and global emissions. </w:t>
      </w:r>
      <w:r w:rsidR="00E31387">
        <w:rPr>
          <w:color w:val="373737"/>
          <w:sz w:val="20"/>
        </w:rPr>
        <w:t>In 2022, e</w:t>
      </w:r>
      <w:r w:rsidRPr="00AF7375">
        <w:rPr>
          <w:color w:val="373737"/>
          <w:sz w:val="20"/>
        </w:rPr>
        <w:t xml:space="preserve">missions </w:t>
      </w:r>
      <w:r w:rsidR="00747836">
        <w:rPr>
          <w:color w:val="373737"/>
          <w:sz w:val="20"/>
        </w:rPr>
        <w:t xml:space="preserve">from </w:t>
      </w:r>
      <w:r w:rsidRPr="00AF7375">
        <w:rPr>
          <w:color w:val="373737"/>
          <w:sz w:val="20"/>
        </w:rPr>
        <w:t>natural gas account</w:t>
      </w:r>
      <w:r w:rsidR="00E31387">
        <w:rPr>
          <w:color w:val="373737"/>
          <w:sz w:val="20"/>
        </w:rPr>
        <w:t>ed</w:t>
      </w:r>
      <w:r w:rsidRPr="00AF7375">
        <w:rPr>
          <w:color w:val="373737"/>
          <w:sz w:val="20"/>
        </w:rPr>
        <w:t xml:space="preserve"> for 24% total emissions in Australia and 23% of global </w:t>
      </w:r>
      <w:r w:rsidR="000955F6">
        <w:rPr>
          <w:color w:val="373737"/>
          <w:sz w:val="20"/>
        </w:rPr>
        <w:t>emissions</w:t>
      </w:r>
      <w:r w:rsidR="000955F6" w:rsidRPr="00AF7375">
        <w:rPr>
          <w:color w:val="373737"/>
          <w:sz w:val="20"/>
        </w:rPr>
        <w:t xml:space="preserve"> </w:t>
      </w:r>
      <w:r w:rsidRPr="00AF7375">
        <w:rPr>
          <w:color w:val="373737"/>
          <w:sz w:val="20"/>
        </w:rPr>
        <w:t>(</w:t>
      </w:r>
      <w:r w:rsidR="009033AB">
        <w:rPr>
          <w:color w:val="373737"/>
          <w:sz w:val="20"/>
        </w:rPr>
        <w:t>DCCEEW 202</w:t>
      </w:r>
      <w:r w:rsidR="00917558">
        <w:rPr>
          <w:color w:val="373737"/>
          <w:sz w:val="20"/>
        </w:rPr>
        <w:t>2</w:t>
      </w:r>
      <w:r w:rsidR="009E2892">
        <w:rPr>
          <w:color w:val="373737"/>
          <w:sz w:val="20"/>
        </w:rPr>
        <w:t>a</w:t>
      </w:r>
      <w:r w:rsidR="00E31387">
        <w:rPr>
          <w:color w:val="373737"/>
          <w:sz w:val="20"/>
        </w:rPr>
        <w:t xml:space="preserve">, </w:t>
      </w:r>
      <w:r w:rsidRPr="00AF7375">
        <w:rPr>
          <w:color w:val="373737"/>
          <w:sz w:val="20"/>
        </w:rPr>
        <w:t>IEA 2023</w:t>
      </w:r>
      <w:r w:rsidR="00C11944">
        <w:rPr>
          <w:color w:val="373737"/>
          <w:sz w:val="20"/>
        </w:rPr>
        <w:t>c</w:t>
      </w:r>
      <w:r w:rsidRPr="00AF7375">
        <w:rPr>
          <w:color w:val="373737"/>
          <w:sz w:val="20"/>
        </w:rPr>
        <w:t xml:space="preserve">). </w:t>
      </w:r>
    </w:p>
    <w:p w14:paraId="1277FA40" w14:textId="7AA4C789" w:rsidR="00EC7EC7" w:rsidRPr="00AF7375" w:rsidRDefault="00EC7EC7" w:rsidP="00082213">
      <w:pPr>
        <w:spacing w:after="120"/>
        <w:rPr>
          <w:color w:val="373737"/>
          <w:sz w:val="20"/>
        </w:rPr>
      </w:pPr>
      <w:r w:rsidRPr="00AF7375">
        <w:rPr>
          <w:color w:val="373737"/>
          <w:sz w:val="20"/>
        </w:rPr>
        <w:t xml:space="preserve">Emissions from natural gas can be categorised into those associated with its supply and its end use. Supply refers to the extraction, production, processing, distribution and storage of gas for domestic and export use, and end use refers to the combustion of gas for industrial and </w:t>
      </w:r>
      <w:r w:rsidR="00082213" w:rsidRPr="00AF7375">
        <w:rPr>
          <w:color w:val="373737"/>
          <w:sz w:val="20"/>
        </w:rPr>
        <w:t>electric</w:t>
      </w:r>
      <w:r w:rsidRPr="00AF7375">
        <w:rPr>
          <w:color w:val="373737"/>
          <w:sz w:val="20"/>
        </w:rPr>
        <w:t xml:space="preserve"> power, to heat residential and commercial space in Australia</w:t>
      </w:r>
      <w:r w:rsidR="00747836">
        <w:rPr>
          <w:color w:val="373737"/>
          <w:sz w:val="20"/>
        </w:rPr>
        <w:t xml:space="preserve"> or as a feedstock in industrial processes</w:t>
      </w:r>
      <w:r w:rsidRPr="00AF7375">
        <w:rPr>
          <w:color w:val="373737"/>
          <w:sz w:val="20"/>
        </w:rPr>
        <w:t>.</w:t>
      </w:r>
    </w:p>
    <w:p w14:paraId="3DDF61F4" w14:textId="79B8CADC" w:rsidR="00082213" w:rsidRPr="00AF7375" w:rsidRDefault="00082213" w:rsidP="00082213">
      <w:pPr>
        <w:spacing w:after="120"/>
        <w:rPr>
          <w:color w:val="373737"/>
          <w:sz w:val="20"/>
        </w:rPr>
      </w:pPr>
      <w:r w:rsidRPr="00AF7375">
        <w:rPr>
          <w:color w:val="373737"/>
          <w:sz w:val="20"/>
        </w:rPr>
        <w:t xml:space="preserve">Emissions associated with natural gas supply and its end use, peaked in 2019 at 108 </w:t>
      </w:r>
      <w:r>
        <w:rPr>
          <w:color w:val="373737"/>
          <w:sz w:val="20"/>
        </w:rPr>
        <w:t xml:space="preserve">Mt of </w:t>
      </w:r>
      <w:r w:rsidR="00E32A9C">
        <w:rPr>
          <w:color w:val="373737"/>
          <w:sz w:val="20"/>
        </w:rPr>
        <w:t>carbon dioxide equivalent (</w:t>
      </w:r>
      <w:r w:rsidRPr="00AF7375">
        <w:rPr>
          <w:color w:val="373737"/>
          <w:sz w:val="20"/>
        </w:rPr>
        <w:t>CO</w:t>
      </w:r>
      <w:r w:rsidRPr="00320CFB">
        <w:rPr>
          <w:color w:val="373737"/>
          <w:sz w:val="20"/>
          <w:vertAlign w:val="subscript"/>
        </w:rPr>
        <w:t>2</w:t>
      </w:r>
      <w:r w:rsidRPr="00AF7375">
        <w:rPr>
          <w:color w:val="373737"/>
          <w:sz w:val="20"/>
        </w:rPr>
        <w:t>-e</w:t>
      </w:r>
      <w:r w:rsidR="00E32A9C">
        <w:rPr>
          <w:color w:val="373737"/>
          <w:sz w:val="20"/>
        </w:rPr>
        <w:t>)</w:t>
      </w:r>
      <w:r w:rsidRPr="00AF7375">
        <w:rPr>
          <w:color w:val="373737"/>
          <w:sz w:val="20"/>
        </w:rPr>
        <w:t xml:space="preserve">, and are projected to continue to steadily decline. In 2022, emissions associated with natural gas supply and use in Australia were estimated to be 103 </w:t>
      </w:r>
      <w:r>
        <w:rPr>
          <w:color w:val="373737"/>
          <w:sz w:val="20"/>
        </w:rPr>
        <w:t xml:space="preserve">Mt </w:t>
      </w:r>
      <w:r w:rsidRPr="00AF7375">
        <w:rPr>
          <w:color w:val="373737"/>
          <w:sz w:val="20"/>
        </w:rPr>
        <w:t>of CO</w:t>
      </w:r>
      <w:r w:rsidRPr="00320CFB">
        <w:rPr>
          <w:color w:val="373737"/>
          <w:sz w:val="20"/>
          <w:vertAlign w:val="subscript"/>
        </w:rPr>
        <w:t>2</w:t>
      </w:r>
      <w:r w:rsidRPr="00AF7375">
        <w:rPr>
          <w:color w:val="373737"/>
          <w:sz w:val="20"/>
        </w:rPr>
        <w:t>-e (Figure 2.1). Emissions associated with supply of gas accounted for 50 Mt of CO</w:t>
      </w:r>
      <w:r w:rsidRPr="00320CFB">
        <w:rPr>
          <w:color w:val="373737"/>
          <w:sz w:val="20"/>
          <w:vertAlign w:val="subscript"/>
        </w:rPr>
        <w:t>2</w:t>
      </w:r>
      <w:r w:rsidRPr="00AF7375">
        <w:rPr>
          <w:color w:val="373737"/>
          <w:sz w:val="20"/>
        </w:rPr>
        <w:t>-e in 202</w:t>
      </w:r>
      <w:r w:rsidR="00575A6D">
        <w:rPr>
          <w:color w:val="373737"/>
          <w:sz w:val="20"/>
        </w:rPr>
        <w:t>1</w:t>
      </w:r>
      <w:r w:rsidR="00DB5745">
        <w:rPr>
          <w:color w:val="373737"/>
          <w:sz w:val="20"/>
        </w:rPr>
        <w:t>–</w:t>
      </w:r>
      <w:r w:rsidR="00575A6D">
        <w:rPr>
          <w:color w:val="373737"/>
          <w:sz w:val="20"/>
        </w:rPr>
        <w:t>2</w:t>
      </w:r>
      <w:r w:rsidRPr="00AF7375">
        <w:rPr>
          <w:color w:val="373737"/>
          <w:sz w:val="20"/>
        </w:rPr>
        <w:t>2 (49% of emissions from gas), and emissions associated with the use of gas accounted for 52 Mt of CO</w:t>
      </w:r>
      <w:r w:rsidRPr="0052215B">
        <w:rPr>
          <w:color w:val="373737"/>
          <w:sz w:val="20"/>
          <w:vertAlign w:val="subscript"/>
        </w:rPr>
        <w:t>2</w:t>
      </w:r>
      <w:r w:rsidRPr="00AF7375">
        <w:rPr>
          <w:color w:val="373737"/>
          <w:sz w:val="20"/>
        </w:rPr>
        <w:t>-e (51% of emissions from gas).</w:t>
      </w:r>
    </w:p>
    <w:bookmarkEnd w:id="39"/>
    <w:bookmarkEnd w:id="40"/>
    <w:p w14:paraId="13E26A93" w14:textId="12D86394" w:rsidR="00EC7EC7" w:rsidRPr="00AF7375" w:rsidRDefault="00EC7EC7" w:rsidP="00C97679">
      <w:pPr>
        <w:pStyle w:val="Caption"/>
        <w:rPr>
          <w:lang w:val="en"/>
        </w:rPr>
      </w:pPr>
      <w:r w:rsidRPr="00175A34">
        <w:t xml:space="preserve">Figure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t>.</w:t>
      </w:r>
      <w:r w:rsidR="00341B3B">
        <w:fldChar w:fldCharType="begin"/>
      </w:r>
      <w:r w:rsidR="00341B3B">
        <w:instrText xml:space="preserve"> SEQ Figure \* ARABIC \s 1 </w:instrText>
      </w:r>
      <w:r w:rsidR="00341B3B">
        <w:fldChar w:fldCharType="separate"/>
      </w:r>
      <w:r w:rsidR="00BF178A">
        <w:rPr>
          <w:noProof/>
        </w:rPr>
        <w:t>1</w:t>
      </w:r>
      <w:r w:rsidR="00341B3B">
        <w:rPr>
          <w:noProof/>
        </w:rPr>
        <w:fldChar w:fldCharType="end"/>
      </w:r>
      <w:r w:rsidRPr="00AF7375">
        <w:rPr>
          <w:lang w:val="en"/>
        </w:rPr>
        <w:t>: Australian gas emissions and production, 201</w:t>
      </w:r>
      <w:r w:rsidR="008B4CB3">
        <w:rPr>
          <w:lang w:val="en"/>
        </w:rPr>
        <w:t>1</w:t>
      </w:r>
      <w:r w:rsidR="00DB5745">
        <w:rPr>
          <w:lang w:val="en"/>
        </w:rPr>
        <w:t>–</w:t>
      </w:r>
      <w:r w:rsidR="002B7524">
        <w:rPr>
          <w:lang w:val="en"/>
        </w:rPr>
        <w:t>12 to 2021</w:t>
      </w:r>
      <w:r w:rsidR="00DB5745">
        <w:rPr>
          <w:lang w:val="en"/>
        </w:rPr>
        <w:t>–</w:t>
      </w:r>
      <w:r w:rsidR="008B4CB3">
        <w:rPr>
          <w:lang w:val="en"/>
        </w:rPr>
        <w:t>2</w:t>
      </w:r>
      <w:r w:rsidRPr="00AF7375">
        <w:rPr>
          <w:lang w:val="en"/>
        </w:rPr>
        <w:t>2</w:t>
      </w:r>
    </w:p>
    <w:p w14:paraId="701F46FE" w14:textId="6EC2CB72" w:rsidR="00EC7EC7" w:rsidRPr="00AF7375" w:rsidRDefault="00AB5851" w:rsidP="00082213">
      <w:pPr>
        <w:keepNext/>
        <w:spacing w:after="60" w:line="240" w:lineRule="auto"/>
        <w:rPr>
          <w:rFonts w:eastAsia="Times New Roman" w:cs="Arial"/>
          <w:color w:val="005CAF"/>
          <w:sz w:val="16"/>
          <w:szCs w:val="20"/>
          <w:lang w:val="en"/>
        </w:rPr>
      </w:pPr>
      <w:r>
        <w:rPr>
          <w:noProof/>
        </w:rPr>
        <w:drawing>
          <wp:inline distT="0" distB="0" distL="0" distR="0" wp14:anchorId="7AF48D57" wp14:editId="7245885B">
            <wp:extent cx="4206875" cy="2423160"/>
            <wp:effectExtent l="0" t="0" r="3175" b="0"/>
            <wp:docPr id="15" name="Chart 15" descr="This figure shows the trends in Australian gas emissions and production from financial years 2011-12 to 2021-22. It shows emissions linked to the supply and consumption of natural gas increased between 2011-12 and 2018-19, reaching 108 Mt of CO2-e in 2018-19.. Over the same period, Australia's total gas production and LNG exports have more than tripled, surpassing 150 Mt in 2021-22.">
              <a:extLst xmlns:a="http://schemas.openxmlformats.org/drawingml/2006/main">
                <a:ext uri="{FF2B5EF4-FFF2-40B4-BE49-F238E27FC236}">
                  <a16:creationId xmlns:a16="http://schemas.microsoft.com/office/drawing/2014/main" id="{712FA8FC-6986-418A-85C4-30968C3B3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AF363F3" w14:textId="6C1EB0D2" w:rsidR="00EC7EC7" w:rsidRPr="00AF7375" w:rsidRDefault="00EC7EC7" w:rsidP="00932AAD">
      <w:pPr>
        <w:pStyle w:val="Source"/>
      </w:pPr>
      <w:r w:rsidRPr="00AF7375">
        <w:t xml:space="preserve">Source: </w:t>
      </w:r>
      <w:r w:rsidR="006C7EFB">
        <w:t xml:space="preserve">DISR </w:t>
      </w:r>
      <w:r w:rsidR="007A3493">
        <w:t>(unpublished a)</w:t>
      </w:r>
      <w:r w:rsidR="006C7EFB">
        <w:t xml:space="preserve"> analysis of </w:t>
      </w:r>
      <w:r w:rsidR="007A3493">
        <w:t xml:space="preserve">and AEMO (2023b) and </w:t>
      </w:r>
      <w:r w:rsidRPr="00AF7375">
        <w:t xml:space="preserve">DCCEEW </w:t>
      </w:r>
      <w:r w:rsidR="006C7EFB">
        <w:t xml:space="preserve">data </w:t>
      </w:r>
      <w:r w:rsidRPr="00AF7375">
        <w:t>(</w:t>
      </w:r>
      <w:r w:rsidR="007A3493">
        <w:t>National Greenhouse Gas Inventory</w:t>
      </w:r>
      <w:r w:rsidR="006C7EFB">
        <w:t xml:space="preserve"> dataset</w:t>
      </w:r>
      <w:r w:rsidRPr="00AF7375">
        <w:t>)</w:t>
      </w:r>
    </w:p>
    <w:p w14:paraId="4613492E" w14:textId="4C7CD09A" w:rsidR="00E31387" w:rsidRPr="00AF7375" w:rsidRDefault="00E31387" w:rsidP="00E31387">
      <w:pPr>
        <w:spacing w:after="120"/>
        <w:rPr>
          <w:color w:val="373737"/>
          <w:sz w:val="20"/>
        </w:rPr>
      </w:pPr>
      <w:bookmarkStart w:id="41" w:name="_Hlk161237667"/>
      <w:r w:rsidRPr="00AF7375">
        <w:rPr>
          <w:color w:val="373737"/>
          <w:sz w:val="20"/>
        </w:rPr>
        <w:t xml:space="preserve">Between 2012 and 2022, emissions from gas supply </w:t>
      </w:r>
      <w:r>
        <w:rPr>
          <w:color w:val="373737"/>
          <w:sz w:val="20"/>
        </w:rPr>
        <w:t xml:space="preserve">and use </w:t>
      </w:r>
      <w:r w:rsidRPr="00AF7375">
        <w:rPr>
          <w:color w:val="373737"/>
          <w:sz w:val="20"/>
        </w:rPr>
        <w:t>increased by 28%. This was largely driven by the rapid expansion of Australia’s LNG industry</w:t>
      </w:r>
      <w:r>
        <w:rPr>
          <w:color w:val="373737"/>
          <w:sz w:val="20"/>
        </w:rPr>
        <w:t xml:space="preserve">, with </w:t>
      </w:r>
      <w:r w:rsidRPr="00AF7375">
        <w:rPr>
          <w:color w:val="373737"/>
          <w:sz w:val="20"/>
        </w:rPr>
        <w:t>LNG production increas</w:t>
      </w:r>
      <w:r>
        <w:rPr>
          <w:color w:val="373737"/>
          <w:sz w:val="20"/>
        </w:rPr>
        <w:t>ing</w:t>
      </w:r>
      <w:r w:rsidRPr="00AF7375">
        <w:rPr>
          <w:color w:val="373737"/>
          <w:sz w:val="20"/>
        </w:rPr>
        <w:t xml:space="preserve"> by 341%</w:t>
      </w:r>
      <w:r>
        <w:rPr>
          <w:color w:val="373737"/>
          <w:sz w:val="20"/>
        </w:rPr>
        <w:t xml:space="preserve"> over this period</w:t>
      </w:r>
      <w:r w:rsidRPr="00AF7375">
        <w:rPr>
          <w:color w:val="373737"/>
          <w:sz w:val="20"/>
        </w:rPr>
        <w:t xml:space="preserve">. </w:t>
      </w:r>
      <w:r>
        <w:rPr>
          <w:color w:val="373737"/>
          <w:sz w:val="20"/>
        </w:rPr>
        <w:t>H</w:t>
      </w:r>
      <w:r w:rsidRPr="00AF7375">
        <w:rPr>
          <w:color w:val="373737"/>
          <w:sz w:val="20"/>
        </w:rPr>
        <w:t xml:space="preserve">igh gas flaring levels during the initial years of some LNG facility operations </w:t>
      </w:r>
      <w:r>
        <w:rPr>
          <w:color w:val="373737"/>
          <w:sz w:val="20"/>
        </w:rPr>
        <w:t>added</w:t>
      </w:r>
      <w:r w:rsidRPr="00AF7375">
        <w:rPr>
          <w:color w:val="373737"/>
          <w:sz w:val="20"/>
        </w:rPr>
        <w:t xml:space="preserve"> to emissions. Gas flaring levels have since declined as those facilities have moved to a steadier state of operations.</w:t>
      </w:r>
    </w:p>
    <w:p w14:paraId="664E4DD9" w14:textId="09521B00" w:rsidR="00EC7EC7" w:rsidRPr="00AF7375" w:rsidRDefault="001F7C36" w:rsidP="00082213">
      <w:pPr>
        <w:spacing w:after="120"/>
        <w:rPr>
          <w:color w:val="373737"/>
          <w:sz w:val="20"/>
        </w:rPr>
      </w:pPr>
      <w:r>
        <w:rPr>
          <w:color w:val="373737"/>
          <w:sz w:val="20"/>
        </w:rPr>
        <w:t xml:space="preserve">Most </w:t>
      </w:r>
      <w:r w:rsidR="00EC7EC7" w:rsidRPr="00AF7375">
        <w:rPr>
          <w:color w:val="373737"/>
          <w:sz w:val="20"/>
        </w:rPr>
        <w:t xml:space="preserve">of </w:t>
      </w:r>
      <w:r>
        <w:rPr>
          <w:color w:val="373737"/>
          <w:sz w:val="20"/>
        </w:rPr>
        <w:t>the</w:t>
      </w:r>
      <w:r w:rsidR="00EC7EC7" w:rsidRPr="00AF7375">
        <w:rPr>
          <w:color w:val="373737"/>
          <w:sz w:val="20"/>
        </w:rPr>
        <w:t xml:space="preserve"> emissions from gas supply </w:t>
      </w:r>
      <w:r w:rsidR="00082213" w:rsidRPr="00AF7375">
        <w:rPr>
          <w:color w:val="373737"/>
          <w:sz w:val="20"/>
        </w:rPr>
        <w:t>in 202</w:t>
      </w:r>
      <w:r w:rsidR="00C9568F">
        <w:rPr>
          <w:color w:val="373737"/>
          <w:sz w:val="20"/>
        </w:rPr>
        <w:t>1</w:t>
      </w:r>
      <w:r w:rsidR="00DB5745">
        <w:rPr>
          <w:color w:val="373737"/>
          <w:sz w:val="20"/>
        </w:rPr>
        <w:t>–</w:t>
      </w:r>
      <w:r w:rsidR="00C9568F">
        <w:rPr>
          <w:color w:val="373737"/>
          <w:sz w:val="20"/>
        </w:rPr>
        <w:t>2</w:t>
      </w:r>
      <w:r w:rsidR="00082213" w:rsidRPr="00AF7375">
        <w:rPr>
          <w:color w:val="373737"/>
          <w:sz w:val="20"/>
        </w:rPr>
        <w:t xml:space="preserve">2 </w:t>
      </w:r>
      <w:r w:rsidR="00EC7EC7" w:rsidRPr="00AF7375">
        <w:rPr>
          <w:color w:val="373737"/>
          <w:sz w:val="20"/>
        </w:rPr>
        <w:t xml:space="preserve">came from two sources: fugitive emissions (43% of supply emissions) released from </w:t>
      </w:r>
      <w:r w:rsidRPr="00AF7375">
        <w:rPr>
          <w:color w:val="373737"/>
          <w:sz w:val="20"/>
        </w:rPr>
        <w:t>unintentional</w:t>
      </w:r>
      <w:r w:rsidR="00EC7EC7" w:rsidRPr="00AF7375">
        <w:rPr>
          <w:color w:val="373737"/>
          <w:sz w:val="20"/>
        </w:rPr>
        <w:t xml:space="preserve"> leaks or intentional venting and flaring; and stationary emissions (44%) associated with the direct combustion of fuels to run equipment in gas extraction, production and processing. (Table 2.1).</w:t>
      </w:r>
    </w:p>
    <w:bookmarkEnd w:id="41"/>
    <w:p w14:paraId="650D5F50" w14:textId="26BA96EC" w:rsidR="00EC7EC7" w:rsidRPr="00AF7375" w:rsidRDefault="00EC7EC7" w:rsidP="00C97679">
      <w:pPr>
        <w:pStyle w:val="Caption"/>
        <w:rPr>
          <w:rFonts w:eastAsia="Times New Roman" w:cstheme="majorHAnsi"/>
          <w:szCs w:val="20"/>
          <w:lang w:val="en"/>
        </w:rPr>
      </w:pPr>
      <w:r w:rsidRPr="00175A34">
        <w:t xml:space="preserve">Table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rsidR="000565F6">
        <w:t>.</w:t>
      </w:r>
      <w:r w:rsidR="00341B3B">
        <w:fldChar w:fldCharType="begin"/>
      </w:r>
      <w:r w:rsidR="00341B3B">
        <w:instrText xml:space="preserve"> SEQ Table \* ARABIC \s 1 </w:instrText>
      </w:r>
      <w:r w:rsidR="00341B3B">
        <w:fldChar w:fldCharType="separate"/>
      </w:r>
      <w:r w:rsidR="00BF178A">
        <w:rPr>
          <w:noProof/>
        </w:rPr>
        <w:t>1</w:t>
      </w:r>
      <w:r w:rsidR="00341B3B">
        <w:rPr>
          <w:noProof/>
        </w:rPr>
        <w:fldChar w:fldCharType="end"/>
      </w:r>
      <w:r w:rsidRPr="00AF7375">
        <w:rPr>
          <w:lang w:val="en"/>
        </w:rPr>
        <w:t xml:space="preserve">: Sources of emissions in the supply of gas  </w:t>
      </w:r>
    </w:p>
    <w:tbl>
      <w:tblPr>
        <w:tblStyle w:val="OCETable"/>
        <w:tblW w:w="5179" w:type="pct"/>
        <w:tblLook w:val="04A0" w:firstRow="1" w:lastRow="0" w:firstColumn="1" w:lastColumn="0" w:noHBand="0" w:noVBand="1"/>
      </w:tblPr>
      <w:tblGrid>
        <w:gridCol w:w="1173"/>
        <w:gridCol w:w="4407"/>
        <w:gridCol w:w="1282"/>
      </w:tblGrid>
      <w:tr w:rsidR="00EC7EC7" w14:paraId="0E14E5C3" w14:textId="77777777" w:rsidTr="00C50D71">
        <w:trPr>
          <w:cnfStyle w:val="100000000000" w:firstRow="1" w:lastRow="0" w:firstColumn="0" w:lastColumn="0" w:oddVBand="0" w:evenVBand="0" w:oddHBand="0" w:evenHBand="0" w:firstRowFirstColumn="0" w:firstRowLastColumn="0" w:lastRowFirstColumn="0" w:lastRowLastColumn="0"/>
          <w:trHeight w:val="1009"/>
        </w:trPr>
        <w:tc>
          <w:tcPr>
            <w:tcW w:w="855" w:type="pct"/>
          </w:tcPr>
          <w:p w14:paraId="4D0E65F7" w14:textId="77777777" w:rsidR="00EC7EC7" w:rsidRPr="00AF7375" w:rsidRDefault="00EC7EC7" w:rsidP="00C50D71">
            <w:pPr>
              <w:keepNext/>
              <w:spacing w:before="120" w:after="120" w:line="240" w:lineRule="auto"/>
              <w:rPr>
                <w:rFonts w:cs="Arial"/>
                <w:b/>
                <w:szCs w:val="18"/>
                <w:lang w:eastAsia="en-AU"/>
              </w:rPr>
            </w:pPr>
            <w:r w:rsidRPr="00AF7375">
              <w:rPr>
                <w:rFonts w:cs="Arial"/>
                <w:b/>
                <w:szCs w:val="18"/>
                <w:lang w:eastAsia="en-AU"/>
              </w:rPr>
              <w:t>Term</w:t>
            </w:r>
          </w:p>
        </w:tc>
        <w:tc>
          <w:tcPr>
            <w:tcW w:w="3211" w:type="pct"/>
          </w:tcPr>
          <w:p w14:paraId="3C6A8FC5" w14:textId="77777777" w:rsidR="00EC7EC7" w:rsidRPr="00AF7375" w:rsidRDefault="00EC7EC7" w:rsidP="00C50D71">
            <w:pPr>
              <w:keepNext/>
              <w:spacing w:before="120" w:after="120" w:line="240" w:lineRule="auto"/>
              <w:rPr>
                <w:rFonts w:cs="Arial"/>
                <w:b/>
                <w:szCs w:val="18"/>
                <w:lang w:eastAsia="en-AU"/>
              </w:rPr>
            </w:pPr>
            <w:r w:rsidRPr="00AF7375">
              <w:rPr>
                <w:rFonts w:cs="Arial"/>
                <w:b/>
                <w:szCs w:val="18"/>
                <w:lang w:eastAsia="en-AU"/>
              </w:rPr>
              <w:t>Description</w:t>
            </w:r>
          </w:p>
        </w:tc>
        <w:tc>
          <w:tcPr>
            <w:tcW w:w="934" w:type="pct"/>
          </w:tcPr>
          <w:p w14:paraId="5F1A46A4" w14:textId="77777777" w:rsidR="00EC7EC7" w:rsidRPr="00AF7375" w:rsidRDefault="00EC7EC7" w:rsidP="00C50D71">
            <w:pPr>
              <w:keepNext/>
              <w:spacing w:before="120" w:after="120" w:line="240" w:lineRule="auto"/>
              <w:rPr>
                <w:rFonts w:cs="Arial"/>
                <w:b/>
                <w:szCs w:val="18"/>
                <w:lang w:eastAsia="en-AU"/>
              </w:rPr>
            </w:pPr>
            <w:r w:rsidRPr="00AF7375">
              <w:rPr>
                <w:rFonts w:cs="Arial"/>
                <w:b/>
                <w:szCs w:val="18"/>
                <w:lang w:eastAsia="en-AU"/>
              </w:rPr>
              <w:t>Share (volume)</w:t>
            </w:r>
          </w:p>
        </w:tc>
      </w:tr>
      <w:tr w:rsidR="00EC7EC7" w14:paraId="413796FA" w14:textId="77777777" w:rsidTr="00C50D71">
        <w:trPr>
          <w:cnfStyle w:val="000000100000" w:firstRow="0" w:lastRow="0" w:firstColumn="0" w:lastColumn="0" w:oddVBand="0" w:evenVBand="0" w:oddHBand="1" w:evenHBand="0" w:firstRowFirstColumn="0" w:firstRowLastColumn="0" w:lastRowFirstColumn="0" w:lastRowLastColumn="0"/>
          <w:trHeight w:val="80"/>
        </w:trPr>
        <w:tc>
          <w:tcPr>
            <w:tcW w:w="855" w:type="pct"/>
          </w:tcPr>
          <w:p w14:paraId="52BF17B2" w14:textId="77777777" w:rsidR="00EC7EC7" w:rsidRDefault="00EC7EC7" w:rsidP="00C50D71">
            <w:pPr>
              <w:keepNext/>
              <w:keepLines/>
              <w:spacing w:before="60" w:after="60" w:line="240" w:lineRule="auto"/>
              <w:rPr>
                <w:lang w:eastAsia="en-AU"/>
              </w:rPr>
            </w:pPr>
            <w:r>
              <w:rPr>
                <w:lang w:eastAsia="en-AU"/>
              </w:rPr>
              <w:t>Fugitive emissions</w:t>
            </w:r>
          </w:p>
        </w:tc>
        <w:tc>
          <w:tcPr>
            <w:tcW w:w="3211" w:type="pct"/>
          </w:tcPr>
          <w:p w14:paraId="07FCE7CD" w14:textId="77777777" w:rsidR="00EC7EC7" w:rsidRDefault="00EC7EC7" w:rsidP="00C50D71">
            <w:pPr>
              <w:keepNext/>
              <w:keepLines/>
              <w:spacing w:before="60" w:after="60" w:line="240" w:lineRule="auto"/>
              <w:rPr>
                <w:lang w:eastAsia="en-AU"/>
              </w:rPr>
            </w:pPr>
            <w:r w:rsidRPr="00CD294B">
              <w:rPr>
                <w:lang w:eastAsia="en-AU"/>
              </w:rPr>
              <w:t>Emissions released during the extraction, processing and delivery of fossil fuels</w:t>
            </w:r>
          </w:p>
        </w:tc>
        <w:tc>
          <w:tcPr>
            <w:tcW w:w="934" w:type="pct"/>
          </w:tcPr>
          <w:p w14:paraId="0C5558AD" w14:textId="3E655D07" w:rsidR="00EC7EC7" w:rsidRPr="00CD294B" w:rsidRDefault="00EC7EC7" w:rsidP="00C50D71">
            <w:pPr>
              <w:keepNext/>
              <w:keepLines/>
              <w:spacing w:before="60" w:after="60" w:line="240" w:lineRule="auto"/>
              <w:rPr>
                <w:lang w:eastAsia="en-AU"/>
              </w:rPr>
            </w:pPr>
            <w:r>
              <w:rPr>
                <w:lang w:eastAsia="en-AU"/>
              </w:rPr>
              <w:t>43% (22 Mt CO</w:t>
            </w:r>
            <w:r w:rsidRPr="004967E5">
              <w:rPr>
                <w:vertAlign w:val="subscript"/>
                <w:lang w:eastAsia="en-AU"/>
              </w:rPr>
              <w:t>2</w:t>
            </w:r>
            <w:r>
              <w:rPr>
                <w:lang w:eastAsia="en-AU"/>
              </w:rPr>
              <w:t>-e)</w:t>
            </w:r>
          </w:p>
        </w:tc>
      </w:tr>
      <w:tr w:rsidR="00EC7EC7" w14:paraId="4191EAD1" w14:textId="77777777" w:rsidTr="00C50D71">
        <w:trPr>
          <w:cnfStyle w:val="000000010000" w:firstRow="0" w:lastRow="0" w:firstColumn="0" w:lastColumn="0" w:oddVBand="0" w:evenVBand="0" w:oddHBand="0" w:evenHBand="1" w:firstRowFirstColumn="0" w:firstRowLastColumn="0" w:lastRowFirstColumn="0" w:lastRowLastColumn="0"/>
          <w:trHeight w:val="226"/>
        </w:trPr>
        <w:tc>
          <w:tcPr>
            <w:tcW w:w="855" w:type="pct"/>
          </w:tcPr>
          <w:p w14:paraId="0CA7BC28" w14:textId="77777777" w:rsidR="00EC7EC7" w:rsidRDefault="00EC7EC7" w:rsidP="00C50D71">
            <w:pPr>
              <w:keepNext/>
              <w:keepLines/>
              <w:spacing w:before="60" w:after="60" w:line="240" w:lineRule="auto"/>
              <w:rPr>
                <w:lang w:eastAsia="en-AU"/>
              </w:rPr>
            </w:pPr>
            <w:r>
              <w:rPr>
                <w:lang w:eastAsia="en-AU"/>
              </w:rPr>
              <w:t>Stationary emissions</w:t>
            </w:r>
          </w:p>
        </w:tc>
        <w:tc>
          <w:tcPr>
            <w:tcW w:w="3211" w:type="pct"/>
          </w:tcPr>
          <w:p w14:paraId="19E9FB03" w14:textId="77777777" w:rsidR="00EC7EC7" w:rsidRDefault="00EC7EC7" w:rsidP="00C50D71">
            <w:pPr>
              <w:keepNext/>
              <w:keepLines/>
              <w:spacing w:before="60" w:after="60" w:line="240" w:lineRule="auto"/>
              <w:rPr>
                <w:lang w:eastAsia="en-AU"/>
              </w:rPr>
            </w:pPr>
            <w:r w:rsidRPr="00CD294B">
              <w:rPr>
                <w:lang w:eastAsia="en-AU"/>
              </w:rPr>
              <w:t>Emissions from the combustion of fuels to generate steam, heat or pressure, other than for electricity generation and transport</w:t>
            </w:r>
          </w:p>
        </w:tc>
        <w:tc>
          <w:tcPr>
            <w:tcW w:w="934" w:type="pct"/>
          </w:tcPr>
          <w:p w14:paraId="404F6992" w14:textId="372341E9" w:rsidR="00EC7EC7" w:rsidRPr="00CD294B" w:rsidRDefault="00EC7EC7" w:rsidP="00C50D71">
            <w:pPr>
              <w:keepNext/>
              <w:keepLines/>
              <w:spacing w:before="60" w:after="60" w:line="240" w:lineRule="auto"/>
              <w:rPr>
                <w:lang w:eastAsia="en-AU"/>
              </w:rPr>
            </w:pPr>
            <w:r>
              <w:rPr>
                <w:lang w:eastAsia="en-AU"/>
              </w:rPr>
              <w:t>44% (22 Mt CO</w:t>
            </w:r>
            <w:r w:rsidRPr="004967E5">
              <w:rPr>
                <w:vertAlign w:val="subscript"/>
                <w:lang w:eastAsia="en-AU"/>
              </w:rPr>
              <w:t>2</w:t>
            </w:r>
            <w:r>
              <w:rPr>
                <w:lang w:eastAsia="en-AU"/>
              </w:rPr>
              <w:t>-e)</w:t>
            </w:r>
          </w:p>
        </w:tc>
      </w:tr>
      <w:tr w:rsidR="00EC7EC7" w14:paraId="25DA7044" w14:textId="77777777" w:rsidTr="00C50D71">
        <w:trPr>
          <w:cnfStyle w:val="000000100000" w:firstRow="0" w:lastRow="0" w:firstColumn="0" w:lastColumn="0" w:oddVBand="0" w:evenVBand="0" w:oddHBand="1" w:evenHBand="0" w:firstRowFirstColumn="0" w:firstRowLastColumn="0" w:lastRowFirstColumn="0" w:lastRowLastColumn="0"/>
          <w:trHeight w:val="80"/>
        </w:trPr>
        <w:tc>
          <w:tcPr>
            <w:tcW w:w="855" w:type="pct"/>
          </w:tcPr>
          <w:p w14:paraId="15EA3988" w14:textId="77777777" w:rsidR="00EC7EC7" w:rsidRDefault="00EC7EC7" w:rsidP="00C50D71">
            <w:pPr>
              <w:keepNext/>
              <w:keepLines/>
              <w:spacing w:before="60" w:after="60" w:line="240" w:lineRule="auto"/>
              <w:rPr>
                <w:lang w:eastAsia="en-AU"/>
              </w:rPr>
            </w:pPr>
            <w:bookmarkStart w:id="42" w:name="_Hlk158716651"/>
            <w:r>
              <w:rPr>
                <w:lang w:eastAsia="en-AU"/>
              </w:rPr>
              <w:t>Electricity generation</w:t>
            </w:r>
          </w:p>
        </w:tc>
        <w:tc>
          <w:tcPr>
            <w:tcW w:w="3211" w:type="pct"/>
          </w:tcPr>
          <w:p w14:paraId="55ADD592" w14:textId="77777777" w:rsidR="00EC7EC7" w:rsidRDefault="00EC7EC7" w:rsidP="00C50D71">
            <w:pPr>
              <w:keepNext/>
              <w:keepLines/>
              <w:spacing w:before="60" w:after="60" w:line="240" w:lineRule="auto"/>
              <w:rPr>
                <w:lang w:eastAsia="en-AU"/>
              </w:rPr>
            </w:pPr>
            <w:r w:rsidRPr="00CD294B">
              <w:rPr>
                <w:lang w:eastAsia="en-AU"/>
              </w:rPr>
              <w:t>Emissions from the combustion of fuels to generate electricity</w:t>
            </w:r>
            <w:r>
              <w:rPr>
                <w:lang w:eastAsia="en-AU"/>
              </w:rPr>
              <w:t xml:space="preserve"> (including both grid electricity and on-site electricity)</w:t>
            </w:r>
          </w:p>
        </w:tc>
        <w:tc>
          <w:tcPr>
            <w:tcW w:w="934" w:type="pct"/>
          </w:tcPr>
          <w:p w14:paraId="08E7209A" w14:textId="12F9621B" w:rsidR="00EC7EC7" w:rsidRPr="00CD294B" w:rsidRDefault="00EC7EC7" w:rsidP="00C50D71">
            <w:pPr>
              <w:keepNext/>
              <w:keepLines/>
              <w:spacing w:before="60" w:after="60" w:line="240" w:lineRule="auto"/>
              <w:rPr>
                <w:lang w:eastAsia="en-AU"/>
              </w:rPr>
            </w:pPr>
            <w:r>
              <w:rPr>
                <w:lang w:eastAsia="en-AU"/>
              </w:rPr>
              <w:t>11% (</w:t>
            </w:r>
            <w:r w:rsidR="00C9568F">
              <w:rPr>
                <w:lang w:eastAsia="en-AU"/>
              </w:rPr>
              <w:t>6</w:t>
            </w:r>
            <w:r>
              <w:rPr>
                <w:lang w:eastAsia="en-AU"/>
              </w:rPr>
              <w:t xml:space="preserve"> Mt CO</w:t>
            </w:r>
            <w:r w:rsidRPr="004967E5">
              <w:rPr>
                <w:vertAlign w:val="subscript"/>
                <w:lang w:eastAsia="en-AU"/>
              </w:rPr>
              <w:t>2</w:t>
            </w:r>
            <w:r>
              <w:rPr>
                <w:lang w:eastAsia="en-AU"/>
              </w:rPr>
              <w:t>-e)</w:t>
            </w:r>
          </w:p>
        </w:tc>
      </w:tr>
      <w:bookmarkEnd w:id="42"/>
      <w:tr w:rsidR="00EC7EC7" w14:paraId="38E27769" w14:textId="77777777" w:rsidTr="00C50D71">
        <w:trPr>
          <w:cnfStyle w:val="000000010000" w:firstRow="0" w:lastRow="0" w:firstColumn="0" w:lastColumn="0" w:oddVBand="0" w:evenVBand="0" w:oddHBand="0" w:evenHBand="1" w:firstRowFirstColumn="0" w:firstRowLastColumn="0" w:lastRowFirstColumn="0" w:lastRowLastColumn="0"/>
          <w:trHeight w:val="304"/>
        </w:trPr>
        <w:tc>
          <w:tcPr>
            <w:tcW w:w="855" w:type="pct"/>
          </w:tcPr>
          <w:p w14:paraId="48119CA5" w14:textId="77777777" w:rsidR="00EC7EC7" w:rsidRDefault="00EC7EC7" w:rsidP="00C50D71">
            <w:pPr>
              <w:keepNext/>
              <w:keepLines/>
              <w:spacing w:before="60" w:after="60" w:line="240" w:lineRule="auto"/>
              <w:rPr>
                <w:lang w:eastAsia="en-AU"/>
              </w:rPr>
            </w:pPr>
            <w:r>
              <w:rPr>
                <w:lang w:eastAsia="en-AU"/>
              </w:rPr>
              <w:t>Other emissions</w:t>
            </w:r>
          </w:p>
        </w:tc>
        <w:tc>
          <w:tcPr>
            <w:tcW w:w="3211" w:type="pct"/>
          </w:tcPr>
          <w:p w14:paraId="66B34BC4" w14:textId="77777777" w:rsidR="00EC7EC7" w:rsidRPr="00EB1372" w:rsidRDefault="00EC7EC7" w:rsidP="00C50D71">
            <w:pPr>
              <w:keepNext/>
              <w:keepLines/>
              <w:spacing w:before="60" w:after="60" w:line="240" w:lineRule="auto"/>
              <w:rPr>
                <w:lang w:eastAsia="en-AU"/>
              </w:rPr>
            </w:pPr>
            <w:r>
              <w:rPr>
                <w:lang w:eastAsia="en-AU"/>
              </w:rPr>
              <w:t>E</w:t>
            </w:r>
            <w:r w:rsidRPr="00EB1372">
              <w:rPr>
                <w:lang w:eastAsia="en-AU"/>
              </w:rPr>
              <w:t xml:space="preserve">missions from transport and industrial processes incurred in the supply and extraction of natural gas and LNG.  </w:t>
            </w:r>
          </w:p>
        </w:tc>
        <w:tc>
          <w:tcPr>
            <w:tcW w:w="934" w:type="pct"/>
          </w:tcPr>
          <w:p w14:paraId="076E98A4" w14:textId="7B15B986" w:rsidR="00EC7EC7" w:rsidRPr="00CD294B" w:rsidRDefault="00EC7EC7" w:rsidP="00C50D71">
            <w:pPr>
              <w:keepNext/>
              <w:keepLines/>
              <w:spacing w:before="60" w:after="60" w:line="240" w:lineRule="auto"/>
              <w:rPr>
                <w:lang w:eastAsia="en-AU"/>
              </w:rPr>
            </w:pPr>
            <w:r>
              <w:rPr>
                <w:lang w:eastAsia="en-AU"/>
              </w:rPr>
              <w:t>1.1% (</w:t>
            </w:r>
            <w:r w:rsidR="00C9568F">
              <w:rPr>
                <w:lang w:eastAsia="en-AU"/>
              </w:rPr>
              <w:t>10</w:t>
            </w:r>
            <w:r>
              <w:rPr>
                <w:lang w:eastAsia="en-AU"/>
              </w:rPr>
              <w:t>.5 Mt CO</w:t>
            </w:r>
            <w:r w:rsidRPr="004967E5">
              <w:rPr>
                <w:vertAlign w:val="subscript"/>
                <w:lang w:eastAsia="en-AU"/>
              </w:rPr>
              <w:t>2</w:t>
            </w:r>
            <w:r>
              <w:rPr>
                <w:lang w:eastAsia="en-AU"/>
              </w:rPr>
              <w:t>-e)</w:t>
            </w:r>
          </w:p>
        </w:tc>
      </w:tr>
    </w:tbl>
    <w:p w14:paraId="668CEBC5" w14:textId="5AF506FF" w:rsidR="00932AAD" w:rsidRDefault="00932AAD" w:rsidP="00932AAD">
      <w:pPr>
        <w:pStyle w:val="Source"/>
        <w:rPr>
          <w:lang w:eastAsia="en-AU"/>
        </w:rPr>
      </w:pPr>
      <w:bookmarkStart w:id="43" w:name="_Hlk158358419"/>
      <w:r w:rsidRPr="00AF7375">
        <w:rPr>
          <w:lang w:eastAsia="en-AU"/>
        </w:rPr>
        <w:t xml:space="preserve">Note: </w:t>
      </w:r>
      <w:r>
        <w:rPr>
          <w:lang w:eastAsia="en-AU"/>
        </w:rPr>
        <w:t>Percentages</w:t>
      </w:r>
      <w:r w:rsidRPr="00AF7375">
        <w:rPr>
          <w:lang w:eastAsia="en-AU"/>
        </w:rPr>
        <w:t xml:space="preserve"> might not </w:t>
      </w:r>
      <w:r>
        <w:rPr>
          <w:lang w:eastAsia="en-AU"/>
        </w:rPr>
        <w:t xml:space="preserve">sum to </w:t>
      </w:r>
      <w:r w:rsidRPr="00AF7375">
        <w:rPr>
          <w:lang w:eastAsia="en-AU"/>
        </w:rPr>
        <w:t>100% due to rounding.</w:t>
      </w:r>
      <w:r w:rsidRPr="00E31387">
        <w:rPr>
          <w:lang w:eastAsia="en-AU"/>
        </w:rPr>
        <w:t xml:space="preserve"> </w:t>
      </w:r>
    </w:p>
    <w:p w14:paraId="30D15F39" w14:textId="116C7832" w:rsidR="00932AAD" w:rsidRDefault="00932AAD" w:rsidP="00932AAD">
      <w:pPr>
        <w:pStyle w:val="Source"/>
        <w:rPr>
          <w:lang w:eastAsia="en-AU"/>
        </w:rPr>
      </w:pPr>
      <w:r w:rsidRPr="00AF7375">
        <w:rPr>
          <w:lang w:eastAsia="en-AU"/>
        </w:rPr>
        <w:t>Source: DCCEEW (202</w:t>
      </w:r>
      <w:r>
        <w:rPr>
          <w:lang w:eastAsia="en-AU"/>
        </w:rPr>
        <w:t>4</w:t>
      </w:r>
      <w:r w:rsidRPr="00AF7375">
        <w:rPr>
          <w:lang w:eastAsia="en-AU"/>
        </w:rPr>
        <w:t>)</w:t>
      </w:r>
    </w:p>
    <w:p w14:paraId="2E6E7DE4" w14:textId="3DE42211" w:rsidR="00F864BE" w:rsidRPr="00AF7375" w:rsidRDefault="00EC7EC7" w:rsidP="00F864BE">
      <w:pPr>
        <w:spacing w:after="120"/>
        <w:rPr>
          <w:color w:val="373737"/>
          <w:sz w:val="20"/>
        </w:rPr>
      </w:pPr>
      <w:r w:rsidRPr="00F864BE">
        <w:rPr>
          <w:color w:val="373737"/>
          <w:sz w:val="20"/>
        </w:rPr>
        <w:t xml:space="preserve">Emissions from the use of gas, </w:t>
      </w:r>
      <w:r w:rsidR="00DE49E1" w:rsidRPr="00F864BE">
        <w:rPr>
          <w:color w:val="373737"/>
          <w:sz w:val="20"/>
        </w:rPr>
        <w:t>saw a modest decrease of</w:t>
      </w:r>
      <w:r w:rsidRPr="00F864BE">
        <w:rPr>
          <w:color w:val="373737"/>
          <w:sz w:val="20"/>
        </w:rPr>
        <w:t xml:space="preserve"> 5.1% between 201</w:t>
      </w:r>
      <w:r w:rsidR="00C9568F" w:rsidRPr="00F864BE">
        <w:rPr>
          <w:color w:val="373737"/>
          <w:sz w:val="20"/>
        </w:rPr>
        <w:t>1</w:t>
      </w:r>
      <w:r w:rsidR="00DB5745" w:rsidRPr="00F864BE">
        <w:rPr>
          <w:color w:val="373737"/>
          <w:sz w:val="20"/>
        </w:rPr>
        <w:t>–</w:t>
      </w:r>
      <w:r w:rsidR="00C9568F" w:rsidRPr="00F864BE">
        <w:rPr>
          <w:color w:val="373737"/>
          <w:sz w:val="20"/>
        </w:rPr>
        <w:t>1</w:t>
      </w:r>
      <w:r w:rsidRPr="00F864BE">
        <w:rPr>
          <w:color w:val="373737"/>
          <w:sz w:val="20"/>
        </w:rPr>
        <w:t>2 and 202</w:t>
      </w:r>
      <w:r w:rsidR="00C9568F" w:rsidRPr="00F864BE">
        <w:rPr>
          <w:color w:val="373737"/>
          <w:sz w:val="20"/>
        </w:rPr>
        <w:t>1</w:t>
      </w:r>
      <w:r w:rsidR="00DB5745" w:rsidRPr="00F864BE">
        <w:rPr>
          <w:color w:val="373737"/>
          <w:sz w:val="20"/>
        </w:rPr>
        <w:t>–</w:t>
      </w:r>
      <w:r w:rsidR="00C9568F" w:rsidRPr="00F864BE">
        <w:rPr>
          <w:color w:val="373737"/>
          <w:sz w:val="20"/>
        </w:rPr>
        <w:t>2</w:t>
      </w:r>
      <w:r w:rsidRPr="00F864BE">
        <w:rPr>
          <w:color w:val="373737"/>
          <w:sz w:val="20"/>
        </w:rPr>
        <w:t>2 (Figure 2.2). This trend is broadly consistent across sectors</w:t>
      </w:r>
      <w:r w:rsidR="00154DF3" w:rsidRPr="00F864BE">
        <w:rPr>
          <w:color w:val="373737"/>
          <w:sz w:val="20"/>
        </w:rPr>
        <w:t xml:space="preserve"> (Table 2.2</w:t>
      </w:r>
      <w:r w:rsidR="00080A53" w:rsidRPr="00F864BE">
        <w:rPr>
          <w:color w:val="373737"/>
          <w:sz w:val="20"/>
        </w:rPr>
        <w:t>)</w:t>
      </w:r>
      <w:r w:rsidRPr="00F864BE">
        <w:rPr>
          <w:color w:val="373737"/>
          <w:sz w:val="20"/>
        </w:rPr>
        <w:t xml:space="preserve">. </w:t>
      </w:r>
      <w:r w:rsidR="00C9568F" w:rsidRPr="00F864BE">
        <w:rPr>
          <w:color w:val="373737"/>
          <w:sz w:val="20"/>
        </w:rPr>
        <w:t>In gas use, t</w:t>
      </w:r>
      <w:r w:rsidRPr="00F864BE">
        <w:rPr>
          <w:color w:val="373737"/>
          <w:sz w:val="20"/>
        </w:rPr>
        <w:t>he manufacturing sector accounted for 39% of 20</w:t>
      </w:r>
      <w:r w:rsidR="00C9568F" w:rsidRPr="00F864BE">
        <w:rPr>
          <w:color w:val="373737"/>
          <w:sz w:val="20"/>
        </w:rPr>
        <w:t>21</w:t>
      </w:r>
      <w:r w:rsidR="00DB5745" w:rsidRPr="00F864BE">
        <w:rPr>
          <w:color w:val="373737"/>
          <w:sz w:val="20"/>
        </w:rPr>
        <w:t>–</w:t>
      </w:r>
      <w:r w:rsidRPr="00F864BE">
        <w:rPr>
          <w:color w:val="373737"/>
          <w:sz w:val="20"/>
        </w:rPr>
        <w:t>22 emissions, the electricity sector accounted for 38%, and residential and commercial buildings accounted for 21%.</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F864BE" w:rsidRPr="00AF7375" w14:paraId="3C9D502B" w14:textId="77777777" w:rsidTr="00741D5D">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5FE05803" w14:textId="351AD128" w:rsidR="00F864BE" w:rsidRPr="009033AB" w:rsidRDefault="00F864BE" w:rsidP="00741D5D">
            <w:pPr>
              <w:widowControl w:val="0"/>
              <w:spacing w:beforeLines="60" w:before="144" w:afterLines="60" w:after="144"/>
              <w:ind w:left="113" w:right="113"/>
              <w:jc w:val="both"/>
              <w:rPr>
                <w:sz w:val="20"/>
              </w:rPr>
            </w:pPr>
            <w:r w:rsidRPr="00AF7375">
              <w:rPr>
                <w:rFonts w:eastAsia="Times New Roman" w:cs="Arial"/>
                <w:b/>
                <w:bCs/>
                <w:color w:val="auto"/>
                <w:sz w:val="20"/>
                <w:szCs w:val="18"/>
                <w:lang w:val="en"/>
              </w:rPr>
              <w:t xml:space="preserve">Insight: </w:t>
            </w:r>
            <w:r w:rsidRPr="00F864BE">
              <w:rPr>
                <w:rFonts w:eastAsia="Times New Roman" w:cs="Arial"/>
                <w:color w:val="auto"/>
                <w:sz w:val="20"/>
                <w:szCs w:val="18"/>
                <w:lang w:val="en"/>
              </w:rPr>
              <w:t>Emissions from gas supply and use accounted for about a quarter (24%) of Australia’s total emissions in 2021–22. Emissions from gas supply and use peaked in 2018–19 following a period of strong growth since around 2015 as the LNG industry expanded. Emissions have declined since 2018–19 due to reduced flaring in LNG operations as they reach steadier states of operation. Emissions from use of gas has remained relatively flat</w:t>
            </w:r>
            <w:r>
              <w:rPr>
                <w:rFonts w:eastAsia="Times New Roman" w:cs="Arial"/>
                <w:color w:val="auto"/>
                <w:sz w:val="20"/>
                <w:szCs w:val="18"/>
                <w:lang w:val="en"/>
              </w:rPr>
              <w:t>.</w:t>
            </w:r>
          </w:p>
        </w:tc>
      </w:tr>
    </w:tbl>
    <w:p w14:paraId="75FEB230" w14:textId="7A195CBB" w:rsidR="00EC7EC7" w:rsidRDefault="00EC7EC7" w:rsidP="00082213">
      <w:pPr>
        <w:pStyle w:val="BodyText"/>
      </w:pPr>
    </w:p>
    <w:bookmarkEnd w:id="43"/>
    <w:p w14:paraId="6E1E5567" w14:textId="10AC37B2" w:rsidR="00E31387" w:rsidRPr="00AF7375" w:rsidRDefault="00E31387" w:rsidP="00C97679">
      <w:pPr>
        <w:pStyle w:val="Caption"/>
        <w:rPr>
          <w:lang w:val="en"/>
        </w:rPr>
      </w:pPr>
      <w:r w:rsidRPr="00175A34">
        <w:t xml:space="preserve">Table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rsidR="000565F6">
        <w:t>.</w:t>
      </w:r>
      <w:r w:rsidR="00341B3B">
        <w:fldChar w:fldCharType="begin"/>
      </w:r>
      <w:r w:rsidR="00341B3B">
        <w:instrText xml:space="preserve"> SEQ Table \* ARABIC \s 1 </w:instrText>
      </w:r>
      <w:r w:rsidR="00341B3B">
        <w:fldChar w:fldCharType="separate"/>
      </w:r>
      <w:r w:rsidR="00BF178A">
        <w:rPr>
          <w:noProof/>
        </w:rPr>
        <w:t>2</w:t>
      </w:r>
      <w:r w:rsidR="00341B3B">
        <w:rPr>
          <w:noProof/>
        </w:rPr>
        <w:fldChar w:fldCharType="end"/>
      </w:r>
      <w:r w:rsidRPr="00AF7375">
        <w:rPr>
          <w:lang w:val="en"/>
        </w:rPr>
        <w:t>: Sector descriptions for use of gas and shares</w:t>
      </w:r>
    </w:p>
    <w:tbl>
      <w:tblPr>
        <w:tblStyle w:val="OCETable"/>
        <w:tblW w:w="5112" w:type="pct"/>
        <w:tblLayout w:type="fixed"/>
        <w:tblLook w:val="04A0" w:firstRow="1" w:lastRow="0" w:firstColumn="1" w:lastColumn="0" w:noHBand="0" w:noVBand="1"/>
      </w:tblPr>
      <w:tblGrid>
        <w:gridCol w:w="1446"/>
        <w:gridCol w:w="4062"/>
        <w:gridCol w:w="1265"/>
      </w:tblGrid>
      <w:tr w:rsidR="00E31387" w14:paraId="1EC600B5" w14:textId="77777777" w:rsidTr="0032629E">
        <w:trPr>
          <w:cnfStyle w:val="100000000000" w:firstRow="1" w:lastRow="0" w:firstColumn="0" w:lastColumn="0" w:oddVBand="0" w:evenVBand="0" w:oddHBand="0" w:evenHBand="0" w:firstRowFirstColumn="0" w:firstRowLastColumn="0" w:lastRowFirstColumn="0" w:lastRowLastColumn="0"/>
          <w:trHeight w:val="618"/>
        </w:trPr>
        <w:tc>
          <w:tcPr>
            <w:tcW w:w="1067" w:type="pct"/>
          </w:tcPr>
          <w:p w14:paraId="1CBF331A" w14:textId="77777777" w:rsidR="00E31387" w:rsidRPr="00AF7375" w:rsidRDefault="00E31387" w:rsidP="00556751">
            <w:pPr>
              <w:keepNext/>
              <w:spacing w:before="120" w:after="120" w:line="240" w:lineRule="auto"/>
              <w:rPr>
                <w:rFonts w:cs="Arial"/>
                <w:b/>
                <w:szCs w:val="18"/>
                <w:lang w:eastAsia="en-AU"/>
              </w:rPr>
            </w:pPr>
            <w:r w:rsidRPr="00AF7375">
              <w:rPr>
                <w:rFonts w:cs="Arial"/>
                <w:b/>
                <w:szCs w:val="18"/>
                <w:lang w:eastAsia="en-AU"/>
              </w:rPr>
              <w:t>Term</w:t>
            </w:r>
          </w:p>
        </w:tc>
        <w:tc>
          <w:tcPr>
            <w:tcW w:w="2999" w:type="pct"/>
          </w:tcPr>
          <w:p w14:paraId="6E182876" w14:textId="77777777" w:rsidR="00E31387" w:rsidRPr="00AF7375" w:rsidRDefault="00E31387" w:rsidP="00556751">
            <w:pPr>
              <w:keepNext/>
              <w:spacing w:before="120" w:after="120" w:line="240" w:lineRule="auto"/>
              <w:rPr>
                <w:rFonts w:cs="Arial"/>
                <w:b/>
                <w:szCs w:val="18"/>
                <w:lang w:eastAsia="en-AU"/>
              </w:rPr>
            </w:pPr>
            <w:r w:rsidRPr="00AF7375">
              <w:rPr>
                <w:rFonts w:cs="Arial"/>
                <w:b/>
                <w:szCs w:val="18"/>
                <w:lang w:eastAsia="en-AU"/>
              </w:rPr>
              <w:t>Description</w:t>
            </w:r>
          </w:p>
        </w:tc>
        <w:tc>
          <w:tcPr>
            <w:tcW w:w="934" w:type="pct"/>
          </w:tcPr>
          <w:p w14:paraId="2FD523AA" w14:textId="77777777" w:rsidR="00E31387" w:rsidRPr="00AF7375" w:rsidRDefault="00E31387" w:rsidP="00556751">
            <w:pPr>
              <w:keepNext/>
              <w:spacing w:before="120" w:after="120" w:line="240" w:lineRule="auto"/>
              <w:rPr>
                <w:rFonts w:cs="Arial"/>
                <w:b/>
                <w:szCs w:val="18"/>
                <w:lang w:eastAsia="en-AU"/>
              </w:rPr>
            </w:pPr>
            <w:r w:rsidRPr="00AF7375">
              <w:rPr>
                <w:rFonts w:cs="Arial"/>
                <w:b/>
                <w:szCs w:val="18"/>
                <w:lang w:eastAsia="en-AU"/>
              </w:rPr>
              <w:t>Share (volume)</w:t>
            </w:r>
          </w:p>
        </w:tc>
      </w:tr>
      <w:tr w:rsidR="00E31387" w14:paraId="7AF777E6" w14:textId="77777777" w:rsidTr="00556751">
        <w:trPr>
          <w:cnfStyle w:val="000000100000" w:firstRow="0" w:lastRow="0" w:firstColumn="0" w:lastColumn="0" w:oddVBand="0" w:evenVBand="0" w:oddHBand="1" w:evenHBand="0" w:firstRowFirstColumn="0" w:firstRowLastColumn="0" w:lastRowFirstColumn="0" w:lastRowLastColumn="0"/>
          <w:trHeight w:val="713"/>
        </w:trPr>
        <w:tc>
          <w:tcPr>
            <w:tcW w:w="1067" w:type="pct"/>
          </w:tcPr>
          <w:p w14:paraId="2D15F254" w14:textId="77777777" w:rsidR="00E31387" w:rsidRDefault="00E31387" w:rsidP="00556751">
            <w:pPr>
              <w:keepNext/>
              <w:keepLines/>
              <w:spacing w:before="60" w:after="60" w:line="240" w:lineRule="auto"/>
              <w:rPr>
                <w:lang w:eastAsia="en-AU"/>
              </w:rPr>
            </w:pPr>
            <w:r w:rsidRPr="00A345CA">
              <w:t>Electricity</w:t>
            </w:r>
          </w:p>
        </w:tc>
        <w:tc>
          <w:tcPr>
            <w:tcW w:w="2999" w:type="pct"/>
          </w:tcPr>
          <w:p w14:paraId="3DFE3A70" w14:textId="410E85CB" w:rsidR="00E31387" w:rsidRDefault="00E31387" w:rsidP="00556751">
            <w:pPr>
              <w:keepNext/>
              <w:keepLines/>
              <w:spacing w:before="60" w:after="60" w:line="240" w:lineRule="auto"/>
              <w:rPr>
                <w:lang w:eastAsia="en-AU"/>
              </w:rPr>
            </w:pPr>
            <w:r w:rsidRPr="00EB1372">
              <w:rPr>
                <w:lang w:eastAsia="en-AU"/>
              </w:rPr>
              <w:t xml:space="preserve">Emissions from </w:t>
            </w:r>
            <w:r w:rsidR="00080A53">
              <w:rPr>
                <w:lang w:eastAsia="en-AU"/>
              </w:rPr>
              <w:t xml:space="preserve">gas </w:t>
            </w:r>
            <w:r w:rsidRPr="00EB1372">
              <w:rPr>
                <w:lang w:eastAsia="en-AU"/>
              </w:rPr>
              <w:t>combusted for electricity production in the NEM, WEM, other small grids and off-grid.</w:t>
            </w:r>
          </w:p>
        </w:tc>
        <w:tc>
          <w:tcPr>
            <w:tcW w:w="934" w:type="pct"/>
          </w:tcPr>
          <w:p w14:paraId="5D149DD2" w14:textId="77777777" w:rsidR="00E31387" w:rsidRPr="00CD294B" w:rsidRDefault="00E31387" w:rsidP="00556751">
            <w:pPr>
              <w:keepNext/>
              <w:keepLines/>
              <w:spacing w:before="60" w:after="60" w:line="240" w:lineRule="auto"/>
              <w:rPr>
                <w:lang w:eastAsia="en-AU"/>
              </w:rPr>
            </w:pPr>
            <w:r>
              <w:rPr>
                <w:lang w:eastAsia="en-AU"/>
              </w:rPr>
              <w:t>38% (20 Mt CO</w:t>
            </w:r>
            <w:r w:rsidRPr="004967E5">
              <w:rPr>
                <w:vertAlign w:val="subscript"/>
                <w:lang w:eastAsia="en-AU"/>
              </w:rPr>
              <w:t>2</w:t>
            </w:r>
            <w:r>
              <w:rPr>
                <w:lang w:eastAsia="en-AU"/>
              </w:rPr>
              <w:t>-e)</w:t>
            </w:r>
          </w:p>
        </w:tc>
      </w:tr>
      <w:tr w:rsidR="00E31387" w14:paraId="645FF41B" w14:textId="77777777" w:rsidTr="00556751">
        <w:trPr>
          <w:cnfStyle w:val="000000010000" w:firstRow="0" w:lastRow="0" w:firstColumn="0" w:lastColumn="0" w:oddVBand="0" w:evenVBand="0" w:oddHBand="0" w:evenHBand="1" w:firstRowFirstColumn="0" w:firstRowLastColumn="0" w:lastRowFirstColumn="0" w:lastRowLastColumn="0"/>
          <w:trHeight w:val="472"/>
        </w:trPr>
        <w:tc>
          <w:tcPr>
            <w:tcW w:w="1067" w:type="pct"/>
          </w:tcPr>
          <w:p w14:paraId="02BFA101" w14:textId="77777777" w:rsidR="00E31387" w:rsidRDefault="00E31387" w:rsidP="00556751">
            <w:pPr>
              <w:keepNext/>
              <w:keepLines/>
              <w:spacing w:before="60" w:after="60" w:line="240" w:lineRule="auto"/>
              <w:rPr>
                <w:lang w:eastAsia="en-AU"/>
              </w:rPr>
            </w:pPr>
            <w:r w:rsidRPr="00A345CA">
              <w:t>Residential and commercial buildings</w:t>
            </w:r>
          </w:p>
        </w:tc>
        <w:tc>
          <w:tcPr>
            <w:tcW w:w="2999" w:type="pct"/>
          </w:tcPr>
          <w:p w14:paraId="0C904CF4" w14:textId="4CFCDAAF" w:rsidR="00E31387" w:rsidRDefault="00080A53" w:rsidP="00556751">
            <w:pPr>
              <w:keepNext/>
              <w:keepLines/>
              <w:spacing w:before="60" w:after="60" w:line="240" w:lineRule="auto"/>
              <w:rPr>
                <w:lang w:eastAsia="en-AU"/>
              </w:rPr>
            </w:pPr>
            <w:r>
              <w:rPr>
                <w:lang w:eastAsia="en-AU"/>
              </w:rPr>
              <w:t>E</w:t>
            </w:r>
            <w:r w:rsidR="00E31387" w:rsidRPr="007B5463">
              <w:rPr>
                <w:lang w:eastAsia="en-AU"/>
              </w:rPr>
              <w:t xml:space="preserve">missions from </w:t>
            </w:r>
            <w:r>
              <w:rPr>
                <w:lang w:eastAsia="en-AU"/>
              </w:rPr>
              <w:t xml:space="preserve">gas </w:t>
            </w:r>
            <w:r w:rsidR="00E31387" w:rsidRPr="007B5463">
              <w:rPr>
                <w:lang w:eastAsia="en-AU"/>
              </w:rPr>
              <w:t>combust</w:t>
            </w:r>
            <w:r>
              <w:rPr>
                <w:lang w:eastAsia="en-AU"/>
              </w:rPr>
              <w:t>ed</w:t>
            </w:r>
            <w:r w:rsidR="00E31387" w:rsidRPr="007B5463">
              <w:rPr>
                <w:lang w:eastAsia="en-AU"/>
              </w:rPr>
              <w:t xml:space="preserve"> in residential and commercial buildings as well as construction activities associated with infrastructure, and commercial and residential buildings.</w:t>
            </w:r>
          </w:p>
        </w:tc>
        <w:tc>
          <w:tcPr>
            <w:tcW w:w="934" w:type="pct"/>
          </w:tcPr>
          <w:p w14:paraId="16E4D8DA" w14:textId="77777777" w:rsidR="00E31387" w:rsidRPr="00CD294B" w:rsidRDefault="00E31387" w:rsidP="00556751">
            <w:pPr>
              <w:keepNext/>
              <w:keepLines/>
              <w:spacing w:before="60" w:after="60" w:line="240" w:lineRule="auto"/>
              <w:rPr>
                <w:lang w:eastAsia="en-AU"/>
              </w:rPr>
            </w:pPr>
            <w:r>
              <w:rPr>
                <w:lang w:eastAsia="en-AU"/>
              </w:rPr>
              <w:t>21% (11 Mt CO</w:t>
            </w:r>
            <w:r w:rsidRPr="004967E5">
              <w:rPr>
                <w:vertAlign w:val="subscript"/>
                <w:lang w:eastAsia="en-AU"/>
              </w:rPr>
              <w:t>2</w:t>
            </w:r>
            <w:r>
              <w:rPr>
                <w:lang w:eastAsia="en-AU"/>
              </w:rPr>
              <w:t>-e)</w:t>
            </w:r>
          </w:p>
        </w:tc>
      </w:tr>
      <w:tr w:rsidR="00E31387" w14:paraId="52CE9F4B" w14:textId="77777777" w:rsidTr="00556751">
        <w:trPr>
          <w:cnfStyle w:val="000000100000" w:firstRow="0" w:lastRow="0" w:firstColumn="0" w:lastColumn="0" w:oddVBand="0" w:evenVBand="0" w:oddHBand="1" w:evenHBand="0" w:firstRowFirstColumn="0" w:firstRowLastColumn="0" w:lastRowFirstColumn="0" w:lastRowLastColumn="0"/>
          <w:trHeight w:val="318"/>
        </w:trPr>
        <w:tc>
          <w:tcPr>
            <w:tcW w:w="1067" w:type="pct"/>
          </w:tcPr>
          <w:p w14:paraId="5024A75B" w14:textId="77777777" w:rsidR="00E31387" w:rsidRDefault="00E31387" w:rsidP="00556751">
            <w:pPr>
              <w:keepNext/>
              <w:keepLines/>
              <w:spacing w:before="60" w:after="60" w:line="240" w:lineRule="auto"/>
              <w:rPr>
                <w:lang w:eastAsia="en-AU"/>
              </w:rPr>
            </w:pPr>
            <w:r w:rsidRPr="00A345CA">
              <w:t>Manufacturing and other emissions</w:t>
            </w:r>
          </w:p>
        </w:tc>
        <w:tc>
          <w:tcPr>
            <w:tcW w:w="2999" w:type="pct"/>
          </w:tcPr>
          <w:p w14:paraId="293533AA" w14:textId="25308327" w:rsidR="00E31387" w:rsidRDefault="00080A53" w:rsidP="00556751">
            <w:pPr>
              <w:keepNext/>
              <w:keepLines/>
              <w:spacing w:before="60" w:after="60" w:line="240" w:lineRule="auto"/>
              <w:rPr>
                <w:lang w:eastAsia="en-AU"/>
              </w:rPr>
            </w:pPr>
            <w:r>
              <w:rPr>
                <w:lang w:eastAsia="en-AU"/>
              </w:rPr>
              <w:t>E</w:t>
            </w:r>
            <w:r w:rsidR="00E31387" w:rsidRPr="00167E49">
              <w:rPr>
                <w:lang w:eastAsia="en-AU"/>
              </w:rPr>
              <w:t xml:space="preserve">missions from </w:t>
            </w:r>
            <w:r>
              <w:rPr>
                <w:lang w:eastAsia="en-AU"/>
              </w:rPr>
              <w:t xml:space="preserve">gas </w:t>
            </w:r>
            <w:r w:rsidR="00E31387">
              <w:rPr>
                <w:lang w:eastAsia="en-AU"/>
              </w:rPr>
              <w:t>combust</w:t>
            </w:r>
            <w:r>
              <w:rPr>
                <w:lang w:eastAsia="en-AU"/>
              </w:rPr>
              <w:t>ed to</w:t>
            </w:r>
            <w:r w:rsidR="00E31387">
              <w:rPr>
                <w:lang w:eastAsia="en-AU"/>
              </w:rPr>
              <w:t xml:space="preserve"> </w:t>
            </w:r>
            <w:r w:rsidR="00E31387" w:rsidRPr="00167E49">
              <w:rPr>
                <w:lang w:eastAsia="en-AU"/>
              </w:rPr>
              <w:t xml:space="preserve">provide energy </w:t>
            </w:r>
            <w:r w:rsidR="00B3567F">
              <w:rPr>
                <w:lang w:eastAsia="en-AU"/>
              </w:rPr>
              <w:t xml:space="preserve">and emissions from gas that is used as a feedstock in the </w:t>
            </w:r>
            <w:r w:rsidR="00E31387" w:rsidRPr="00167E49">
              <w:rPr>
                <w:lang w:eastAsia="en-AU"/>
              </w:rPr>
              <w:t xml:space="preserve">manufacturing </w:t>
            </w:r>
            <w:r w:rsidR="00B3567F">
              <w:rPr>
                <w:lang w:eastAsia="en-AU"/>
              </w:rPr>
              <w:t xml:space="preserve">sector. </w:t>
            </w:r>
            <w:r w:rsidR="00747836">
              <w:rPr>
                <w:lang w:eastAsia="en-AU"/>
              </w:rPr>
              <w:t xml:space="preserve">Some </w:t>
            </w:r>
            <w:r w:rsidR="00B3567F">
              <w:rPr>
                <w:lang w:eastAsia="en-AU"/>
              </w:rPr>
              <w:t xml:space="preserve">sub-sectors include </w:t>
            </w:r>
            <w:r w:rsidR="00E31387" w:rsidRPr="00167E49">
              <w:rPr>
                <w:lang w:eastAsia="en-AU"/>
              </w:rPr>
              <w:t>steel, non-ferrous metals, chemicals, food processing, non-energy mining</w:t>
            </w:r>
            <w:r w:rsidR="00E31387">
              <w:rPr>
                <w:lang w:eastAsia="en-AU"/>
              </w:rPr>
              <w:t>,</w:t>
            </w:r>
            <w:r w:rsidR="00E31387" w:rsidRPr="00167E49">
              <w:rPr>
                <w:lang w:eastAsia="en-AU"/>
              </w:rPr>
              <w:t xml:space="preserve"> and pulp and paper.</w:t>
            </w:r>
          </w:p>
        </w:tc>
        <w:tc>
          <w:tcPr>
            <w:tcW w:w="934" w:type="pct"/>
          </w:tcPr>
          <w:p w14:paraId="790BBFEB" w14:textId="77777777" w:rsidR="00E31387" w:rsidRPr="00CD294B" w:rsidRDefault="00E31387" w:rsidP="00556751">
            <w:pPr>
              <w:keepNext/>
              <w:keepLines/>
              <w:spacing w:before="60" w:after="60" w:line="240" w:lineRule="auto"/>
              <w:rPr>
                <w:lang w:eastAsia="en-AU"/>
              </w:rPr>
            </w:pPr>
            <w:r>
              <w:rPr>
                <w:lang w:eastAsia="en-AU"/>
              </w:rPr>
              <w:t>39% (20 Mt CO</w:t>
            </w:r>
            <w:r w:rsidRPr="004967E5">
              <w:rPr>
                <w:vertAlign w:val="subscript"/>
                <w:lang w:eastAsia="en-AU"/>
              </w:rPr>
              <w:t>2</w:t>
            </w:r>
            <w:r>
              <w:rPr>
                <w:lang w:eastAsia="en-AU"/>
              </w:rPr>
              <w:t>-e)</w:t>
            </w:r>
          </w:p>
        </w:tc>
      </w:tr>
      <w:tr w:rsidR="00E31387" w14:paraId="673F465C" w14:textId="77777777" w:rsidTr="00556751">
        <w:trPr>
          <w:cnfStyle w:val="000000010000" w:firstRow="0" w:lastRow="0" w:firstColumn="0" w:lastColumn="0" w:oddVBand="0" w:evenVBand="0" w:oddHBand="0" w:evenHBand="1" w:firstRowFirstColumn="0" w:firstRowLastColumn="0" w:lastRowFirstColumn="0" w:lastRowLastColumn="0"/>
          <w:trHeight w:val="434"/>
        </w:trPr>
        <w:tc>
          <w:tcPr>
            <w:tcW w:w="1067" w:type="pct"/>
          </w:tcPr>
          <w:p w14:paraId="5BC1E313" w14:textId="77777777" w:rsidR="00E31387" w:rsidRDefault="00E31387" w:rsidP="00556751">
            <w:pPr>
              <w:keepNext/>
              <w:keepLines/>
              <w:spacing w:before="60" w:after="60" w:line="240" w:lineRule="auto"/>
              <w:rPr>
                <w:lang w:eastAsia="en-AU"/>
              </w:rPr>
            </w:pPr>
            <w:r w:rsidRPr="00A345CA">
              <w:t>Transport</w:t>
            </w:r>
          </w:p>
        </w:tc>
        <w:tc>
          <w:tcPr>
            <w:tcW w:w="2999" w:type="pct"/>
          </w:tcPr>
          <w:p w14:paraId="38314025" w14:textId="7D81496A" w:rsidR="00E31387" w:rsidRPr="00CD294B" w:rsidRDefault="00E31387" w:rsidP="00556751">
            <w:pPr>
              <w:keepNext/>
              <w:keepLines/>
              <w:spacing w:before="60" w:after="60" w:line="240" w:lineRule="auto"/>
              <w:rPr>
                <w:lang w:eastAsia="en-AU"/>
              </w:rPr>
            </w:pPr>
            <w:r w:rsidRPr="00167E49">
              <w:rPr>
                <w:lang w:eastAsia="en-AU"/>
              </w:rPr>
              <w:t xml:space="preserve">Emissions from </w:t>
            </w:r>
            <w:r w:rsidR="00080A53">
              <w:rPr>
                <w:lang w:eastAsia="en-AU"/>
              </w:rPr>
              <w:t xml:space="preserve">gas combusted </w:t>
            </w:r>
            <w:r w:rsidRPr="00167E49">
              <w:rPr>
                <w:lang w:eastAsia="en-AU"/>
              </w:rPr>
              <w:t>for mobility. This includes road,</w:t>
            </w:r>
            <w:r>
              <w:rPr>
                <w:lang w:eastAsia="en-AU"/>
              </w:rPr>
              <w:t xml:space="preserve"> </w:t>
            </w:r>
            <w:r w:rsidRPr="00167E49">
              <w:rPr>
                <w:lang w:eastAsia="en-AU"/>
              </w:rPr>
              <w:t xml:space="preserve">domestic aviation, rail, domestic shipping, off-road recreational vehicle activity, and gas pipeline transport. </w:t>
            </w:r>
          </w:p>
        </w:tc>
        <w:tc>
          <w:tcPr>
            <w:tcW w:w="934" w:type="pct"/>
          </w:tcPr>
          <w:p w14:paraId="5476A907" w14:textId="77777777" w:rsidR="00E31387" w:rsidRPr="00CD294B" w:rsidRDefault="00E31387" w:rsidP="00556751">
            <w:pPr>
              <w:keepNext/>
              <w:keepLines/>
              <w:spacing w:before="60" w:after="60" w:line="240" w:lineRule="auto"/>
              <w:rPr>
                <w:lang w:eastAsia="en-AU"/>
              </w:rPr>
            </w:pPr>
            <w:r>
              <w:rPr>
                <w:lang w:eastAsia="en-AU"/>
              </w:rPr>
              <w:t>1.8% (1.0 Mt CO</w:t>
            </w:r>
            <w:r w:rsidRPr="004967E5">
              <w:rPr>
                <w:vertAlign w:val="subscript"/>
                <w:lang w:eastAsia="en-AU"/>
              </w:rPr>
              <w:t>2</w:t>
            </w:r>
            <w:r>
              <w:rPr>
                <w:lang w:eastAsia="en-AU"/>
              </w:rPr>
              <w:t>-e)</w:t>
            </w:r>
          </w:p>
        </w:tc>
      </w:tr>
      <w:tr w:rsidR="00E31387" w14:paraId="737CF598" w14:textId="77777777" w:rsidTr="00556751">
        <w:trPr>
          <w:cnfStyle w:val="000000100000" w:firstRow="0" w:lastRow="0" w:firstColumn="0" w:lastColumn="0" w:oddVBand="0" w:evenVBand="0" w:oddHBand="1" w:evenHBand="0" w:firstRowFirstColumn="0" w:firstRowLastColumn="0" w:lastRowFirstColumn="0" w:lastRowLastColumn="0"/>
          <w:trHeight w:val="80"/>
        </w:trPr>
        <w:tc>
          <w:tcPr>
            <w:tcW w:w="1067" w:type="pct"/>
          </w:tcPr>
          <w:p w14:paraId="017B28F1" w14:textId="77777777" w:rsidR="00E31387" w:rsidRDefault="00E31387" w:rsidP="00556751">
            <w:pPr>
              <w:keepNext/>
              <w:keepLines/>
              <w:spacing w:before="60" w:after="60" w:line="240" w:lineRule="auto"/>
              <w:rPr>
                <w:lang w:eastAsia="en-AU"/>
              </w:rPr>
            </w:pPr>
            <w:r w:rsidRPr="00A345CA">
              <w:t>Mining</w:t>
            </w:r>
          </w:p>
        </w:tc>
        <w:tc>
          <w:tcPr>
            <w:tcW w:w="2999" w:type="pct"/>
          </w:tcPr>
          <w:p w14:paraId="6CDE6024" w14:textId="5DBB811B" w:rsidR="00E31387" w:rsidRPr="00CD294B" w:rsidRDefault="00E31387" w:rsidP="00556751">
            <w:pPr>
              <w:keepNext/>
              <w:keepLines/>
              <w:spacing w:before="60" w:after="60" w:line="240" w:lineRule="auto"/>
              <w:rPr>
                <w:lang w:eastAsia="en-AU"/>
              </w:rPr>
            </w:pPr>
            <w:r>
              <w:t xml:space="preserve">Emissions from </w:t>
            </w:r>
            <w:r w:rsidR="00080A53">
              <w:t xml:space="preserve">gas combusted </w:t>
            </w:r>
            <w:r>
              <w:t xml:space="preserve">in coal mining and other mining sectors. </w:t>
            </w:r>
            <w:r w:rsidRPr="005C24CE">
              <w:rPr>
                <w:lang w:eastAsia="en-AU"/>
              </w:rPr>
              <w:t>Emissions from electricity generated at mining sites is allocated to the electricity sector.</w:t>
            </w:r>
          </w:p>
        </w:tc>
        <w:tc>
          <w:tcPr>
            <w:tcW w:w="934" w:type="pct"/>
          </w:tcPr>
          <w:p w14:paraId="2A1B46EF" w14:textId="77777777" w:rsidR="00E31387" w:rsidRPr="00CD294B" w:rsidRDefault="00E31387" w:rsidP="00556751">
            <w:pPr>
              <w:keepNext/>
              <w:keepLines/>
              <w:spacing w:before="60" w:after="60" w:line="240" w:lineRule="auto"/>
              <w:rPr>
                <w:lang w:eastAsia="en-AU"/>
              </w:rPr>
            </w:pPr>
            <w:r>
              <w:rPr>
                <w:lang w:eastAsia="en-AU"/>
              </w:rPr>
              <w:t>0.5% (0.3 Mt CO</w:t>
            </w:r>
            <w:r w:rsidRPr="004967E5">
              <w:rPr>
                <w:vertAlign w:val="subscript"/>
                <w:lang w:eastAsia="en-AU"/>
              </w:rPr>
              <w:t>2</w:t>
            </w:r>
            <w:r>
              <w:rPr>
                <w:lang w:eastAsia="en-AU"/>
              </w:rPr>
              <w:t>-e)</w:t>
            </w:r>
          </w:p>
        </w:tc>
      </w:tr>
    </w:tbl>
    <w:p w14:paraId="1BE6BFF5" w14:textId="0512110A" w:rsidR="00E31387" w:rsidRPr="00AF7375" w:rsidRDefault="00E31387" w:rsidP="00F864BE">
      <w:pPr>
        <w:pStyle w:val="Source"/>
        <w:spacing w:before="60"/>
        <w:rPr>
          <w:lang w:eastAsia="en-AU"/>
        </w:rPr>
      </w:pPr>
      <w:r w:rsidRPr="00AF7375">
        <w:rPr>
          <w:lang w:eastAsia="en-AU"/>
        </w:rPr>
        <w:t xml:space="preserve">Note: </w:t>
      </w:r>
      <w:r w:rsidR="00080A53">
        <w:rPr>
          <w:lang w:eastAsia="en-AU"/>
        </w:rPr>
        <w:t xml:space="preserve">Percentages </w:t>
      </w:r>
      <w:r w:rsidRPr="00AF7375">
        <w:rPr>
          <w:lang w:eastAsia="en-AU"/>
        </w:rPr>
        <w:t xml:space="preserve">might not </w:t>
      </w:r>
      <w:r w:rsidR="00080A53">
        <w:rPr>
          <w:lang w:eastAsia="en-AU"/>
        </w:rPr>
        <w:t xml:space="preserve">sum to </w:t>
      </w:r>
      <w:r w:rsidRPr="00AF7375">
        <w:rPr>
          <w:lang w:eastAsia="en-AU"/>
        </w:rPr>
        <w:t>100% due to rounding. Other emissions include emissions from the forestry and fishery industries.</w:t>
      </w:r>
    </w:p>
    <w:p w14:paraId="2414CE1A" w14:textId="1339E329" w:rsidR="00E31387" w:rsidRDefault="00E31387" w:rsidP="00932AAD">
      <w:pPr>
        <w:pStyle w:val="Source"/>
        <w:rPr>
          <w:lang w:eastAsia="en-AU"/>
        </w:rPr>
      </w:pPr>
      <w:r w:rsidRPr="00AF7375">
        <w:rPr>
          <w:lang w:eastAsia="en-AU"/>
        </w:rPr>
        <w:t>Source: DCCEEW (</w:t>
      </w:r>
      <w:r w:rsidR="009033AB" w:rsidRPr="00AF7375">
        <w:rPr>
          <w:lang w:eastAsia="en-AU"/>
        </w:rPr>
        <w:t>202</w:t>
      </w:r>
      <w:r w:rsidR="009033AB">
        <w:rPr>
          <w:lang w:eastAsia="en-AU"/>
        </w:rPr>
        <w:t>4</w:t>
      </w:r>
      <w:r w:rsidRPr="00AF7375">
        <w:rPr>
          <w:lang w:eastAsia="en-AU"/>
        </w:rPr>
        <w:t>)</w:t>
      </w:r>
    </w:p>
    <w:p w14:paraId="45F664AC" w14:textId="77777777" w:rsidR="00932AAD" w:rsidRPr="00932AAD" w:rsidRDefault="00932AAD" w:rsidP="00932AAD">
      <w:pPr>
        <w:pStyle w:val="BodyText"/>
        <w:rPr>
          <w:lang w:val="en" w:eastAsia="en-AU"/>
        </w:rPr>
      </w:pPr>
    </w:p>
    <w:p w14:paraId="461DE4B1" w14:textId="5FB297C2" w:rsidR="00240E41" w:rsidRDefault="00240E41" w:rsidP="00E31387">
      <w:pPr>
        <w:pStyle w:val="BodyText"/>
      </w:pPr>
    </w:p>
    <w:p w14:paraId="4706DB7D" w14:textId="78103FC9" w:rsidR="00EC7EC7" w:rsidRPr="00AF7375" w:rsidRDefault="00EC7EC7" w:rsidP="00C97679">
      <w:pPr>
        <w:pStyle w:val="Caption"/>
        <w:rPr>
          <w:rFonts w:eastAsia="Times New Roman" w:cstheme="majorHAnsi"/>
          <w:szCs w:val="20"/>
          <w:lang w:val="en"/>
        </w:rPr>
      </w:pPr>
      <w:r w:rsidRPr="00AF7375">
        <w:t xml:space="preserve">Figure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t>.</w:t>
      </w:r>
      <w:r w:rsidR="00341B3B">
        <w:fldChar w:fldCharType="begin"/>
      </w:r>
      <w:r w:rsidR="00341B3B">
        <w:instrText xml:space="preserve"> SEQ Figure \* ARABIC \s 1 </w:instrText>
      </w:r>
      <w:r w:rsidR="00341B3B">
        <w:fldChar w:fldCharType="separate"/>
      </w:r>
      <w:r w:rsidR="00BF178A">
        <w:rPr>
          <w:noProof/>
        </w:rPr>
        <w:t>2</w:t>
      </w:r>
      <w:r w:rsidR="00341B3B">
        <w:rPr>
          <w:noProof/>
        </w:rPr>
        <w:fldChar w:fldCharType="end"/>
      </w:r>
      <w:r w:rsidRPr="00AF7375">
        <w:rPr>
          <w:lang w:val="en"/>
        </w:rPr>
        <w:t>: Emissions from use of gas by sector</w:t>
      </w:r>
      <w:r w:rsidR="002B7524" w:rsidRPr="002B7524">
        <w:rPr>
          <w:lang w:val="en"/>
        </w:rPr>
        <w:t>, 20</w:t>
      </w:r>
      <w:r w:rsidR="00297020">
        <w:rPr>
          <w:lang w:val="en"/>
        </w:rPr>
        <w:t>10–</w:t>
      </w:r>
      <w:r w:rsidR="002B7524" w:rsidRPr="002B7524">
        <w:rPr>
          <w:lang w:val="en"/>
        </w:rPr>
        <w:t>11 to 20</w:t>
      </w:r>
      <w:r w:rsidR="00297020">
        <w:rPr>
          <w:lang w:val="en"/>
        </w:rPr>
        <w:t>21–</w:t>
      </w:r>
      <w:r w:rsidR="002B7524" w:rsidRPr="002B7524">
        <w:rPr>
          <w:lang w:val="en"/>
        </w:rPr>
        <w:t>22</w:t>
      </w:r>
    </w:p>
    <w:p w14:paraId="6D1F3495" w14:textId="4203D9DD" w:rsidR="00EC7EC7" w:rsidRPr="00AF7375" w:rsidRDefault="00AB5851" w:rsidP="00082213">
      <w:pPr>
        <w:keepNext/>
        <w:spacing w:after="60" w:line="240" w:lineRule="auto"/>
        <w:rPr>
          <w:rFonts w:eastAsia="Times New Roman" w:cs="Arial"/>
          <w:color w:val="005CAF"/>
          <w:sz w:val="16"/>
          <w:szCs w:val="20"/>
          <w:lang w:val="en"/>
        </w:rPr>
      </w:pPr>
      <w:r>
        <w:rPr>
          <w:noProof/>
        </w:rPr>
        <w:drawing>
          <wp:inline distT="0" distB="0" distL="0" distR="0" wp14:anchorId="7AB66E07" wp14:editId="579883DA">
            <wp:extent cx="4206875" cy="2543175"/>
            <wp:effectExtent l="0" t="0" r="3175" b="0"/>
            <wp:docPr id="17" name="Chart 17" descr="This figure presents the sectoral breakdown of gas use emissions in Australia from financial years 2010-11 to 2021-22. It indicates a modest reduction of 5.1% in the total emissions from gas use across various sectors, including electricity, residential and commercial buildings, manufacturing, transport, and mining, over this period. In 2021-22, the manufacturing sector was responsible for 39% of the total emissions, closely followed by the electricity sector at 38%, and residential and commercial buildings at 21%.">
              <a:extLst xmlns:a="http://schemas.openxmlformats.org/drawingml/2006/main">
                <a:ext uri="{FF2B5EF4-FFF2-40B4-BE49-F238E27FC236}">
                  <a16:creationId xmlns:a16="http://schemas.microsoft.com/office/drawing/2014/main" id="{3F51E67D-BF7A-46E8-BA83-41C59F990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13120BA" w14:textId="589DB8FD" w:rsidR="00EC7EC7" w:rsidRPr="00AF7375" w:rsidRDefault="00EC7EC7" w:rsidP="00932AAD">
      <w:pPr>
        <w:pStyle w:val="Source"/>
      </w:pPr>
      <w:r w:rsidRPr="00AF7375">
        <w:t>Notes: Gas use is AEMO consumption figures for electricity, industrial and residential and commercial sectors</w:t>
      </w:r>
      <w:r w:rsidR="00DE49E1">
        <w:t xml:space="preserve"> but</w:t>
      </w:r>
      <w:r w:rsidRPr="00AF7375">
        <w:t xml:space="preserve"> excludes the LNG sector. Emissions from electricity generated at mining sites is allocated to the electricity sector.</w:t>
      </w:r>
      <w:r w:rsidR="000A0C3E">
        <w:t xml:space="preserve"> For consistency with emissions projections, AEMO 2023 GSOO is used.</w:t>
      </w:r>
    </w:p>
    <w:p w14:paraId="5AE95713" w14:textId="739EDBEC" w:rsidR="00EC7EC7" w:rsidRPr="00AF7375" w:rsidRDefault="00EC7EC7" w:rsidP="00932AAD">
      <w:pPr>
        <w:pStyle w:val="Source"/>
      </w:pPr>
      <w:r w:rsidRPr="00AF7375">
        <w:t>Source:</w:t>
      </w:r>
      <w:r w:rsidR="00E7727B" w:rsidRPr="00E7727B">
        <w:t xml:space="preserve"> </w:t>
      </w:r>
      <w:r w:rsidR="00E7727B">
        <w:t xml:space="preserve">DISR </w:t>
      </w:r>
      <w:r w:rsidR="007A3493">
        <w:t xml:space="preserve">(unpublished b) </w:t>
      </w:r>
      <w:r w:rsidR="00E7727B">
        <w:t xml:space="preserve">analysis of </w:t>
      </w:r>
      <w:r w:rsidR="007A3493">
        <w:t xml:space="preserve">AEMO (2023b) and </w:t>
      </w:r>
      <w:r w:rsidR="00E7727B" w:rsidRPr="00AF7375">
        <w:t xml:space="preserve">DCCEEW </w:t>
      </w:r>
      <w:r w:rsidR="00E7727B">
        <w:t xml:space="preserve">data </w:t>
      </w:r>
      <w:r w:rsidR="00E7727B" w:rsidRPr="00AF7375">
        <w:t>(</w:t>
      </w:r>
      <w:r w:rsidR="007A3493">
        <w:t>Australia’s emissions</w:t>
      </w:r>
      <w:r w:rsidR="00E7727B">
        <w:t xml:space="preserve"> </w:t>
      </w:r>
      <w:r w:rsidR="007A3493">
        <w:t>p</w:t>
      </w:r>
      <w:r w:rsidR="00E7727B">
        <w:t>rojections dataset</w:t>
      </w:r>
      <w:r w:rsidR="00E7727B" w:rsidRPr="00AF7375">
        <w:t>)</w:t>
      </w:r>
    </w:p>
    <w:p w14:paraId="18E83A1F" w14:textId="77777777" w:rsidR="00EC7EC7" w:rsidRDefault="00EC7EC7" w:rsidP="00082213">
      <w:pPr>
        <w:pStyle w:val="Heading3"/>
      </w:pPr>
      <w:r>
        <w:t>Emissions projections for the supply and use of gas</w:t>
      </w:r>
    </w:p>
    <w:p w14:paraId="200A8497" w14:textId="634C6B09" w:rsidR="00EC7EC7" w:rsidRDefault="00EC7EC7" w:rsidP="00EC7EC7">
      <w:pPr>
        <w:pStyle w:val="BodyText"/>
      </w:pPr>
      <w:r w:rsidRPr="000E5094">
        <w:t>Emissions associated with natural gas are expected to continue to fall by 17% between 202</w:t>
      </w:r>
      <w:r w:rsidR="00C9568F">
        <w:t>1</w:t>
      </w:r>
      <w:r w:rsidR="00DB5745">
        <w:t>–</w:t>
      </w:r>
      <w:r w:rsidR="00C9568F">
        <w:t>2</w:t>
      </w:r>
      <w:r w:rsidRPr="000E5094">
        <w:t>2 and 203</w:t>
      </w:r>
      <w:r w:rsidR="00C9568F">
        <w:t>4-3</w:t>
      </w:r>
      <w:r w:rsidRPr="000E5094">
        <w:t>5, from 103 Mt of CO</w:t>
      </w:r>
      <w:r w:rsidRPr="004967E5">
        <w:rPr>
          <w:vertAlign w:val="subscript"/>
        </w:rPr>
        <w:t>2</w:t>
      </w:r>
      <w:r w:rsidRPr="000E5094">
        <w:t>-e to 85 Mt of CO</w:t>
      </w:r>
      <w:r w:rsidRPr="004967E5">
        <w:rPr>
          <w:vertAlign w:val="subscript"/>
        </w:rPr>
        <w:t>2</w:t>
      </w:r>
      <w:r w:rsidRPr="000E5094">
        <w:t xml:space="preserve">-e (Figure </w:t>
      </w:r>
      <w:r>
        <w:t>2</w:t>
      </w:r>
      <w:r w:rsidRPr="000E5094">
        <w:t>.</w:t>
      </w:r>
      <w:r w:rsidR="00BB7746">
        <w:t>3</w:t>
      </w:r>
      <w:r w:rsidRPr="000E5094">
        <w:t xml:space="preserve"> and Figure </w:t>
      </w:r>
      <w:r>
        <w:t>2</w:t>
      </w:r>
      <w:r w:rsidRPr="000E5094">
        <w:t>.4). Emissions from gas supply are expected to fall by 25% from 50 Mt CO</w:t>
      </w:r>
      <w:r w:rsidRPr="004967E5">
        <w:rPr>
          <w:vertAlign w:val="subscript"/>
        </w:rPr>
        <w:t>2</w:t>
      </w:r>
      <w:r w:rsidRPr="000E5094">
        <w:t>-e to 37 Mt of CO</w:t>
      </w:r>
      <w:r w:rsidRPr="004967E5">
        <w:rPr>
          <w:vertAlign w:val="subscript"/>
        </w:rPr>
        <w:t>2</w:t>
      </w:r>
      <w:r w:rsidR="00CE72EF" w:rsidRPr="000E5094">
        <w:t>-</w:t>
      </w:r>
      <w:r w:rsidRPr="000E5094">
        <w:t xml:space="preserve">e, </w:t>
      </w:r>
      <w:r w:rsidR="00082213" w:rsidRPr="000E5094">
        <w:t xml:space="preserve">driven </w:t>
      </w:r>
      <w:r w:rsidR="002D7FE3">
        <w:t xml:space="preserve">primarily </w:t>
      </w:r>
      <w:r w:rsidRPr="000E5094">
        <w:t xml:space="preserve">by the Safeguard Mechanism reforms. Emissions from gas use </w:t>
      </w:r>
      <w:r w:rsidR="00DD7B9E">
        <w:t xml:space="preserve">(the larger share) </w:t>
      </w:r>
      <w:r w:rsidRPr="000E5094">
        <w:t>are expected to fall by a more modest 8</w:t>
      </w:r>
      <w:r>
        <w:rPr>
          <w:b/>
          <w:bCs/>
        </w:rPr>
        <w:t>.</w:t>
      </w:r>
      <w:r w:rsidRPr="004967E5">
        <w:t>2</w:t>
      </w:r>
      <w:r w:rsidRPr="000E5094">
        <w:t>% from 52 Mt of CO</w:t>
      </w:r>
      <w:r w:rsidRPr="004967E5">
        <w:rPr>
          <w:vertAlign w:val="subscript"/>
        </w:rPr>
        <w:t>2</w:t>
      </w:r>
      <w:r w:rsidRPr="000E5094">
        <w:t>-e to 48 Mt of CO</w:t>
      </w:r>
      <w:r w:rsidRPr="004967E5">
        <w:rPr>
          <w:vertAlign w:val="subscript"/>
        </w:rPr>
        <w:t>2</w:t>
      </w:r>
      <w:r w:rsidRPr="000E5094">
        <w:t>-e.</w:t>
      </w:r>
    </w:p>
    <w:p w14:paraId="69ECEB91" w14:textId="2B3D7A19" w:rsidR="003729B6" w:rsidRDefault="003729B6" w:rsidP="003729B6">
      <w:pPr>
        <w:pStyle w:val="BodyText"/>
      </w:pPr>
      <w:r w:rsidRPr="004E7397">
        <w:t xml:space="preserve">The projected decline in emissions from gas supply is expected to be achieved by substantially lower fugitive and stationary emissions as facilities respond to the Safeguard </w:t>
      </w:r>
      <w:r w:rsidR="00CE72EF">
        <w:t xml:space="preserve">Mechanism </w:t>
      </w:r>
      <w:r w:rsidRPr="004E7397">
        <w:t>reforms. Fugitive emissions are projected to decline by 28% between 2022 and 2035, due to assumed efficiency</w:t>
      </w:r>
      <w:r w:rsidR="00CE72EF">
        <w:t xml:space="preserve"> gains</w:t>
      </w:r>
      <w:r w:rsidRPr="004E7397">
        <w:t xml:space="preserve">, flaring reduction, and </w:t>
      </w:r>
      <w:r>
        <w:t>CCUS</w:t>
      </w:r>
      <w:r w:rsidRPr="004E7397">
        <w:t xml:space="preserve"> projects at LNG facilities. </w:t>
      </w:r>
    </w:p>
    <w:p w14:paraId="5F28DAD4" w14:textId="77777777" w:rsidR="003729B6" w:rsidRDefault="003729B6" w:rsidP="00EC7EC7">
      <w:pPr>
        <w:pStyle w:val="BodyText"/>
        <w:rPr>
          <w:b/>
          <w:bCs/>
        </w:rPr>
      </w:pPr>
    </w:p>
    <w:p w14:paraId="4E8D59B7" w14:textId="35EE256E" w:rsidR="00EC7EC7" w:rsidRPr="00AF7375" w:rsidRDefault="00EC7EC7" w:rsidP="00C97679">
      <w:pPr>
        <w:pStyle w:val="Caption"/>
      </w:pPr>
      <w:r w:rsidRPr="00AF7375">
        <w:t xml:space="preserve">Figure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rsidRPr="00AF7375">
        <w:t>.</w:t>
      </w:r>
      <w:r w:rsidR="006877E8">
        <w:fldChar w:fldCharType="begin"/>
      </w:r>
      <w:r w:rsidR="006877E8">
        <w:rPr>
          <w:rFonts w:eastAsia="Times New Roman" w:cstheme="majorHAnsi"/>
          <w:szCs w:val="20"/>
          <w:lang w:val="en"/>
        </w:rPr>
        <w:instrText xml:space="preserve"> SEQ Figure \* ARABIC \s 1 </w:instrText>
      </w:r>
      <w:r w:rsidR="006877E8">
        <w:fldChar w:fldCharType="separate"/>
      </w:r>
      <w:r w:rsidR="00BF178A">
        <w:rPr>
          <w:rFonts w:eastAsia="Times New Roman" w:cstheme="majorHAnsi"/>
          <w:noProof/>
          <w:szCs w:val="20"/>
          <w:lang w:val="en"/>
        </w:rPr>
        <w:t>3</w:t>
      </w:r>
      <w:r w:rsidR="006877E8">
        <w:fldChar w:fldCharType="end"/>
      </w:r>
      <w:r w:rsidRPr="00AF7375">
        <w:t>: Gas emissions by sector and use, 201</w:t>
      </w:r>
      <w:r w:rsidR="0052610C">
        <w:t>4</w:t>
      </w:r>
      <w:r w:rsidR="00DB5745">
        <w:t>–</w:t>
      </w:r>
      <w:r w:rsidR="0052610C">
        <w:t>1</w:t>
      </w:r>
      <w:r w:rsidRPr="00AF7375">
        <w:t>5 to 203</w:t>
      </w:r>
      <w:r w:rsidR="0052610C">
        <w:t>4-3</w:t>
      </w:r>
      <w:r w:rsidRPr="00AF7375">
        <w:t>5</w:t>
      </w:r>
    </w:p>
    <w:p w14:paraId="1FB7988D" w14:textId="09C44E4A" w:rsidR="00EC7EC7" w:rsidRPr="00AF7375" w:rsidRDefault="000220BF" w:rsidP="00082213">
      <w:pPr>
        <w:spacing w:after="60" w:line="240" w:lineRule="auto"/>
        <w:rPr>
          <w:rFonts w:eastAsia="Times New Roman" w:cs="Arial"/>
          <w:color w:val="005CAF"/>
          <w:sz w:val="16"/>
          <w:szCs w:val="20"/>
          <w:lang w:val="en"/>
        </w:rPr>
      </w:pPr>
      <w:r>
        <w:rPr>
          <w:noProof/>
        </w:rPr>
        <w:drawing>
          <wp:inline distT="0" distB="0" distL="0" distR="0" wp14:anchorId="36E3F68D" wp14:editId="2DCE6E4D">
            <wp:extent cx="4206875" cy="2276475"/>
            <wp:effectExtent l="0" t="0" r="3175" b="0"/>
            <wp:docPr id="14" name="Chart 14" descr="This figure shows the historical and forecast gas emissions by sector and use from financial years 2014-15 to 2034-35. For historical data sources of emissions are broken down between gas supply and gas use, and for forecast data emissions are broken down between LNG extraction and production, domestic gas production and gas use. It projects a continued decline in total emissions associated with natural gas by 17% from 2022-23 to 2034-35, decreasing from 103 Mt of CO2-e to 85 Mt of CO2-e. Specifically, emissions from gas supply are anticipated to decrease by 25%, while emissions from gas usage are expected to see a more modest reduction of 8.2%.">
              <a:extLst xmlns:a="http://schemas.openxmlformats.org/drawingml/2006/main">
                <a:ext uri="{FF2B5EF4-FFF2-40B4-BE49-F238E27FC236}">
                  <a16:creationId xmlns:a16="http://schemas.microsoft.com/office/drawing/2014/main" id="{DD0C4D53-DCA4-40FC-AF05-0794CD761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AB5851">
        <w:rPr>
          <w:noProof/>
        </w:rPr>
        <mc:AlternateContent>
          <mc:Choice Requires="wps">
            <w:drawing>
              <wp:anchor distT="0" distB="0" distL="114300" distR="114300" simplePos="0" relativeHeight="251658241" behindDoc="0" locked="0" layoutInCell="1" allowOverlap="1" wp14:anchorId="34061868" wp14:editId="2C3D605B">
                <wp:simplePos x="0" y="0"/>
                <wp:positionH relativeFrom="column">
                  <wp:posOffset>1876425</wp:posOffset>
                </wp:positionH>
                <wp:positionV relativeFrom="paragraph">
                  <wp:posOffset>132715</wp:posOffset>
                </wp:positionV>
                <wp:extent cx="0" cy="1872000"/>
                <wp:effectExtent l="0" t="0" r="38100" b="3302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72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016D2" id="Straight Connector 18"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10.45pt" to="147.7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" strokecolor="#373737 [3213]">
                <v:stroke dashstyle="dash"/>
              </v:line>
            </w:pict>
          </mc:Fallback>
        </mc:AlternateContent>
      </w:r>
    </w:p>
    <w:p w14:paraId="61640F3F" w14:textId="5B4D8C98" w:rsidR="00EC7EC7" w:rsidRPr="00AF7375" w:rsidRDefault="00EC7EC7" w:rsidP="00932AAD">
      <w:pPr>
        <w:pStyle w:val="Source"/>
      </w:pPr>
      <w:r w:rsidRPr="00AF7375">
        <w:t xml:space="preserve">Notes: Emissions from LNG extraction and production include emissions from electricity, stationary energy (excluding </w:t>
      </w:r>
      <w:r w:rsidR="00CE72EF">
        <w:t>the</w:t>
      </w:r>
      <w:r w:rsidRPr="00AF7375">
        <w:t xml:space="preserve"> electricity sector) and fugitive emissions from gas.</w:t>
      </w:r>
    </w:p>
    <w:p w14:paraId="56A9BC4D" w14:textId="5A1659F2" w:rsidR="00EC7EC7" w:rsidRPr="00AF7375" w:rsidRDefault="00EC7EC7" w:rsidP="00932AAD">
      <w:pPr>
        <w:pStyle w:val="Source"/>
      </w:pPr>
      <w:r w:rsidRPr="00AF7375">
        <w:t xml:space="preserve">Source: </w:t>
      </w:r>
      <w:r w:rsidR="00E7727B">
        <w:t xml:space="preserve">DISR </w:t>
      </w:r>
      <w:r w:rsidR="00CF0853" w:rsidRPr="00CF0853">
        <w:t xml:space="preserve">(unpublished b) </w:t>
      </w:r>
      <w:r w:rsidR="00E7727B">
        <w:t xml:space="preserve">analysis of </w:t>
      </w:r>
      <w:r w:rsidR="00E7727B" w:rsidRPr="00AF7375">
        <w:t xml:space="preserve">DCCEEW </w:t>
      </w:r>
      <w:r w:rsidR="00E7727B">
        <w:t xml:space="preserve">data </w:t>
      </w:r>
      <w:r w:rsidR="00E7727B" w:rsidRPr="00AF7375">
        <w:t>(</w:t>
      </w:r>
      <w:r w:rsidR="00CF0853" w:rsidRPr="00CF0853">
        <w:t>Australia’s emissions projections</w:t>
      </w:r>
      <w:r w:rsidR="00E7727B">
        <w:t xml:space="preserve"> dataset</w:t>
      </w:r>
      <w:r w:rsidR="00E7727B" w:rsidRPr="00AF7375">
        <w:t>)</w:t>
      </w:r>
    </w:p>
    <w:p w14:paraId="2B56A82B" w14:textId="4A24F591" w:rsidR="00DD7B9E" w:rsidRDefault="00DD7B9E" w:rsidP="007C78D0">
      <w:pPr>
        <w:pStyle w:val="BodyText"/>
      </w:pPr>
      <w:r>
        <w:t>On-site s</w:t>
      </w:r>
      <w:r w:rsidR="009549FA" w:rsidRPr="004E7397">
        <w:t xml:space="preserve">tationary emissions </w:t>
      </w:r>
      <w:r>
        <w:t xml:space="preserve">for gas supply (which are covered by the </w:t>
      </w:r>
      <w:r w:rsidR="009033AB">
        <w:t>S</w:t>
      </w:r>
      <w:r>
        <w:t xml:space="preserve">afeguard </w:t>
      </w:r>
      <w:r w:rsidR="009033AB">
        <w:t>M</w:t>
      </w:r>
      <w:r>
        <w:t xml:space="preserve">echanism) </w:t>
      </w:r>
      <w:r w:rsidR="009549FA" w:rsidRPr="004E7397">
        <w:t>are projected to decline by 32% between 2022 and 2035, driven mainly by improvements in energy and process efficiency and the electrification of LNG compressors.</w:t>
      </w:r>
      <w:r>
        <w:t xml:space="preserve"> </w:t>
      </w:r>
      <w:r w:rsidR="009549FA" w:rsidRPr="004E7397">
        <w:t xml:space="preserve">The natural gas use that is avoided through electrification is </w:t>
      </w:r>
      <w:r>
        <w:t>a potential source</w:t>
      </w:r>
      <w:r w:rsidR="009549FA" w:rsidRPr="004E7397">
        <w:t xml:space="preserve"> of </w:t>
      </w:r>
      <w:r>
        <w:t>additional gas supply for alternative uses</w:t>
      </w:r>
      <w:r w:rsidR="00166CA4">
        <w:t>.</w:t>
      </w:r>
      <w:r w:rsidR="009549FA" w:rsidRPr="004E7397">
        <w:t xml:space="preserve"> </w:t>
      </w:r>
    </w:p>
    <w:p w14:paraId="5907DF89" w14:textId="11FCFB94" w:rsidR="009549FA" w:rsidRPr="009549FA" w:rsidRDefault="00DD7B9E" w:rsidP="007C78D0">
      <w:pPr>
        <w:pStyle w:val="BodyText"/>
      </w:pPr>
      <w:r>
        <w:t>E</w:t>
      </w:r>
      <w:r w:rsidR="009549FA" w:rsidRPr="00AF7375">
        <w:t>missions associated with the consumption of grid</w:t>
      </w:r>
      <w:r w:rsidR="00DE49E1">
        <w:t xml:space="preserve"> </w:t>
      </w:r>
      <w:r w:rsidR="009549FA" w:rsidRPr="00AF7375">
        <w:t xml:space="preserve">electricity </w:t>
      </w:r>
      <w:r>
        <w:t>for the purpose of gas supply</w:t>
      </w:r>
      <w:r w:rsidR="009549FA" w:rsidRPr="00AF7375">
        <w:t xml:space="preserve"> are projected to </w:t>
      </w:r>
      <w:r>
        <w:t>decline in line with declining</w:t>
      </w:r>
      <w:r w:rsidR="009549FA" w:rsidRPr="00AF7375">
        <w:t xml:space="preserve"> emissions in the</w:t>
      </w:r>
      <w:r w:rsidR="00310E76">
        <w:t xml:space="preserve"> east coast</w:t>
      </w:r>
      <w:r w:rsidR="009549FA" w:rsidRPr="00AF7375">
        <w:t xml:space="preserve"> </w:t>
      </w:r>
      <w:r w:rsidR="009549FA">
        <w:t>National Electricity Market (</w:t>
      </w:r>
      <w:r w:rsidR="009549FA" w:rsidRPr="00AF7375">
        <w:t>NEM</w:t>
      </w:r>
      <w:r w:rsidR="009549FA">
        <w:t>)</w:t>
      </w:r>
      <w:r w:rsidR="009549FA" w:rsidRPr="00AF7375">
        <w:t xml:space="preserve"> and </w:t>
      </w:r>
      <w:r w:rsidR="00310E76">
        <w:t xml:space="preserve">west coast </w:t>
      </w:r>
      <w:r w:rsidR="009549FA">
        <w:t>Wholesale Electricity Market (</w:t>
      </w:r>
      <w:r w:rsidR="009549FA" w:rsidRPr="00AF7375">
        <w:t>WEM</w:t>
      </w:r>
      <w:r w:rsidR="009549FA">
        <w:t>)</w:t>
      </w:r>
      <w:r w:rsidR="00DE49E1">
        <w:t>. These emissions will</w:t>
      </w:r>
      <w:r w:rsidR="009549FA" w:rsidRPr="00AF7375">
        <w:t xml:space="preserve"> be influenced by policies affecting the electricity sector – such as the 82% renewable electricity target – rather than the Safeguard Mechanism.</w:t>
      </w:r>
    </w:p>
    <w:p w14:paraId="15139131" w14:textId="4CAFC991" w:rsidR="003729B6" w:rsidRDefault="003729B6" w:rsidP="003729B6">
      <w:pPr>
        <w:spacing w:after="120"/>
        <w:rPr>
          <w:color w:val="373737"/>
          <w:sz w:val="20"/>
        </w:rPr>
      </w:pPr>
      <w:r w:rsidRPr="00AF7375">
        <w:rPr>
          <w:color w:val="373737"/>
          <w:sz w:val="20"/>
        </w:rPr>
        <w:t xml:space="preserve">The projected decline in emissions from gas use is largely in </w:t>
      </w:r>
      <w:r w:rsidR="00CE72EF">
        <w:rPr>
          <w:color w:val="373737"/>
          <w:sz w:val="20"/>
        </w:rPr>
        <w:t xml:space="preserve">the </w:t>
      </w:r>
      <w:r w:rsidRPr="00AF7375">
        <w:rPr>
          <w:color w:val="373737"/>
          <w:sz w:val="20"/>
        </w:rPr>
        <w:t>residential and commercial sectors (Figure 2.</w:t>
      </w:r>
      <w:r w:rsidR="00BB7746">
        <w:rPr>
          <w:color w:val="373737"/>
          <w:sz w:val="20"/>
        </w:rPr>
        <w:t>5</w:t>
      </w:r>
      <w:r w:rsidRPr="00AF7375">
        <w:rPr>
          <w:color w:val="373737"/>
          <w:sz w:val="20"/>
        </w:rPr>
        <w:t>)</w:t>
      </w:r>
      <w:r w:rsidR="00CE72EF">
        <w:rPr>
          <w:color w:val="373737"/>
          <w:sz w:val="20"/>
        </w:rPr>
        <w:t>,</w:t>
      </w:r>
      <w:r w:rsidRPr="00AF7375">
        <w:rPr>
          <w:color w:val="373737"/>
          <w:sz w:val="20"/>
        </w:rPr>
        <w:t xml:space="preserve"> driven by efficiency</w:t>
      </w:r>
      <w:r>
        <w:rPr>
          <w:color w:val="373737"/>
          <w:sz w:val="20"/>
        </w:rPr>
        <w:t xml:space="preserve"> improvements</w:t>
      </w:r>
      <w:r w:rsidRPr="00AF7375">
        <w:rPr>
          <w:color w:val="373737"/>
          <w:sz w:val="20"/>
        </w:rPr>
        <w:t xml:space="preserve"> and electrification. </w:t>
      </w:r>
      <w:r>
        <w:rPr>
          <w:color w:val="373737"/>
          <w:sz w:val="20"/>
        </w:rPr>
        <w:t xml:space="preserve">The electricity sector’s gas use is projected to increase from 2030 as electricity demand grows and gas provides firming and peaking supply (see Chapter 3). </w:t>
      </w:r>
    </w:p>
    <w:p w14:paraId="48A9BCB3" w14:textId="010FDEA4" w:rsidR="00EC7EC7" w:rsidRPr="00AF7375" w:rsidRDefault="00EC7EC7" w:rsidP="00C97679">
      <w:pPr>
        <w:pStyle w:val="Caption"/>
        <w:rPr>
          <w:lang w:val="en"/>
        </w:rPr>
      </w:pPr>
      <w:r w:rsidRPr="00AF7375">
        <w:t xml:space="preserve">Figure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t>.</w:t>
      </w:r>
      <w:r w:rsidR="00341B3B">
        <w:fldChar w:fldCharType="begin"/>
      </w:r>
      <w:r w:rsidR="00341B3B">
        <w:instrText xml:space="preserve"> SEQ Figure \* ARABIC \s 1 </w:instrText>
      </w:r>
      <w:r w:rsidR="00341B3B">
        <w:fldChar w:fldCharType="separate"/>
      </w:r>
      <w:r w:rsidR="00BF178A">
        <w:rPr>
          <w:noProof/>
        </w:rPr>
        <w:t>4</w:t>
      </w:r>
      <w:r w:rsidR="00341B3B">
        <w:rPr>
          <w:noProof/>
        </w:rPr>
        <w:fldChar w:fldCharType="end"/>
      </w:r>
      <w:r w:rsidRPr="00AF7375">
        <w:rPr>
          <w:lang w:val="en"/>
        </w:rPr>
        <w:t>: Contribution to emissions reductions, 202</w:t>
      </w:r>
      <w:r w:rsidR="00C9568F">
        <w:rPr>
          <w:lang w:val="en"/>
        </w:rPr>
        <w:t>1</w:t>
      </w:r>
      <w:r w:rsidR="00DB5745">
        <w:rPr>
          <w:lang w:val="en"/>
        </w:rPr>
        <w:t>–</w:t>
      </w:r>
      <w:r w:rsidR="00C9568F">
        <w:rPr>
          <w:lang w:val="en"/>
        </w:rPr>
        <w:t>2</w:t>
      </w:r>
      <w:r w:rsidRPr="00AF7375">
        <w:rPr>
          <w:lang w:val="en"/>
        </w:rPr>
        <w:t>2 to 203</w:t>
      </w:r>
      <w:r w:rsidR="00C9568F">
        <w:rPr>
          <w:lang w:val="en"/>
        </w:rPr>
        <w:t>4</w:t>
      </w:r>
      <w:r w:rsidR="00DB5745">
        <w:rPr>
          <w:lang w:val="en"/>
        </w:rPr>
        <w:t>–</w:t>
      </w:r>
      <w:r w:rsidR="00C9568F">
        <w:rPr>
          <w:lang w:val="en"/>
        </w:rPr>
        <w:t>3</w:t>
      </w:r>
      <w:r w:rsidRPr="00AF7375">
        <w:rPr>
          <w:lang w:val="en"/>
        </w:rPr>
        <w:t>5</w:t>
      </w:r>
    </w:p>
    <w:p w14:paraId="32B8F9FE" w14:textId="19BA2AC6" w:rsidR="00EC7EC7" w:rsidRPr="00AF7375" w:rsidRDefault="00AB5851" w:rsidP="00082213">
      <w:pPr>
        <w:keepNext/>
        <w:spacing w:after="60" w:line="240" w:lineRule="auto"/>
        <w:rPr>
          <w:rFonts w:eastAsia="Times New Roman" w:cs="Arial"/>
          <w:color w:val="005CAF"/>
          <w:sz w:val="16"/>
          <w:szCs w:val="20"/>
          <w:lang w:val="en"/>
        </w:rPr>
      </w:pPr>
      <w:r>
        <w:rPr>
          <w:noProof/>
        </w:rPr>
        <w:drawing>
          <wp:inline distT="0" distB="0" distL="0" distR="0" wp14:anchorId="09754901" wp14:editId="4BB5DDFC">
            <wp:extent cx="4206875" cy="2276475"/>
            <wp:effectExtent l="0" t="0" r="3175" b="0"/>
            <wp:docPr id="20" name="Chart 20" descr="The figure shows projected gas emission reductions from different sectors covering both gas supply and gas use in Australia from financial years 2021-22 to 2034-35. For gas supply, the stationary and fugitive emissions are projected to decline by the greatest volumes, decreasing by 12 MtCO2e. For gas use, the electricity and building sectors are expected to decrease by the most, with a combined reduction contribution of 4 MtCO2e. ">
              <a:extLst xmlns:a="http://schemas.openxmlformats.org/drawingml/2006/main">
                <a:ext uri="{FF2B5EF4-FFF2-40B4-BE49-F238E27FC236}">
                  <a16:creationId xmlns:a16="http://schemas.microsoft.com/office/drawing/2014/main" id="{DE6C11B9-F358-4435-9039-1646BAEF2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5B4C61" w14:textId="67C350BD" w:rsidR="00EC7EC7" w:rsidRPr="00AF7375" w:rsidRDefault="00EC7EC7" w:rsidP="00932AAD">
      <w:pPr>
        <w:pStyle w:val="Source"/>
      </w:pPr>
      <w:r w:rsidRPr="00AF7375">
        <w:t xml:space="preserve">Source: </w:t>
      </w:r>
      <w:r w:rsidR="00E7727B">
        <w:t xml:space="preserve">DISR </w:t>
      </w:r>
      <w:r w:rsidR="005C2B2F" w:rsidRPr="00CF0853">
        <w:t xml:space="preserve">(unpublished b) </w:t>
      </w:r>
      <w:r w:rsidR="00E7727B">
        <w:t xml:space="preserve">analysis of </w:t>
      </w:r>
      <w:r w:rsidR="00E7727B" w:rsidRPr="00AF7375">
        <w:t xml:space="preserve">DCCEEW </w:t>
      </w:r>
      <w:r w:rsidR="00E7727B">
        <w:t xml:space="preserve">data </w:t>
      </w:r>
      <w:r w:rsidR="00E7727B" w:rsidRPr="00AF7375">
        <w:t>(</w:t>
      </w:r>
      <w:r w:rsidR="005C2B2F" w:rsidRPr="00CF0853">
        <w:t>Australia’s emissions projections</w:t>
      </w:r>
      <w:r w:rsidR="00E7727B">
        <w:t xml:space="preserve"> dataset</w:t>
      </w:r>
      <w:r w:rsidR="005C2B2F" w:rsidRPr="00CF0853">
        <w:t>)</w:t>
      </w:r>
    </w:p>
    <w:p w14:paraId="328E0D8A" w14:textId="4D4FE232" w:rsidR="00EC7EC7" w:rsidRPr="00AF7375" w:rsidRDefault="00EC7EC7" w:rsidP="00C97679">
      <w:pPr>
        <w:pStyle w:val="Caption"/>
      </w:pPr>
      <w:bookmarkStart w:id="44" w:name="_Hlk156836512"/>
      <w:r w:rsidRPr="00AF7375">
        <w:t xml:space="preserve">Figure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rsidRPr="00AF7375">
        <w:t>.</w:t>
      </w:r>
      <w:r w:rsidR="006877E8">
        <w:fldChar w:fldCharType="begin"/>
      </w:r>
      <w:r w:rsidR="006877E8">
        <w:rPr>
          <w:rFonts w:eastAsia="Times New Roman" w:cstheme="majorHAnsi"/>
          <w:szCs w:val="20"/>
          <w:lang w:val="en"/>
        </w:rPr>
        <w:instrText xml:space="preserve"> SEQ Figure \* ARABIC \s 1 </w:instrText>
      </w:r>
      <w:r w:rsidR="006877E8">
        <w:fldChar w:fldCharType="separate"/>
      </w:r>
      <w:r w:rsidR="00BF178A">
        <w:rPr>
          <w:rFonts w:eastAsia="Times New Roman" w:cstheme="majorHAnsi"/>
          <w:noProof/>
          <w:szCs w:val="20"/>
          <w:lang w:val="en"/>
        </w:rPr>
        <w:t>5</w:t>
      </w:r>
      <w:r w:rsidR="006877E8">
        <w:fldChar w:fldCharType="end"/>
      </w:r>
      <w:r w:rsidRPr="00AF7375">
        <w:t xml:space="preserve">: Gas </w:t>
      </w:r>
      <w:r w:rsidR="00747836">
        <w:t xml:space="preserve">use </w:t>
      </w:r>
      <w:r w:rsidRPr="00AF7375">
        <w:t>emissions</w:t>
      </w:r>
      <w:r w:rsidR="00747836">
        <w:t xml:space="preserve"> and gas use</w:t>
      </w:r>
      <w:r w:rsidRPr="00AF7375">
        <w:t>, 202</w:t>
      </w:r>
      <w:r w:rsidR="0052610C">
        <w:t>2</w:t>
      </w:r>
      <w:r w:rsidR="00DB5745">
        <w:t>–</w:t>
      </w:r>
      <w:r w:rsidR="0052610C">
        <w:t>2</w:t>
      </w:r>
      <w:r w:rsidRPr="00AF7375">
        <w:t>3 to 203</w:t>
      </w:r>
      <w:r w:rsidR="0052610C">
        <w:t>4-3</w:t>
      </w:r>
      <w:r w:rsidRPr="00AF7375">
        <w:t>5</w:t>
      </w:r>
    </w:p>
    <w:bookmarkEnd w:id="44"/>
    <w:p w14:paraId="264183A6" w14:textId="1607A9BA" w:rsidR="00082213" w:rsidRPr="00AF7375" w:rsidRDefault="00AB5851" w:rsidP="00082213">
      <w:pPr>
        <w:keepNext/>
        <w:spacing w:after="60" w:line="240" w:lineRule="auto"/>
        <w:rPr>
          <w:rFonts w:eastAsia="Times New Roman" w:cs="Arial"/>
          <w:color w:val="005CAF"/>
          <w:sz w:val="16"/>
          <w:szCs w:val="20"/>
          <w:lang w:val="en"/>
        </w:rPr>
      </w:pPr>
      <w:r>
        <w:rPr>
          <w:noProof/>
        </w:rPr>
        <w:drawing>
          <wp:inline distT="0" distB="0" distL="0" distR="0" wp14:anchorId="177D919D" wp14:editId="2B5E9F78">
            <wp:extent cx="4206875" cy="2276475"/>
            <wp:effectExtent l="0" t="0" r="3175" b="0"/>
            <wp:docPr id="22" name="Chart 22" descr="This figure presents the projected sector-wise breakdown of gas use emissions in Australia from financial years 2022-23 to 2034-35. It shows that total emissions are expected to remain relatively stable at around 50 Mt CO2e/year during 2022-23 to 2034-35. Within this, emissions from electricity generation are expected to experience a modest increase while emissions from residential and commercial users are expected to decrease slightly during the same period. This coincides with a decrease in gas use of 200 PJ over the period.">
              <a:extLst xmlns:a="http://schemas.openxmlformats.org/drawingml/2006/main">
                <a:ext uri="{FF2B5EF4-FFF2-40B4-BE49-F238E27FC236}">
                  <a16:creationId xmlns:a16="http://schemas.microsoft.com/office/drawing/2014/main" id="{7C094B34-A5EF-4FE3-9FF1-A79C35632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642B61" w14:textId="71D8968D" w:rsidR="00082213" w:rsidRPr="00AF7375" w:rsidRDefault="00082213" w:rsidP="00932AAD">
      <w:pPr>
        <w:pStyle w:val="Source"/>
      </w:pPr>
      <w:r w:rsidRPr="00AF7375">
        <w:t xml:space="preserve">Notes: Gas </w:t>
      </w:r>
      <w:r w:rsidR="00747836">
        <w:t xml:space="preserve">use </w:t>
      </w:r>
      <w:r w:rsidRPr="00AF7375">
        <w:t>projections from AEMO’s orchestrated step change scenario, which is used in DCCEEW’s emissions projections.</w:t>
      </w:r>
    </w:p>
    <w:p w14:paraId="2FE10B4B" w14:textId="513CE7F7" w:rsidR="00082213" w:rsidRPr="00AF7375" w:rsidRDefault="00082213" w:rsidP="00932AAD">
      <w:pPr>
        <w:pStyle w:val="Source"/>
      </w:pPr>
      <w:r w:rsidRPr="00AF7375">
        <w:t>Source:</w:t>
      </w:r>
      <w:r w:rsidRPr="00AF7375" w:rsidDel="00AD31FE">
        <w:t xml:space="preserve"> </w:t>
      </w:r>
      <w:r w:rsidR="00AD31FE">
        <w:t xml:space="preserve">DISR </w:t>
      </w:r>
      <w:r w:rsidR="005C2B2F">
        <w:t xml:space="preserve">(unpublished b) </w:t>
      </w:r>
      <w:r w:rsidR="00AD31FE">
        <w:t xml:space="preserve">analysis of </w:t>
      </w:r>
      <w:r w:rsidR="005C2B2F">
        <w:t xml:space="preserve">AEMO (2023b) and </w:t>
      </w:r>
      <w:r w:rsidR="00AD31FE" w:rsidRPr="00AF7375">
        <w:t xml:space="preserve">DCCEEW </w:t>
      </w:r>
      <w:r w:rsidR="00AD31FE">
        <w:t xml:space="preserve">data </w:t>
      </w:r>
      <w:r w:rsidR="00AD31FE" w:rsidRPr="00AF7375">
        <w:t>(</w:t>
      </w:r>
      <w:r w:rsidR="005C2B2F">
        <w:t>Australia’s emissions projections</w:t>
      </w:r>
      <w:r w:rsidR="00AD31FE">
        <w:t xml:space="preserve"> dataset</w:t>
      </w:r>
      <w:r w:rsidR="00AD31FE" w:rsidRPr="00AF7375">
        <w:t>)</w:t>
      </w:r>
    </w:p>
    <w:p w14:paraId="736C1C80" w14:textId="1E48085C" w:rsidR="002F5831" w:rsidRPr="00AF7375" w:rsidRDefault="002F5831" w:rsidP="009033AB">
      <w:pPr>
        <w:pStyle w:val="Heading3"/>
      </w:pPr>
      <w:bookmarkStart w:id="45" w:name="_Hlk161238935"/>
      <w:bookmarkStart w:id="46" w:name="_Hlk161237759"/>
      <w:r>
        <w:t>Uncertainty in emissions projections</w:t>
      </w:r>
      <w:r w:rsidR="00DB02B7">
        <w:t xml:space="preserve"> and </w:t>
      </w:r>
      <w:r w:rsidR="0043421D">
        <w:t xml:space="preserve">hitting 2030 </w:t>
      </w:r>
      <w:r w:rsidR="00DB02B7">
        <w:t>emissions targets</w:t>
      </w:r>
    </w:p>
    <w:p w14:paraId="188E06EE" w14:textId="36BB00F3" w:rsidR="00DB02B7" w:rsidRDefault="00DB02B7" w:rsidP="00082213">
      <w:pPr>
        <w:spacing w:after="120"/>
        <w:rPr>
          <w:color w:val="373737"/>
          <w:sz w:val="20"/>
        </w:rPr>
      </w:pPr>
      <w:r>
        <w:rPr>
          <w:color w:val="373737"/>
          <w:sz w:val="20"/>
        </w:rPr>
        <w:t>Australia has committed to reducing emissions by 43% by 2030</w:t>
      </w:r>
      <w:r w:rsidR="00324ECB">
        <w:rPr>
          <w:color w:val="373737"/>
          <w:sz w:val="20"/>
        </w:rPr>
        <w:t xml:space="preserve"> on 2005 levels and to achieve net zero emissions by 2050.</w:t>
      </w:r>
      <w:r>
        <w:rPr>
          <w:color w:val="373737"/>
          <w:sz w:val="20"/>
        </w:rPr>
        <w:t xml:space="preserve"> </w:t>
      </w:r>
      <w:r w:rsidR="000A0C3E">
        <w:rPr>
          <w:color w:val="373737"/>
          <w:sz w:val="20"/>
        </w:rPr>
        <w:t xml:space="preserve">Australia is making progress towards meeting </w:t>
      </w:r>
      <w:r w:rsidR="0083225B">
        <w:rPr>
          <w:color w:val="373737"/>
          <w:sz w:val="20"/>
        </w:rPr>
        <w:t xml:space="preserve">this target </w:t>
      </w:r>
      <w:r w:rsidR="00E715B7">
        <w:rPr>
          <w:color w:val="373737"/>
          <w:sz w:val="20"/>
        </w:rPr>
        <w:t>(</w:t>
      </w:r>
      <w:r w:rsidR="000A0C3E">
        <w:rPr>
          <w:color w:val="373737"/>
          <w:sz w:val="20"/>
        </w:rPr>
        <w:t>DCCEEW 2023</w:t>
      </w:r>
      <w:r w:rsidR="00861D12">
        <w:rPr>
          <w:color w:val="373737"/>
          <w:sz w:val="20"/>
        </w:rPr>
        <w:t>a</w:t>
      </w:r>
      <w:r w:rsidR="00E715B7">
        <w:rPr>
          <w:color w:val="373737"/>
          <w:sz w:val="20"/>
        </w:rPr>
        <w:t>)</w:t>
      </w:r>
      <w:r>
        <w:rPr>
          <w:color w:val="373737"/>
          <w:sz w:val="20"/>
        </w:rPr>
        <w:t xml:space="preserve">. </w:t>
      </w:r>
      <w:r w:rsidR="008173AB" w:rsidRPr="008173AB">
        <w:t xml:space="preserve"> </w:t>
      </w:r>
      <w:r w:rsidR="008173AB" w:rsidRPr="008173AB">
        <w:rPr>
          <w:color w:val="373737"/>
          <w:sz w:val="20"/>
        </w:rPr>
        <w:t xml:space="preserve">This progress should be seen as part of continued efforts to get, and keep, Australia on a pathway to achieve net zero emissions by 2050. </w:t>
      </w:r>
      <w:r>
        <w:rPr>
          <w:color w:val="373737"/>
          <w:sz w:val="20"/>
        </w:rPr>
        <w:t>However, e</w:t>
      </w:r>
      <w:r w:rsidR="00082213" w:rsidRPr="00AF7375">
        <w:rPr>
          <w:color w:val="373737"/>
          <w:sz w:val="20"/>
        </w:rPr>
        <w:t xml:space="preserve">missions projections are inherently uncertain. </w:t>
      </w:r>
      <w:r>
        <w:rPr>
          <w:color w:val="373737"/>
          <w:sz w:val="20"/>
        </w:rPr>
        <w:t>The projections assume action by gas producers and users in line with current incentives to decarbonise</w:t>
      </w:r>
      <w:r w:rsidR="00E715B7">
        <w:rPr>
          <w:color w:val="373737"/>
          <w:sz w:val="20"/>
        </w:rPr>
        <w:t xml:space="preserve">, </w:t>
      </w:r>
      <w:r w:rsidR="00076DAA">
        <w:rPr>
          <w:color w:val="373737"/>
          <w:sz w:val="20"/>
        </w:rPr>
        <w:t xml:space="preserve">including </w:t>
      </w:r>
      <w:r w:rsidR="00E715B7">
        <w:rPr>
          <w:color w:val="373737"/>
          <w:sz w:val="20"/>
        </w:rPr>
        <w:t xml:space="preserve">actions that </w:t>
      </w:r>
      <w:r w:rsidR="00076DAA">
        <w:rPr>
          <w:color w:val="373737"/>
          <w:sz w:val="20"/>
        </w:rPr>
        <w:t xml:space="preserve">facilities have indicated they are considering though </w:t>
      </w:r>
      <w:r w:rsidR="00E715B7">
        <w:rPr>
          <w:color w:val="373737"/>
          <w:sz w:val="20"/>
        </w:rPr>
        <w:t xml:space="preserve">are not </w:t>
      </w:r>
      <w:r w:rsidR="002E4407">
        <w:rPr>
          <w:color w:val="373737"/>
          <w:sz w:val="20"/>
        </w:rPr>
        <w:t>necessarily</w:t>
      </w:r>
      <w:r w:rsidR="00E715B7">
        <w:rPr>
          <w:color w:val="373737"/>
          <w:sz w:val="20"/>
        </w:rPr>
        <w:t xml:space="preserve"> committed</w:t>
      </w:r>
      <w:r w:rsidR="00076DAA">
        <w:rPr>
          <w:color w:val="373737"/>
          <w:sz w:val="20"/>
        </w:rPr>
        <w:t xml:space="preserve"> to at this time</w:t>
      </w:r>
      <w:r w:rsidR="00E715B7">
        <w:rPr>
          <w:color w:val="373737"/>
          <w:sz w:val="20"/>
        </w:rPr>
        <w:t xml:space="preserve">. </w:t>
      </w:r>
      <w:r w:rsidR="002E4407">
        <w:rPr>
          <w:color w:val="373737"/>
          <w:sz w:val="20"/>
        </w:rPr>
        <w:t xml:space="preserve">Action must continue to be taken to </w:t>
      </w:r>
      <w:r w:rsidR="00076DAA">
        <w:rPr>
          <w:color w:val="373737"/>
          <w:sz w:val="20"/>
        </w:rPr>
        <w:t>meet</w:t>
      </w:r>
      <w:r w:rsidR="002E4407">
        <w:rPr>
          <w:color w:val="373737"/>
          <w:sz w:val="20"/>
        </w:rPr>
        <w:t xml:space="preserve"> Australia’s </w:t>
      </w:r>
      <w:r w:rsidR="00076DAA">
        <w:rPr>
          <w:color w:val="373737"/>
          <w:sz w:val="20"/>
        </w:rPr>
        <w:t xml:space="preserve">emission reduction </w:t>
      </w:r>
      <w:r w:rsidR="002E4407">
        <w:rPr>
          <w:color w:val="373737"/>
          <w:sz w:val="20"/>
        </w:rPr>
        <w:t>targets.</w:t>
      </w:r>
    </w:p>
    <w:p w14:paraId="08DDEACB" w14:textId="1D382D6E" w:rsidR="00082213" w:rsidRPr="00AF7375" w:rsidRDefault="008E6426" w:rsidP="00082213">
      <w:pPr>
        <w:spacing w:after="120"/>
        <w:rPr>
          <w:color w:val="373737"/>
          <w:sz w:val="20"/>
        </w:rPr>
      </w:pPr>
      <w:r>
        <w:rPr>
          <w:color w:val="373737"/>
          <w:sz w:val="20"/>
        </w:rPr>
        <w:t>The u</w:t>
      </w:r>
      <w:r w:rsidR="00E715B7">
        <w:rPr>
          <w:color w:val="373737"/>
          <w:sz w:val="20"/>
        </w:rPr>
        <w:t xml:space="preserve">ncertainty </w:t>
      </w:r>
      <w:r>
        <w:rPr>
          <w:color w:val="373737"/>
          <w:sz w:val="20"/>
        </w:rPr>
        <w:t xml:space="preserve">surrounding emissions projections </w:t>
      </w:r>
      <w:r w:rsidR="00E715B7">
        <w:rPr>
          <w:color w:val="373737"/>
          <w:sz w:val="20"/>
        </w:rPr>
        <w:t xml:space="preserve">comes in many forms. </w:t>
      </w:r>
      <w:r w:rsidR="00082213" w:rsidRPr="00AF7375">
        <w:rPr>
          <w:color w:val="373737"/>
          <w:sz w:val="20"/>
        </w:rPr>
        <w:t xml:space="preserve">Emissions </w:t>
      </w:r>
      <w:r w:rsidR="00082213">
        <w:rPr>
          <w:color w:val="373737"/>
          <w:sz w:val="20"/>
        </w:rPr>
        <w:t>c</w:t>
      </w:r>
      <w:r w:rsidR="00082213" w:rsidRPr="00AF7375">
        <w:rPr>
          <w:color w:val="373737"/>
          <w:sz w:val="20"/>
        </w:rPr>
        <w:t xml:space="preserve">ould fall more than expected due to lower gas demand and supply, or from lower emissions intensity of gas consumption and production. They may </w:t>
      </w:r>
      <w:r>
        <w:rPr>
          <w:color w:val="373737"/>
          <w:sz w:val="20"/>
        </w:rPr>
        <w:t xml:space="preserve">also fall faster than expected due to </w:t>
      </w:r>
      <w:r w:rsidR="00082213" w:rsidRPr="00AF7375">
        <w:rPr>
          <w:color w:val="373737"/>
          <w:sz w:val="20"/>
        </w:rPr>
        <w:t xml:space="preserve">technological advances that reduce the cost of existing abatement technologies or </w:t>
      </w:r>
      <w:r w:rsidR="00272FB1">
        <w:rPr>
          <w:color w:val="373737"/>
          <w:sz w:val="20"/>
        </w:rPr>
        <w:t xml:space="preserve">create </w:t>
      </w:r>
      <w:r w:rsidR="00082213" w:rsidRPr="00AF7375">
        <w:rPr>
          <w:color w:val="373737"/>
          <w:sz w:val="20"/>
        </w:rPr>
        <w:t xml:space="preserve">new </w:t>
      </w:r>
      <w:r>
        <w:rPr>
          <w:color w:val="373737"/>
          <w:sz w:val="20"/>
        </w:rPr>
        <w:t xml:space="preserve">unanticipated </w:t>
      </w:r>
      <w:r w:rsidR="00082213" w:rsidRPr="00AF7375">
        <w:rPr>
          <w:color w:val="373737"/>
          <w:sz w:val="20"/>
        </w:rPr>
        <w:t xml:space="preserve">methods of reducing or abating emissions. </w:t>
      </w:r>
      <w:r w:rsidR="00E715B7">
        <w:rPr>
          <w:color w:val="373737"/>
          <w:sz w:val="20"/>
        </w:rPr>
        <w:t>Alternatively, e</w:t>
      </w:r>
      <w:r w:rsidR="00082213" w:rsidRPr="00AF7375">
        <w:rPr>
          <w:color w:val="373737"/>
          <w:sz w:val="20"/>
        </w:rPr>
        <w:t>missions may be higher than expected due to slow</w:t>
      </w:r>
      <w:r>
        <w:rPr>
          <w:color w:val="373737"/>
          <w:sz w:val="20"/>
        </w:rPr>
        <w:t>er-than-expected</w:t>
      </w:r>
      <w:r w:rsidR="00082213" w:rsidRPr="00AF7375">
        <w:rPr>
          <w:color w:val="373737"/>
          <w:sz w:val="20"/>
        </w:rPr>
        <w:t xml:space="preserve"> adoption of abatement technologies, slow</w:t>
      </w:r>
      <w:r>
        <w:rPr>
          <w:color w:val="373737"/>
          <w:sz w:val="20"/>
        </w:rPr>
        <w:t>er-than-expected</w:t>
      </w:r>
      <w:r w:rsidR="00082213" w:rsidRPr="00AF7375">
        <w:rPr>
          <w:color w:val="373737"/>
          <w:sz w:val="20"/>
        </w:rPr>
        <w:t xml:space="preserve"> development of commercially viable substitute technologies, greater-than-expected Australian gas production </w:t>
      </w:r>
      <w:r w:rsidR="00272FB1">
        <w:rPr>
          <w:color w:val="373737"/>
          <w:sz w:val="20"/>
        </w:rPr>
        <w:t xml:space="preserve">or </w:t>
      </w:r>
      <w:r w:rsidR="00082213" w:rsidRPr="00AF7375">
        <w:rPr>
          <w:color w:val="373737"/>
          <w:sz w:val="20"/>
        </w:rPr>
        <w:t xml:space="preserve">higher </w:t>
      </w:r>
      <w:r w:rsidR="00272FB1">
        <w:rPr>
          <w:color w:val="373737"/>
          <w:sz w:val="20"/>
        </w:rPr>
        <w:t>than expected</w:t>
      </w:r>
      <w:r w:rsidR="00082213" w:rsidRPr="00AF7375">
        <w:rPr>
          <w:color w:val="373737"/>
          <w:sz w:val="20"/>
        </w:rPr>
        <w:t xml:space="preserve"> domestic demand for gas.</w:t>
      </w:r>
      <w:bookmarkEnd w:id="45"/>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082213" w:rsidRPr="00AF7375" w14:paraId="4515B9D3" w14:textId="77777777" w:rsidTr="00D81BB3">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44853381" w14:textId="2C9BECAE" w:rsidR="00082213" w:rsidRPr="009033AB" w:rsidRDefault="00082213" w:rsidP="00C50D71">
            <w:pPr>
              <w:widowControl w:val="0"/>
              <w:spacing w:beforeLines="60" w:before="144" w:afterLines="60" w:after="144"/>
              <w:ind w:left="113" w:right="113"/>
              <w:jc w:val="both"/>
              <w:rPr>
                <w:sz w:val="20"/>
              </w:rPr>
            </w:pPr>
            <w:bookmarkStart w:id="47" w:name="_Hlk161237788"/>
            <w:bookmarkEnd w:id="46"/>
            <w:r w:rsidRPr="00AF7375">
              <w:rPr>
                <w:rFonts w:eastAsia="Times New Roman" w:cs="Arial"/>
                <w:b/>
                <w:bCs/>
                <w:color w:val="auto"/>
                <w:sz w:val="20"/>
                <w:szCs w:val="18"/>
                <w:lang w:val="en"/>
              </w:rPr>
              <w:t xml:space="preserve">Insight: </w:t>
            </w:r>
            <w:r w:rsidR="00DB02B7" w:rsidRPr="002214A5">
              <w:rPr>
                <w:rFonts w:eastAsia="Times New Roman" w:cs="Arial"/>
                <w:color w:val="auto"/>
                <w:sz w:val="20"/>
                <w:szCs w:val="18"/>
                <w:lang w:val="en"/>
              </w:rPr>
              <w:t>Australia has committed to reducing emissions by 43% by 2030</w:t>
            </w:r>
            <w:r w:rsidR="00076DAA" w:rsidRPr="002214A5">
              <w:rPr>
                <w:rFonts w:eastAsia="Times New Roman" w:cs="Arial"/>
                <w:color w:val="auto"/>
                <w:sz w:val="20"/>
                <w:szCs w:val="18"/>
                <w:lang w:val="en"/>
              </w:rPr>
              <w:t xml:space="preserve"> on 2005 levels and to achieve net zero emissions by 2050</w:t>
            </w:r>
            <w:r w:rsidR="008B7A95" w:rsidRPr="002214A5">
              <w:rPr>
                <w:rFonts w:eastAsia="Times New Roman" w:cs="Arial"/>
                <w:color w:val="auto"/>
                <w:sz w:val="20"/>
                <w:szCs w:val="18"/>
                <w:lang w:val="en"/>
              </w:rPr>
              <w:t xml:space="preserve"> (DCCEEW 2023</w:t>
            </w:r>
            <w:r w:rsidR="00076DAA" w:rsidRPr="002214A5">
              <w:rPr>
                <w:rFonts w:eastAsia="Times New Roman" w:cs="Arial"/>
                <w:color w:val="auto"/>
                <w:sz w:val="20"/>
                <w:szCs w:val="18"/>
                <w:lang w:val="en"/>
              </w:rPr>
              <w:t>; DCCEEW 2024</w:t>
            </w:r>
            <w:r w:rsidR="008B7A95" w:rsidRPr="002214A5">
              <w:rPr>
                <w:rFonts w:eastAsia="Times New Roman" w:cs="Arial"/>
                <w:color w:val="auto"/>
                <w:sz w:val="20"/>
                <w:szCs w:val="18"/>
                <w:lang w:val="en"/>
              </w:rPr>
              <w:t>).</w:t>
            </w:r>
            <w:r w:rsidR="00DB02B7" w:rsidRPr="002214A5">
              <w:rPr>
                <w:rFonts w:eastAsia="Times New Roman" w:cs="Arial"/>
                <w:color w:val="auto"/>
                <w:sz w:val="20"/>
                <w:szCs w:val="18"/>
                <w:lang w:val="en"/>
              </w:rPr>
              <w:t xml:space="preserve"> </w:t>
            </w:r>
            <w:r w:rsidR="00076DAA" w:rsidRPr="002214A5">
              <w:rPr>
                <w:rFonts w:eastAsia="Times New Roman" w:cs="Arial"/>
                <w:color w:val="auto"/>
                <w:sz w:val="20"/>
                <w:szCs w:val="18"/>
                <w:lang w:val="en"/>
              </w:rPr>
              <w:t>To meet Australia’s emission reduction targets,</w:t>
            </w:r>
            <w:r w:rsidR="00E715B7" w:rsidRPr="002214A5">
              <w:rPr>
                <w:rFonts w:eastAsia="Times New Roman" w:cs="Arial"/>
                <w:color w:val="auto"/>
                <w:sz w:val="20"/>
                <w:szCs w:val="18"/>
                <w:lang w:val="en"/>
              </w:rPr>
              <w:t xml:space="preserve"> continued action to reduce emissions by gas suppliers and users</w:t>
            </w:r>
            <w:r w:rsidR="00076DAA" w:rsidRPr="002214A5">
              <w:rPr>
                <w:rFonts w:eastAsia="Times New Roman" w:cs="Arial"/>
                <w:color w:val="auto"/>
                <w:sz w:val="20"/>
                <w:szCs w:val="18"/>
                <w:lang w:val="en"/>
              </w:rPr>
              <w:t xml:space="preserve"> is needed</w:t>
            </w:r>
            <w:r w:rsidR="00DB02B7" w:rsidRPr="002214A5">
              <w:rPr>
                <w:rFonts w:eastAsia="Times New Roman" w:cs="Arial"/>
                <w:color w:val="auto"/>
                <w:sz w:val="20"/>
                <w:szCs w:val="18"/>
                <w:lang w:val="en"/>
              </w:rPr>
              <w:t xml:space="preserve">. </w:t>
            </w:r>
            <w:r w:rsidR="0001702F" w:rsidRPr="002214A5">
              <w:rPr>
                <w:rFonts w:eastAsia="Times New Roman" w:cs="Arial"/>
                <w:color w:val="auto"/>
                <w:sz w:val="20"/>
                <w:szCs w:val="18"/>
                <w:lang w:val="en"/>
              </w:rPr>
              <w:t>T</w:t>
            </w:r>
            <w:r w:rsidR="00E715B7" w:rsidRPr="00AF7375">
              <w:rPr>
                <w:rFonts w:eastAsia="Times New Roman" w:cs="Arial"/>
                <w:color w:val="auto"/>
                <w:sz w:val="20"/>
                <w:szCs w:val="18"/>
                <w:lang w:val="en"/>
              </w:rPr>
              <w:t xml:space="preserve">here </w:t>
            </w:r>
            <w:r w:rsidR="00E715B7">
              <w:rPr>
                <w:rFonts w:eastAsia="Times New Roman" w:cs="Arial"/>
                <w:color w:val="auto"/>
                <w:sz w:val="20"/>
                <w:szCs w:val="18"/>
                <w:lang w:val="en"/>
              </w:rPr>
              <w:t xml:space="preserve">are </w:t>
            </w:r>
            <w:r w:rsidR="00E715B7" w:rsidRPr="00AF7375">
              <w:rPr>
                <w:rFonts w:eastAsia="Times New Roman" w:cs="Arial"/>
                <w:color w:val="auto"/>
                <w:sz w:val="20"/>
                <w:szCs w:val="18"/>
                <w:lang w:val="en"/>
              </w:rPr>
              <w:t>upside risks if emissions reduction activities occur more slowly than currently projected</w:t>
            </w:r>
            <w:r w:rsidR="00E715B7">
              <w:rPr>
                <w:rFonts w:eastAsia="Times New Roman" w:cs="Arial"/>
                <w:color w:val="auto"/>
                <w:sz w:val="20"/>
                <w:szCs w:val="18"/>
                <w:lang w:val="en"/>
              </w:rPr>
              <w:t>.</w:t>
            </w:r>
          </w:p>
        </w:tc>
      </w:tr>
    </w:tbl>
    <w:p w14:paraId="7C717B9D" w14:textId="73DB0D95" w:rsidR="00DB02B7" w:rsidRDefault="00EC7EC7" w:rsidP="00082213">
      <w:pPr>
        <w:spacing w:before="120" w:after="120"/>
        <w:rPr>
          <w:color w:val="373737"/>
          <w:sz w:val="20"/>
        </w:rPr>
      </w:pPr>
      <w:bookmarkStart w:id="48" w:name="_Hlk161238960"/>
      <w:r w:rsidRPr="00AF7375">
        <w:rPr>
          <w:color w:val="373737"/>
          <w:sz w:val="20"/>
        </w:rPr>
        <w:t xml:space="preserve">The </w:t>
      </w:r>
      <w:r w:rsidR="00DB02B7">
        <w:rPr>
          <w:color w:val="373737"/>
          <w:sz w:val="20"/>
        </w:rPr>
        <w:t>assumed actions of gas suppliers and users underpinning the</w:t>
      </w:r>
      <w:r w:rsidRPr="00AF7375">
        <w:rPr>
          <w:color w:val="373737"/>
          <w:sz w:val="20"/>
        </w:rPr>
        <w:t xml:space="preserve"> emissions projections broadly align with insights from the Future Gas Strategy consultation process. </w:t>
      </w:r>
      <w:r w:rsidR="00E715B7">
        <w:rPr>
          <w:color w:val="373737"/>
          <w:sz w:val="20"/>
        </w:rPr>
        <w:t>However, there remain upside risks if emission reductions activity do</w:t>
      </w:r>
      <w:r w:rsidR="005A7881">
        <w:rPr>
          <w:color w:val="373737"/>
          <w:sz w:val="20"/>
        </w:rPr>
        <w:t>es</w:t>
      </w:r>
      <w:r w:rsidR="00E715B7">
        <w:rPr>
          <w:color w:val="373737"/>
          <w:sz w:val="20"/>
        </w:rPr>
        <w:t xml:space="preserve"> not continue apace</w:t>
      </w:r>
      <w:r w:rsidR="008C5070">
        <w:rPr>
          <w:color w:val="373737"/>
          <w:sz w:val="20"/>
        </w:rPr>
        <w:t xml:space="preserve"> – supply side emission reduction options are considered in more detail below in Section 2.2</w:t>
      </w:r>
      <w:r w:rsidR="00E715B7">
        <w:rPr>
          <w:color w:val="373737"/>
          <w:sz w:val="20"/>
        </w:rPr>
        <w:t>.</w:t>
      </w:r>
    </w:p>
    <w:p w14:paraId="0D420AFD" w14:textId="64DB4288" w:rsidR="00EC7EC7" w:rsidRPr="00AF7375" w:rsidRDefault="00082213" w:rsidP="00082213">
      <w:pPr>
        <w:spacing w:before="120" w:after="120"/>
        <w:rPr>
          <w:color w:val="373737"/>
          <w:sz w:val="20"/>
        </w:rPr>
      </w:pPr>
      <w:r w:rsidRPr="00AF7375">
        <w:rPr>
          <w:color w:val="373737"/>
          <w:sz w:val="20"/>
        </w:rPr>
        <w:t>In</w:t>
      </w:r>
      <w:r w:rsidR="00032E91" w:rsidRPr="00AF7375">
        <w:rPr>
          <w:color w:val="373737"/>
          <w:sz w:val="20"/>
        </w:rPr>
        <w:t xml:space="preserve"> </w:t>
      </w:r>
      <w:r w:rsidR="00EC7EC7" w:rsidRPr="00AF7375">
        <w:rPr>
          <w:color w:val="373737"/>
          <w:sz w:val="20"/>
        </w:rPr>
        <w:t xml:space="preserve">consultations, gas and LNG operators highlighted the need to decarbonise at least cost with maximum effect, and emphasised the role that renewable gases can play in decarbonisation. </w:t>
      </w:r>
      <w:bookmarkEnd w:id="48"/>
      <w:r w:rsidR="002F5831">
        <w:rPr>
          <w:color w:val="373737"/>
          <w:sz w:val="20"/>
        </w:rPr>
        <w:t>Consultation with both the gas industry and very large industrial users of gas</w:t>
      </w:r>
      <w:r w:rsidR="002F5831" w:rsidRPr="00AF7375">
        <w:rPr>
          <w:color w:val="373737"/>
          <w:sz w:val="20"/>
        </w:rPr>
        <w:t xml:space="preserve"> </w:t>
      </w:r>
      <w:r w:rsidR="00EC7EC7" w:rsidRPr="00AF7375">
        <w:rPr>
          <w:color w:val="373737"/>
          <w:sz w:val="20"/>
        </w:rPr>
        <w:t>also highlighted CCUS as a practical pathway for reducing CO</w:t>
      </w:r>
      <w:r w:rsidR="00EC7EC7" w:rsidRPr="00320CFB">
        <w:rPr>
          <w:color w:val="373737"/>
          <w:sz w:val="20"/>
          <w:vertAlign w:val="subscript"/>
        </w:rPr>
        <w:t>2</w:t>
      </w:r>
      <w:r w:rsidR="00EC7EC7" w:rsidRPr="00AF7375">
        <w:rPr>
          <w:color w:val="373737"/>
          <w:sz w:val="20"/>
        </w:rPr>
        <w:t xml:space="preserve"> emissions </w:t>
      </w:r>
      <w:r w:rsidR="002F5831">
        <w:rPr>
          <w:color w:val="373737"/>
          <w:sz w:val="20"/>
        </w:rPr>
        <w:t>for specific</w:t>
      </w:r>
      <w:r w:rsidR="002F5831" w:rsidRPr="00AF7375">
        <w:rPr>
          <w:color w:val="373737"/>
          <w:sz w:val="20"/>
        </w:rPr>
        <w:t xml:space="preserve"> </w:t>
      </w:r>
      <w:r w:rsidR="00EC7EC7" w:rsidRPr="00AF7375">
        <w:rPr>
          <w:color w:val="373737"/>
          <w:sz w:val="20"/>
        </w:rPr>
        <w:t xml:space="preserve">hard-to-abate </w:t>
      </w:r>
      <w:r w:rsidR="002F5831">
        <w:rPr>
          <w:color w:val="373737"/>
          <w:sz w:val="20"/>
        </w:rPr>
        <w:t>industrial processes, such the production of fertili</w:t>
      </w:r>
      <w:r w:rsidR="00243E1F">
        <w:rPr>
          <w:color w:val="373737"/>
          <w:sz w:val="20"/>
        </w:rPr>
        <w:t>s</w:t>
      </w:r>
      <w:r w:rsidR="002F5831">
        <w:rPr>
          <w:color w:val="373737"/>
          <w:sz w:val="20"/>
        </w:rPr>
        <w:t>er, explosives or very high heat processes (see Chapter 3).</w:t>
      </w:r>
    </w:p>
    <w:tbl>
      <w:tblPr>
        <w:tblStyle w:val="OCETable"/>
        <w:tblpPr w:leftFromText="180" w:rightFromText="180" w:vertAnchor="text" w:horzAnchor="margin" w:tblpYSpec="outside"/>
        <w:tblW w:w="6804" w:type="dxa"/>
        <w:shd w:val="clear" w:color="auto" w:fill="F1CFCF"/>
        <w:tblLayout w:type="fixed"/>
        <w:tblLook w:val="04A0" w:firstRow="1" w:lastRow="0" w:firstColumn="1" w:lastColumn="0" w:noHBand="0" w:noVBand="1"/>
      </w:tblPr>
      <w:tblGrid>
        <w:gridCol w:w="6804"/>
      </w:tblGrid>
      <w:tr w:rsidR="00D051EF" w:rsidRPr="00AF7375" w14:paraId="1E5FD3DB" w14:textId="77777777" w:rsidTr="0059354C">
        <w:trPr>
          <w:cnfStyle w:val="100000000000" w:firstRow="1" w:lastRow="0" w:firstColumn="0" w:lastColumn="0" w:oddVBand="0" w:evenVBand="0" w:oddHBand="0" w:evenHBand="0" w:firstRowFirstColumn="0" w:firstRowLastColumn="0" w:lastRowFirstColumn="0" w:lastRowLastColumn="0"/>
          <w:trHeight w:val="426"/>
        </w:trPr>
        <w:tc>
          <w:tcPr>
            <w:tcW w:w="5000" w:type="pct"/>
            <w:shd w:val="clear" w:color="auto" w:fill="F1CFCF"/>
          </w:tcPr>
          <w:p w14:paraId="1213D85B" w14:textId="77777777" w:rsidR="00D051EF" w:rsidRPr="00AF7375" w:rsidRDefault="00D051EF" w:rsidP="00D051EF">
            <w:pPr>
              <w:widowControl w:val="0"/>
              <w:spacing w:beforeLines="60" w:before="144" w:afterLines="60" w:after="144"/>
              <w:ind w:left="179" w:right="113"/>
              <w:jc w:val="both"/>
              <w:rPr>
                <w:rFonts w:eastAsia="Times New Roman" w:cs="Arial"/>
                <w:sz w:val="20"/>
                <w:szCs w:val="18"/>
                <w:lang w:val="en"/>
              </w:rPr>
            </w:pPr>
            <w:bookmarkStart w:id="49" w:name="_Hlk161238990"/>
            <w:r>
              <w:rPr>
                <w:rFonts w:eastAsia="Times New Roman" w:cs="Arial"/>
                <w:b/>
                <w:bCs/>
                <w:color w:val="auto"/>
                <w:sz w:val="20"/>
                <w:szCs w:val="18"/>
                <w:lang w:val="en"/>
              </w:rPr>
              <w:t xml:space="preserve">Insight: </w:t>
            </w:r>
            <w:r>
              <w:rPr>
                <w:rFonts w:eastAsia="Times New Roman" w:cs="Arial"/>
                <w:color w:val="auto"/>
                <w:sz w:val="20"/>
                <w:szCs w:val="18"/>
                <w:lang w:val="en"/>
              </w:rPr>
              <w:t>To reach net zero by 2050, continued reduction over time in gas demand and action to abate residual use will be required.</w:t>
            </w:r>
          </w:p>
        </w:tc>
      </w:tr>
    </w:tbl>
    <w:p w14:paraId="0E4FA345" w14:textId="5CEE98E4" w:rsidR="00082213" w:rsidRPr="00AF7375" w:rsidRDefault="00EC7EC7" w:rsidP="005974BD">
      <w:pPr>
        <w:spacing w:before="120" w:after="120"/>
        <w:rPr>
          <w:color w:val="373737"/>
          <w:sz w:val="20"/>
        </w:rPr>
      </w:pPr>
      <w:r w:rsidRPr="00AF7375">
        <w:rPr>
          <w:color w:val="373737"/>
          <w:sz w:val="20"/>
        </w:rPr>
        <w:t xml:space="preserve">Other stakeholders suggested that the Australian oil and gas industry can </w:t>
      </w:r>
      <w:r w:rsidR="00DE49E1">
        <w:rPr>
          <w:color w:val="373737"/>
          <w:sz w:val="20"/>
        </w:rPr>
        <w:t xml:space="preserve">address </w:t>
      </w:r>
      <w:r w:rsidRPr="00AF7375">
        <w:rPr>
          <w:color w:val="373737"/>
          <w:sz w:val="20"/>
        </w:rPr>
        <w:t xml:space="preserve">around 90% of methane emissions through existing technologies. These mature technologies can replace emitting equipment across the oil and gas value chain, with a significant </w:t>
      </w:r>
      <w:r w:rsidR="00DE49E1">
        <w:rPr>
          <w:color w:val="373737"/>
          <w:sz w:val="20"/>
        </w:rPr>
        <w:t>portion</w:t>
      </w:r>
      <w:r w:rsidRPr="00AF7375">
        <w:rPr>
          <w:color w:val="373737"/>
          <w:sz w:val="20"/>
        </w:rPr>
        <w:t xml:space="preserve"> of this abatement suggested to be cost</w:t>
      </w:r>
      <w:r w:rsidR="00082213" w:rsidRPr="00AF7375">
        <w:rPr>
          <w:color w:val="373737"/>
          <w:sz w:val="20"/>
        </w:rPr>
        <w:t>-</w:t>
      </w:r>
      <w:r w:rsidRPr="00AF7375">
        <w:rPr>
          <w:color w:val="373737"/>
          <w:sz w:val="20"/>
        </w:rPr>
        <w:t xml:space="preserve">effective. </w:t>
      </w:r>
      <w:bookmarkEnd w:id="47"/>
    </w:p>
    <w:p w14:paraId="568D4F51" w14:textId="52380684" w:rsidR="00082213" w:rsidRDefault="00082213" w:rsidP="00082213">
      <w:pPr>
        <w:spacing w:before="120" w:after="120"/>
        <w:rPr>
          <w:color w:val="373737"/>
          <w:sz w:val="20"/>
        </w:rPr>
      </w:pPr>
      <w:bookmarkStart w:id="50" w:name="_Hlk161239006"/>
      <w:bookmarkStart w:id="51" w:name="_Hlk161237831"/>
      <w:bookmarkEnd w:id="49"/>
      <w:r w:rsidRPr="00AF7375">
        <w:rPr>
          <w:color w:val="373737"/>
          <w:sz w:val="20"/>
        </w:rPr>
        <w:t xml:space="preserve">One key difference </w:t>
      </w:r>
      <w:r w:rsidR="000E1E9C">
        <w:rPr>
          <w:color w:val="373737"/>
          <w:sz w:val="20"/>
        </w:rPr>
        <w:t xml:space="preserve">between the emissions projections and </w:t>
      </w:r>
      <w:r w:rsidRPr="00AF7375">
        <w:rPr>
          <w:color w:val="373737"/>
          <w:sz w:val="20"/>
        </w:rPr>
        <w:t xml:space="preserve">stakeholders </w:t>
      </w:r>
      <w:r w:rsidR="000E1E9C">
        <w:rPr>
          <w:color w:val="373737"/>
          <w:sz w:val="20"/>
        </w:rPr>
        <w:t xml:space="preserve">is the challenge represented by </w:t>
      </w:r>
      <w:r w:rsidRPr="00AF7375">
        <w:rPr>
          <w:color w:val="373737"/>
          <w:sz w:val="20"/>
        </w:rPr>
        <w:t>electrification of LNG facilities</w:t>
      </w:r>
      <w:r w:rsidR="000E1E9C">
        <w:rPr>
          <w:color w:val="373737"/>
          <w:sz w:val="20"/>
        </w:rPr>
        <w:t xml:space="preserve">. Stakeholders indicated electrification faces significant </w:t>
      </w:r>
      <w:r w:rsidRPr="00AF7375">
        <w:rPr>
          <w:color w:val="373737"/>
          <w:sz w:val="20"/>
        </w:rPr>
        <w:t>technical, commercial, legal and stakeholder barriers. DCCEEW’s</w:t>
      </w:r>
      <w:r w:rsidR="00D33314">
        <w:rPr>
          <w:color w:val="373737"/>
          <w:sz w:val="20"/>
        </w:rPr>
        <w:t xml:space="preserve"> (2023</w:t>
      </w:r>
      <w:r w:rsidR="00FE2714">
        <w:rPr>
          <w:color w:val="373737"/>
          <w:sz w:val="20"/>
        </w:rPr>
        <w:t>a</w:t>
      </w:r>
      <w:r w:rsidR="00D33314">
        <w:rPr>
          <w:color w:val="373737"/>
          <w:sz w:val="20"/>
        </w:rPr>
        <w:t>)</w:t>
      </w:r>
      <w:r w:rsidRPr="00AF7375">
        <w:rPr>
          <w:color w:val="373737"/>
          <w:sz w:val="20"/>
        </w:rPr>
        <w:t xml:space="preserve"> emissions projections suggest that stationary energy emissions will fall, partly due to electrification of LNG compressors. If electrification of LNG compressors is not viable for LNG facilities, operators may choose to purchase offsets to meet their Safeguard obligations. </w:t>
      </w:r>
      <w:bookmarkEnd w:id="50"/>
    </w:p>
    <w:tbl>
      <w:tblPr>
        <w:tblStyle w:val="OCETable"/>
        <w:tblpPr w:leftFromText="180" w:rightFromText="180" w:vertAnchor="text" w:horzAnchor="margin" w:tblpY="30"/>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D051EF" w:rsidDel="00890B2A" w14:paraId="023BBBAA" w14:textId="77777777" w:rsidTr="00D051EF">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38BE93E0" w14:textId="77777777" w:rsidR="00D051EF" w:rsidRPr="00AF7375" w:rsidDel="00890B2A" w:rsidRDefault="00D051EF" w:rsidP="00D051EF">
            <w:pPr>
              <w:widowControl w:val="0"/>
              <w:spacing w:beforeLines="60" w:before="144" w:afterLines="60" w:after="144"/>
              <w:ind w:left="113" w:right="113"/>
              <w:jc w:val="both"/>
              <w:rPr>
                <w:rFonts w:eastAsia="Times New Roman" w:cs="Arial"/>
                <w:sz w:val="20"/>
                <w:szCs w:val="18"/>
                <w:lang w:val="en"/>
              </w:rPr>
            </w:pPr>
            <w:r w:rsidRPr="00AF7375" w:rsidDel="00890B2A">
              <w:rPr>
                <w:rFonts w:eastAsia="Times New Roman" w:cs="Arial"/>
                <w:b/>
                <w:color w:val="auto"/>
                <w:sz w:val="20"/>
                <w:szCs w:val="18"/>
                <w:lang w:val="en"/>
              </w:rPr>
              <w:t xml:space="preserve">Insight: </w:t>
            </w:r>
            <w:r w:rsidRPr="004077C2" w:rsidDel="00890B2A">
              <w:rPr>
                <w:rFonts w:eastAsia="Times New Roman" w:cs="Arial"/>
                <w:bCs/>
                <w:color w:val="auto"/>
                <w:sz w:val="20"/>
                <w:szCs w:val="18"/>
                <w:lang w:val="en"/>
              </w:rPr>
              <w:t xml:space="preserve">Consultation </w:t>
            </w:r>
            <w:r w:rsidDel="00890B2A">
              <w:rPr>
                <w:rFonts w:eastAsia="Times New Roman" w:cs="Arial"/>
                <w:bCs/>
                <w:color w:val="auto"/>
                <w:sz w:val="20"/>
                <w:szCs w:val="18"/>
                <w:lang w:val="en"/>
              </w:rPr>
              <w:t>supports the assumptions underlying the projections. However, risks remain. O</w:t>
            </w:r>
            <w:r w:rsidRPr="004077C2" w:rsidDel="00890B2A">
              <w:rPr>
                <w:rFonts w:eastAsia="Times New Roman" w:cs="Arial"/>
                <w:bCs/>
                <w:color w:val="auto"/>
                <w:sz w:val="20"/>
                <w:szCs w:val="18"/>
                <w:lang w:val="en"/>
              </w:rPr>
              <w:t>pportunities to reduce emissions from gas use vary by sector and use case. Some consultations suggested further action is needed to incentivise emissions reduction via reduced gas demand and adoption of abatement technologies.</w:t>
            </w:r>
          </w:p>
        </w:tc>
      </w:tr>
    </w:tbl>
    <w:p w14:paraId="6F3B4127" w14:textId="4A26911C" w:rsidR="00DE49E1" w:rsidRDefault="00082213" w:rsidP="00082213">
      <w:pPr>
        <w:spacing w:before="120" w:after="120"/>
        <w:rPr>
          <w:color w:val="373737"/>
          <w:sz w:val="20"/>
        </w:rPr>
      </w:pPr>
      <w:bookmarkStart w:id="52" w:name="_Hlk161239018"/>
      <w:r w:rsidRPr="00AF7375">
        <w:rPr>
          <w:color w:val="373737"/>
          <w:sz w:val="20"/>
        </w:rPr>
        <w:t xml:space="preserve">In addition to these factors, the emissions profile of future gas projects is somewhat uncertain due to a lack of information about the composition of </w:t>
      </w:r>
      <w:r w:rsidR="00D051EF">
        <w:rPr>
          <w:color w:val="373737"/>
          <w:sz w:val="20"/>
        </w:rPr>
        <w:br/>
      </w:r>
      <w:r w:rsidRPr="00AF7375">
        <w:rPr>
          <w:color w:val="373737"/>
          <w:sz w:val="20"/>
        </w:rPr>
        <w:t xml:space="preserve">reserves. The </w:t>
      </w:r>
      <w:r>
        <w:rPr>
          <w:color w:val="373737"/>
          <w:sz w:val="20"/>
        </w:rPr>
        <w:t>environmental impact statements (</w:t>
      </w:r>
      <w:r w:rsidRPr="00AF7375">
        <w:rPr>
          <w:color w:val="373737"/>
          <w:sz w:val="20"/>
        </w:rPr>
        <w:t>EISs</w:t>
      </w:r>
      <w:r>
        <w:rPr>
          <w:color w:val="373737"/>
          <w:sz w:val="20"/>
        </w:rPr>
        <w:t>)</w:t>
      </w:r>
      <w:r w:rsidRPr="00AF7375">
        <w:rPr>
          <w:color w:val="373737"/>
          <w:sz w:val="20"/>
        </w:rPr>
        <w:t xml:space="preserve"> submitted as part of the approval for future gas projects include this data, and some (but not all) companies report this information in their drilling results. As a result, there is greater uncertainty for reservoir CO</w:t>
      </w:r>
      <w:r w:rsidRPr="00AF7375">
        <w:rPr>
          <w:color w:val="373737"/>
          <w:sz w:val="20"/>
          <w:vertAlign w:val="subscript"/>
        </w:rPr>
        <w:t xml:space="preserve">2 </w:t>
      </w:r>
      <w:r w:rsidRPr="00AF7375">
        <w:rPr>
          <w:color w:val="373737"/>
          <w:sz w:val="20"/>
        </w:rPr>
        <w:t>for prospective projects</w:t>
      </w:r>
      <w:r w:rsidR="00747836">
        <w:rPr>
          <w:color w:val="373737"/>
          <w:sz w:val="20"/>
        </w:rPr>
        <w:t xml:space="preserve"> that have not yet submitted EISs</w:t>
      </w:r>
      <w:r w:rsidRPr="00AF7375">
        <w:rPr>
          <w:color w:val="373737"/>
          <w:sz w:val="20"/>
        </w:rPr>
        <w:t>. This uncertainty is likely to affect the venting emissions that are required to remove CO</w:t>
      </w:r>
      <w:r w:rsidRPr="00AF7375">
        <w:rPr>
          <w:color w:val="373737"/>
          <w:sz w:val="20"/>
          <w:vertAlign w:val="subscript"/>
        </w:rPr>
        <w:t>2</w:t>
      </w:r>
      <w:r w:rsidRPr="00AF7375">
        <w:rPr>
          <w:color w:val="373737"/>
          <w:sz w:val="20"/>
        </w:rPr>
        <w:t xml:space="preserve"> prior to liquefaction or refining. </w:t>
      </w:r>
    </w:p>
    <w:p w14:paraId="0628C7F2" w14:textId="13819D74" w:rsidR="00082213" w:rsidRPr="00AF7375" w:rsidRDefault="00082213" w:rsidP="003752B0">
      <w:pPr>
        <w:spacing w:before="120" w:after="0"/>
        <w:rPr>
          <w:color w:val="373737"/>
          <w:sz w:val="20"/>
        </w:rPr>
      </w:pPr>
      <w:r w:rsidRPr="00AF7375">
        <w:rPr>
          <w:color w:val="373737"/>
          <w:sz w:val="20"/>
        </w:rPr>
        <w:t xml:space="preserve">Under the Safeguard Mechanism, </w:t>
      </w:r>
      <w:r>
        <w:rPr>
          <w:color w:val="373737"/>
          <w:sz w:val="20"/>
        </w:rPr>
        <w:t xml:space="preserve">all </w:t>
      </w:r>
      <w:r w:rsidR="00867ECF">
        <w:rPr>
          <w:color w:val="373737"/>
          <w:sz w:val="20"/>
        </w:rPr>
        <w:t xml:space="preserve">new </w:t>
      </w:r>
      <w:r>
        <w:rPr>
          <w:color w:val="373737"/>
          <w:sz w:val="20"/>
        </w:rPr>
        <w:t xml:space="preserve">gas </w:t>
      </w:r>
      <w:r w:rsidRPr="00AF7375">
        <w:rPr>
          <w:color w:val="373737"/>
          <w:sz w:val="20"/>
        </w:rPr>
        <w:t xml:space="preserve">projects </w:t>
      </w:r>
      <w:r>
        <w:rPr>
          <w:color w:val="373737"/>
          <w:sz w:val="20"/>
        </w:rPr>
        <w:t xml:space="preserve">backfilling an existing LNG facility </w:t>
      </w:r>
      <w:r w:rsidR="000E1E9C">
        <w:rPr>
          <w:color w:val="373737"/>
          <w:sz w:val="20"/>
        </w:rPr>
        <w:t xml:space="preserve">are </w:t>
      </w:r>
      <w:r w:rsidR="00867ECF" w:rsidRPr="00867ECF">
        <w:rPr>
          <w:color w:val="373737"/>
          <w:sz w:val="20"/>
        </w:rPr>
        <w:t xml:space="preserve">given best practice benchmark values </w:t>
      </w:r>
      <w:r w:rsidR="000E1E9C">
        <w:rPr>
          <w:color w:val="373737"/>
          <w:sz w:val="20"/>
        </w:rPr>
        <w:t xml:space="preserve">of zero </w:t>
      </w:r>
      <w:r>
        <w:rPr>
          <w:color w:val="373737"/>
          <w:sz w:val="20"/>
        </w:rPr>
        <w:t>reservoir CO</w:t>
      </w:r>
      <w:r w:rsidRPr="0052215B">
        <w:rPr>
          <w:color w:val="373737"/>
          <w:sz w:val="20"/>
          <w:vertAlign w:val="subscript"/>
        </w:rPr>
        <w:t>2</w:t>
      </w:r>
      <w:r>
        <w:rPr>
          <w:color w:val="373737"/>
          <w:sz w:val="20"/>
        </w:rPr>
        <w:t xml:space="preserve"> emissions</w:t>
      </w:r>
      <w:r w:rsidR="00867ECF">
        <w:rPr>
          <w:color w:val="373737"/>
          <w:sz w:val="20"/>
        </w:rPr>
        <w:t xml:space="preserve">, </w:t>
      </w:r>
      <w:r>
        <w:rPr>
          <w:color w:val="373737"/>
          <w:sz w:val="20"/>
        </w:rPr>
        <w:t xml:space="preserve">and will need to abate or offset these emissions. </w:t>
      </w:r>
      <w:r w:rsidR="00867ECF" w:rsidRPr="00867ECF">
        <w:rPr>
          <w:color w:val="373737"/>
          <w:sz w:val="20"/>
        </w:rPr>
        <w:t xml:space="preserve">New shale gas projects — including in the Beetaloo </w:t>
      </w:r>
      <w:r w:rsidR="000E1E9C">
        <w:rPr>
          <w:color w:val="373737"/>
          <w:sz w:val="20"/>
        </w:rPr>
        <w:t>S</w:t>
      </w:r>
      <w:r w:rsidR="00867ECF" w:rsidRPr="00867ECF">
        <w:rPr>
          <w:color w:val="373737"/>
          <w:sz w:val="20"/>
        </w:rPr>
        <w:t xml:space="preserve">ub-basin — are required to have net zero scope 1 emissions from </w:t>
      </w:r>
      <w:r w:rsidR="00867ECF" w:rsidRPr="00867ECF" w:rsidDel="00747836">
        <w:rPr>
          <w:color w:val="373737"/>
          <w:sz w:val="20"/>
        </w:rPr>
        <w:t>entry</w:t>
      </w:r>
      <w:r w:rsidR="00867ECF" w:rsidRPr="00867ECF">
        <w:rPr>
          <w:color w:val="373737"/>
          <w:sz w:val="20"/>
        </w:rPr>
        <w:t xml:space="preserve">. </w:t>
      </w:r>
      <w:r>
        <w:rPr>
          <w:color w:val="373737"/>
          <w:sz w:val="20"/>
        </w:rPr>
        <w:t xml:space="preserve">Future domestic gas projects will have </w:t>
      </w:r>
      <w:r w:rsidR="00867ECF" w:rsidRPr="00867ECF">
        <w:rPr>
          <w:color w:val="373737"/>
          <w:sz w:val="20"/>
        </w:rPr>
        <w:t>baselines set at international best practice benchmark values.</w:t>
      </w:r>
      <w:r>
        <w:rPr>
          <w:color w:val="373737"/>
          <w:sz w:val="20"/>
        </w:rPr>
        <w:t xml:space="preserve"> </w:t>
      </w:r>
      <w:r w:rsidR="00DE49E1">
        <w:rPr>
          <w:color w:val="373737"/>
          <w:sz w:val="20"/>
        </w:rPr>
        <w:t>The Safeguard Mechanism does not cover emissions</w:t>
      </w:r>
      <w:r w:rsidR="00E81746">
        <w:rPr>
          <w:color w:val="373737"/>
          <w:sz w:val="20"/>
        </w:rPr>
        <w:t xml:space="preserve"> from the supply of gas in the Greater Sunrise </w:t>
      </w:r>
      <w:r w:rsidR="00DE49E1">
        <w:rPr>
          <w:color w:val="373737"/>
          <w:sz w:val="20"/>
        </w:rPr>
        <w:t>field</w:t>
      </w:r>
      <w:r w:rsidR="00E81746">
        <w:rPr>
          <w:color w:val="373737"/>
          <w:sz w:val="20"/>
        </w:rPr>
        <w:t xml:space="preserve"> of </w:t>
      </w:r>
      <w:r w:rsidR="00DE49E1">
        <w:rPr>
          <w:color w:val="373737"/>
          <w:sz w:val="20"/>
        </w:rPr>
        <w:t xml:space="preserve">the </w:t>
      </w:r>
      <w:r w:rsidR="00E871F3">
        <w:rPr>
          <w:color w:val="373737"/>
          <w:sz w:val="20"/>
        </w:rPr>
        <w:t>Greater Sunrise Regime Area</w:t>
      </w:r>
      <w:r w:rsidR="00DE49E1">
        <w:rPr>
          <w:color w:val="373737"/>
          <w:sz w:val="20"/>
        </w:rPr>
        <w:t xml:space="preserve">. </w:t>
      </w:r>
    </w:p>
    <w:p w14:paraId="7A0B7B2B" w14:textId="4AACC3BC" w:rsidR="008C5070" w:rsidRDefault="008C5070" w:rsidP="00F46D0D">
      <w:pPr>
        <w:spacing w:before="120" w:after="240"/>
        <w:rPr>
          <w:color w:val="373737"/>
          <w:sz w:val="20"/>
        </w:rPr>
      </w:pPr>
      <w:r>
        <w:rPr>
          <w:color w:val="373737"/>
          <w:sz w:val="20"/>
        </w:rPr>
        <w:t xml:space="preserve">Reducing gas use is a key pathway to reduce emissions from gas use. Consultation suggests </w:t>
      </w:r>
      <w:r w:rsidR="000E1E9C">
        <w:rPr>
          <w:color w:val="373737"/>
          <w:sz w:val="20"/>
        </w:rPr>
        <w:t xml:space="preserve">a range of industries are pursuing </w:t>
      </w:r>
      <w:r>
        <w:rPr>
          <w:color w:val="373737"/>
          <w:sz w:val="20"/>
        </w:rPr>
        <w:t xml:space="preserve">electrification </w:t>
      </w:r>
      <w:r w:rsidR="000E1E9C">
        <w:rPr>
          <w:color w:val="373737"/>
          <w:sz w:val="20"/>
        </w:rPr>
        <w:t xml:space="preserve">and </w:t>
      </w:r>
      <w:r>
        <w:rPr>
          <w:color w:val="373737"/>
          <w:sz w:val="20"/>
        </w:rPr>
        <w:t xml:space="preserve">biofuels. </w:t>
      </w:r>
      <w:r w:rsidRPr="00AF7375">
        <w:rPr>
          <w:color w:val="373737"/>
          <w:sz w:val="20"/>
        </w:rPr>
        <w:t xml:space="preserve">Some </w:t>
      </w:r>
      <w:r w:rsidR="00466E31">
        <w:rPr>
          <w:color w:val="373737"/>
          <w:sz w:val="20"/>
        </w:rPr>
        <w:t>gas users</w:t>
      </w:r>
      <w:r w:rsidRPr="00AF7375">
        <w:rPr>
          <w:color w:val="373737"/>
          <w:sz w:val="20"/>
        </w:rPr>
        <w:t xml:space="preserve"> noted that electrification faces </w:t>
      </w:r>
      <w:r w:rsidR="00466E31">
        <w:rPr>
          <w:color w:val="373737"/>
          <w:sz w:val="20"/>
        </w:rPr>
        <w:t xml:space="preserve">significant </w:t>
      </w:r>
      <w:r w:rsidRPr="00AF7375">
        <w:rPr>
          <w:color w:val="373737"/>
          <w:sz w:val="20"/>
        </w:rPr>
        <w:t>cost and infrastructure barriers, with some industry stakeholders suggesting current regulatory frameworks d</w:t>
      </w:r>
      <w:r w:rsidR="000E1E9C">
        <w:rPr>
          <w:color w:val="373737"/>
          <w:sz w:val="20"/>
        </w:rPr>
        <w:t>o</w:t>
      </w:r>
      <w:r w:rsidRPr="00AF7375">
        <w:rPr>
          <w:color w:val="373737"/>
          <w:sz w:val="20"/>
        </w:rPr>
        <w:t xml:space="preserve"> not incentivise electrification </w:t>
      </w:r>
      <w:r>
        <w:rPr>
          <w:color w:val="373737"/>
          <w:sz w:val="20"/>
        </w:rPr>
        <w:t>enough</w:t>
      </w:r>
      <w:r w:rsidRPr="00AF7375">
        <w:rPr>
          <w:color w:val="373737"/>
          <w:sz w:val="20"/>
        </w:rPr>
        <w:t>.</w:t>
      </w:r>
    </w:p>
    <w:bookmarkEnd w:id="51"/>
    <w:bookmarkEnd w:id="52"/>
    <w:p w14:paraId="2DB14B63" w14:textId="187AF476" w:rsidR="008C5070" w:rsidRDefault="008C5070" w:rsidP="00F46D0D">
      <w:pPr>
        <w:spacing w:before="120" w:after="240"/>
        <w:rPr>
          <w:color w:val="373737"/>
          <w:sz w:val="20"/>
        </w:rPr>
      </w:pPr>
      <w:r w:rsidRPr="00AF7375">
        <w:rPr>
          <w:color w:val="373737"/>
          <w:sz w:val="20"/>
        </w:rPr>
        <w:t xml:space="preserve">Some manufacturers that use gas as a feedstock have decarbonisation plans that include switching from gas to renewable ammonia as their current plants reach end of life and low emission gases become cost competitive (later in the projection period). </w:t>
      </w:r>
      <w:r>
        <w:rPr>
          <w:color w:val="373737"/>
          <w:sz w:val="20"/>
        </w:rPr>
        <w:t>However, s</w:t>
      </w:r>
      <w:r w:rsidRPr="00AF7375">
        <w:rPr>
          <w:color w:val="373737"/>
          <w:sz w:val="20"/>
        </w:rPr>
        <w:t xml:space="preserve">ome major industrial users indicated an intent to increase gas consumption </w:t>
      </w:r>
      <w:r>
        <w:rPr>
          <w:color w:val="373737"/>
          <w:sz w:val="20"/>
        </w:rPr>
        <w:t xml:space="preserve">to facilitate </w:t>
      </w:r>
      <w:r w:rsidRPr="00AF7375">
        <w:rPr>
          <w:color w:val="373737"/>
          <w:sz w:val="20"/>
        </w:rPr>
        <w:t>coal-to-gas switching</w:t>
      </w:r>
      <w:r>
        <w:rPr>
          <w:color w:val="373737"/>
          <w:sz w:val="20"/>
        </w:rPr>
        <w:t xml:space="preserve"> </w:t>
      </w:r>
      <w:r w:rsidRPr="00AF7375">
        <w:rPr>
          <w:color w:val="373737"/>
          <w:sz w:val="20"/>
        </w:rPr>
        <w:t>as part of their decarbonisation plans</w:t>
      </w:r>
      <w:r>
        <w:rPr>
          <w:color w:val="373737"/>
          <w:sz w:val="20"/>
        </w:rPr>
        <w:t>, as a step to using other renewable gases</w:t>
      </w:r>
      <w:r w:rsidRPr="00AF7375">
        <w:rPr>
          <w:color w:val="373737"/>
          <w:sz w:val="20"/>
        </w:rPr>
        <w:t xml:space="preserve">. </w:t>
      </w:r>
      <w:r w:rsidR="00466E31">
        <w:rPr>
          <w:color w:val="373737"/>
          <w:sz w:val="20"/>
        </w:rPr>
        <w:t>Other large industrial users close to existing gas fields propose to use CCUS to reduce their CO</w:t>
      </w:r>
      <w:r w:rsidR="00466E31">
        <w:rPr>
          <w:color w:val="373737"/>
          <w:sz w:val="20"/>
          <w:vertAlign w:val="subscript"/>
        </w:rPr>
        <w:t>2</w:t>
      </w:r>
      <w:r w:rsidR="00466E31">
        <w:rPr>
          <w:color w:val="373737"/>
          <w:sz w:val="20"/>
        </w:rPr>
        <w:t xml:space="preserve"> process emissions.</w:t>
      </w:r>
    </w:p>
    <w:p w14:paraId="578E1230" w14:textId="76020524" w:rsidR="003752B0" w:rsidRDefault="008C5070" w:rsidP="003752B0">
      <w:pPr>
        <w:spacing w:before="120" w:after="0"/>
        <w:rPr>
          <w:color w:val="373737"/>
          <w:sz w:val="20"/>
        </w:rPr>
      </w:pPr>
      <w:r w:rsidRPr="00AF7375">
        <w:rPr>
          <w:color w:val="373737"/>
          <w:sz w:val="20"/>
        </w:rPr>
        <w:t xml:space="preserve">Energy efficiency measures were </w:t>
      </w:r>
      <w:r>
        <w:rPr>
          <w:color w:val="373737"/>
          <w:sz w:val="20"/>
        </w:rPr>
        <w:t xml:space="preserve">also </w:t>
      </w:r>
      <w:r w:rsidRPr="00AF7375">
        <w:rPr>
          <w:color w:val="373737"/>
          <w:sz w:val="20"/>
        </w:rPr>
        <w:t xml:space="preserve">highlighted as a key </w:t>
      </w:r>
      <w:r w:rsidR="00E10203">
        <w:rPr>
          <w:color w:val="373737"/>
          <w:sz w:val="20"/>
        </w:rPr>
        <w:t xml:space="preserve">way of </w:t>
      </w:r>
      <w:r w:rsidRPr="00AF7375">
        <w:rPr>
          <w:color w:val="373737"/>
          <w:sz w:val="20"/>
        </w:rPr>
        <w:t>reducing emissions from gas consumption.</w:t>
      </w:r>
    </w:p>
    <w:p w14:paraId="4322C4D4" w14:textId="1AE318E1" w:rsidR="00EC7EC7" w:rsidRPr="00AF7375" w:rsidRDefault="00EC7EC7" w:rsidP="00F46D0D">
      <w:pPr>
        <w:pStyle w:val="Heading3"/>
        <w:spacing w:before="120"/>
        <w:rPr>
          <w:rFonts w:asciiTheme="minorHAnsi" w:hAnsiTheme="minorHAnsi" w:cstheme="minorHAnsi"/>
        </w:rPr>
      </w:pPr>
      <w:r>
        <w:t>What is the long</w:t>
      </w:r>
      <w:r w:rsidR="009F6064">
        <w:t>-</w:t>
      </w:r>
      <w:r>
        <w:t>term (beyond 2035) outlook for gas emissions?</w:t>
      </w:r>
    </w:p>
    <w:p w14:paraId="50A652A6" w14:textId="65DB2AAB" w:rsidR="0043421D" w:rsidRDefault="0043421D" w:rsidP="00082213">
      <w:pPr>
        <w:spacing w:after="120"/>
        <w:rPr>
          <w:color w:val="373737"/>
          <w:sz w:val="20"/>
        </w:rPr>
      </w:pPr>
      <w:bookmarkStart w:id="53" w:name="_Hlk161239189"/>
      <w:bookmarkStart w:id="54" w:name="_Hlk161237920"/>
      <w:r w:rsidRPr="00AF7375">
        <w:rPr>
          <w:color w:val="373737"/>
          <w:sz w:val="20"/>
        </w:rPr>
        <w:t xml:space="preserve">To reach </w:t>
      </w:r>
      <w:r w:rsidR="007F1708">
        <w:rPr>
          <w:color w:val="373737"/>
          <w:sz w:val="20"/>
        </w:rPr>
        <w:t>Australia’s commitment to</w:t>
      </w:r>
      <w:r w:rsidRPr="00AF7375">
        <w:rPr>
          <w:color w:val="373737"/>
          <w:sz w:val="20"/>
        </w:rPr>
        <w:t xml:space="preserve"> net zero by 2050, emissions from gas must be reduced.</w:t>
      </w:r>
      <w:r>
        <w:rPr>
          <w:color w:val="373737"/>
          <w:sz w:val="20"/>
        </w:rPr>
        <w:t xml:space="preserve"> </w:t>
      </w:r>
      <w:r w:rsidR="00082213" w:rsidRPr="00AF7375">
        <w:rPr>
          <w:color w:val="373737"/>
          <w:sz w:val="20"/>
        </w:rPr>
        <w:t xml:space="preserve">The emissions projections </w:t>
      </w:r>
      <w:r w:rsidR="00E10203">
        <w:rPr>
          <w:color w:val="373737"/>
          <w:sz w:val="20"/>
        </w:rPr>
        <w:t xml:space="preserve">extend to </w:t>
      </w:r>
      <w:r w:rsidR="00082213" w:rsidRPr="00AF7375">
        <w:rPr>
          <w:color w:val="373737"/>
          <w:sz w:val="20"/>
        </w:rPr>
        <w:t>2035, and</w:t>
      </w:r>
      <w:r w:rsidR="00E10203">
        <w:rPr>
          <w:color w:val="373737"/>
          <w:sz w:val="20"/>
        </w:rPr>
        <w:t>,</w:t>
      </w:r>
      <w:r w:rsidR="00082213" w:rsidRPr="00AF7375">
        <w:rPr>
          <w:color w:val="373737"/>
          <w:sz w:val="20"/>
        </w:rPr>
        <w:t xml:space="preserve"> as such</w:t>
      </w:r>
      <w:r w:rsidR="00E10203">
        <w:rPr>
          <w:color w:val="373737"/>
          <w:sz w:val="20"/>
        </w:rPr>
        <w:t>,</w:t>
      </w:r>
      <w:r w:rsidR="00082213" w:rsidRPr="00AF7375">
        <w:rPr>
          <w:color w:val="373737"/>
          <w:sz w:val="20"/>
        </w:rPr>
        <w:t xml:space="preserve"> there are no official Government projections out to 2050. </w:t>
      </w:r>
      <w:r>
        <w:rPr>
          <w:color w:val="373737"/>
          <w:sz w:val="20"/>
        </w:rPr>
        <w:t xml:space="preserve">However, continued in emissions </w:t>
      </w:r>
      <w:r w:rsidR="00E10203">
        <w:rPr>
          <w:color w:val="373737"/>
          <w:sz w:val="20"/>
        </w:rPr>
        <w:t xml:space="preserve">reductions </w:t>
      </w:r>
      <w:r>
        <w:rPr>
          <w:color w:val="373737"/>
          <w:sz w:val="20"/>
        </w:rPr>
        <w:t>through reduced gas demand and actions to abate emissions from gas use will be required to achieve net zero</w:t>
      </w:r>
      <w:r w:rsidR="003134C2">
        <w:rPr>
          <w:color w:val="373737"/>
          <w:sz w:val="20"/>
        </w:rPr>
        <w:t xml:space="preserve"> by 2050</w:t>
      </w:r>
      <w:r>
        <w:rPr>
          <w:color w:val="373737"/>
          <w:sz w:val="20"/>
        </w:rPr>
        <w:t xml:space="preserve">. </w:t>
      </w:r>
    </w:p>
    <w:p w14:paraId="48ECCD01" w14:textId="52B0E107" w:rsidR="00082213" w:rsidRPr="00AF7375" w:rsidRDefault="0043421D" w:rsidP="00082213">
      <w:pPr>
        <w:spacing w:after="120"/>
        <w:rPr>
          <w:color w:val="373737"/>
          <w:sz w:val="20"/>
        </w:rPr>
      </w:pPr>
      <w:r>
        <w:rPr>
          <w:color w:val="373737"/>
          <w:sz w:val="20"/>
        </w:rPr>
        <w:t>Australia’s</w:t>
      </w:r>
      <w:r w:rsidR="00082213" w:rsidRPr="00AF7375">
        <w:rPr>
          <w:color w:val="373737"/>
          <w:sz w:val="20"/>
        </w:rPr>
        <w:t xml:space="preserve"> emissions reduction targets are </w:t>
      </w:r>
      <w:r w:rsidR="008A00E3">
        <w:rPr>
          <w:color w:val="373737"/>
          <w:sz w:val="20"/>
        </w:rPr>
        <w:t xml:space="preserve">currently </w:t>
      </w:r>
      <w:r w:rsidR="00082213" w:rsidRPr="00AF7375">
        <w:rPr>
          <w:color w:val="373737"/>
          <w:sz w:val="20"/>
        </w:rPr>
        <w:t>supported by policies, plans</w:t>
      </w:r>
      <w:r w:rsidR="005C026D" w:rsidRPr="00AF7375">
        <w:rPr>
          <w:color w:val="373737"/>
          <w:sz w:val="20"/>
        </w:rPr>
        <w:t>,</w:t>
      </w:r>
      <w:r w:rsidR="00082213" w:rsidRPr="00AF7375">
        <w:rPr>
          <w:color w:val="373737"/>
          <w:sz w:val="20"/>
        </w:rPr>
        <w:t xml:space="preserve"> and legislation, including the Safeguard Mechanism reforms</w:t>
      </w:r>
      <w:r w:rsidR="00E22FCE">
        <w:rPr>
          <w:color w:val="373737"/>
          <w:sz w:val="20"/>
        </w:rPr>
        <w:t xml:space="preserve"> </w:t>
      </w:r>
      <w:r w:rsidR="00082213" w:rsidRPr="00AF7375">
        <w:rPr>
          <w:color w:val="373737"/>
          <w:sz w:val="20"/>
        </w:rPr>
        <w:t xml:space="preserve">and the 82% renewables electricity target in 2030. </w:t>
      </w:r>
      <w:bookmarkEnd w:id="53"/>
      <w:r w:rsidR="008A00E3">
        <w:rPr>
          <w:color w:val="373737"/>
          <w:sz w:val="20"/>
        </w:rPr>
        <w:t>Australia will publish net zero sectoral plans that will further guide decarbonisation pathways across sectors, and in 2025</w:t>
      </w:r>
      <w:r w:rsidR="00E10203">
        <w:rPr>
          <w:color w:val="373737"/>
          <w:sz w:val="20"/>
        </w:rPr>
        <w:t>,</w:t>
      </w:r>
      <w:r w:rsidR="008A00E3">
        <w:rPr>
          <w:color w:val="373737"/>
          <w:sz w:val="20"/>
        </w:rPr>
        <w:t xml:space="preserve"> </w:t>
      </w:r>
      <w:r w:rsidR="00E10203">
        <w:rPr>
          <w:color w:val="373737"/>
          <w:sz w:val="20"/>
        </w:rPr>
        <w:t>it</w:t>
      </w:r>
      <w:r w:rsidR="008A00E3">
        <w:rPr>
          <w:color w:val="373737"/>
          <w:sz w:val="20"/>
        </w:rPr>
        <w:t xml:space="preserve"> will set its 2035 national emissions reduction target as part of the UN</w:t>
      </w:r>
      <w:r w:rsidR="00BE37A8">
        <w:rPr>
          <w:color w:val="373737"/>
          <w:sz w:val="20"/>
        </w:rPr>
        <w:t>FC</w:t>
      </w:r>
      <w:r w:rsidR="008A00E3">
        <w:rPr>
          <w:color w:val="373737"/>
          <w:sz w:val="20"/>
        </w:rPr>
        <w:t>CC-led process.</w:t>
      </w:r>
    </w:p>
    <w:p w14:paraId="03E6130D" w14:textId="74A16B75" w:rsidR="00ED3ED2" w:rsidRDefault="00EC7EC7" w:rsidP="003752B0">
      <w:pPr>
        <w:spacing w:before="120" w:after="120"/>
      </w:pPr>
      <w:bookmarkStart w:id="55" w:name="_Hlk161239197"/>
      <w:r w:rsidRPr="00AF7375">
        <w:rPr>
          <w:color w:val="373737"/>
          <w:sz w:val="20"/>
        </w:rPr>
        <w:t>The Safeguard Mechanism legislate</w:t>
      </w:r>
      <w:r w:rsidR="00867ECF">
        <w:rPr>
          <w:color w:val="373737"/>
          <w:sz w:val="20"/>
        </w:rPr>
        <w:t>s</w:t>
      </w:r>
      <w:r w:rsidRPr="00AF7375">
        <w:rPr>
          <w:color w:val="373737"/>
          <w:sz w:val="20"/>
        </w:rPr>
        <w:t xml:space="preserve"> emissions reductions at Australia’s largest industrial facilities out to 2050. </w:t>
      </w:r>
      <w:r w:rsidR="00867ECF">
        <w:rPr>
          <w:color w:val="373737"/>
          <w:sz w:val="20"/>
        </w:rPr>
        <w:t>After 2030</w:t>
      </w:r>
      <w:r w:rsidRPr="00AF7375">
        <w:rPr>
          <w:color w:val="373737"/>
          <w:sz w:val="20"/>
        </w:rPr>
        <w:t xml:space="preserve">, the decline rate under the Safeguard Mechanism will be set in five-year blocks such that net emissions decline on a trajectory to reach net zero by 2050. This will continue to provide a strong incentive for emissions </w:t>
      </w:r>
      <w:r w:rsidR="00E10203">
        <w:rPr>
          <w:color w:val="373737"/>
          <w:sz w:val="20"/>
        </w:rPr>
        <w:t xml:space="preserve">covered under the Safeguard Mechanism </w:t>
      </w:r>
      <w:r w:rsidRPr="00AF7375">
        <w:rPr>
          <w:color w:val="373737"/>
          <w:sz w:val="20"/>
        </w:rPr>
        <w:t>to continue to decrease</w:t>
      </w:r>
      <w:bookmarkEnd w:id="54"/>
      <w:bookmarkEnd w:id="55"/>
      <w:r w:rsidRPr="00AF7375">
        <w:rPr>
          <w:color w:val="373737"/>
          <w:sz w:val="20"/>
        </w:rPr>
        <w:t xml:space="preserve">. </w:t>
      </w:r>
    </w:p>
    <w:p w14:paraId="49DD63C4" w14:textId="77EB0D1B" w:rsidR="00EC7EC7" w:rsidRDefault="00615933" w:rsidP="003752B0">
      <w:pPr>
        <w:pStyle w:val="Heading2"/>
        <w:numPr>
          <w:ilvl w:val="1"/>
          <w:numId w:val="22"/>
        </w:numPr>
        <w:spacing w:before="240"/>
      </w:pPr>
      <w:bookmarkStart w:id="56" w:name="_Toc165293422"/>
      <w:bookmarkStart w:id="57" w:name="_Toc172794505"/>
      <w:r>
        <w:t>L</w:t>
      </w:r>
      <w:bookmarkEnd w:id="56"/>
      <w:r>
        <w:t>NG emissions</w:t>
      </w:r>
      <w:r w:rsidR="000E1CD4">
        <w:t xml:space="preserve"> in Australia and overseas</w:t>
      </w:r>
      <w:bookmarkEnd w:id="57"/>
    </w:p>
    <w:p w14:paraId="35A2E948" w14:textId="1B363060" w:rsidR="00615933" w:rsidRPr="004B5E34" w:rsidRDefault="00615933" w:rsidP="00615933">
      <w:pPr>
        <w:pStyle w:val="Heading3"/>
      </w:pPr>
      <w:r>
        <w:t>Consequential emissions from Australian LNG exports</w:t>
      </w:r>
    </w:p>
    <w:p w14:paraId="78077ED9" w14:textId="77777777" w:rsidR="00EC7EC7" w:rsidRPr="00AF7375" w:rsidRDefault="00EC7EC7" w:rsidP="008D1436">
      <w:pPr>
        <w:pStyle w:val="BodyText"/>
      </w:pPr>
      <w:bookmarkStart w:id="58" w:name="_Hlk161237942"/>
      <w:r w:rsidRPr="00AF7375">
        <w:t xml:space="preserve">Under the UNFCCC reporting guidelines for the preparation of greenhouse gas inventories, countries account for greenhouse gas emissions that occur within their borders. Emissions from the consumption of products that are exported from Australia are reported by the country consuming the products. For example, emissions from the extraction, production, processing, and transmission of natural gas associated with LNG produced </w:t>
      </w:r>
      <w:r w:rsidR="00DE49E1">
        <w:t>in</w:t>
      </w:r>
      <w:r w:rsidRPr="00AF7375">
        <w:t xml:space="preserve"> Australia are reported in Australia’s emissions inventory</w:t>
      </w:r>
      <w:r w:rsidR="00DE49E1">
        <w:t>.</w:t>
      </w:r>
      <w:r w:rsidR="00DE49E1" w:rsidRPr="00AF7375">
        <w:t xml:space="preserve"> </w:t>
      </w:r>
      <w:r w:rsidR="00E10203">
        <w:t>T</w:t>
      </w:r>
      <w:r w:rsidRPr="00AF7375">
        <w:t xml:space="preserve">he emissions from the use of Australia’s LNG exports are accounted for in </w:t>
      </w:r>
      <w:r w:rsidR="00E10203">
        <w:t xml:space="preserve">the </w:t>
      </w:r>
      <w:r w:rsidRPr="00AF7375">
        <w:t xml:space="preserve">consuming </w:t>
      </w:r>
      <w:r w:rsidR="00082213" w:rsidRPr="00AF7375">
        <w:t>country’s</w:t>
      </w:r>
      <w:r w:rsidRPr="00AF7375">
        <w:t xml:space="preserve"> greenhouse gas </w:t>
      </w:r>
      <w:r w:rsidR="00082213" w:rsidRPr="00AF7375">
        <w:t>inventory</w:t>
      </w:r>
      <w:r w:rsidRPr="00AF7375">
        <w:t>.</w:t>
      </w:r>
      <w:r w:rsidRPr="00AF7375" w:rsidDel="002517C5">
        <w:t xml:space="preserve"> </w:t>
      </w:r>
    </w:p>
    <w:p w14:paraId="0EC46524" w14:textId="5E51827B" w:rsidR="00EC7EC7" w:rsidRDefault="00EC7EC7" w:rsidP="008D1436">
      <w:pPr>
        <w:pStyle w:val="BodyText"/>
      </w:pPr>
      <w:r w:rsidRPr="00AF7375">
        <w:t xml:space="preserve">It is important to show the total emissions from Australian gas, whether consumed domestically or internationally, given global decarbonisation efforts and the impact that it will have on the Australian gas sector. The emissions from the use of gas exported by Australia are much larger than the emissions from the production of gas for domestic use. This is measured through the level of consequential emissions </w:t>
      </w:r>
      <w:r w:rsidR="00082213" w:rsidRPr="00AF7375">
        <w:t>–</w:t>
      </w:r>
      <w:r w:rsidRPr="00AF7375">
        <w:t xml:space="preserve"> emissions at the point of use or processing tied to Australian exports.</w:t>
      </w:r>
      <w:bookmarkEnd w:id="58"/>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082213" w:rsidRPr="00AF7375" w14:paraId="462384F2" w14:textId="77777777" w:rsidTr="0064394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26347970" w14:textId="3A757A88" w:rsidR="00082213" w:rsidRPr="00AF7375" w:rsidRDefault="00082213" w:rsidP="00C50D71">
            <w:pPr>
              <w:widowControl w:val="0"/>
              <w:spacing w:beforeLines="60" w:before="144" w:afterLines="60" w:after="144"/>
              <w:ind w:left="113" w:right="113"/>
              <w:jc w:val="both"/>
              <w:rPr>
                <w:rFonts w:eastAsia="Times New Roman" w:cs="Arial"/>
                <w:sz w:val="20"/>
                <w:szCs w:val="18"/>
                <w:lang w:val="en"/>
              </w:rPr>
            </w:pPr>
            <w:r w:rsidRPr="00AF7375">
              <w:rPr>
                <w:rFonts w:eastAsia="Times New Roman" w:cs="Arial"/>
                <w:b/>
                <w:bCs/>
                <w:color w:val="auto"/>
                <w:sz w:val="20"/>
                <w:szCs w:val="18"/>
                <w:lang w:val="en"/>
              </w:rPr>
              <w:t xml:space="preserve">Insight: </w:t>
            </w:r>
            <w:r w:rsidRPr="006E0686">
              <w:rPr>
                <w:rFonts w:eastAsia="Times New Roman" w:cs="Arial"/>
                <w:color w:val="auto"/>
                <w:sz w:val="20"/>
                <w:szCs w:val="18"/>
                <w:lang w:val="en"/>
              </w:rPr>
              <w:t>The emissions from the use of gas exported from Australia far exceed the emissions from gas in Australia. There are opportunities for Australia to help countries reduce their emissions from gas</w:t>
            </w:r>
            <w:r w:rsidR="00DE49E1">
              <w:rPr>
                <w:rFonts w:eastAsia="Times New Roman" w:cs="Arial"/>
                <w:color w:val="auto"/>
                <w:sz w:val="20"/>
                <w:szCs w:val="18"/>
                <w:lang w:val="en"/>
              </w:rPr>
              <w:t xml:space="preserve"> </w:t>
            </w:r>
            <w:r w:rsidRPr="006E0686">
              <w:rPr>
                <w:rFonts w:eastAsia="Times New Roman" w:cs="Arial"/>
                <w:color w:val="auto"/>
                <w:sz w:val="20"/>
                <w:szCs w:val="18"/>
                <w:lang w:val="en"/>
              </w:rPr>
              <w:t>consumption, as well as opportunities to provide energy security through other lower emissions energy sources.</w:t>
            </w:r>
          </w:p>
        </w:tc>
      </w:tr>
    </w:tbl>
    <w:p w14:paraId="01735E21" w14:textId="4FF4F945" w:rsidR="00082213" w:rsidRPr="00AF7375" w:rsidRDefault="00082213" w:rsidP="0032629E">
      <w:pPr>
        <w:spacing w:before="180" w:after="120"/>
        <w:rPr>
          <w:color w:val="373737"/>
          <w:sz w:val="20"/>
        </w:rPr>
      </w:pPr>
      <w:bookmarkStart w:id="59" w:name="_Hlk161239240"/>
      <w:r w:rsidRPr="00AF7375">
        <w:rPr>
          <w:color w:val="373737"/>
          <w:sz w:val="20"/>
        </w:rPr>
        <w:t>In 2018</w:t>
      </w:r>
      <w:r w:rsidR="008D1436">
        <w:rPr>
          <w:color w:val="373737"/>
          <w:sz w:val="20"/>
        </w:rPr>
        <w:softHyphen/>
        <w:t>–</w:t>
      </w:r>
      <w:r w:rsidRPr="00AF7375">
        <w:rPr>
          <w:color w:val="373737"/>
          <w:sz w:val="20"/>
        </w:rPr>
        <w:t>19, the ‘consequential’ emissions from Australian LNG exports were estimated to be 210 Mt CO</w:t>
      </w:r>
      <w:r w:rsidRPr="00AF7375">
        <w:rPr>
          <w:color w:val="373737"/>
          <w:sz w:val="20"/>
          <w:vertAlign w:val="subscript"/>
        </w:rPr>
        <w:t>2</w:t>
      </w:r>
      <w:r w:rsidRPr="00AF7375">
        <w:rPr>
          <w:color w:val="373737"/>
          <w:sz w:val="20"/>
        </w:rPr>
        <w:t>-e. This is estimated to be equivalent to 40% of Australian domestic emissions across all sectors and 195% of Australian domestic emissions from gas (</w:t>
      </w:r>
      <w:r w:rsidR="00C97939">
        <w:rPr>
          <w:color w:val="373737"/>
          <w:sz w:val="20"/>
        </w:rPr>
        <w:t>Burke et al. 2022</w:t>
      </w:r>
      <w:r w:rsidRPr="00AF7375">
        <w:rPr>
          <w:color w:val="373737"/>
          <w:sz w:val="20"/>
        </w:rPr>
        <w:t>)</w:t>
      </w:r>
      <w:r>
        <w:rPr>
          <w:color w:val="373737"/>
          <w:sz w:val="20"/>
        </w:rPr>
        <w:t>.</w:t>
      </w:r>
    </w:p>
    <w:p w14:paraId="515894FB" w14:textId="5089FC4D" w:rsidR="00EC7EC7" w:rsidRPr="00AF7375" w:rsidRDefault="00EC7EC7" w:rsidP="00082213">
      <w:pPr>
        <w:spacing w:before="120" w:after="120"/>
        <w:rPr>
          <w:color w:val="373737"/>
          <w:sz w:val="20"/>
        </w:rPr>
      </w:pPr>
      <w:r w:rsidRPr="00AF7375">
        <w:rPr>
          <w:color w:val="373737"/>
          <w:sz w:val="20"/>
        </w:rPr>
        <w:t xml:space="preserve">Despite the significant emissions from gas, emissions are likely to fall if gas displaces a higher emissions intensive fuel on a unit of energy basis. </w:t>
      </w:r>
      <w:r w:rsidR="00DE49E1">
        <w:rPr>
          <w:color w:val="373737"/>
          <w:sz w:val="20"/>
        </w:rPr>
        <w:t xml:space="preserve">CSIRO </w:t>
      </w:r>
      <w:r w:rsidR="00D33314">
        <w:rPr>
          <w:color w:val="373737"/>
          <w:sz w:val="20"/>
        </w:rPr>
        <w:t>(2019)</w:t>
      </w:r>
      <w:r w:rsidR="00DE49E1">
        <w:rPr>
          <w:color w:val="373737"/>
          <w:sz w:val="20"/>
        </w:rPr>
        <w:t xml:space="preserve"> notes that</w:t>
      </w:r>
      <w:r w:rsidRPr="00AF7375">
        <w:rPr>
          <w:color w:val="373737"/>
          <w:sz w:val="20"/>
        </w:rPr>
        <w:t xml:space="preserve"> if Australian natural gas was used to displace domestic coal</w:t>
      </w:r>
      <w:r w:rsidR="00DE49E1">
        <w:rPr>
          <w:color w:val="373737"/>
          <w:sz w:val="20"/>
        </w:rPr>
        <w:t>-</w:t>
      </w:r>
      <w:r w:rsidRPr="00AF7375">
        <w:rPr>
          <w:color w:val="373737"/>
          <w:sz w:val="20"/>
        </w:rPr>
        <w:t xml:space="preserve">fired electricity generation, emissions would fall by </w:t>
      </w:r>
      <w:r w:rsidR="00DE49E1">
        <w:rPr>
          <w:color w:val="373737"/>
          <w:sz w:val="20"/>
        </w:rPr>
        <w:t xml:space="preserve">an </w:t>
      </w:r>
      <w:r w:rsidRPr="00AF7375">
        <w:rPr>
          <w:color w:val="373737"/>
          <w:sz w:val="20"/>
        </w:rPr>
        <w:t xml:space="preserve">estimated 31% (for open cycle gas turbines) and 50% (closed cycle gas turbine). Consequential emissions from LNG exports are much lower than exported coal on an energy content basis (Table 2.3). For countries and sectors that are unable to replace coal </w:t>
      </w:r>
      <w:r w:rsidR="00DE49E1">
        <w:rPr>
          <w:color w:val="373737"/>
          <w:sz w:val="20"/>
        </w:rPr>
        <w:t xml:space="preserve">entirely </w:t>
      </w:r>
      <w:r w:rsidRPr="00AF7375">
        <w:rPr>
          <w:color w:val="373737"/>
          <w:sz w:val="20"/>
        </w:rPr>
        <w:t xml:space="preserve">with renewable energy generation, emissions would fall if coal </w:t>
      </w:r>
      <w:r w:rsidR="00E10203">
        <w:rPr>
          <w:color w:val="373737"/>
          <w:sz w:val="20"/>
        </w:rPr>
        <w:t>was</w:t>
      </w:r>
      <w:r w:rsidR="00E10203" w:rsidRPr="00AF7375">
        <w:rPr>
          <w:color w:val="373737"/>
          <w:sz w:val="20"/>
        </w:rPr>
        <w:t xml:space="preserve"> </w:t>
      </w:r>
      <w:r w:rsidRPr="00AF7375">
        <w:rPr>
          <w:color w:val="373737"/>
          <w:sz w:val="20"/>
        </w:rPr>
        <w:t>displaced by natural gas. This reduction would be more significant if lifecycle emissions from LNG fall, specifically liquefaction and regasification.</w:t>
      </w:r>
      <w:bookmarkEnd w:id="59"/>
    </w:p>
    <w:p w14:paraId="4E5844FD" w14:textId="6AB67D78" w:rsidR="00EC7EC7" w:rsidRPr="00AF7375" w:rsidRDefault="00EC7EC7" w:rsidP="00C97679">
      <w:pPr>
        <w:pStyle w:val="Caption"/>
        <w:rPr>
          <w:rFonts w:eastAsia="Times New Roman" w:cstheme="majorHAnsi"/>
          <w:szCs w:val="20"/>
          <w:lang w:val="en"/>
        </w:rPr>
      </w:pPr>
      <w:r w:rsidRPr="00AF7375">
        <w:t xml:space="preserve">Table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rsidR="000565F6">
        <w:t>.</w:t>
      </w:r>
      <w:r w:rsidR="00341B3B">
        <w:fldChar w:fldCharType="begin"/>
      </w:r>
      <w:r w:rsidR="00341B3B">
        <w:instrText xml:space="preserve"> SEQ Table \* ARABIC \s 1 </w:instrText>
      </w:r>
      <w:r w:rsidR="00341B3B">
        <w:fldChar w:fldCharType="separate"/>
      </w:r>
      <w:r w:rsidR="00BF178A">
        <w:rPr>
          <w:noProof/>
        </w:rPr>
        <w:t>3</w:t>
      </w:r>
      <w:r w:rsidR="00341B3B">
        <w:rPr>
          <w:noProof/>
        </w:rPr>
        <w:fldChar w:fldCharType="end"/>
      </w:r>
      <w:r w:rsidRPr="00AF7375">
        <w:rPr>
          <w:lang w:val="en"/>
        </w:rPr>
        <w:t>: Emissions from LNG exports and coal</w:t>
      </w:r>
    </w:p>
    <w:tbl>
      <w:tblPr>
        <w:tblStyle w:val="OCETable"/>
        <w:tblW w:w="5358" w:type="pct"/>
        <w:tblLook w:val="04A0" w:firstRow="1" w:lastRow="0" w:firstColumn="1" w:lastColumn="0" w:noHBand="0" w:noVBand="1"/>
      </w:tblPr>
      <w:tblGrid>
        <w:gridCol w:w="1307"/>
        <w:gridCol w:w="1022"/>
        <w:gridCol w:w="1286"/>
        <w:gridCol w:w="735"/>
        <w:gridCol w:w="706"/>
        <w:gridCol w:w="308"/>
        <w:gridCol w:w="305"/>
        <w:gridCol w:w="1430"/>
      </w:tblGrid>
      <w:tr w:rsidR="00EC7EC7" w14:paraId="5494CA36" w14:textId="77777777" w:rsidTr="00C50D71">
        <w:trPr>
          <w:cnfStyle w:val="100000000000" w:firstRow="1" w:lastRow="0" w:firstColumn="0" w:lastColumn="0" w:oddVBand="0" w:evenVBand="0" w:oddHBand="0" w:evenHBand="0" w:firstRowFirstColumn="0" w:firstRowLastColumn="0" w:lastRowFirstColumn="0" w:lastRowLastColumn="0"/>
          <w:trHeight w:val="504"/>
        </w:trPr>
        <w:tc>
          <w:tcPr>
            <w:tcW w:w="920" w:type="pct"/>
          </w:tcPr>
          <w:p w14:paraId="2B5B75A7" w14:textId="77777777" w:rsidR="00EC7EC7" w:rsidRPr="00AF7375" w:rsidRDefault="00EC7EC7" w:rsidP="00C50D71">
            <w:pPr>
              <w:keepNext/>
              <w:spacing w:before="120" w:after="120" w:line="240" w:lineRule="auto"/>
              <w:rPr>
                <w:rFonts w:cs="Arial"/>
                <w:b/>
                <w:szCs w:val="18"/>
              </w:rPr>
            </w:pPr>
            <w:r w:rsidRPr="00AF7375">
              <w:rPr>
                <w:rFonts w:cs="Arial"/>
                <w:b/>
                <w:szCs w:val="18"/>
              </w:rPr>
              <w:t>Commodity</w:t>
            </w:r>
          </w:p>
        </w:tc>
        <w:tc>
          <w:tcPr>
            <w:tcW w:w="720" w:type="pct"/>
          </w:tcPr>
          <w:p w14:paraId="6EBD560A" w14:textId="77777777" w:rsidR="00EC7EC7" w:rsidRPr="00AF7375" w:rsidRDefault="00EC7EC7" w:rsidP="00C50D71">
            <w:pPr>
              <w:keepNext/>
              <w:spacing w:before="120" w:after="120" w:line="240" w:lineRule="auto"/>
              <w:rPr>
                <w:rFonts w:cs="Arial"/>
                <w:b/>
                <w:szCs w:val="18"/>
              </w:rPr>
            </w:pPr>
            <w:r w:rsidRPr="00AF7375">
              <w:rPr>
                <w:rFonts w:cs="Arial"/>
                <w:b/>
                <w:szCs w:val="18"/>
              </w:rPr>
              <w:t>Quantity</w:t>
            </w:r>
            <w:r w:rsidRPr="00AF7375">
              <w:rPr>
                <w:rFonts w:cs="Arial"/>
                <w:b/>
                <w:szCs w:val="18"/>
              </w:rPr>
              <w:br/>
              <w:t>Mt/year</w:t>
            </w:r>
          </w:p>
        </w:tc>
        <w:tc>
          <w:tcPr>
            <w:tcW w:w="906" w:type="pct"/>
          </w:tcPr>
          <w:p w14:paraId="709ABDAF" w14:textId="77777777" w:rsidR="00EC7EC7" w:rsidRPr="00AF7375" w:rsidRDefault="00EC7EC7" w:rsidP="00C50D71">
            <w:pPr>
              <w:keepNext/>
              <w:spacing w:before="120" w:after="120" w:line="240" w:lineRule="auto"/>
              <w:rPr>
                <w:rFonts w:cs="Arial"/>
                <w:b/>
                <w:szCs w:val="18"/>
              </w:rPr>
            </w:pPr>
            <w:r w:rsidRPr="00AF7375">
              <w:rPr>
                <w:rFonts w:cs="Arial"/>
                <w:b/>
                <w:szCs w:val="18"/>
              </w:rPr>
              <w:t>Energy content</w:t>
            </w:r>
            <w:r w:rsidRPr="00AF7375">
              <w:rPr>
                <w:rFonts w:cs="Arial"/>
                <w:b/>
                <w:szCs w:val="18"/>
              </w:rPr>
              <w:br/>
              <w:t>GJ/t</w:t>
            </w:r>
          </w:p>
        </w:tc>
        <w:tc>
          <w:tcPr>
            <w:tcW w:w="1232" w:type="pct"/>
            <w:gridSpan w:val="3"/>
          </w:tcPr>
          <w:p w14:paraId="7B6BCCBF" w14:textId="77777777" w:rsidR="00EC7EC7" w:rsidRPr="00AF7375" w:rsidRDefault="00EC7EC7" w:rsidP="00C50D71">
            <w:pPr>
              <w:keepNext/>
              <w:spacing w:before="120" w:after="120" w:line="240" w:lineRule="auto"/>
              <w:rPr>
                <w:rFonts w:cs="Arial"/>
                <w:b/>
                <w:szCs w:val="18"/>
              </w:rPr>
            </w:pPr>
            <w:r w:rsidRPr="00AF7375">
              <w:rPr>
                <w:rFonts w:cs="Arial"/>
                <w:b/>
                <w:szCs w:val="18"/>
              </w:rPr>
              <w:t>Emission factor</w:t>
            </w:r>
            <w:r w:rsidRPr="00AF7375">
              <w:rPr>
                <w:rFonts w:cs="Arial"/>
                <w:b/>
                <w:szCs w:val="18"/>
              </w:rPr>
              <w:br/>
              <w:t>kgCO</w:t>
            </w:r>
            <w:r w:rsidRPr="00AF7375">
              <w:rPr>
                <w:rFonts w:cs="Arial"/>
                <w:b/>
                <w:szCs w:val="18"/>
                <w:vertAlign w:val="subscript"/>
              </w:rPr>
              <w:t>2</w:t>
            </w:r>
            <w:r w:rsidRPr="00AF7375">
              <w:rPr>
                <w:rFonts w:cs="Arial"/>
                <w:b/>
                <w:szCs w:val="18"/>
              </w:rPr>
              <w:t>/GJ</w:t>
            </w:r>
          </w:p>
        </w:tc>
        <w:tc>
          <w:tcPr>
            <w:tcW w:w="1223" w:type="pct"/>
            <w:gridSpan w:val="2"/>
          </w:tcPr>
          <w:p w14:paraId="719AA40F" w14:textId="77777777" w:rsidR="00EC7EC7" w:rsidRPr="00AF7375" w:rsidRDefault="00EC7EC7" w:rsidP="00C50D71">
            <w:pPr>
              <w:keepNext/>
              <w:spacing w:before="120" w:after="120" w:line="240" w:lineRule="auto"/>
              <w:rPr>
                <w:rFonts w:cs="Arial"/>
                <w:b/>
                <w:szCs w:val="18"/>
              </w:rPr>
            </w:pPr>
            <w:r w:rsidRPr="00AF7375">
              <w:rPr>
                <w:rFonts w:cs="Arial"/>
                <w:b/>
                <w:szCs w:val="18"/>
              </w:rPr>
              <w:t>GHG emissions</w:t>
            </w:r>
            <w:r w:rsidRPr="00AF7375">
              <w:rPr>
                <w:rFonts w:cs="Arial"/>
                <w:b/>
                <w:szCs w:val="18"/>
              </w:rPr>
              <w:br/>
              <w:t>MtCO</w:t>
            </w:r>
            <w:r w:rsidRPr="00AF7375">
              <w:rPr>
                <w:rFonts w:cs="Arial"/>
                <w:b/>
                <w:szCs w:val="18"/>
                <w:vertAlign w:val="subscript"/>
              </w:rPr>
              <w:t>2</w:t>
            </w:r>
            <w:r w:rsidRPr="00AF7375">
              <w:rPr>
                <w:rFonts w:cs="Arial"/>
                <w:b/>
                <w:szCs w:val="18"/>
              </w:rPr>
              <w:t>-e/year</w:t>
            </w:r>
          </w:p>
        </w:tc>
      </w:tr>
      <w:tr w:rsidR="00F47902" w14:paraId="4D9E5AD9" w14:textId="77777777" w:rsidTr="003752B0">
        <w:trPr>
          <w:cnfStyle w:val="000000100000" w:firstRow="0" w:lastRow="0" w:firstColumn="0" w:lastColumn="0" w:oddVBand="0" w:evenVBand="0" w:oddHBand="1" w:evenHBand="0" w:firstRowFirstColumn="0" w:firstRowLastColumn="0" w:lastRowFirstColumn="0" w:lastRowLastColumn="0"/>
          <w:trHeight w:val="119"/>
        </w:trPr>
        <w:tc>
          <w:tcPr>
            <w:tcW w:w="0" w:type="pct"/>
            <w:shd w:val="clear" w:color="auto" w:fill="005CAF" w:themeFill="accent1"/>
          </w:tcPr>
          <w:p w14:paraId="6B1E4FB5" w14:textId="77777777" w:rsidR="00EC7EC7" w:rsidRDefault="00EC7EC7" w:rsidP="00C50D71">
            <w:pPr>
              <w:keepNext/>
              <w:keepLines/>
              <w:spacing w:before="60" w:after="60" w:line="240" w:lineRule="auto"/>
            </w:pPr>
          </w:p>
        </w:tc>
        <w:tc>
          <w:tcPr>
            <w:tcW w:w="0" w:type="pct"/>
            <w:shd w:val="clear" w:color="auto" w:fill="005CAF" w:themeFill="accent1"/>
          </w:tcPr>
          <w:p w14:paraId="04E4C7A5" w14:textId="77777777" w:rsidR="00EC7EC7" w:rsidRDefault="00EC7EC7" w:rsidP="00C50D71">
            <w:pPr>
              <w:keepNext/>
              <w:keepLines/>
              <w:spacing w:before="60" w:after="60" w:line="240" w:lineRule="auto"/>
            </w:pPr>
          </w:p>
        </w:tc>
        <w:tc>
          <w:tcPr>
            <w:tcW w:w="0" w:type="pct"/>
            <w:shd w:val="clear" w:color="auto" w:fill="005CAF" w:themeFill="accent1"/>
          </w:tcPr>
          <w:p w14:paraId="57CBC634" w14:textId="77777777" w:rsidR="00EC7EC7" w:rsidRDefault="00EC7EC7" w:rsidP="00C50D71">
            <w:pPr>
              <w:keepNext/>
              <w:keepLines/>
              <w:spacing w:before="60" w:after="60" w:line="240" w:lineRule="auto"/>
            </w:pPr>
          </w:p>
        </w:tc>
        <w:tc>
          <w:tcPr>
            <w:tcW w:w="0" w:type="pct"/>
            <w:shd w:val="clear" w:color="auto" w:fill="005CAF" w:themeFill="accent1"/>
            <w:vAlign w:val="center"/>
          </w:tcPr>
          <w:p w14:paraId="3F7F9ABF" w14:textId="77777777" w:rsidR="00EC7EC7" w:rsidRPr="00B5238E" w:rsidRDefault="00EC7EC7" w:rsidP="00C50D71">
            <w:pPr>
              <w:keepNext/>
              <w:keepLines/>
              <w:spacing w:before="60" w:after="60" w:line="240" w:lineRule="auto"/>
              <w:rPr>
                <w:b/>
                <w:bCs/>
                <w:color w:val="FFFFFF" w:themeColor="background1"/>
              </w:rPr>
            </w:pPr>
            <w:r w:rsidRPr="00B5238E">
              <w:rPr>
                <w:b/>
                <w:bCs/>
                <w:color w:val="FFFFFF" w:themeColor="background1"/>
              </w:rPr>
              <w:t>CO</w:t>
            </w:r>
            <w:r w:rsidRPr="00B5238E">
              <w:rPr>
                <w:b/>
                <w:bCs/>
                <w:color w:val="FFFFFF" w:themeColor="background1"/>
                <w:vertAlign w:val="subscript"/>
              </w:rPr>
              <w:t>2</w:t>
            </w:r>
          </w:p>
        </w:tc>
        <w:tc>
          <w:tcPr>
            <w:tcW w:w="0" w:type="pct"/>
            <w:shd w:val="clear" w:color="auto" w:fill="005CAF" w:themeFill="accent1"/>
            <w:vAlign w:val="center"/>
          </w:tcPr>
          <w:p w14:paraId="1D6073C5" w14:textId="77777777" w:rsidR="00EC7EC7" w:rsidRPr="00B5238E" w:rsidRDefault="00EC7EC7" w:rsidP="00C50D71">
            <w:pPr>
              <w:keepNext/>
              <w:keepLines/>
              <w:spacing w:before="60" w:after="60" w:line="240" w:lineRule="auto"/>
              <w:rPr>
                <w:b/>
                <w:bCs/>
                <w:color w:val="FFFFFF" w:themeColor="background1"/>
              </w:rPr>
            </w:pPr>
            <w:r w:rsidRPr="00B5238E">
              <w:rPr>
                <w:b/>
                <w:bCs/>
                <w:color w:val="FFFFFF" w:themeColor="background1"/>
              </w:rPr>
              <w:t>CH</w:t>
            </w:r>
            <w:r w:rsidRPr="00B5238E">
              <w:rPr>
                <w:b/>
                <w:bCs/>
                <w:color w:val="FFFFFF" w:themeColor="background1"/>
                <w:vertAlign w:val="subscript"/>
              </w:rPr>
              <w:t>4</w:t>
            </w:r>
          </w:p>
        </w:tc>
        <w:tc>
          <w:tcPr>
            <w:tcW w:w="0" w:type="pct"/>
            <w:gridSpan w:val="2"/>
            <w:shd w:val="clear" w:color="auto" w:fill="005CAF" w:themeFill="accent1"/>
            <w:vAlign w:val="center"/>
          </w:tcPr>
          <w:p w14:paraId="18461300" w14:textId="77777777" w:rsidR="00EC7EC7" w:rsidRPr="00B5238E" w:rsidRDefault="00EC7EC7" w:rsidP="00C50D71">
            <w:pPr>
              <w:keepNext/>
              <w:keepLines/>
              <w:spacing w:before="60" w:after="60" w:line="240" w:lineRule="auto"/>
              <w:rPr>
                <w:b/>
                <w:bCs/>
                <w:color w:val="FFFFFF" w:themeColor="background1"/>
              </w:rPr>
            </w:pPr>
            <w:r w:rsidRPr="00B5238E">
              <w:rPr>
                <w:b/>
                <w:bCs/>
                <w:color w:val="FFFFFF" w:themeColor="background1"/>
              </w:rPr>
              <w:t>N</w:t>
            </w:r>
            <w:r w:rsidRPr="00B5238E">
              <w:rPr>
                <w:b/>
                <w:bCs/>
                <w:color w:val="FFFFFF" w:themeColor="background1"/>
                <w:vertAlign w:val="subscript"/>
              </w:rPr>
              <w:t>2</w:t>
            </w:r>
            <w:r w:rsidRPr="00B5238E">
              <w:rPr>
                <w:b/>
                <w:bCs/>
                <w:color w:val="FFFFFF" w:themeColor="background1"/>
              </w:rPr>
              <w:t>O</w:t>
            </w:r>
          </w:p>
        </w:tc>
        <w:tc>
          <w:tcPr>
            <w:tcW w:w="0" w:type="pct"/>
            <w:shd w:val="clear" w:color="auto" w:fill="005CAF" w:themeFill="accent1"/>
          </w:tcPr>
          <w:p w14:paraId="5353B6F3" w14:textId="77777777" w:rsidR="00EC7EC7" w:rsidRDefault="00EC7EC7" w:rsidP="00C50D71">
            <w:pPr>
              <w:keepNext/>
              <w:keepLines/>
              <w:spacing w:before="60" w:after="60" w:line="240" w:lineRule="auto"/>
            </w:pPr>
          </w:p>
        </w:tc>
      </w:tr>
      <w:tr w:rsidR="00EC7EC7" w14:paraId="64AAB6E6" w14:textId="77777777" w:rsidTr="00C50D71">
        <w:trPr>
          <w:cnfStyle w:val="000000010000" w:firstRow="0" w:lastRow="0" w:firstColumn="0" w:lastColumn="0" w:oddVBand="0" w:evenVBand="0" w:oddHBand="0" w:evenHBand="1" w:firstRowFirstColumn="0" w:firstRowLastColumn="0" w:lastRowFirstColumn="0" w:lastRowLastColumn="0"/>
          <w:trHeight w:val="288"/>
        </w:trPr>
        <w:tc>
          <w:tcPr>
            <w:tcW w:w="920" w:type="pct"/>
          </w:tcPr>
          <w:p w14:paraId="4F10171D" w14:textId="77777777" w:rsidR="00EC7EC7" w:rsidRDefault="00EC7EC7" w:rsidP="00C50D71">
            <w:pPr>
              <w:keepNext/>
              <w:keepLines/>
              <w:spacing w:before="60" w:after="60" w:line="240" w:lineRule="auto"/>
            </w:pPr>
            <w:r>
              <w:t>Gas</w:t>
            </w:r>
          </w:p>
        </w:tc>
        <w:tc>
          <w:tcPr>
            <w:tcW w:w="720" w:type="pct"/>
          </w:tcPr>
          <w:p w14:paraId="37539D09" w14:textId="77777777" w:rsidR="00EC7EC7" w:rsidRDefault="00EC7EC7" w:rsidP="00C50D71">
            <w:pPr>
              <w:keepNext/>
              <w:keepLines/>
              <w:spacing w:before="60" w:after="60" w:line="240" w:lineRule="auto"/>
            </w:pPr>
            <w:r>
              <w:t>75</w:t>
            </w:r>
          </w:p>
        </w:tc>
        <w:tc>
          <w:tcPr>
            <w:tcW w:w="906" w:type="pct"/>
          </w:tcPr>
          <w:p w14:paraId="1DBC3285" w14:textId="77777777" w:rsidR="00EC7EC7" w:rsidRDefault="00EC7EC7" w:rsidP="00C50D71">
            <w:pPr>
              <w:keepNext/>
              <w:keepLines/>
              <w:spacing w:before="60" w:after="60" w:line="240" w:lineRule="auto"/>
            </w:pPr>
            <w:r>
              <w:t>54.4</w:t>
            </w:r>
          </w:p>
        </w:tc>
        <w:tc>
          <w:tcPr>
            <w:tcW w:w="518" w:type="pct"/>
          </w:tcPr>
          <w:p w14:paraId="57EAE065" w14:textId="77777777" w:rsidR="00EC7EC7" w:rsidRDefault="00EC7EC7" w:rsidP="00C50D71">
            <w:pPr>
              <w:keepNext/>
              <w:keepLines/>
              <w:spacing w:before="60" w:after="60" w:line="240" w:lineRule="auto"/>
            </w:pPr>
            <w:r>
              <w:t>51.4</w:t>
            </w:r>
          </w:p>
        </w:tc>
        <w:tc>
          <w:tcPr>
            <w:tcW w:w="497" w:type="pct"/>
          </w:tcPr>
          <w:p w14:paraId="68AF78DA" w14:textId="77777777" w:rsidR="00EC7EC7" w:rsidRDefault="00EC7EC7" w:rsidP="00C50D71">
            <w:pPr>
              <w:keepNext/>
              <w:keepLines/>
              <w:spacing w:before="60" w:after="60" w:line="240" w:lineRule="auto"/>
            </w:pPr>
            <w:r>
              <w:t>0.1</w:t>
            </w:r>
          </w:p>
        </w:tc>
        <w:tc>
          <w:tcPr>
            <w:tcW w:w="432" w:type="pct"/>
            <w:gridSpan w:val="2"/>
          </w:tcPr>
          <w:p w14:paraId="2EBC2E32" w14:textId="77777777" w:rsidR="00EC7EC7" w:rsidRDefault="00EC7EC7" w:rsidP="00C50D71">
            <w:pPr>
              <w:keepNext/>
              <w:keepLines/>
              <w:spacing w:before="60" w:after="60" w:line="240" w:lineRule="auto"/>
            </w:pPr>
            <w:r>
              <w:t>0.03</w:t>
            </w:r>
          </w:p>
        </w:tc>
        <w:tc>
          <w:tcPr>
            <w:tcW w:w="1008" w:type="pct"/>
          </w:tcPr>
          <w:p w14:paraId="0444F654" w14:textId="77777777" w:rsidR="00EC7EC7" w:rsidRDefault="00EC7EC7" w:rsidP="00C50D71">
            <w:pPr>
              <w:keepNext/>
              <w:keepLines/>
              <w:spacing w:before="60" w:after="60" w:line="240" w:lineRule="auto"/>
            </w:pPr>
            <w:r>
              <w:t>210</w:t>
            </w:r>
          </w:p>
        </w:tc>
      </w:tr>
      <w:tr w:rsidR="00EC7EC7" w14:paraId="42E7C6D3" w14:textId="77777777" w:rsidTr="00C50D71">
        <w:trPr>
          <w:cnfStyle w:val="000000100000" w:firstRow="0" w:lastRow="0" w:firstColumn="0" w:lastColumn="0" w:oddVBand="0" w:evenVBand="0" w:oddHBand="1" w:evenHBand="0" w:firstRowFirstColumn="0" w:firstRowLastColumn="0" w:lastRowFirstColumn="0" w:lastRowLastColumn="0"/>
          <w:trHeight w:val="279"/>
        </w:trPr>
        <w:tc>
          <w:tcPr>
            <w:tcW w:w="920" w:type="pct"/>
          </w:tcPr>
          <w:p w14:paraId="04379337" w14:textId="77777777" w:rsidR="00EC7EC7" w:rsidRDefault="00EC7EC7" w:rsidP="00C50D71">
            <w:pPr>
              <w:keepNext/>
              <w:keepLines/>
              <w:spacing w:before="60" w:after="60" w:line="240" w:lineRule="auto"/>
            </w:pPr>
            <w:r>
              <w:t>Thermal Coal</w:t>
            </w:r>
          </w:p>
        </w:tc>
        <w:tc>
          <w:tcPr>
            <w:tcW w:w="720" w:type="pct"/>
          </w:tcPr>
          <w:p w14:paraId="6317498B" w14:textId="77777777" w:rsidR="00EC7EC7" w:rsidRDefault="00EC7EC7" w:rsidP="00C50D71">
            <w:pPr>
              <w:keepNext/>
              <w:keepLines/>
              <w:spacing w:before="60" w:after="60" w:line="240" w:lineRule="auto"/>
            </w:pPr>
            <w:r>
              <w:t>210</w:t>
            </w:r>
          </w:p>
        </w:tc>
        <w:tc>
          <w:tcPr>
            <w:tcW w:w="906" w:type="pct"/>
          </w:tcPr>
          <w:p w14:paraId="0F6D4BEA" w14:textId="77777777" w:rsidR="00EC7EC7" w:rsidRDefault="00EC7EC7" w:rsidP="00C50D71">
            <w:pPr>
              <w:keepNext/>
              <w:keepLines/>
              <w:spacing w:before="60" w:after="60" w:line="240" w:lineRule="auto"/>
            </w:pPr>
            <w:r>
              <w:t>27.0</w:t>
            </w:r>
          </w:p>
        </w:tc>
        <w:tc>
          <w:tcPr>
            <w:tcW w:w="518" w:type="pct"/>
          </w:tcPr>
          <w:p w14:paraId="6F06117E" w14:textId="77777777" w:rsidR="00EC7EC7" w:rsidRDefault="00EC7EC7" w:rsidP="00C50D71">
            <w:pPr>
              <w:keepNext/>
              <w:keepLines/>
              <w:spacing w:before="60" w:after="60" w:line="240" w:lineRule="auto"/>
            </w:pPr>
            <w:r>
              <w:t>90</w:t>
            </w:r>
          </w:p>
        </w:tc>
        <w:tc>
          <w:tcPr>
            <w:tcW w:w="497" w:type="pct"/>
          </w:tcPr>
          <w:p w14:paraId="56DA0589" w14:textId="77777777" w:rsidR="00EC7EC7" w:rsidRDefault="00EC7EC7" w:rsidP="00C50D71">
            <w:pPr>
              <w:keepNext/>
              <w:keepLines/>
              <w:spacing w:before="60" w:after="60" w:line="240" w:lineRule="auto"/>
            </w:pPr>
            <w:r>
              <w:t>0.03</w:t>
            </w:r>
          </w:p>
        </w:tc>
        <w:tc>
          <w:tcPr>
            <w:tcW w:w="432" w:type="pct"/>
            <w:gridSpan w:val="2"/>
          </w:tcPr>
          <w:p w14:paraId="05132EDE" w14:textId="77777777" w:rsidR="00EC7EC7" w:rsidRDefault="00EC7EC7" w:rsidP="00C50D71">
            <w:pPr>
              <w:keepNext/>
              <w:keepLines/>
              <w:spacing w:before="60" w:after="60" w:line="240" w:lineRule="auto"/>
            </w:pPr>
            <w:r>
              <w:t>0.2</w:t>
            </w:r>
          </w:p>
        </w:tc>
        <w:tc>
          <w:tcPr>
            <w:tcW w:w="1008" w:type="pct"/>
          </w:tcPr>
          <w:p w14:paraId="4BF9A2CF" w14:textId="77777777" w:rsidR="00EC7EC7" w:rsidRDefault="00EC7EC7" w:rsidP="00C50D71">
            <w:pPr>
              <w:keepNext/>
              <w:keepLines/>
              <w:spacing w:before="60" w:after="60" w:line="240" w:lineRule="auto"/>
            </w:pPr>
            <w:r>
              <w:t>511</w:t>
            </w:r>
          </w:p>
        </w:tc>
      </w:tr>
    </w:tbl>
    <w:p w14:paraId="2CEB6DA8" w14:textId="43E919A1" w:rsidR="00066160" w:rsidRPr="00AF7375" w:rsidRDefault="00EC7EC7" w:rsidP="005974BD">
      <w:pPr>
        <w:pStyle w:val="Source"/>
        <w:spacing w:before="60"/>
      </w:pPr>
      <w:r w:rsidRPr="00AF7375">
        <w:t>Source: Burke et. al (2022)</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082213" w:rsidRPr="00AF7375" w14:paraId="7021F16C" w14:textId="77777777" w:rsidTr="0024242F">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F1CFCF"/>
          </w:tcPr>
          <w:p w14:paraId="01032152" w14:textId="51FDF35F" w:rsidR="00082213" w:rsidRPr="00AF7375" w:rsidRDefault="00082213" w:rsidP="00C50D71">
            <w:pPr>
              <w:widowControl w:val="0"/>
              <w:spacing w:beforeLines="60" w:before="144" w:afterLines="60" w:after="144"/>
              <w:ind w:left="113" w:right="113"/>
              <w:jc w:val="both"/>
              <w:rPr>
                <w:rFonts w:eastAsia="Times New Roman" w:cs="Arial"/>
                <w:sz w:val="20"/>
                <w:szCs w:val="18"/>
                <w:lang w:val="en"/>
              </w:rPr>
            </w:pPr>
            <w:r w:rsidRPr="00AF7375">
              <w:rPr>
                <w:rFonts w:eastAsia="Times New Roman" w:cs="Arial"/>
                <w:b/>
                <w:bCs/>
                <w:color w:val="auto"/>
                <w:sz w:val="20"/>
                <w:szCs w:val="18"/>
                <w:lang w:val="en"/>
              </w:rPr>
              <w:t xml:space="preserve">Insight: </w:t>
            </w:r>
            <w:r w:rsidRPr="00AF7375">
              <w:rPr>
                <w:rFonts w:eastAsia="Times New Roman" w:cs="Arial"/>
                <w:color w:val="auto"/>
                <w:sz w:val="20"/>
                <w:szCs w:val="18"/>
                <w:lang w:val="en"/>
              </w:rPr>
              <w:t xml:space="preserve">Gas can reduce emissions in the medium term if it replaces more emissions intensive fuels. However, there are sizable emissions from </w:t>
            </w:r>
            <w:r w:rsidR="00BE37A8">
              <w:rPr>
                <w:rFonts w:eastAsia="Times New Roman" w:cs="Arial"/>
                <w:color w:val="auto"/>
                <w:sz w:val="20"/>
                <w:szCs w:val="18"/>
                <w:lang w:val="en"/>
              </w:rPr>
              <w:t>the supply</w:t>
            </w:r>
            <w:r w:rsidRPr="00AF7375">
              <w:rPr>
                <w:rFonts w:eastAsia="Times New Roman" w:cs="Arial"/>
                <w:color w:val="auto"/>
                <w:sz w:val="20"/>
                <w:szCs w:val="18"/>
                <w:lang w:val="en"/>
              </w:rPr>
              <w:t xml:space="preserve"> and </w:t>
            </w:r>
            <w:r w:rsidR="00BE37A8">
              <w:rPr>
                <w:rFonts w:eastAsia="Times New Roman" w:cs="Arial"/>
                <w:color w:val="auto"/>
                <w:sz w:val="20"/>
                <w:szCs w:val="18"/>
                <w:lang w:val="en"/>
              </w:rPr>
              <w:t xml:space="preserve">use </w:t>
            </w:r>
            <w:r w:rsidR="00B64780">
              <w:rPr>
                <w:rFonts w:eastAsia="Times New Roman" w:cs="Arial"/>
                <w:color w:val="auto"/>
                <w:sz w:val="20"/>
                <w:szCs w:val="18"/>
                <w:lang w:val="en"/>
              </w:rPr>
              <w:t xml:space="preserve">of </w:t>
            </w:r>
            <w:r w:rsidRPr="00AF7375">
              <w:rPr>
                <w:rFonts w:eastAsia="Times New Roman" w:cs="Arial"/>
                <w:color w:val="auto"/>
                <w:sz w:val="20"/>
                <w:szCs w:val="18"/>
                <w:lang w:val="en"/>
              </w:rPr>
              <w:t>gas</w:t>
            </w:r>
            <w:r w:rsidR="00BE37A8">
              <w:rPr>
                <w:rFonts w:eastAsia="Times New Roman" w:cs="Arial"/>
                <w:color w:val="auto"/>
                <w:sz w:val="20"/>
                <w:szCs w:val="18"/>
                <w:lang w:val="en"/>
              </w:rPr>
              <w:t>. To</w:t>
            </w:r>
            <w:r w:rsidR="00DE49E1">
              <w:rPr>
                <w:rFonts w:eastAsia="Times New Roman" w:cs="Arial"/>
                <w:color w:val="auto"/>
                <w:sz w:val="20"/>
                <w:szCs w:val="18"/>
                <w:lang w:val="en"/>
              </w:rPr>
              <w:t xml:space="preserve"> reach</w:t>
            </w:r>
            <w:r w:rsidRPr="00AF7375">
              <w:rPr>
                <w:rFonts w:eastAsia="Times New Roman" w:cs="Arial"/>
                <w:color w:val="auto"/>
                <w:sz w:val="20"/>
                <w:szCs w:val="18"/>
                <w:lang w:val="en"/>
              </w:rPr>
              <w:t xml:space="preserve"> net zero, </w:t>
            </w:r>
            <w:r w:rsidR="00BE37A8">
              <w:rPr>
                <w:rFonts w:eastAsia="Times New Roman" w:cs="Arial"/>
                <w:color w:val="auto"/>
                <w:sz w:val="20"/>
                <w:szCs w:val="18"/>
                <w:lang w:val="en"/>
              </w:rPr>
              <w:t xml:space="preserve">this </w:t>
            </w:r>
            <w:r w:rsidR="00615933">
              <w:rPr>
                <w:rFonts w:eastAsia="Times New Roman" w:cs="Arial"/>
                <w:color w:val="auto"/>
                <w:sz w:val="20"/>
                <w:szCs w:val="18"/>
                <w:lang w:val="en"/>
              </w:rPr>
              <w:t>transitional</w:t>
            </w:r>
            <w:r w:rsidR="00BE37A8">
              <w:rPr>
                <w:rFonts w:eastAsia="Times New Roman" w:cs="Arial"/>
                <w:color w:val="auto"/>
                <w:sz w:val="20"/>
                <w:szCs w:val="18"/>
                <w:lang w:val="en"/>
              </w:rPr>
              <w:t xml:space="preserve"> use of gas must </w:t>
            </w:r>
            <w:r w:rsidRPr="00AF7375">
              <w:rPr>
                <w:rFonts w:eastAsia="Times New Roman" w:cs="Arial"/>
                <w:color w:val="auto"/>
                <w:sz w:val="20"/>
                <w:szCs w:val="18"/>
                <w:lang w:val="en"/>
              </w:rPr>
              <w:t xml:space="preserve">be </w:t>
            </w:r>
            <w:r w:rsidR="00BE37A8">
              <w:rPr>
                <w:rFonts w:eastAsia="Times New Roman" w:cs="Arial"/>
                <w:color w:val="auto"/>
                <w:sz w:val="20"/>
                <w:szCs w:val="18"/>
                <w:lang w:val="en"/>
              </w:rPr>
              <w:t xml:space="preserve">replaced </w:t>
            </w:r>
            <w:r w:rsidR="00B64780">
              <w:rPr>
                <w:rFonts w:eastAsia="Times New Roman" w:cs="Arial"/>
                <w:color w:val="auto"/>
                <w:sz w:val="20"/>
                <w:szCs w:val="18"/>
                <w:lang w:val="en"/>
              </w:rPr>
              <w:t>either wholly or in part</w:t>
            </w:r>
            <w:r w:rsidR="00BE37A8">
              <w:rPr>
                <w:rFonts w:eastAsia="Times New Roman" w:cs="Arial"/>
                <w:color w:val="auto"/>
                <w:sz w:val="20"/>
                <w:szCs w:val="18"/>
                <w:lang w:val="en"/>
              </w:rPr>
              <w:t xml:space="preserve"> with a low-carbon alternative and</w:t>
            </w:r>
            <w:r w:rsidRPr="00AF7375">
              <w:rPr>
                <w:rFonts w:eastAsia="Times New Roman" w:cs="Arial"/>
                <w:color w:val="auto"/>
                <w:sz w:val="20"/>
                <w:szCs w:val="18"/>
                <w:lang w:val="en"/>
              </w:rPr>
              <w:t xml:space="preserve"> all remaining emissions </w:t>
            </w:r>
            <w:r w:rsidR="00BE37A8">
              <w:rPr>
                <w:rFonts w:eastAsia="Times New Roman" w:cs="Arial"/>
                <w:color w:val="auto"/>
                <w:sz w:val="20"/>
                <w:szCs w:val="18"/>
                <w:lang w:val="en"/>
              </w:rPr>
              <w:t xml:space="preserve">from gas </w:t>
            </w:r>
            <w:r w:rsidRPr="00AF7375">
              <w:rPr>
                <w:rFonts w:eastAsia="Times New Roman" w:cs="Arial"/>
                <w:color w:val="auto"/>
                <w:sz w:val="20"/>
                <w:szCs w:val="18"/>
                <w:lang w:val="en"/>
              </w:rPr>
              <w:t>must be abated or offset</w:t>
            </w:r>
            <w:r>
              <w:rPr>
                <w:rFonts w:eastAsia="Times New Roman" w:cs="Arial"/>
                <w:color w:val="auto"/>
                <w:sz w:val="20"/>
                <w:szCs w:val="18"/>
                <w:lang w:val="en"/>
              </w:rPr>
              <w:t>.</w:t>
            </w:r>
          </w:p>
        </w:tc>
      </w:tr>
    </w:tbl>
    <w:p w14:paraId="54D031C2" w14:textId="77777777" w:rsidR="00EC7EC7" w:rsidRPr="00AF7375" w:rsidRDefault="00EC7EC7" w:rsidP="003752B0">
      <w:pPr>
        <w:pStyle w:val="Heading3"/>
        <w:spacing w:before="120"/>
        <w:rPr>
          <w:rFonts w:asciiTheme="minorHAnsi" w:hAnsiTheme="minorHAnsi" w:cstheme="minorHAnsi"/>
        </w:rPr>
      </w:pPr>
      <w:r>
        <w:t>Comparing Australian upstream and midstream emissions to foreign LNG exporters</w:t>
      </w:r>
    </w:p>
    <w:p w14:paraId="2FBDBEA7" w14:textId="4880F346" w:rsidR="0024139D" w:rsidRDefault="0024139D" w:rsidP="0024139D">
      <w:pPr>
        <w:spacing w:after="120"/>
        <w:rPr>
          <w:color w:val="373737"/>
          <w:sz w:val="20"/>
        </w:rPr>
      </w:pPr>
      <w:r w:rsidRPr="0024139D">
        <w:rPr>
          <w:color w:val="373737"/>
          <w:sz w:val="20"/>
        </w:rPr>
        <w:t xml:space="preserve">The gas supply chain can be </w:t>
      </w:r>
      <w:r w:rsidR="00DE49E1">
        <w:rPr>
          <w:color w:val="373737"/>
          <w:sz w:val="20"/>
        </w:rPr>
        <w:t>grouped into three categories -</w:t>
      </w:r>
      <w:r w:rsidRPr="0024139D" w:rsidDel="00DE49E1">
        <w:rPr>
          <w:color w:val="373737"/>
          <w:sz w:val="20"/>
        </w:rPr>
        <w:t xml:space="preserve"> </w:t>
      </w:r>
      <w:r w:rsidRPr="0024139D">
        <w:rPr>
          <w:color w:val="373737"/>
          <w:sz w:val="20"/>
        </w:rPr>
        <w:t>upstream activities (</w:t>
      </w:r>
      <w:r w:rsidR="00791307">
        <w:rPr>
          <w:color w:val="373737"/>
          <w:sz w:val="20"/>
        </w:rPr>
        <w:t xml:space="preserve">such as </w:t>
      </w:r>
      <w:r w:rsidRPr="0024139D">
        <w:rPr>
          <w:color w:val="373737"/>
          <w:sz w:val="20"/>
        </w:rPr>
        <w:t>drilling, flaring, methane losses, processing, production and venting), midstream activities (</w:t>
      </w:r>
      <w:r w:rsidR="00791307">
        <w:rPr>
          <w:color w:val="373737"/>
          <w:sz w:val="20"/>
        </w:rPr>
        <w:t xml:space="preserve">such as </w:t>
      </w:r>
      <w:r w:rsidRPr="0024139D">
        <w:rPr>
          <w:color w:val="373737"/>
          <w:sz w:val="20"/>
        </w:rPr>
        <w:t>pipeline, liquefaction, shipping and regasification) and downstream activities (consumption). Upstream, pipeline and liquefaction emissions are related to the nature of the fields and the emissions from activities involved in the production, processing and transportation of the gas. Australia’s upstream, pipeline and liquefaction emissions intensity compared to other gas exporters will become increasingly important in a carbon</w:t>
      </w:r>
      <w:r w:rsidR="00DE49E1">
        <w:rPr>
          <w:color w:val="373737"/>
          <w:sz w:val="20"/>
        </w:rPr>
        <w:t>-</w:t>
      </w:r>
      <w:r w:rsidRPr="0024139D">
        <w:rPr>
          <w:color w:val="373737"/>
          <w:sz w:val="20"/>
        </w:rPr>
        <w:t>constrained world, especially if carbon prices are adopted globally or for trade.</w:t>
      </w:r>
    </w:p>
    <w:p w14:paraId="607940C6" w14:textId="72CD6A04" w:rsidR="00651ED4" w:rsidRDefault="00651ED4" w:rsidP="00651ED4">
      <w:pPr>
        <w:spacing w:after="120"/>
        <w:rPr>
          <w:color w:val="373737"/>
          <w:sz w:val="20"/>
        </w:rPr>
      </w:pPr>
      <w:r>
        <w:rPr>
          <w:color w:val="373737"/>
          <w:sz w:val="20"/>
        </w:rPr>
        <w:t>Focusing only on LNG that is loaded onto</w:t>
      </w:r>
      <w:r w:rsidR="00B64780">
        <w:rPr>
          <w:color w:val="373737"/>
          <w:sz w:val="20"/>
        </w:rPr>
        <w:t xml:space="preserve"> </w:t>
      </w:r>
      <w:r>
        <w:rPr>
          <w:color w:val="373737"/>
          <w:sz w:val="20"/>
        </w:rPr>
        <w:t>vessel</w:t>
      </w:r>
      <w:r w:rsidR="00B64780">
        <w:rPr>
          <w:color w:val="373737"/>
          <w:sz w:val="20"/>
        </w:rPr>
        <w:t>s</w:t>
      </w:r>
      <w:r>
        <w:rPr>
          <w:color w:val="373737"/>
          <w:sz w:val="20"/>
        </w:rPr>
        <w:t>, a</w:t>
      </w:r>
      <w:r w:rsidRPr="00AF7375">
        <w:rPr>
          <w:color w:val="373737"/>
          <w:sz w:val="20"/>
        </w:rPr>
        <w:t xml:space="preserve">verage Australian upstream emissions from gas production </w:t>
      </w:r>
      <w:r w:rsidR="00B64780">
        <w:rPr>
          <w:color w:val="373737"/>
          <w:sz w:val="20"/>
        </w:rPr>
        <w:t>are</w:t>
      </w:r>
      <w:r w:rsidR="00B64780" w:rsidRPr="00AF7375">
        <w:rPr>
          <w:color w:val="373737"/>
          <w:sz w:val="20"/>
        </w:rPr>
        <w:t xml:space="preserve"> </w:t>
      </w:r>
      <w:r w:rsidRPr="00AF7375">
        <w:rPr>
          <w:color w:val="373737"/>
          <w:sz w:val="20"/>
        </w:rPr>
        <w:t xml:space="preserve">estimated to be </w:t>
      </w:r>
      <w:r w:rsidRPr="0024139D">
        <w:rPr>
          <w:color w:val="373737"/>
          <w:sz w:val="20"/>
        </w:rPr>
        <w:t xml:space="preserve">around </w:t>
      </w:r>
      <w:r>
        <w:rPr>
          <w:color w:val="373737"/>
          <w:sz w:val="20"/>
        </w:rPr>
        <w:t>2.</w:t>
      </w:r>
      <w:r w:rsidRPr="0024139D">
        <w:rPr>
          <w:color w:val="373737"/>
          <w:sz w:val="20"/>
        </w:rPr>
        <w:t>1</w:t>
      </w:r>
      <w:r>
        <w:rPr>
          <w:color w:val="373737"/>
          <w:sz w:val="20"/>
        </w:rPr>
        <w:t xml:space="preserve"> grams (</w:t>
      </w:r>
      <w:r w:rsidRPr="0024139D">
        <w:rPr>
          <w:color w:val="373737"/>
          <w:sz w:val="20"/>
        </w:rPr>
        <w:t>g</w:t>
      </w:r>
      <w:r>
        <w:rPr>
          <w:color w:val="373737"/>
          <w:sz w:val="20"/>
        </w:rPr>
        <w:t>)</w:t>
      </w:r>
      <w:r w:rsidRPr="00AF7375">
        <w:rPr>
          <w:color w:val="373737"/>
          <w:sz w:val="20"/>
        </w:rPr>
        <w:t xml:space="preserve"> </w:t>
      </w:r>
      <w:r>
        <w:rPr>
          <w:color w:val="373737"/>
          <w:sz w:val="20"/>
        </w:rPr>
        <w:t>CO</w:t>
      </w:r>
      <w:r>
        <w:rPr>
          <w:color w:val="373737"/>
          <w:sz w:val="20"/>
          <w:vertAlign w:val="subscript"/>
        </w:rPr>
        <w:t>2</w:t>
      </w:r>
      <w:r w:rsidRPr="00AF7375">
        <w:rPr>
          <w:color w:val="373737"/>
          <w:sz w:val="20"/>
        </w:rPr>
        <w:t xml:space="preserve">-e per </w:t>
      </w:r>
      <w:r>
        <w:rPr>
          <w:color w:val="373737"/>
          <w:sz w:val="20"/>
        </w:rPr>
        <w:t>megajoule (</w:t>
      </w:r>
      <w:r w:rsidRPr="00AF7375">
        <w:rPr>
          <w:color w:val="373737"/>
          <w:sz w:val="20"/>
        </w:rPr>
        <w:t>MJ</w:t>
      </w:r>
      <w:r>
        <w:rPr>
          <w:color w:val="373737"/>
          <w:sz w:val="20"/>
        </w:rPr>
        <w:t>)</w:t>
      </w:r>
      <w:r w:rsidRPr="0024139D">
        <w:rPr>
          <w:color w:val="373737"/>
          <w:sz w:val="20"/>
        </w:rPr>
        <w:t>.</w:t>
      </w:r>
      <w:r w:rsidRPr="00AF7375">
        <w:rPr>
          <w:color w:val="373737"/>
          <w:sz w:val="20"/>
        </w:rPr>
        <w:t xml:space="preserve"> This is </w:t>
      </w:r>
      <w:r>
        <w:rPr>
          <w:color w:val="373737"/>
          <w:sz w:val="20"/>
        </w:rPr>
        <w:t xml:space="preserve">below </w:t>
      </w:r>
      <w:r w:rsidRPr="00AF7375">
        <w:rPr>
          <w:color w:val="373737"/>
          <w:sz w:val="20"/>
        </w:rPr>
        <w:t xml:space="preserve">the global average of </w:t>
      </w:r>
      <w:r>
        <w:rPr>
          <w:color w:val="373737"/>
          <w:sz w:val="20"/>
        </w:rPr>
        <w:t>3.</w:t>
      </w:r>
      <w:r w:rsidRPr="00AF7375">
        <w:rPr>
          <w:color w:val="373737"/>
          <w:sz w:val="20"/>
        </w:rPr>
        <w:t xml:space="preserve">6g </w:t>
      </w:r>
      <w:r>
        <w:rPr>
          <w:color w:val="373737"/>
          <w:sz w:val="20"/>
        </w:rPr>
        <w:t>CO</w:t>
      </w:r>
      <w:r w:rsidRPr="00615933">
        <w:rPr>
          <w:color w:val="373737"/>
          <w:sz w:val="20"/>
          <w:vertAlign w:val="subscript"/>
        </w:rPr>
        <w:t>2</w:t>
      </w:r>
      <w:r w:rsidRPr="00AF7375">
        <w:rPr>
          <w:color w:val="373737"/>
          <w:sz w:val="20"/>
        </w:rPr>
        <w:t>-e per MJ (Figure</w:t>
      </w:r>
      <w:r w:rsidRPr="0024139D">
        <w:rPr>
          <w:color w:val="373737"/>
          <w:sz w:val="20"/>
        </w:rPr>
        <w:t xml:space="preserve"> 2.</w:t>
      </w:r>
      <w:r w:rsidR="0095668A">
        <w:rPr>
          <w:color w:val="373737"/>
          <w:sz w:val="20"/>
        </w:rPr>
        <w:t>6</w:t>
      </w:r>
      <w:r w:rsidRPr="0024139D">
        <w:rPr>
          <w:color w:val="373737"/>
          <w:sz w:val="20"/>
        </w:rPr>
        <w:t>).</w:t>
      </w:r>
      <w:r w:rsidRPr="00AF7375">
        <w:rPr>
          <w:color w:val="373737"/>
          <w:sz w:val="20"/>
        </w:rPr>
        <w:t xml:space="preserve"> </w:t>
      </w:r>
      <w:r>
        <w:rPr>
          <w:color w:val="373737"/>
          <w:sz w:val="20"/>
        </w:rPr>
        <w:t xml:space="preserve">However, this global average is heavily skewed by US upstream emissions, which are much higher than other major producers due to the nature of unconventional production as well as the distances that gas travels from the basin to </w:t>
      </w:r>
      <w:r w:rsidR="00B64780">
        <w:rPr>
          <w:color w:val="373737"/>
          <w:sz w:val="20"/>
        </w:rPr>
        <w:t xml:space="preserve">the </w:t>
      </w:r>
      <w:r>
        <w:rPr>
          <w:color w:val="373737"/>
          <w:sz w:val="20"/>
        </w:rPr>
        <w:t xml:space="preserve">liquefaction plant. </w:t>
      </w:r>
      <w:r w:rsidRPr="00AF7375">
        <w:rPr>
          <w:color w:val="373737"/>
          <w:sz w:val="20"/>
        </w:rPr>
        <w:t xml:space="preserve">Across major exporters, Australian </w:t>
      </w:r>
      <w:r>
        <w:rPr>
          <w:color w:val="373737"/>
          <w:sz w:val="20"/>
        </w:rPr>
        <w:t xml:space="preserve">upstream </w:t>
      </w:r>
      <w:r w:rsidRPr="00AF7375">
        <w:rPr>
          <w:color w:val="373737"/>
          <w:sz w:val="20"/>
        </w:rPr>
        <w:t xml:space="preserve">emissions intensity is </w:t>
      </w:r>
      <w:r>
        <w:rPr>
          <w:color w:val="373737"/>
          <w:sz w:val="20"/>
        </w:rPr>
        <w:t xml:space="preserve">higher </w:t>
      </w:r>
      <w:r w:rsidRPr="00AF7375">
        <w:rPr>
          <w:color w:val="373737"/>
          <w:sz w:val="20"/>
        </w:rPr>
        <w:t xml:space="preserve">than </w:t>
      </w:r>
      <w:r>
        <w:rPr>
          <w:color w:val="373737"/>
          <w:sz w:val="20"/>
        </w:rPr>
        <w:t>Papua New Guinea (0.6 g</w:t>
      </w:r>
      <w:r w:rsidRPr="00AF7375">
        <w:rPr>
          <w:color w:val="373737"/>
          <w:sz w:val="20"/>
        </w:rPr>
        <w:t xml:space="preserve"> </w:t>
      </w:r>
      <w:r>
        <w:rPr>
          <w:color w:val="373737"/>
          <w:sz w:val="20"/>
        </w:rPr>
        <w:t>CO</w:t>
      </w:r>
      <w:r>
        <w:rPr>
          <w:color w:val="373737"/>
          <w:sz w:val="20"/>
          <w:vertAlign w:val="subscript"/>
        </w:rPr>
        <w:t>2</w:t>
      </w:r>
      <w:r w:rsidRPr="00AF7375">
        <w:rPr>
          <w:color w:val="373737"/>
          <w:sz w:val="20"/>
        </w:rPr>
        <w:t>-e per MJ), Qatar (</w:t>
      </w:r>
      <w:r>
        <w:rPr>
          <w:color w:val="373737"/>
          <w:sz w:val="20"/>
        </w:rPr>
        <w:t>1.3</w:t>
      </w:r>
      <w:r w:rsidRPr="00AF7375">
        <w:rPr>
          <w:color w:val="373737"/>
          <w:sz w:val="20"/>
        </w:rPr>
        <w:t xml:space="preserve">g </w:t>
      </w:r>
      <w:r>
        <w:rPr>
          <w:color w:val="373737"/>
          <w:sz w:val="20"/>
        </w:rPr>
        <w:t>CO</w:t>
      </w:r>
      <w:r>
        <w:rPr>
          <w:color w:val="373737"/>
          <w:sz w:val="20"/>
          <w:vertAlign w:val="subscript"/>
        </w:rPr>
        <w:t>2</w:t>
      </w:r>
      <w:r w:rsidRPr="00AF7375">
        <w:rPr>
          <w:color w:val="373737"/>
          <w:sz w:val="20"/>
        </w:rPr>
        <w:t xml:space="preserve">-e per MJ), </w:t>
      </w:r>
      <w:r>
        <w:rPr>
          <w:color w:val="373737"/>
          <w:sz w:val="20"/>
        </w:rPr>
        <w:t>and Indonesia (1.55</w:t>
      </w:r>
      <w:r w:rsidRPr="00AF7375">
        <w:rPr>
          <w:color w:val="373737"/>
          <w:sz w:val="20"/>
        </w:rPr>
        <w:t xml:space="preserve">g </w:t>
      </w:r>
      <w:r>
        <w:rPr>
          <w:color w:val="373737"/>
          <w:sz w:val="20"/>
        </w:rPr>
        <w:t>CO</w:t>
      </w:r>
      <w:r>
        <w:rPr>
          <w:color w:val="373737"/>
          <w:sz w:val="20"/>
          <w:vertAlign w:val="subscript"/>
        </w:rPr>
        <w:t>2</w:t>
      </w:r>
      <w:r w:rsidRPr="00AF7375">
        <w:rPr>
          <w:color w:val="373737"/>
          <w:sz w:val="20"/>
        </w:rPr>
        <w:t>-e per MJ</w:t>
      </w:r>
      <w:r>
        <w:rPr>
          <w:color w:val="373737"/>
          <w:sz w:val="20"/>
        </w:rPr>
        <w:t>). However, it is slightly lower than Malaysia (2.24g CO</w:t>
      </w:r>
      <w:r>
        <w:rPr>
          <w:color w:val="373737"/>
          <w:sz w:val="20"/>
          <w:vertAlign w:val="subscript"/>
        </w:rPr>
        <w:t>2</w:t>
      </w:r>
      <w:r w:rsidRPr="00AF7375">
        <w:rPr>
          <w:color w:val="373737"/>
          <w:sz w:val="20"/>
        </w:rPr>
        <w:t>-e per MJ</w:t>
      </w:r>
      <w:r>
        <w:rPr>
          <w:color w:val="373737"/>
          <w:sz w:val="20"/>
        </w:rPr>
        <w:t>) and substantially lower than the U</w:t>
      </w:r>
      <w:r w:rsidR="007978AE">
        <w:rPr>
          <w:color w:val="373737"/>
          <w:sz w:val="20"/>
        </w:rPr>
        <w:t xml:space="preserve">nited </w:t>
      </w:r>
      <w:r>
        <w:rPr>
          <w:color w:val="373737"/>
          <w:sz w:val="20"/>
        </w:rPr>
        <w:t>S</w:t>
      </w:r>
      <w:r w:rsidR="007978AE">
        <w:rPr>
          <w:color w:val="373737"/>
          <w:sz w:val="20"/>
        </w:rPr>
        <w:t>tates (</w:t>
      </w:r>
      <w:r>
        <w:rPr>
          <w:color w:val="373737"/>
          <w:sz w:val="20"/>
        </w:rPr>
        <w:t>US</w:t>
      </w:r>
      <w:r w:rsidR="007978AE">
        <w:rPr>
          <w:color w:val="373737"/>
          <w:sz w:val="20"/>
        </w:rPr>
        <w:t>)</w:t>
      </w:r>
      <w:r>
        <w:rPr>
          <w:color w:val="373737"/>
          <w:sz w:val="20"/>
        </w:rPr>
        <w:t xml:space="preserve"> (10.0</w:t>
      </w:r>
      <w:r w:rsidRPr="00AF7375">
        <w:rPr>
          <w:color w:val="373737"/>
          <w:sz w:val="20"/>
        </w:rPr>
        <w:t xml:space="preserve">g </w:t>
      </w:r>
      <w:r>
        <w:rPr>
          <w:color w:val="373737"/>
          <w:sz w:val="20"/>
        </w:rPr>
        <w:t>CO</w:t>
      </w:r>
      <w:r>
        <w:rPr>
          <w:color w:val="373737"/>
          <w:sz w:val="20"/>
          <w:vertAlign w:val="subscript"/>
        </w:rPr>
        <w:t>2</w:t>
      </w:r>
      <w:r w:rsidRPr="00AF7375">
        <w:rPr>
          <w:color w:val="373737"/>
          <w:sz w:val="20"/>
        </w:rPr>
        <w:t>-e per MJ</w:t>
      </w:r>
      <w:r>
        <w:rPr>
          <w:color w:val="373737"/>
          <w:sz w:val="20"/>
        </w:rPr>
        <w:t>).</w:t>
      </w:r>
      <w:r w:rsidRPr="00AF7375" w:rsidDel="00870382">
        <w:rPr>
          <w:color w:val="373737"/>
          <w:sz w:val="20"/>
        </w:rPr>
        <w:t xml:space="preserve"> </w:t>
      </w:r>
    </w:p>
    <w:p w14:paraId="349E8C11" w14:textId="23465E39" w:rsidR="00EC7EC7" w:rsidRPr="00AF7375" w:rsidRDefault="00EC7EC7" w:rsidP="00C97679">
      <w:pPr>
        <w:pStyle w:val="Caption"/>
        <w:rPr>
          <w:rFonts w:cs="Arial"/>
          <w:sz w:val="16"/>
        </w:rPr>
      </w:pPr>
      <w:r w:rsidRPr="00AF7375">
        <w:t xml:space="preserve">Figure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rsidRPr="00AF7375">
        <w:t>.</w:t>
      </w:r>
      <w:r w:rsidR="006877E8">
        <w:fldChar w:fldCharType="begin"/>
      </w:r>
      <w:r w:rsidR="006877E8">
        <w:rPr>
          <w:rFonts w:eastAsia="Times New Roman" w:cstheme="majorHAnsi"/>
          <w:szCs w:val="20"/>
          <w:lang w:val="en"/>
        </w:rPr>
        <w:instrText xml:space="preserve"> SEQ Figure \* ARABIC \s 1 </w:instrText>
      </w:r>
      <w:r w:rsidR="006877E8">
        <w:fldChar w:fldCharType="separate"/>
      </w:r>
      <w:r w:rsidR="00BF178A">
        <w:rPr>
          <w:rFonts w:eastAsia="Times New Roman" w:cstheme="majorHAnsi"/>
          <w:noProof/>
          <w:szCs w:val="20"/>
          <w:lang w:val="en"/>
        </w:rPr>
        <w:t>6</w:t>
      </w:r>
      <w:r w:rsidR="006877E8">
        <w:fldChar w:fldCharType="end"/>
      </w:r>
      <w:r w:rsidRPr="00AF7375">
        <w:t xml:space="preserve">: </w:t>
      </w:r>
      <w:bookmarkStart w:id="60" w:name="_Hlk165377469"/>
      <w:r w:rsidR="005A1974">
        <w:t xml:space="preserve">LNG </w:t>
      </w:r>
      <w:r w:rsidR="00DE49E1" w:rsidRPr="00DE49E1">
        <w:t xml:space="preserve">export emissions </w:t>
      </w:r>
      <w:r w:rsidR="00C97939">
        <w:t xml:space="preserve">intensity </w:t>
      </w:r>
      <w:r w:rsidR="00DE49E1" w:rsidRPr="00DE49E1">
        <w:t>across the world</w:t>
      </w:r>
      <w:r w:rsidR="0052610C">
        <w:t>, normal operating conditions</w:t>
      </w:r>
    </w:p>
    <w:bookmarkEnd w:id="60"/>
    <w:p w14:paraId="41702ACA" w14:textId="10F19348" w:rsidR="00EC7EC7" w:rsidRPr="00AF7375" w:rsidRDefault="005E76CF" w:rsidP="00932AAD">
      <w:pPr>
        <w:pStyle w:val="Source"/>
      </w:pPr>
      <w:r>
        <w:rPr>
          <w:noProof/>
        </w:rPr>
        <w:drawing>
          <wp:inline distT="0" distB="0" distL="0" distR="0" wp14:anchorId="381521C5" wp14:editId="424A09ED">
            <wp:extent cx="4206875" cy="2225040"/>
            <wp:effectExtent l="0" t="0" r="3175" b="3810"/>
            <wp:docPr id="33" name="Chart 33" descr="This figure shows global LNG export emissions by category, quantified in g CO2-e/MJ under normal operating conditions. Australia's total LNG export emissions stand at 9.54 g CO2-e/MJ, marginally lower than the global average of 9.74 g CO2-e/MJ. The average upstream emissions from Australian gas production are approximately 2.1 g CO2-e/MJ, which is less than the global average of 3.6 g CO2-e/MJ but higher than those from gas production in Qatar and PNG. Among the countries listed, including PNG, Qatar, Australia, Malaysia, and Indonesia, the US has the highest LNG export emissions at 15.98 g CO2-e/MJ, primarily due to its upstream emissions.">
              <a:extLst xmlns:a="http://schemas.openxmlformats.org/drawingml/2006/main">
                <a:ext uri="{FF2B5EF4-FFF2-40B4-BE49-F238E27FC236}">
                  <a16:creationId xmlns:a16="http://schemas.microsoft.com/office/drawing/2014/main" id="{C581906B-27F2-437E-A6C2-1A1C47A16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EC7EC7" w:rsidRPr="00AF7375">
        <w:t xml:space="preserve">Notes: Shown as </w:t>
      </w:r>
      <w:r w:rsidR="0024139D" w:rsidRPr="0024139D">
        <w:t>the emissions under normal operating conditions.</w:t>
      </w:r>
      <w:r w:rsidR="00EC7EC7" w:rsidRPr="00AF7375">
        <w:t xml:space="preserve"> </w:t>
      </w:r>
      <w:r w:rsidR="005A1974">
        <w:t>Measured for LNG loaded onto vessels.</w:t>
      </w:r>
      <w:r w:rsidR="005A1974" w:rsidRPr="0024139D">
        <w:t xml:space="preserve"> Includes operational </w:t>
      </w:r>
      <w:r w:rsidR="0024139D" w:rsidRPr="0024139D">
        <w:t>and</w:t>
      </w:r>
      <w:r w:rsidR="005A1974" w:rsidRPr="0024139D">
        <w:t xml:space="preserve"> under construction projects.</w:t>
      </w:r>
    </w:p>
    <w:p w14:paraId="07264D38" w14:textId="45725DF4" w:rsidR="00EC7EC7" w:rsidRPr="00AF7375" w:rsidRDefault="00EC7EC7" w:rsidP="00932AAD">
      <w:pPr>
        <w:pStyle w:val="Source"/>
      </w:pPr>
      <w:r w:rsidRPr="00AF7375">
        <w:t>Source:</w:t>
      </w:r>
      <w:r w:rsidRPr="005A1974">
        <w:t xml:space="preserve"> </w:t>
      </w:r>
      <w:r w:rsidRPr="00AF7375">
        <w:t>Wood Mackenzie</w:t>
      </w:r>
      <w:r w:rsidR="005A1974" w:rsidRPr="005A1974">
        <w:t xml:space="preserve"> </w:t>
      </w:r>
      <w:r w:rsidR="005A1974">
        <w:t>(</w:t>
      </w:r>
      <w:r w:rsidR="005A1974" w:rsidRPr="005A1974">
        <w:t>2024</w:t>
      </w:r>
      <w:r w:rsidR="005A1974">
        <w:t>)</w:t>
      </w:r>
      <w:r w:rsidR="005A1974" w:rsidRPr="005A1974">
        <w:t xml:space="preserve"> </w:t>
      </w:r>
    </w:p>
    <w:p w14:paraId="1D7DB502" w14:textId="4CD64E20" w:rsidR="005A1974" w:rsidRDefault="005A1974" w:rsidP="005A1974">
      <w:pPr>
        <w:spacing w:after="120"/>
        <w:rPr>
          <w:color w:val="373737"/>
          <w:sz w:val="20"/>
        </w:rPr>
      </w:pPr>
      <w:r>
        <w:rPr>
          <w:color w:val="373737"/>
          <w:sz w:val="20"/>
        </w:rPr>
        <w:t xml:space="preserve">Australian liquefaction emissions are estimated to be </w:t>
      </w:r>
      <w:r w:rsidR="0024139D" w:rsidRPr="0024139D">
        <w:rPr>
          <w:color w:val="373737"/>
          <w:sz w:val="20"/>
        </w:rPr>
        <w:t xml:space="preserve">around 7.0g </w:t>
      </w:r>
      <w:r w:rsidR="00615933">
        <w:rPr>
          <w:color w:val="373737"/>
          <w:sz w:val="20"/>
        </w:rPr>
        <w:t>CO</w:t>
      </w:r>
      <w:r w:rsidR="00615933">
        <w:rPr>
          <w:color w:val="373737"/>
          <w:sz w:val="20"/>
          <w:vertAlign w:val="subscript"/>
        </w:rPr>
        <w:t>2</w:t>
      </w:r>
      <w:r w:rsidR="0024139D" w:rsidRPr="0024139D">
        <w:rPr>
          <w:color w:val="373737"/>
          <w:sz w:val="20"/>
        </w:rPr>
        <w:t xml:space="preserve">-e per MJ. Australian emissions are higher than the global average </w:t>
      </w:r>
      <w:r w:rsidR="00615933">
        <w:rPr>
          <w:color w:val="373737"/>
          <w:sz w:val="20"/>
        </w:rPr>
        <w:br/>
      </w:r>
      <w:r w:rsidR="0024139D" w:rsidRPr="0024139D">
        <w:rPr>
          <w:color w:val="373737"/>
          <w:sz w:val="20"/>
        </w:rPr>
        <w:t xml:space="preserve">6.4g </w:t>
      </w:r>
      <w:r w:rsidR="00615933">
        <w:rPr>
          <w:color w:val="373737"/>
          <w:sz w:val="20"/>
        </w:rPr>
        <w:t>CO</w:t>
      </w:r>
      <w:r w:rsidR="00615933">
        <w:rPr>
          <w:color w:val="373737"/>
          <w:sz w:val="20"/>
          <w:vertAlign w:val="subscript"/>
        </w:rPr>
        <w:t>2</w:t>
      </w:r>
      <w:r w:rsidR="0024139D" w:rsidRPr="0024139D">
        <w:rPr>
          <w:color w:val="373737"/>
          <w:sz w:val="20"/>
        </w:rPr>
        <w:t xml:space="preserve">-e per MJ, due to the large amounts of </w:t>
      </w:r>
      <w:r w:rsidR="00615933">
        <w:rPr>
          <w:color w:val="373737"/>
          <w:sz w:val="20"/>
        </w:rPr>
        <w:t>CO</w:t>
      </w:r>
      <w:r w:rsidR="00615933">
        <w:rPr>
          <w:color w:val="373737"/>
          <w:sz w:val="20"/>
          <w:vertAlign w:val="subscript"/>
        </w:rPr>
        <w:t xml:space="preserve">2 </w:t>
      </w:r>
      <w:r w:rsidR="0024139D" w:rsidRPr="0024139D">
        <w:rPr>
          <w:color w:val="373737"/>
          <w:sz w:val="20"/>
        </w:rPr>
        <w:t>vent</w:t>
      </w:r>
      <w:r w:rsidR="00B64780">
        <w:rPr>
          <w:color w:val="373737"/>
          <w:sz w:val="20"/>
        </w:rPr>
        <w:t>ed</w:t>
      </w:r>
      <w:r w:rsidR="0024139D" w:rsidRPr="0024139D">
        <w:rPr>
          <w:color w:val="373737"/>
          <w:sz w:val="20"/>
        </w:rPr>
        <w:t xml:space="preserve"> at LNG facilities. Combining upstream, pipeline and liquefaction emissions, Australian LNG has an emissions intensity of 9.5g </w:t>
      </w:r>
      <w:r w:rsidR="00615933">
        <w:rPr>
          <w:color w:val="373737"/>
          <w:sz w:val="20"/>
        </w:rPr>
        <w:t>CO</w:t>
      </w:r>
      <w:r w:rsidR="00615933">
        <w:rPr>
          <w:color w:val="373737"/>
          <w:sz w:val="20"/>
          <w:vertAlign w:val="subscript"/>
        </w:rPr>
        <w:t>2</w:t>
      </w:r>
      <w:r w:rsidR="0024139D" w:rsidRPr="0024139D">
        <w:rPr>
          <w:color w:val="373737"/>
          <w:sz w:val="20"/>
        </w:rPr>
        <w:t xml:space="preserve">-e per MJ, slightly lower than the global average of 9.7g </w:t>
      </w:r>
      <w:r w:rsidR="00615933">
        <w:rPr>
          <w:color w:val="373737"/>
          <w:sz w:val="20"/>
        </w:rPr>
        <w:t>CO</w:t>
      </w:r>
      <w:r w:rsidR="00615933">
        <w:rPr>
          <w:color w:val="373737"/>
          <w:sz w:val="20"/>
          <w:vertAlign w:val="subscript"/>
        </w:rPr>
        <w:t>2</w:t>
      </w:r>
      <w:r w:rsidR="0024139D" w:rsidRPr="0024139D">
        <w:rPr>
          <w:color w:val="373737"/>
          <w:sz w:val="20"/>
        </w:rPr>
        <w:t xml:space="preserve">-e per MJ. However, this average is again skewed by US emissions being much higher than other major exporters. Qatar projects have generally low upstream emissions but </w:t>
      </w:r>
      <w:r w:rsidR="00B64780">
        <w:rPr>
          <w:color w:val="373737"/>
          <w:sz w:val="20"/>
        </w:rPr>
        <w:t xml:space="preserve">its liquefaction emissions </w:t>
      </w:r>
      <w:r w:rsidR="0024139D" w:rsidRPr="0024139D">
        <w:rPr>
          <w:color w:val="373737"/>
          <w:sz w:val="20"/>
        </w:rPr>
        <w:t>are similar to Australia’s due to the relatively high amount</w:t>
      </w:r>
      <w:r w:rsidR="00B64780">
        <w:rPr>
          <w:color w:val="373737"/>
          <w:sz w:val="20"/>
        </w:rPr>
        <w:t>s</w:t>
      </w:r>
      <w:r w:rsidR="0024139D" w:rsidRPr="0024139D">
        <w:rPr>
          <w:color w:val="373737"/>
          <w:sz w:val="20"/>
        </w:rPr>
        <w:t xml:space="preserve"> of </w:t>
      </w:r>
      <w:r w:rsidR="00615933">
        <w:rPr>
          <w:color w:val="373737"/>
          <w:sz w:val="20"/>
        </w:rPr>
        <w:t>CO</w:t>
      </w:r>
      <w:r w:rsidR="00615933">
        <w:rPr>
          <w:color w:val="373737"/>
          <w:sz w:val="20"/>
          <w:vertAlign w:val="subscript"/>
        </w:rPr>
        <w:t xml:space="preserve">2 </w:t>
      </w:r>
      <w:r w:rsidR="0024139D" w:rsidRPr="0024139D">
        <w:rPr>
          <w:color w:val="373737"/>
          <w:sz w:val="20"/>
        </w:rPr>
        <w:t>vent</w:t>
      </w:r>
      <w:r w:rsidR="00B64780">
        <w:rPr>
          <w:color w:val="373737"/>
          <w:sz w:val="20"/>
        </w:rPr>
        <w:t>ed</w:t>
      </w:r>
      <w:r w:rsidR="0024139D" w:rsidRPr="0024139D">
        <w:rPr>
          <w:color w:val="373737"/>
          <w:sz w:val="20"/>
        </w:rPr>
        <w:t xml:space="preserve"> – the planned projects in Qatar (North Field East and North Field South) will have CCS</w:t>
      </w:r>
      <w:r>
        <w:rPr>
          <w:color w:val="373737"/>
          <w:sz w:val="20"/>
        </w:rPr>
        <w:t xml:space="preserve"> </w:t>
      </w:r>
      <w:r w:rsidRPr="005A1974">
        <w:rPr>
          <w:color w:val="373737"/>
          <w:sz w:val="20"/>
        </w:rPr>
        <w:t xml:space="preserve">which will reduce </w:t>
      </w:r>
      <w:r w:rsidR="00615933">
        <w:rPr>
          <w:color w:val="373737"/>
          <w:sz w:val="20"/>
        </w:rPr>
        <w:t>CO</w:t>
      </w:r>
      <w:r w:rsidR="00615933">
        <w:rPr>
          <w:color w:val="373737"/>
          <w:sz w:val="20"/>
          <w:vertAlign w:val="subscript"/>
        </w:rPr>
        <w:t xml:space="preserve">2 </w:t>
      </w:r>
      <w:r w:rsidRPr="005A1974">
        <w:rPr>
          <w:color w:val="373737"/>
          <w:sz w:val="20"/>
        </w:rPr>
        <w:t>venting</w:t>
      </w:r>
      <w:r>
        <w:rPr>
          <w:color w:val="373737"/>
          <w:sz w:val="20"/>
        </w:rPr>
        <w:t xml:space="preserve"> intensity at LNG facilities</w:t>
      </w:r>
      <w:r w:rsidRPr="005A1974">
        <w:rPr>
          <w:color w:val="373737"/>
          <w:sz w:val="20"/>
        </w:rPr>
        <w:t>.</w:t>
      </w:r>
      <w:r>
        <w:rPr>
          <w:color w:val="373737"/>
          <w:sz w:val="20"/>
        </w:rPr>
        <w:t xml:space="preserve"> </w:t>
      </w:r>
    </w:p>
    <w:p w14:paraId="7A95D115" w14:textId="762A9E9C" w:rsidR="0024139D" w:rsidRPr="0024139D" w:rsidRDefault="0024139D" w:rsidP="0024139D">
      <w:pPr>
        <w:spacing w:after="120"/>
        <w:rPr>
          <w:color w:val="373737"/>
          <w:sz w:val="20"/>
        </w:rPr>
      </w:pPr>
      <w:r w:rsidRPr="0024139D">
        <w:rPr>
          <w:color w:val="373737"/>
          <w:sz w:val="20"/>
        </w:rPr>
        <w:t xml:space="preserve">Many of the large-scale greenfield projects under development and some that have reached </w:t>
      </w:r>
      <w:r w:rsidR="007978AE">
        <w:rPr>
          <w:color w:val="373737"/>
          <w:sz w:val="20"/>
        </w:rPr>
        <w:t>final investment decision (</w:t>
      </w:r>
      <w:r w:rsidRPr="0024139D">
        <w:rPr>
          <w:color w:val="373737"/>
          <w:sz w:val="20"/>
        </w:rPr>
        <w:t>FID</w:t>
      </w:r>
      <w:r w:rsidR="007978AE">
        <w:rPr>
          <w:color w:val="373737"/>
          <w:sz w:val="20"/>
        </w:rPr>
        <w:t>)</w:t>
      </w:r>
      <w:r w:rsidRPr="0024139D">
        <w:rPr>
          <w:color w:val="373737"/>
          <w:sz w:val="20"/>
        </w:rPr>
        <w:t xml:space="preserve"> within the last decade feature designs with compressors driven by electric motors and variable speed drives. </w:t>
      </w:r>
      <w:r w:rsidR="00DE49E1">
        <w:rPr>
          <w:color w:val="373737"/>
          <w:sz w:val="20"/>
        </w:rPr>
        <w:t xml:space="preserve">These designs </w:t>
      </w:r>
      <w:r w:rsidRPr="0024139D">
        <w:rPr>
          <w:color w:val="373737"/>
          <w:sz w:val="20"/>
        </w:rPr>
        <w:t>significantly reduce the stationary energy emissions in the liquefaction process. This decline is expected to be more notable in other exporting nations, as Australian liquefaction capacity and investment in LNG facilities is not expected to increase at the same rate as Qatar and the US, and so technology adoption is expected to lag (see Chapter 4).</w:t>
      </w:r>
    </w:p>
    <w:p w14:paraId="1A7802E8" w14:textId="28AECC33" w:rsidR="00082213" w:rsidRPr="00AF7375" w:rsidRDefault="005A1974" w:rsidP="00082213">
      <w:pPr>
        <w:spacing w:after="120"/>
        <w:rPr>
          <w:color w:val="373737"/>
          <w:sz w:val="20"/>
          <w:lang w:val="en"/>
        </w:rPr>
      </w:pPr>
      <w:r w:rsidRPr="0024139D">
        <w:rPr>
          <w:color w:val="373737"/>
          <w:sz w:val="20"/>
        </w:rPr>
        <w:t xml:space="preserve">In Australia, coal seam gas projects typically have much higher upstream emissions due to higher methane losses, gathering and boosting </w:t>
      </w:r>
      <w:r w:rsidR="00941055" w:rsidRPr="0024139D">
        <w:rPr>
          <w:color w:val="373737"/>
          <w:sz w:val="20"/>
        </w:rPr>
        <w:t xml:space="preserve">requirements </w:t>
      </w:r>
      <w:r w:rsidRPr="0024139D">
        <w:rPr>
          <w:color w:val="373737"/>
          <w:sz w:val="20"/>
        </w:rPr>
        <w:t xml:space="preserve">and the significant compression </w:t>
      </w:r>
      <w:r w:rsidR="00B64780">
        <w:rPr>
          <w:color w:val="373737"/>
          <w:sz w:val="20"/>
        </w:rPr>
        <w:t xml:space="preserve">required </w:t>
      </w:r>
      <w:r w:rsidRPr="0024139D">
        <w:rPr>
          <w:color w:val="373737"/>
          <w:sz w:val="20"/>
        </w:rPr>
        <w:t xml:space="preserve">for long pipelines. </w:t>
      </w:r>
      <w:r w:rsidR="00941055" w:rsidRPr="0024139D">
        <w:rPr>
          <w:color w:val="373737"/>
          <w:sz w:val="20"/>
        </w:rPr>
        <w:t xml:space="preserve">Furthermore, some LNG projects in Western Australia and Northern Territory have relatively high </w:t>
      </w:r>
      <w:r w:rsidR="00941055" w:rsidRPr="00AF7375">
        <w:rPr>
          <w:color w:val="373737"/>
          <w:sz w:val="20"/>
        </w:rPr>
        <w:t>CO</w:t>
      </w:r>
      <w:r w:rsidR="00941055" w:rsidRPr="00AF7375">
        <w:rPr>
          <w:color w:val="373737"/>
          <w:sz w:val="20"/>
          <w:vertAlign w:val="subscript"/>
        </w:rPr>
        <w:t>2</w:t>
      </w:r>
      <w:r>
        <w:rPr>
          <w:color w:val="373737"/>
          <w:sz w:val="20"/>
          <w:vertAlign w:val="subscript"/>
        </w:rPr>
        <w:t xml:space="preserve"> </w:t>
      </w:r>
      <w:r w:rsidR="00941055" w:rsidRPr="0024139D">
        <w:rPr>
          <w:color w:val="373737"/>
          <w:sz w:val="20"/>
        </w:rPr>
        <w:t xml:space="preserve">content </w:t>
      </w:r>
      <w:r w:rsidRPr="0024139D">
        <w:rPr>
          <w:color w:val="373737"/>
          <w:sz w:val="20"/>
        </w:rPr>
        <w:t xml:space="preserve">in </w:t>
      </w:r>
      <w:r w:rsidR="00941055" w:rsidRPr="0024139D">
        <w:rPr>
          <w:color w:val="373737"/>
          <w:sz w:val="20"/>
        </w:rPr>
        <w:t xml:space="preserve">their </w:t>
      </w:r>
      <w:r w:rsidRPr="0024139D">
        <w:rPr>
          <w:color w:val="373737"/>
          <w:sz w:val="20"/>
        </w:rPr>
        <w:t>feedstock gas</w:t>
      </w:r>
      <w:r w:rsidR="00941055" w:rsidRPr="0024139D">
        <w:rPr>
          <w:color w:val="373737"/>
          <w:sz w:val="20"/>
        </w:rPr>
        <w:t xml:space="preserve">, driving up </w:t>
      </w:r>
      <w:r w:rsidRPr="0024139D">
        <w:rPr>
          <w:color w:val="373737"/>
          <w:sz w:val="20"/>
        </w:rPr>
        <w:t xml:space="preserve">liquefaction emissions. </w:t>
      </w:r>
      <w:r w:rsidRPr="005A1974">
        <w:rPr>
          <w:color w:val="373737"/>
          <w:sz w:val="20"/>
          <w:lang w:val="en"/>
        </w:rPr>
        <w:t xml:space="preserve"> </w:t>
      </w:r>
    </w:p>
    <w:p w14:paraId="0BCFD777" w14:textId="2B0D8EA9" w:rsidR="00EC7EC7" w:rsidRPr="00AF7375" w:rsidRDefault="00EC7EC7" w:rsidP="00C97679">
      <w:pPr>
        <w:pStyle w:val="Caption"/>
      </w:pPr>
      <w:r w:rsidRPr="00AF7375">
        <w:t xml:space="preserve">Figure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rsidRPr="00AF7375">
        <w:t>.</w:t>
      </w:r>
      <w:r w:rsidR="006877E8">
        <w:fldChar w:fldCharType="begin"/>
      </w:r>
      <w:r w:rsidR="006877E8">
        <w:rPr>
          <w:rFonts w:eastAsia="Times New Roman" w:cstheme="majorHAnsi"/>
          <w:szCs w:val="20"/>
          <w:lang w:val="en"/>
        </w:rPr>
        <w:instrText xml:space="preserve"> SEQ Figure \* ARABIC \s 1 </w:instrText>
      </w:r>
      <w:r w:rsidR="006877E8">
        <w:fldChar w:fldCharType="separate"/>
      </w:r>
      <w:r w:rsidR="00BF178A">
        <w:rPr>
          <w:rFonts w:eastAsia="Times New Roman" w:cstheme="majorHAnsi"/>
          <w:noProof/>
          <w:szCs w:val="20"/>
          <w:lang w:val="en"/>
        </w:rPr>
        <w:t>7</w:t>
      </w:r>
      <w:r w:rsidR="006877E8">
        <w:fldChar w:fldCharType="end"/>
      </w:r>
      <w:r w:rsidRPr="00AF7375">
        <w:t>: Emissions from Australian LNG exports</w:t>
      </w:r>
      <w:r w:rsidR="00081056">
        <w:t>, 2019</w:t>
      </w:r>
    </w:p>
    <w:p w14:paraId="3F89B3D1" w14:textId="6694D4AB" w:rsidR="00EC7EC7" w:rsidRPr="00AF7375" w:rsidRDefault="00082213" w:rsidP="00082213">
      <w:pPr>
        <w:keepNext/>
        <w:spacing w:after="60" w:line="240" w:lineRule="auto"/>
        <w:rPr>
          <w:rFonts w:eastAsia="Times New Roman" w:cs="Arial"/>
          <w:color w:val="005CAF"/>
          <w:sz w:val="16"/>
          <w:szCs w:val="20"/>
          <w:lang w:val="en"/>
        </w:rPr>
      </w:pPr>
      <w:r w:rsidRPr="00AF7375">
        <w:rPr>
          <w:rFonts w:eastAsia="Times New Roman" w:cs="Arial"/>
          <w:noProof/>
          <w:color w:val="005CAF"/>
          <w:sz w:val="16"/>
          <w:szCs w:val="20"/>
        </w:rPr>
        <w:drawing>
          <wp:inline distT="0" distB="0" distL="0" distR="0" wp14:anchorId="646B87B5" wp14:editId="34B86560">
            <wp:extent cx="4206875" cy="397835"/>
            <wp:effectExtent l="19050" t="0" r="41275" b="21590"/>
            <wp:docPr id="10" name="Diagram 10" descr="This figure shows the proportion of emissions from Australian LNG exporters through the gas supply chain in 2019. Four arrows from left to right show that upstream activities account for 40-42% of LNG emissions, liquefaction accounts for 36-41%, shipping accounts for 7-16% and regasification accounts for 3-15%.">
              <a:extLst xmlns:a="http://schemas.openxmlformats.org/drawingml/2006/main">
                <a:ext uri="{FF2B5EF4-FFF2-40B4-BE49-F238E27FC236}">
                  <a16:creationId xmlns:a16="http://schemas.microsoft.com/office/drawing/2014/main" id="{055CCA6B-2D46-23B0-2CD7-C5D924032DB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0C42C9F" w14:textId="45EEE927" w:rsidR="00EC7EC7" w:rsidRPr="00AF7375" w:rsidRDefault="00EC7EC7" w:rsidP="00932AAD">
      <w:pPr>
        <w:pStyle w:val="Source"/>
      </w:pPr>
      <w:r w:rsidRPr="00AF7375">
        <w:t>Notes: Ranges shown are for Qld CSG to LNG and Jansz-lo field LNG, both shipped to China</w:t>
      </w:r>
      <w:r w:rsidRPr="00AF7375">
        <w:br/>
        <w:t>Source: CSIRO (</w:t>
      </w:r>
      <w:r w:rsidR="00BA733F" w:rsidRPr="00AF7375">
        <w:t>20</w:t>
      </w:r>
      <w:r w:rsidR="00BA733F">
        <w:t>2</w:t>
      </w:r>
      <w:r w:rsidR="00754C56">
        <w:t>1</w:t>
      </w:r>
      <w:r w:rsidRPr="00AF7375">
        <w:t>)</w:t>
      </w:r>
    </w:p>
    <w:p w14:paraId="6AAFF4FA" w14:textId="1B32FA88" w:rsidR="00082213" w:rsidRDefault="00082213" w:rsidP="00082213">
      <w:pPr>
        <w:pStyle w:val="BodyText"/>
        <w:rPr>
          <w:lang w:val="en"/>
        </w:rPr>
      </w:pPr>
      <w:bookmarkStart w:id="61" w:name="_Hlk161239323"/>
      <w:r w:rsidRPr="00AF7375">
        <w:rPr>
          <w:lang w:val="en"/>
        </w:rPr>
        <w:t xml:space="preserve">For export-oriented gas sectors, such as Australia, upstream </w:t>
      </w:r>
      <w:r w:rsidR="005A1974">
        <w:rPr>
          <w:lang w:val="en"/>
        </w:rPr>
        <w:t xml:space="preserve">and liquefaction </w:t>
      </w:r>
      <w:r w:rsidRPr="00AF7375">
        <w:rPr>
          <w:lang w:val="en"/>
        </w:rPr>
        <w:t xml:space="preserve">emissions </w:t>
      </w:r>
      <w:r w:rsidR="005A1974">
        <w:rPr>
          <w:lang w:val="en"/>
        </w:rPr>
        <w:t xml:space="preserve">do not capture the full picture for </w:t>
      </w:r>
      <w:r w:rsidRPr="00AF7375">
        <w:rPr>
          <w:lang w:val="en"/>
        </w:rPr>
        <w:t>producing and transporting gas to consumers. CSIRO analysis – for a coal seam gas project in Queensland and offshore gas project in WA – suggests that upstream emissions account for between 40 to 42% of upstream and midstream emissions (Figure 2.</w:t>
      </w:r>
      <w:r w:rsidR="00BB7746">
        <w:rPr>
          <w:lang w:val="en"/>
        </w:rPr>
        <w:t>7</w:t>
      </w:r>
      <w:r w:rsidRPr="00AF7375">
        <w:rPr>
          <w:lang w:val="en"/>
        </w:rPr>
        <w:t>). Liquefaction accounts for a similar proportion, with shipping and regasification accounting for a much smaller share. This suggests that lowering emissions in the upstream and liquefaction stage</w:t>
      </w:r>
      <w:r w:rsidR="00C9016E">
        <w:rPr>
          <w:lang w:val="en"/>
        </w:rPr>
        <w:t>s</w:t>
      </w:r>
      <w:r w:rsidRPr="00AF7375">
        <w:rPr>
          <w:lang w:val="en"/>
        </w:rPr>
        <w:t xml:space="preserve"> would considerably lower emissions from Australian gas</w:t>
      </w:r>
      <w:r w:rsidR="002F44CE">
        <w:rPr>
          <w:lang w:val="en"/>
        </w:rPr>
        <w:t xml:space="preserve"> supply (noting use of gas </w:t>
      </w:r>
      <w:r w:rsidR="00C9016E">
        <w:rPr>
          <w:lang w:val="en"/>
        </w:rPr>
        <w:t xml:space="preserve">accounts for </w:t>
      </w:r>
      <w:r w:rsidR="002F44CE">
        <w:rPr>
          <w:lang w:val="en"/>
        </w:rPr>
        <w:t xml:space="preserve">the largest </w:t>
      </w:r>
      <w:r w:rsidR="00DB0191">
        <w:rPr>
          <w:lang w:val="en"/>
        </w:rPr>
        <w:t xml:space="preserve">share </w:t>
      </w:r>
      <w:r w:rsidR="00C9016E">
        <w:rPr>
          <w:lang w:val="en"/>
        </w:rPr>
        <w:t xml:space="preserve">of emissions </w:t>
      </w:r>
      <w:r w:rsidR="00DB0191">
        <w:rPr>
          <w:lang w:val="en"/>
        </w:rPr>
        <w:t xml:space="preserve">along the </w:t>
      </w:r>
      <w:r w:rsidR="00C9016E">
        <w:rPr>
          <w:lang w:val="en"/>
        </w:rPr>
        <w:t xml:space="preserve">gas </w:t>
      </w:r>
      <w:r w:rsidR="00DB0191">
        <w:rPr>
          <w:lang w:val="en"/>
        </w:rPr>
        <w:t xml:space="preserve">supply </w:t>
      </w:r>
      <w:r w:rsidR="00C9016E">
        <w:rPr>
          <w:lang w:val="en"/>
        </w:rPr>
        <w:t>chain</w:t>
      </w:r>
      <w:r w:rsidR="002F44CE">
        <w:rPr>
          <w:lang w:val="en"/>
        </w:rPr>
        <w:t>)</w:t>
      </w:r>
      <w:r w:rsidRPr="00AF7375">
        <w:rPr>
          <w:lang w:val="en"/>
        </w:rPr>
        <w:t>.</w:t>
      </w:r>
      <w:r w:rsidR="002F44CE">
        <w:rPr>
          <w:lang w:val="en"/>
        </w:rPr>
        <w:t xml:space="preserve"> </w:t>
      </w:r>
      <w:bookmarkEnd w:id="61"/>
    </w:p>
    <w:p w14:paraId="2FA12A2C" w14:textId="4E8D2717" w:rsidR="00EC7EC7" w:rsidRPr="00AF7375" w:rsidRDefault="00EC7EC7" w:rsidP="00082213">
      <w:pPr>
        <w:spacing w:after="120"/>
        <w:rPr>
          <w:color w:val="373737"/>
          <w:sz w:val="20"/>
          <w:highlight w:val="cyan"/>
          <w:lang w:val="en"/>
        </w:rPr>
      </w:pPr>
      <w:bookmarkStart w:id="62" w:name="_Hlk161239427"/>
      <w:r w:rsidRPr="00AF7375">
        <w:rPr>
          <w:color w:val="373737"/>
          <w:sz w:val="20"/>
        </w:rPr>
        <w:t xml:space="preserve">For the use of gas, abatement generally includes measures that reduce gas consumption, either through electrification or adoption of alternative fuels. For residential and commercial customers, emissions reduction is expected from adoption of electric appliances for space heating, cooking and water heating. These appliances are readily available and already have lower lifecycle costs than gas appliances. For industrial and mining sectors, there are existing technologies that abate gas consumption, although they are less cost effective and are not </w:t>
      </w:r>
      <w:r w:rsidR="00DE49E1">
        <w:rPr>
          <w:color w:val="373737"/>
          <w:sz w:val="20"/>
        </w:rPr>
        <w:t>currently</w:t>
      </w:r>
      <w:r w:rsidRPr="00AF7375">
        <w:rPr>
          <w:color w:val="373737"/>
          <w:sz w:val="20"/>
        </w:rPr>
        <w:t xml:space="preserve"> available in certain sectors. Costs are also relatively high for low emission gases – such as biomethane, hydrogen, ammonia, and e-methane – that can substantially decarbonise gas supply chains. Ongoing abatement </w:t>
      </w:r>
      <w:r w:rsidR="00C9016E">
        <w:rPr>
          <w:color w:val="373737"/>
          <w:sz w:val="20"/>
        </w:rPr>
        <w:t>of</w:t>
      </w:r>
      <w:r w:rsidRPr="00AF7375">
        <w:rPr>
          <w:color w:val="373737"/>
          <w:sz w:val="20"/>
        </w:rPr>
        <w:t xml:space="preserve"> the use of gas would benefit from research and development that reduces technology adoption costs for industrial users and the production costs of low emission gases.</w:t>
      </w:r>
      <w:bookmarkEnd w:id="62"/>
    </w:p>
    <w:p w14:paraId="54DB99D3" w14:textId="7BF7D93B" w:rsidR="00EC7EC7" w:rsidRDefault="00BC2B56" w:rsidP="00082213">
      <w:pPr>
        <w:pStyle w:val="Heading2"/>
        <w:numPr>
          <w:ilvl w:val="1"/>
          <w:numId w:val="3"/>
        </w:numPr>
      </w:pPr>
      <w:bookmarkStart w:id="63" w:name="_Toc158907953"/>
      <w:bookmarkStart w:id="64" w:name="_Toc172794506"/>
      <w:r>
        <w:t>A</w:t>
      </w:r>
      <w:r w:rsidR="00651ED4">
        <w:t xml:space="preserve">batement </w:t>
      </w:r>
      <w:r w:rsidR="00EC7EC7">
        <w:t>technologies</w:t>
      </w:r>
      <w:bookmarkEnd w:id="63"/>
      <w:r>
        <w:t xml:space="preserve"> </w:t>
      </w:r>
      <w:r w:rsidR="003B4922">
        <w:t>to reduce gas supply emissions</w:t>
      </w:r>
      <w:bookmarkEnd w:id="64"/>
      <w:r w:rsidR="003B4922">
        <w:t xml:space="preserve"> </w:t>
      </w:r>
    </w:p>
    <w:p w14:paraId="18210D62" w14:textId="4E478479" w:rsidR="00BC2B56" w:rsidRDefault="00BC2B56" w:rsidP="004B5E34">
      <w:pPr>
        <w:pStyle w:val="BodyText"/>
        <w:rPr>
          <w:lang w:val="en"/>
        </w:rPr>
      </w:pPr>
      <w:r>
        <w:rPr>
          <w:lang w:val="en"/>
        </w:rPr>
        <w:t>Costs of different abatement technologies</w:t>
      </w:r>
      <w:r w:rsidRPr="00AF7375">
        <w:rPr>
          <w:lang w:val="en"/>
        </w:rPr>
        <w:t xml:space="preserve"> are highly uncertain and will vary across firms and facilities, depending on forecasts of </w:t>
      </w:r>
      <w:r>
        <w:rPr>
          <w:lang w:val="en"/>
        </w:rPr>
        <w:t xml:space="preserve">the </w:t>
      </w:r>
      <w:r w:rsidRPr="00AF7375">
        <w:rPr>
          <w:lang w:val="en"/>
        </w:rPr>
        <w:t>future price of carbon and electricity, as well as the cost of developing and incorporating new technologies into bespoke engineering designs and builds. Costs will also be different for new build</w:t>
      </w:r>
      <w:r w:rsidR="00862910">
        <w:rPr>
          <w:lang w:val="en"/>
        </w:rPr>
        <w:t>s</w:t>
      </w:r>
      <w:r w:rsidRPr="00AF7375">
        <w:rPr>
          <w:lang w:val="en"/>
        </w:rPr>
        <w:t xml:space="preserve"> versus retrofits to existing facilities and include significant testing to ensure safety and</w:t>
      </w:r>
      <w:r w:rsidR="00E674E8">
        <w:rPr>
          <w:lang w:val="en"/>
        </w:rPr>
        <w:t xml:space="preserve"> </w:t>
      </w:r>
      <w:r w:rsidRPr="00AF7375">
        <w:rPr>
          <w:lang w:val="en"/>
        </w:rPr>
        <w:t xml:space="preserve">efficient operation. </w:t>
      </w:r>
      <w:r>
        <w:rPr>
          <w:lang w:val="en"/>
        </w:rPr>
        <w:t>Costs also</w:t>
      </w:r>
      <w:r w:rsidRPr="00AF7375">
        <w:rPr>
          <w:lang w:val="en"/>
        </w:rPr>
        <w:t xml:space="preserve"> change over time as new discoveries in engineering are made</w:t>
      </w:r>
      <w:r>
        <w:rPr>
          <w:lang w:val="en"/>
        </w:rPr>
        <w:t xml:space="preserve">, with costs </w:t>
      </w:r>
      <w:r w:rsidR="003B4922">
        <w:rPr>
          <w:lang w:val="en"/>
        </w:rPr>
        <w:t xml:space="preserve">generally decreasing </w:t>
      </w:r>
      <w:r>
        <w:rPr>
          <w:lang w:val="en"/>
        </w:rPr>
        <w:t>as issues with technology are resolved, processes become more efficient and expertise is shared.</w:t>
      </w:r>
    </w:p>
    <w:p w14:paraId="7C216F8C" w14:textId="755F0E9C" w:rsidR="00651ED4" w:rsidRPr="003B4922" w:rsidRDefault="00651ED4" w:rsidP="003B4922">
      <w:pPr>
        <w:spacing w:after="120"/>
        <w:rPr>
          <w:lang w:val="en"/>
        </w:rPr>
      </w:pPr>
      <w:r w:rsidRPr="00AF7375">
        <w:rPr>
          <w:color w:val="373737"/>
          <w:sz w:val="20"/>
        </w:rPr>
        <w:t xml:space="preserve">There are several upstream abatement technologies </w:t>
      </w:r>
      <w:r>
        <w:rPr>
          <w:color w:val="373737"/>
          <w:sz w:val="20"/>
        </w:rPr>
        <w:t>that</w:t>
      </w:r>
      <w:r w:rsidRPr="00AF7375">
        <w:rPr>
          <w:color w:val="373737"/>
          <w:sz w:val="20"/>
        </w:rPr>
        <w:t xml:space="preserve"> are already </w:t>
      </w:r>
      <w:r w:rsidR="00BC2B56">
        <w:rPr>
          <w:color w:val="373737"/>
          <w:sz w:val="20"/>
        </w:rPr>
        <w:t xml:space="preserve">available and </w:t>
      </w:r>
      <w:r w:rsidRPr="00AF7375">
        <w:rPr>
          <w:color w:val="373737"/>
          <w:sz w:val="20"/>
        </w:rPr>
        <w:t xml:space="preserve">cost effective. For these technologies, reducing upstream emissions may create economic value for project proponents as it may increase production, increases gas availability or reduce energy consumption. </w:t>
      </w:r>
      <w:r>
        <w:rPr>
          <w:color w:val="373737"/>
          <w:sz w:val="20"/>
        </w:rPr>
        <w:t>In contrast, a range of other technologies are much more expensive</w:t>
      </w:r>
      <w:r w:rsidR="00BC2B56">
        <w:rPr>
          <w:color w:val="373737"/>
          <w:sz w:val="20"/>
        </w:rPr>
        <w:t xml:space="preserve"> and </w:t>
      </w:r>
      <w:r w:rsidR="003B4922">
        <w:rPr>
          <w:color w:val="373737"/>
          <w:sz w:val="20"/>
        </w:rPr>
        <w:t xml:space="preserve">are </w:t>
      </w:r>
      <w:r w:rsidR="00BC2B56">
        <w:rPr>
          <w:color w:val="373737"/>
          <w:sz w:val="20"/>
        </w:rPr>
        <w:t xml:space="preserve">at low levels of </w:t>
      </w:r>
      <w:r w:rsidR="00BD393C">
        <w:rPr>
          <w:color w:val="373737"/>
          <w:sz w:val="20"/>
        </w:rPr>
        <w:t>‘</w:t>
      </w:r>
      <w:r w:rsidR="00BC2B56">
        <w:rPr>
          <w:color w:val="373737"/>
          <w:sz w:val="20"/>
        </w:rPr>
        <w:t>technology readiness</w:t>
      </w:r>
      <w:r w:rsidR="00BD393C">
        <w:rPr>
          <w:color w:val="373737"/>
          <w:sz w:val="20"/>
        </w:rPr>
        <w:t>’</w:t>
      </w:r>
      <w:r>
        <w:rPr>
          <w:color w:val="373737"/>
          <w:sz w:val="20"/>
        </w:rPr>
        <w:t xml:space="preserve">. </w:t>
      </w:r>
    </w:p>
    <w:p w14:paraId="07A90434" w14:textId="10CFE03E" w:rsidR="00EC7EC7" w:rsidRDefault="00651ED4" w:rsidP="00082213">
      <w:pPr>
        <w:pStyle w:val="Heading3"/>
      </w:pPr>
      <w:r>
        <w:t>Low cost</w:t>
      </w:r>
      <w:r w:rsidR="003729B6">
        <w:t>,</w:t>
      </w:r>
      <w:r>
        <w:t xml:space="preserve"> immediate options</w:t>
      </w:r>
    </w:p>
    <w:p w14:paraId="49BAC2BA" w14:textId="6F9DEE4C" w:rsidR="00651ED4" w:rsidRPr="00AF7375" w:rsidRDefault="00651ED4" w:rsidP="00651ED4">
      <w:pPr>
        <w:spacing w:after="120"/>
        <w:rPr>
          <w:color w:val="373737"/>
          <w:sz w:val="20"/>
        </w:rPr>
      </w:pPr>
      <w:r w:rsidRPr="00AF7375">
        <w:rPr>
          <w:color w:val="373737"/>
          <w:sz w:val="20"/>
        </w:rPr>
        <w:t xml:space="preserve">There are several upstream abatement technologies </w:t>
      </w:r>
      <w:r>
        <w:rPr>
          <w:color w:val="373737"/>
          <w:sz w:val="20"/>
        </w:rPr>
        <w:t>that</w:t>
      </w:r>
      <w:r w:rsidRPr="00AF7375">
        <w:rPr>
          <w:color w:val="373737"/>
          <w:sz w:val="20"/>
        </w:rPr>
        <w:t xml:space="preserve"> are already cost effective and being implemented in Australia. For these technologies, reducing upstream emissions may create economic value for project proponents as it may increase production, increases gas availability or reduce energy consumption. </w:t>
      </w:r>
      <w:r w:rsidR="00DA14E4" w:rsidRPr="00DA14E4">
        <w:rPr>
          <w:color w:val="373737"/>
          <w:sz w:val="20"/>
        </w:rPr>
        <w:t>Carydias</w:t>
      </w:r>
      <w:r w:rsidR="00DA14E4">
        <w:rPr>
          <w:color w:val="373737"/>
          <w:sz w:val="20"/>
        </w:rPr>
        <w:t xml:space="preserve"> and </w:t>
      </w:r>
      <w:r w:rsidR="00DA14E4" w:rsidRPr="00DA14E4">
        <w:rPr>
          <w:color w:val="373737"/>
          <w:sz w:val="20"/>
        </w:rPr>
        <w:t>Nielsen</w:t>
      </w:r>
      <w:r w:rsidR="00D33314">
        <w:rPr>
          <w:color w:val="373737"/>
          <w:sz w:val="20"/>
        </w:rPr>
        <w:t xml:space="preserve"> (2023)</w:t>
      </w:r>
      <w:r w:rsidRPr="00AF7375">
        <w:rPr>
          <w:color w:val="373737"/>
          <w:sz w:val="20"/>
        </w:rPr>
        <w:t xml:space="preserve"> estimates a negative marginal cost of abatement – which indicates that the economic benefits exceed the costs – for a substantial share (around 20%) of gas emissions. Such measures – which </w:t>
      </w:r>
      <w:r>
        <w:rPr>
          <w:color w:val="373737"/>
          <w:sz w:val="20"/>
        </w:rPr>
        <w:t>could</w:t>
      </w:r>
      <w:r w:rsidRPr="00AF7375">
        <w:rPr>
          <w:color w:val="373737"/>
          <w:sz w:val="20"/>
        </w:rPr>
        <w:t xml:space="preserve"> be </w:t>
      </w:r>
      <w:r>
        <w:rPr>
          <w:color w:val="373737"/>
          <w:sz w:val="20"/>
        </w:rPr>
        <w:t xml:space="preserve">adopted </w:t>
      </w:r>
      <w:r w:rsidRPr="00AF7375">
        <w:rPr>
          <w:color w:val="373737"/>
          <w:sz w:val="20"/>
        </w:rPr>
        <w:t>within two years – include:</w:t>
      </w:r>
    </w:p>
    <w:p w14:paraId="1CCD2780" w14:textId="77777777" w:rsidR="00651ED4" w:rsidRPr="00AF7375" w:rsidRDefault="00651ED4" w:rsidP="00E75C40">
      <w:pPr>
        <w:pStyle w:val="ListBullet"/>
      </w:pPr>
      <w:r w:rsidRPr="00AF7375">
        <w:t>Reducing routine flaring and venting through production optimisation;</w:t>
      </w:r>
    </w:p>
    <w:p w14:paraId="05710962" w14:textId="42B41C41" w:rsidR="00651ED4" w:rsidRPr="00AF7375" w:rsidRDefault="00651ED4" w:rsidP="00E75C40">
      <w:pPr>
        <w:pStyle w:val="ListBullet"/>
      </w:pPr>
      <w:r w:rsidRPr="00AF7375">
        <w:t>Reducing trip</w:t>
      </w:r>
      <w:r w:rsidR="00862910">
        <w:t>-</w:t>
      </w:r>
      <w:r w:rsidRPr="00AF7375">
        <w:t>related flaring through reliability optimisation;</w:t>
      </w:r>
    </w:p>
    <w:p w14:paraId="5C81AAB3" w14:textId="77777777" w:rsidR="00651ED4" w:rsidRPr="00AF7375" w:rsidRDefault="00651ED4" w:rsidP="00E75C40">
      <w:pPr>
        <w:pStyle w:val="ListBullet"/>
      </w:pPr>
      <w:r w:rsidRPr="00AF7375">
        <w:t>Energy optimisation with improved emissions intensity &amp; recovered sales gas;</w:t>
      </w:r>
      <w:r>
        <w:t xml:space="preserve"> and</w:t>
      </w:r>
    </w:p>
    <w:p w14:paraId="757E7468" w14:textId="77777777" w:rsidR="00651ED4" w:rsidRPr="00AF7375" w:rsidRDefault="00651ED4" w:rsidP="00E75C40">
      <w:pPr>
        <w:pStyle w:val="ListBullet"/>
      </w:pPr>
      <w:r w:rsidRPr="00AF7375">
        <w:t>Methane leak mitigation.</w:t>
      </w:r>
    </w:p>
    <w:p w14:paraId="7A12FC7A" w14:textId="4664773C" w:rsidR="00EC7EC7" w:rsidRPr="00AF7375" w:rsidRDefault="00EC7EC7" w:rsidP="00082213">
      <w:pPr>
        <w:spacing w:after="120"/>
        <w:rPr>
          <w:color w:val="373737"/>
          <w:sz w:val="20"/>
        </w:rPr>
      </w:pPr>
      <w:r w:rsidRPr="00AF7375">
        <w:rPr>
          <w:color w:val="373737"/>
          <w:sz w:val="20"/>
        </w:rPr>
        <w:t>The IEA</w:t>
      </w:r>
      <w:r w:rsidR="00D33314">
        <w:rPr>
          <w:color w:val="373737"/>
          <w:sz w:val="20"/>
        </w:rPr>
        <w:t xml:space="preserve"> (2020)</w:t>
      </w:r>
      <w:r w:rsidRPr="00AF7375">
        <w:rPr>
          <w:color w:val="373737"/>
          <w:sz w:val="20"/>
        </w:rPr>
        <w:t xml:space="preserve"> </w:t>
      </w:r>
      <w:bookmarkStart w:id="65" w:name="_Hlk161239439"/>
      <w:r w:rsidRPr="00AF7375">
        <w:rPr>
          <w:color w:val="373737"/>
          <w:sz w:val="20"/>
        </w:rPr>
        <w:t xml:space="preserve">has previously argued that stopping all non-emergency flaring and venting is the single most impactful measure in reducing methane emissions in the resources sector. At COP28, 50 global oil and gas companies (including major Australian producers and LNG operators such as Woodside, Exxon, BP, Shell and INPEX) were signatories to the Oil &amp; Gas </w:t>
      </w:r>
      <w:r w:rsidR="00082213" w:rsidRPr="00AF7375">
        <w:rPr>
          <w:color w:val="373737"/>
          <w:sz w:val="20"/>
        </w:rPr>
        <w:t>Decarbonization</w:t>
      </w:r>
      <w:r w:rsidRPr="00AF7375">
        <w:rPr>
          <w:color w:val="373737"/>
          <w:sz w:val="20"/>
        </w:rPr>
        <w:t xml:space="preserve"> Charter where they committed to net zero operations by 2050 and ending routine flaring by 2030</w:t>
      </w:r>
      <w:bookmarkEnd w:id="65"/>
      <w:r w:rsidRPr="00AF7375">
        <w:rPr>
          <w:color w:val="373737"/>
          <w:sz w:val="20"/>
        </w:rPr>
        <w:t xml:space="preserve">. </w:t>
      </w:r>
    </w:p>
    <w:p w14:paraId="317D9BB2" w14:textId="77777777" w:rsidR="006478CE" w:rsidRPr="00AF7375" w:rsidRDefault="006478CE" w:rsidP="006478CE">
      <w:pPr>
        <w:pStyle w:val="Heading3"/>
        <w:rPr>
          <w:rFonts w:asciiTheme="minorHAnsi" w:hAnsiTheme="minorHAnsi" w:cstheme="minorHAnsi"/>
        </w:rPr>
      </w:pPr>
      <w:bookmarkStart w:id="66" w:name="_Hlk165033126"/>
      <w:r>
        <w:t>Electrifying LNG facilities</w:t>
      </w:r>
    </w:p>
    <w:p w14:paraId="106AFEB0" w14:textId="143BED7A" w:rsidR="006478CE" w:rsidRPr="00AF7375" w:rsidRDefault="006478CE" w:rsidP="006478CE">
      <w:pPr>
        <w:spacing w:after="120"/>
        <w:rPr>
          <w:color w:val="373737"/>
          <w:sz w:val="20"/>
        </w:rPr>
      </w:pPr>
      <w:r w:rsidRPr="00AF7375">
        <w:rPr>
          <w:color w:val="373737"/>
          <w:sz w:val="20"/>
        </w:rPr>
        <w:t xml:space="preserve">Electrification of LNG facilities would reduce the volume of natural gas </w:t>
      </w:r>
      <w:r w:rsidR="00862910">
        <w:rPr>
          <w:color w:val="373737"/>
          <w:sz w:val="20"/>
        </w:rPr>
        <w:t xml:space="preserve">used </w:t>
      </w:r>
      <w:r w:rsidRPr="00AF7375">
        <w:rPr>
          <w:color w:val="373737"/>
          <w:sz w:val="20"/>
        </w:rPr>
        <w:t xml:space="preserve">in processes to produce and export LNG. This would substantially reduce the stationary emissions from the oil and gas sector. It </w:t>
      </w:r>
      <w:r w:rsidR="006B1D6F">
        <w:rPr>
          <w:color w:val="373737"/>
          <w:sz w:val="20"/>
        </w:rPr>
        <w:t>could</w:t>
      </w:r>
      <w:r w:rsidRPr="00AF7375">
        <w:rPr>
          <w:color w:val="373737"/>
          <w:sz w:val="20"/>
        </w:rPr>
        <w:t xml:space="preserve"> also have </w:t>
      </w:r>
      <w:r>
        <w:rPr>
          <w:color w:val="373737"/>
          <w:sz w:val="20"/>
        </w:rPr>
        <w:t>add</w:t>
      </w:r>
      <w:r w:rsidR="006B1D6F">
        <w:rPr>
          <w:color w:val="373737"/>
          <w:sz w:val="20"/>
        </w:rPr>
        <w:t>itional</w:t>
      </w:r>
      <w:r>
        <w:rPr>
          <w:color w:val="373737"/>
          <w:sz w:val="20"/>
        </w:rPr>
        <w:t xml:space="preserve"> </w:t>
      </w:r>
      <w:r w:rsidRPr="00AF7375">
        <w:rPr>
          <w:color w:val="373737"/>
          <w:sz w:val="20"/>
        </w:rPr>
        <w:t>benefit</w:t>
      </w:r>
      <w:r w:rsidR="006840FD">
        <w:rPr>
          <w:color w:val="373737"/>
          <w:sz w:val="20"/>
        </w:rPr>
        <w:t>s. Reducing gas</w:t>
      </w:r>
      <w:r w:rsidR="006840FD" w:rsidDel="00862910">
        <w:rPr>
          <w:color w:val="373737"/>
          <w:sz w:val="20"/>
        </w:rPr>
        <w:t xml:space="preserve"> </w:t>
      </w:r>
      <w:r w:rsidR="00862910">
        <w:rPr>
          <w:color w:val="373737"/>
          <w:sz w:val="20"/>
        </w:rPr>
        <w:t>use in</w:t>
      </w:r>
      <w:r w:rsidR="006840FD">
        <w:rPr>
          <w:color w:val="373737"/>
          <w:sz w:val="20"/>
        </w:rPr>
        <w:t xml:space="preserve"> LNG production could </w:t>
      </w:r>
      <w:r w:rsidRPr="00AF7375">
        <w:rPr>
          <w:color w:val="373737"/>
          <w:sz w:val="20"/>
        </w:rPr>
        <w:t xml:space="preserve">potentially assist to reduce the domestic shortfall on the </w:t>
      </w:r>
      <w:r>
        <w:rPr>
          <w:color w:val="373737"/>
          <w:sz w:val="20"/>
        </w:rPr>
        <w:t>east c</w:t>
      </w:r>
      <w:r w:rsidRPr="00AF7375">
        <w:rPr>
          <w:color w:val="373737"/>
          <w:sz w:val="20"/>
        </w:rPr>
        <w:t xml:space="preserve">oast </w:t>
      </w:r>
      <w:r w:rsidR="006B1D6F">
        <w:rPr>
          <w:color w:val="373737"/>
          <w:sz w:val="20"/>
        </w:rPr>
        <w:t xml:space="preserve">forecast </w:t>
      </w:r>
      <w:r w:rsidRPr="00AF7375">
        <w:rPr>
          <w:color w:val="373737"/>
          <w:sz w:val="20"/>
        </w:rPr>
        <w:t>from 2028</w:t>
      </w:r>
      <w:r w:rsidR="006B1D6F">
        <w:rPr>
          <w:color w:val="373737"/>
          <w:sz w:val="20"/>
        </w:rPr>
        <w:t>.</w:t>
      </w:r>
      <w:r w:rsidR="006840FD">
        <w:rPr>
          <w:color w:val="373737"/>
          <w:sz w:val="20"/>
        </w:rPr>
        <w:t xml:space="preserve"> E</w:t>
      </w:r>
      <w:r w:rsidRPr="00AF7375">
        <w:rPr>
          <w:color w:val="373737"/>
          <w:sz w:val="20"/>
        </w:rPr>
        <w:t xml:space="preserve">lectrification </w:t>
      </w:r>
      <w:r w:rsidR="006B1D6F">
        <w:rPr>
          <w:color w:val="373737"/>
          <w:sz w:val="20"/>
        </w:rPr>
        <w:t>c</w:t>
      </w:r>
      <w:r w:rsidRPr="00AF7375">
        <w:rPr>
          <w:color w:val="373737"/>
          <w:sz w:val="20"/>
        </w:rPr>
        <w:t xml:space="preserve">ould also provide opportunities to dispatch flexible </w:t>
      </w:r>
      <w:r w:rsidR="006840FD">
        <w:rPr>
          <w:color w:val="373737"/>
          <w:sz w:val="20"/>
        </w:rPr>
        <w:t xml:space="preserve">gas-powered electricity </w:t>
      </w:r>
      <w:r w:rsidRPr="00AF7375">
        <w:rPr>
          <w:color w:val="373737"/>
          <w:sz w:val="20"/>
        </w:rPr>
        <w:t xml:space="preserve">to other parts of the economy. If operations electrify their auxiliary energy needs, the significant on-site gas-powered generation capacity of LNG facilities could be held in reserve to provide peaking and firming with already existing assets, negating the need for some additional </w:t>
      </w:r>
      <w:r w:rsidR="008D1436">
        <w:rPr>
          <w:color w:val="373737"/>
          <w:sz w:val="20"/>
        </w:rPr>
        <w:t>gas-powered generation</w:t>
      </w:r>
      <w:r w:rsidRPr="00AF7375">
        <w:rPr>
          <w:color w:val="373737"/>
          <w:sz w:val="20"/>
        </w:rPr>
        <w:t xml:space="preserve"> capacity elsewhere.</w:t>
      </w:r>
    </w:p>
    <w:p w14:paraId="73B961BA" w14:textId="2A9526D8" w:rsidR="006478CE" w:rsidRPr="00AF7375" w:rsidRDefault="006B1D6F" w:rsidP="006478CE">
      <w:pPr>
        <w:spacing w:after="120"/>
        <w:rPr>
          <w:color w:val="373737"/>
          <w:sz w:val="20"/>
        </w:rPr>
      </w:pPr>
      <w:r>
        <w:rPr>
          <w:rFonts w:eastAsia="Times New Roman"/>
          <w:color w:val="373737"/>
          <w:sz w:val="20"/>
        </w:rPr>
        <w:t xml:space="preserve">For </w:t>
      </w:r>
      <w:r w:rsidR="006840FD">
        <w:rPr>
          <w:rFonts w:eastAsia="Times New Roman"/>
          <w:color w:val="373737"/>
          <w:sz w:val="20"/>
        </w:rPr>
        <w:t>LNG operators</w:t>
      </w:r>
      <w:r>
        <w:rPr>
          <w:rFonts w:eastAsia="Times New Roman"/>
          <w:color w:val="373737"/>
          <w:sz w:val="20"/>
        </w:rPr>
        <w:t>, t</w:t>
      </w:r>
      <w:r w:rsidR="006478CE" w:rsidRPr="00AF7375">
        <w:rPr>
          <w:rFonts w:eastAsia="Times New Roman"/>
          <w:color w:val="373737"/>
          <w:sz w:val="20"/>
        </w:rPr>
        <w:t xml:space="preserve">he economic viability of </w:t>
      </w:r>
      <w:r w:rsidR="006478CE">
        <w:rPr>
          <w:rFonts w:eastAsia="Times New Roman"/>
          <w:color w:val="373737"/>
          <w:sz w:val="20"/>
        </w:rPr>
        <w:t xml:space="preserve">electrifying </w:t>
      </w:r>
      <w:r w:rsidR="006478CE" w:rsidRPr="00AF7375">
        <w:rPr>
          <w:rFonts w:eastAsia="Times New Roman"/>
          <w:color w:val="373737"/>
          <w:sz w:val="20"/>
        </w:rPr>
        <w:t xml:space="preserve">LNG facilities is informed by a range of factors, including LNG prices and a facility’s operational requirements. </w:t>
      </w:r>
    </w:p>
    <w:p w14:paraId="29E71AD3" w14:textId="2D9A8FBD" w:rsidR="006478CE" w:rsidRPr="004077C2" w:rsidRDefault="006478CE" w:rsidP="006478CE">
      <w:pPr>
        <w:spacing w:after="120"/>
        <w:rPr>
          <w:color w:val="373737"/>
          <w:sz w:val="20"/>
        </w:rPr>
      </w:pPr>
      <w:r w:rsidRPr="00AF7375">
        <w:rPr>
          <w:color w:val="373737"/>
          <w:sz w:val="20"/>
        </w:rPr>
        <w:t xml:space="preserve">Electrification would require significant capital expenditure and </w:t>
      </w:r>
      <w:r w:rsidR="00862910">
        <w:rPr>
          <w:color w:val="373737"/>
          <w:sz w:val="20"/>
        </w:rPr>
        <w:t xml:space="preserve">a secure </w:t>
      </w:r>
      <w:r w:rsidRPr="00AF7375">
        <w:rPr>
          <w:color w:val="373737"/>
          <w:sz w:val="20"/>
        </w:rPr>
        <w:t xml:space="preserve">supply of electricity to </w:t>
      </w:r>
      <w:r w:rsidR="00862910">
        <w:rPr>
          <w:color w:val="373737"/>
          <w:sz w:val="20"/>
        </w:rPr>
        <w:t>a</w:t>
      </w:r>
      <w:r w:rsidR="00862910" w:rsidRPr="00AF7375">
        <w:rPr>
          <w:color w:val="373737"/>
          <w:sz w:val="20"/>
        </w:rPr>
        <w:t xml:space="preserve"> </w:t>
      </w:r>
      <w:r w:rsidRPr="00AF7375">
        <w:rPr>
          <w:color w:val="373737"/>
          <w:sz w:val="20"/>
        </w:rPr>
        <w:t>facilit</w:t>
      </w:r>
      <w:r w:rsidR="00862910">
        <w:rPr>
          <w:color w:val="373737"/>
          <w:sz w:val="20"/>
        </w:rPr>
        <w:t>y</w:t>
      </w:r>
      <w:r w:rsidR="006B1D6F">
        <w:rPr>
          <w:color w:val="373737"/>
          <w:sz w:val="20"/>
        </w:rPr>
        <w:t xml:space="preserve">. </w:t>
      </w:r>
      <w:r w:rsidRPr="004077C2">
        <w:rPr>
          <w:color w:val="373737"/>
          <w:sz w:val="20"/>
        </w:rPr>
        <w:t xml:space="preserve">Recent modelling </w:t>
      </w:r>
      <w:r w:rsidR="005D439B">
        <w:rPr>
          <w:color w:val="373737"/>
          <w:sz w:val="20"/>
        </w:rPr>
        <w:t xml:space="preserve">for </w:t>
      </w:r>
      <w:r w:rsidRPr="004077C2">
        <w:rPr>
          <w:color w:val="373737"/>
          <w:sz w:val="20"/>
        </w:rPr>
        <w:t xml:space="preserve">the Australian Government suggest </w:t>
      </w:r>
      <w:r w:rsidRPr="008F6BCB">
        <w:rPr>
          <w:color w:val="373737"/>
          <w:sz w:val="20"/>
        </w:rPr>
        <w:t>that electrification of LNG facilities is becoming more cost</w:t>
      </w:r>
      <w:r w:rsidR="00F864BE" w:rsidRPr="008F6BCB">
        <w:rPr>
          <w:color w:val="373737"/>
          <w:sz w:val="20"/>
        </w:rPr>
        <w:t xml:space="preserve"> </w:t>
      </w:r>
      <w:r w:rsidRPr="008F6BCB">
        <w:rPr>
          <w:color w:val="373737"/>
          <w:sz w:val="20"/>
        </w:rPr>
        <w:t>effective</w:t>
      </w:r>
      <w:r w:rsidR="005D439B" w:rsidRPr="008F6BCB">
        <w:rPr>
          <w:color w:val="373737"/>
          <w:sz w:val="20"/>
        </w:rPr>
        <w:t xml:space="preserve"> (</w:t>
      </w:r>
      <w:r w:rsidR="009E2892">
        <w:rPr>
          <w:color w:val="373737"/>
          <w:sz w:val="20"/>
        </w:rPr>
        <w:t>DCCEEW</w:t>
      </w:r>
      <w:r w:rsidR="005D439B" w:rsidRPr="008F6BCB">
        <w:rPr>
          <w:color w:val="373737"/>
          <w:sz w:val="20"/>
        </w:rPr>
        <w:t xml:space="preserve"> 2022</w:t>
      </w:r>
      <w:r w:rsidR="009E2892">
        <w:rPr>
          <w:color w:val="373737"/>
          <w:sz w:val="20"/>
        </w:rPr>
        <w:t>b</w:t>
      </w:r>
      <w:r w:rsidR="005D439B" w:rsidRPr="008F6BCB">
        <w:rPr>
          <w:color w:val="373737"/>
          <w:sz w:val="20"/>
        </w:rPr>
        <w:t>)</w:t>
      </w:r>
      <w:r w:rsidR="006B1D6F" w:rsidRPr="008F6BCB">
        <w:rPr>
          <w:color w:val="373737"/>
          <w:sz w:val="20"/>
        </w:rPr>
        <w:t>.</w:t>
      </w:r>
      <w:r w:rsidR="006B1D6F" w:rsidRPr="004077C2">
        <w:rPr>
          <w:color w:val="373737"/>
          <w:sz w:val="20"/>
        </w:rPr>
        <w:t xml:space="preserve"> For new </w:t>
      </w:r>
      <w:r w:rsidR="006840FD" w:rsidRPr="004077C2">
        <w:rPr>
          <w:color w:val="373737"/>
          <w:sz w:val="20"/>
        </w:rPr>
        <w:t>builds</w:t>
      </w:r>
      <w:r w:rsidR="006B1D6F" w:rsidRPr="004077C2">
        <w:rPr>
          <w:color w:val="373737"/>
          <w:sz w:val="20"/>
        </w:rPr>
        <w:t>,</w:t>
      </w:r>
      <w:r w:rsidRPr="004077C2">
        <w:rPr>
          <w:color w:val="373737"/>
          <w:sz w:val="20"/>
        </w:rPr>
        <w:t xml:space="preserve"> </w:t>
      </w:r>
      <w:r w:rsidR="006840FD" w:rsidRPr="004077C2">
        <w:rPr>
          <w:color w:val="373737"/>
          <w:sz w:val="20"/>
        </w:rPr>
        <w:t xml:space="preserve">electrification appears more </w:t>
      </w:r>
      <w:r w:rsidR="00416BB4">
        <w:rPr>
          <w:color w:val="373737"/>
          <w:sz w:val="20"/>
        </w:rPr>
        <w:t xml:space="preserve">viable </w:t>
      </w:r>
      <w:r w:rsidR="006B1D6F" w:rsidRPr="004077C2">
        <w:rPr>
          <w:color w:val="373737"/>
          <w:sz w:val="20"/>
        </w:rPr>
        <w:t>–</w:t>
      </w:r>
      <w:r w:rsidR="00BC2B56" w:rsidRPr="004077C2">
        <w:rPr>
          <w:color w:val="373737"/>
          <w:sz w:val="20"/>
        </w:rPr>
        <w:t xml:space="preserve"> in Australia,</w:t>
      </w:r>
      <w:r w:rsidR="006B1D6F" w:rsidRPr="004077C2">
        <w:rPr>
          <w:color w:val="373737"/>
          <w:sz w:val="20"/>
        </w:rPr>
        <w:t xml:space="preserve"> </w:t>
      </w:r>
      <w:r w:rsidR="006840FD" w:rsidRPr="004077C2">
        <w:rPr>
          <w:color w:val="373737"/>
          <w:sz w:val="20"/>
        </w:rPr>
        <w:t>onsite renewable power is being considered for the second train expansion at Pluto LNG</w:t>
      </w:r>
      <w:r w:rsidRPr="004077C2">
        <w:rPr>
          <w:color w:val="373737"/>
          <w:sz w:val="20"/>
        </w:rPr>
        <w:t>.</w:t>
      </w:r>
      <w:r w:rsidRPr="00AF7375">
        <w:rPr>
          <w:color w:val="373737"/>
          <w:sz w:val="20"/>
        </w:rPr>
        <w:t xml:space="preserve"> Given the significant energy requirements of LNG facilities, electrification require</w:t>
      </w:r>
      <w:r w:rsidR="006840FD">
        <w:rPr>
          <w:color w:val="373737"/>
          <w:sz w:val="20"/>
        </w:rPr>
        <w:t>s</w:t>
      </w:r>
      <w:r w:rsidRPr="00AF7375">
        <w:rPr>
          <w:color w:val="373737"/>
          <w:sz w:val="20"/>
        </w:rPr>
        <w:t xml:space="preserve"> </w:t>
      </w:r>
      <w:r w:rsidR="006B1D6F">
        <w:rPr>
          <w:color w:val="373737"/>
          <w:sz w:val="20"/>
        </w:rPr>
        <w:t>additional</w:t>
      </w:r>
      <w:r w:rsidRPr="00AF7375">
        <w:rPr>
          <w:color w:val="373737"/>
          <w:sz w:val="20"/>
        </w:rPr>
        <w:t xml:space="preserve"> </w:t>
      </w:r>
      <w:r w:rsidR="006B1D6F">
        <w:rPr>
          <w:color w:val="373737"/>
          <w:sz w:val="20"/>
        </w:rPr>
        <w:t xml:space="preserve">renewable </w:t>
      </w:r>
      <w:r w:rsidRPr="00AF7375">
        <w:rPr>
          <w:color w:val="373737"/>
          <w:sz w:val="20"/>
        </w:rPr>
        <w:t xml:space="preserve">electricity generation either </w:t>
      </w:r>
      <w:r w:rsidR="00862910">
        <w:rPr>
          <w:color w:val="373737"/>
          <w:sz w:val="20"/>
        </w:rPr>
        <w:t xml:space="preserve">sourced from </w:t>
      </w:r>
      <w:r w:rsidRPr="00AF7375">
        <w:rPr>
          <w:color w:val="373737"/>
          <w:sz w:val="20"/>
        </w:rPr>
        <w:t xml:space="preserve">the grid or </w:t>
      </w:r>
      <w:r w:rsidR="00862910">
        <w:rPr>
          <w:color w:val="373737"/>
          <w:sz w:val="20"/>
        </w:rPr>
        <w:t xml:space="preserve">on </w:t>
      </w:r>
      <w:r w:rsidR="006B1D6F">
        <w:rPr>
          <w:color w:val="373737"/>
          <w:sz w:val="20"/>
        </w:rPr>
        <w:t>site</w:t>
      </w:r>
      <w:r w:rsidRPr="00AF7375">
        <w:rPr>
          <w:color w:val="373737"/>
          <w:sz w:val="20"/>
        </w:rPr>
        <w:t>.</w:t>
      </w:r>
    </w:p>
    <w:p w14:paraId="7E4A1D26" w14:textId="4C02652C" w:rsidR="006840FD" w:rsidRDefault="006478CE" w:rsidP="006478CE">
      <w:pPr>
        <w:spacing w:after="120"/>
        <w:rPr>
          <w:color w:val="373737"/>
          <w:sz w:val="20"/>
        </w:rPr>
      </w:pPr>
      <w:r w:rsidRPr="006D53D7">
        <w:rPr>
          <w:color w:val="373737"/>
          <w:sz w:val="20"/>
        </w:rPr>
        <w:t xml:space="preserve">Given the capital needed to reduce emissions in existing LNG facilities, investors require </w:t>
      </w:r>
      <w:r>
        <w:rPr>
          <w:color w:val="373737"/>
          <w:sz w:val="20"/>
        </w:rPr>
        <w:t>assurance</w:t>
      </w:r>
      <w:r w:rsidRPr="006D53D7">
        <w:rPr>
          <w:color w:val="373737"/>
          <w:sz w:val="20"/>
        </w:rPr>
        <w:t xml:space="preserve"> the assets will have an economic lifespan beyond </w:t>
      </w:r>
      <w:r w:rsidR="006840FD">
        <w:rPr>
          <w:color w:val="373737"/>
          <w:sz w:val="20"/>
        </w:rPr>
        <w:t>the</w:t>
      </w:r>
      <w:r w:rsidRPr="006D53D7">
        <w:rPr>
          <w:color w:val="373737"/>
          <w:sz w:val="20"/>
        </w:rPr>
        <w:t xml:space="preserve"> 10</w:t>
      </w:r>
      <w:r w:rsidR="00DB5745">
        <w:rPr>
          <w:color w:val="373737"/>
          <w:sz w:val="20"/>
        </w:rPr>
        <w:t>–</w:t>
      </w:r>
      <w:r w:rsidRPr="006D53D7">
        <w:rPr>
          <w:color w:val="373737"/>
          <w:sz w:val="20"/>
        </w:rPr>
        <w:t>15 year</w:t>
      </w:r>
      <w:r w:rsidR="006840FD">
        <w:rPr>
          <w:color w:val="373737"/>
          <w:sz w:val="20"/>
        </w:rPr>
        <w:t>s remaining on existing</w:t>
      </w:r>
      <w:r w:rsidRPr="006D53D7">
        <w:rPr>
          <w:color w:val="373737"/>
          <w:sz w:val="20"/>
        </w:rPr>
        <w:t xml:space="preserve"> contracts. </w:t>
      </w:r>
      <w:r>
        <w:rPr>
          <w:color w:val="373737"/>
          <w:sz w:val="20"/>
        </w:rPr>
        <w:t>C</w:t>
      </w:r>
      <w:r w:rsidRPr="006D53D7">
        <w:rPr>
          <w:color w:val="373737"/>
          <w:sz w:val="20"/>
        </w:rPr>
        <w:t>ertainty around Government policy will be important in encouraging this investment, as will companies</w:t>
      </w:r>
      <w:r>
        <w:rPr>
          <w:color w:val="373737"/>
          <w:sz w:val="20"/>
        </w:rPr>
        <w:t>’</w:t>
      </w:r>
      <w:r w:rsidRPr="006D53D7">
        <w:rPr>
          <w:color w:val="373737"/>
          <w:sz w:val="20"/>
        </w:rPr>
        <w:t xml:space="preserve"> assessment of future LNG prices.</w:t>
      </w:r>
      <w:r>
        <w:rPr>
          <w:color w:val="373737"/>
          <w:sz w:val="20"/>
        </w:rPr>
        <w:t xml:space="preserve"> </w:t>
      </w:r>
    </w:p>
    <w:p w14:paraId="054163E1" w14:textId="29FDEFED" w:rsidR="00BC2B56" w:rsidRPr="00AF7375" w:rsidRDefault="006478CE" w:rsidP="006478CE">
      <w:pPr>
        <w:spacing w:after="120"/>
        <w:rPr>
          <w:color w:val="373737"/>
          <w:sz w:val="20"/>
        </w:rPr>
      </w:pPr>
      <w:r w:rsidRPr="00AF7375">
        <w:rPr>
          <w:color w:val="373737"/>
          <w:sz w:val="20"/>
        </w:rPr>
        <w:t xml:space="preserve">The commercial viability of electrification of LNG facilities may also be influenced by </w:t>
      </w:r>
      <w:r>
        <w:rPr>
          <w:color w:val="373737"/>
          <w:sz w:val="20"/>
        </w:rPr>
        <w:t xml:space="preserve">how </w:t>
      </w:r>
      <w:r w:rsidRPr="00AF7375">
        <w:rPr>
          <w:color w:val="373737"/>
          <w:sz w:val="20"/>
        </w:rPr>
        <w:t xml:space="preserve">electricity generation </w:t>
      </w:r>
      <w:r>
        <w:rPr>
          <w:color w:val="373737"/>
          <w:sz w:val="20"/>
        </w:rPr>
        <w:t xml:space="preserve">is treated </w:t>
      </w:r>
      <w:r w:rsidRPr="00AF7375">
        <w:rPr>
          <w:color w:val="373737"/>
          <w:sz w:val="20"/>
        </w:rPr>
        <w:t>under the Safeguard Mechanism.</w:t>
      </w:r>
      <w:r>
        <w:rPr>
          <w:color w:val="373737"/>
          <w:sz w:val="20"/>
        </w:rPr>
        <w:t xml:space="preserve"> Electrifying </w:t>
      </w:r>
      <w:r w:rsidRPr="00AF7375">
        <w:rPr>
          <w:color w:val="373737"/>
          <w:sz w:val="20"/>
        </w:rPr>
        <w:t xml:space="preserve">LNG facilities would reduce </w:t>
      </w:r>
      <w:r>
        <w:rPr>
          <w:color w:val="373737"/>
          <w:sz w:val="20"/>
        </w:rPr>
        <w:t xml:space="preserve">both </w:t>
      </w:r>
      <w:r w:rsidRPr="00AF7375">
        <w:rPr>
          <w:color w:val="373737"/>
          <w:sz w:val="20"/>
        </w:rPr>
        <w:t xml:space="preserve">stationary emissions from natural gas and electricity </w:t>
      </w:r>
      <w:r>
        <w:rPr>
          <w:color w:val="373737"/>
          <w:sz w:val="20"/>
        </w:rPr>
        <w:t xml:space="preserve">emissions, if replaced with renewable sources. </w:t>
      </w:r>
      <w:r w:rsidR="006840FD">
        <w:rPr>
          <w:color w:val="373737"/>
          <w:sz w:val="20"/>
        </w:rPr>
        <w:t>Typically</w:t>
      </w:r>
      <w:r w:rsidR="00437185">
        <w:rPr>
          <w:color w:val="373737"/>
          <w:sz w:val="20"/>
        </w:rPr>
        <w:t>,</w:t>
      </w:r>
      <w:r w:rsidR="006840FD">
        <w:rPr>
          <w:color w:val="373737"/>
          <w:sz w:val="20"/>
        </w:rPr>
        <w:t xml:space="preserve"> LNG facilities have a small land footprint, and any renewable generation build would need to be built offsite. </w:t>
      </w:r>
      <w:r w:rsidRPr="00AF7375">
        <w:rPr>
          <w:color w:val="373737"/>
          <w:sz w:val="20"/>
        </w:rPr>
        <w:t>While the Safeguard Mechanism provides a strong incentive for electrification,</w:t>
      </w:r>
      <w:r>
        <w:rPr>
          <w:color w:val="373737"/>
          <w:sz w:val="20"/>
        </w:rPr>
        <w:t xml:space="preserve"> </w:t>
      </w:r>
      <w:r w:rsidRPr="00AF7375">
        <w:rPr>
          <w:color w:val="373737"/>
          <w:sz w:val="20"/>
        </w:rPr>
        <w:t>consultation indicates that changing the treatment of offsite electricity generation under the Safeguard Mechanism would further strengthen the incentive to electrify in specific circumstances.</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6478CE" w14:paraId="4DE3C016" w14:textId="77777777" w:rsidTr="00D81BB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7F1E710B" w14:textId="7E78FD06" w:rsidR="006478CE" w:rsidRPr="00AF7375" w:rsidRDefault="006478CE" w:rsidP="00556751">
            <w:pPr>
              <w:widowControl w:val="0"/>
              <w:spacing w:beforeLines="60" w:before="144" w:afterLines="60" w:after="144"/>
              <w:ind w:left="113" w:right="113"/>
              <w:jc w:val="both"/>
              <w:rPr>
                <w:rFonts w:eastAsia="Times New Roman" w:cs="Arial"/>
                <w:sz w:val="20"/>
                <w:szCs w:val="18"/>
                <w:lang w:val="en"/>
              </w:rPr>
            </w:pPr>
            <w:r w:rsidRPr="00AF7375">
              <w:rPr>
                <w:rFonts w:eastAsia="Times New Roman" w:cs="Arial"/>
                <w:b/>
                <w:color w:val="auto"/>
                <w:sz w:val="20"/>
                <w:szCs w:val="18"/>
                <w:lang w:val="en"/>
              </w:rPr>
              <w:t xml:space="preserve">Insight: </w:t>
            </w:r>
            <w:r w:rsidR="006840FD" w:rsidRPr="003B4922">
              <w:rPr>
                <w:rFonts w:eastAsia="Times New Roman" w:cs="Arial"/>
                <w:color w:val="auto"/>
                <w:sz w:val="20"/>
                <w:szCs w:val="18"/>
              </w:rPr>
              <w:t>Consultation indicates that e</w:t>
            </w:r>
            <w:r w:rsidRPr="003B4922">
              <w:rPr>
                <w:rFonts w:eastAsia="Times New Roman" w:cs="Arial"/>
                <w:color w:val="auto"/>
                <w:sz w:val="20"/>
                <w:szCs w:val="18"/>
              </w:rPr>
              <w:t>lectrifying</w:t>
            </w:r>
            <w:r w:rsidRPr="00201621">
              <w:rPr>
                <w:rFonts w:eastAsia="Times New Roman" w:cs="Arial"/>
                <w:color w:val="auto"/>
                <w:sz w:val="20"/>
                <w:szCs w:val="18"/>
              </w:rPr>
              <w:t xml:space="preserve"> Australia</w:t>
            </w:r>
            <w:r>
              <w:rPr>
                <w:rFonts w:eastAsia="Times New Roman" w:cs="Arial"/>
                <w:color w:val="auto"/>
                <w:sz w:val="20"/>
                <w:szCs w:val="18"/>
              </w:rPr>
              <w:t>’</w:t>
            </w:r>
            <w:r w:rsidRPr="00201621">
              <w:rPr>
                <w:rFonts w:eastAsia="Times New Roman" w:cs="Arial"/>
                <w:color w:val="auto"/>
                <w:sz w:val="20"/>
                <w:szCs w:val="18"/>
              </w:rPr>
              <w:t xml:space="preserve">s LNG facilities will require </w:t>
            </w:r>
            <w:r w:rsidR="00BC2B56">
              <w:rPr>
                <w:rFonts w:eastAsia="Times New Roman" w:cs="Arial"/>
                <w:color w:val="auto"/>
                <w:sz w:val="20"/>
                <w:szCs w:val="18"/>
              </w:rPr>
              <w:t xml:space="preserve">firmed power supplies and for </w:t>
            </w:r>
            <w:r w:rsidRPr="00201621">
              <w:rPr>
                <w:rFonts w:eastAsia="Times New Roman" w:cs="Arial"/>
                <w:color w:val="auto"/>
                <w:sz w:val="20"/>
                <w:szCs w:val="18"/>
              </w:rPr>
              <w:t>investors to be confident they will receive an adequate rate of return on significant capital costs.</w:t>
            </w:r>
          </w:p>
        </w:tc>
      </w:tr>
    </w:tbl>
    <w:p w14:paraId="456CE05C" w14:textId="77777777" w:rsidR="00EC7EC7" w:rsidRPr="00AF7375" w:rsidRDefault="00EC7EC7" w:rsidP="00F46D0D">
      <w:pPr>
        <w:pStyle w:val="Heading3"/>
        <w:spacing w:before="120"/>
        <w:rPr>
          <w:rFonts w:asciiTheme="minorHAnsi" w:hAnsiTheme="minorHAnsi" w:cstheme="minorHAnsi"/>
        </w:rPr>
      </w:pPr>
      <w:r>
        <w:t>CCUS and geological storage</w:t>
      </w:r>
    </w:p>
    <w:p w14:paraId="177FA651" w14:textId="1E16F9B8" w:rsidR="0051029B" w:rsidRDefault="00082213" w:rsidP="0051029B">
      <w:pPr>
        <w:spacing w:after="120"/>
        <w:rPr>
          <w:color w:val="373737"/>
          <w:sz w:val="20"/>
        </w:rPr>
      </w:pPr>
      <w:bookmarkStart w:id="67" w:name="_Hlk161239449"/>
      <w:r w:rsidRPr="603E87AA">
        <w:rPr>
          <w:color w:val="373737" w:themeColor="text2"/>
          <w:sz w:val="20"/>
          <w:szCs w:val="20"/>
        </w:rPr>
        <w:t>CCUS refers to a suite of technologies</w:t>
      </w:r>
      <w:r w:rsidR="0051029B" w:rsidRPr="603E87AA">
        <w:rPr>
          <w:color w:val="373737" w:themeColor="text2"/>
          <w:sz w:val="20"/>
          <w:szCs w:val="20"/>
        </w:rPr>
        <w:t xml:space="preserve"> and applications </w:t>
      </w:r>
      <w:r w:rsidR="0051029B" w:rsidRPr="00FC7FE8">
        <w:rPr>
          <w:lang w:val="en"/>
        </w:rPr>
        <w:t>—</w:t>
      </w:r>
      <w:r w:rsidR="0051029B" w:rsidRPr="603E87AA">
        <w:rPr>
          <w:color w:val="373737" w:themeColor="text2"/>
          <w:sz w:val="20"/>
          <w:szCs w:val="20"/>
        </w:rPr>
        <w:t xml:space="preserve"> including point-source CO</w:t>
      </w:r>
      <w:r w:rsidR="0051029B" w:rsidRPr="001C1CC5">
        <w:rPr>
          <w:color w:val="373737" w:themeColor="text2"/>
          <w:sz w:val="20"/>
          <w:szCs w:val="20"/>
          <w:vertAlign w:val="subscript"/>
        </w:rPr>
        <w:t>2</w:t>
      </w:r>
      <w:r w:rsidR="0051029B" w:rsidRPr="603E87AA">
        <w:rPr>
          <w:color w:val="373737" w:themeColor="text2"/>
          <w:sz w:val="20"/>
          <w:szCs w:val="20"/>
        </w:rPr>
        <w:t xml:space="preserve"> capture, transport and underground geological storage, and emerging carbon dioxide removal technologies such as direct air capture combined with geological storage. </w:t>
      </w:r>
    </w:p>
    <w:p w14:paraId="3FE64870" w14:textId="160782A3" w:rsidR="0051029B" w:rsidRDefault="0051029B" w:rsidP="00082213">
      <w:pPr>
        <w:spacing w:after="120"/>
        <w:rPr>
          <w:color w:val="373737"/>
          <w:sz w:val="20"/>
        </w:rPr>
      </w:pPr>
      <w:r w:rsidRPr="603E87AA">
        <w:rPr>
          <w:color w:val="373737" w:themeColor="text2"/>
          <w:sz w:val="20"/>
          <w:szCs w:val="20"/>
        </w:rPr>
        <w:t xml:space="preserve">Originally used to pressurise oilfields to </w:t>
      </w:r>
      <w:r>
        <w:rPr>
          <w:color w:val="373737" w:themeColor="text2"/>
          <w:sz w:val="20"/>
          <w:szCs w:val="20"/>
        </w:rPr>
        <w:t>boost</w:t>
      </w:r>
      <w:r w:rsidRPr="603E87AA">
        <w:rPr>
          <w:color w:val="373737" w:themeColor="text2"/>
          <w:sz w:val="20"/>
          <w:szCs w:val="20"/>
        </w:rPr>
        <w:t xml:space="preserve"> extraction</w:t>
      </w:r>
      <w:r>
        <w:rPr>
          <w:color w:val="373737" w:themeColor="text2"/>
          <w:sz w:val="20"/>
          <w:szCs w:val="20"/>
        </w:rPr>
        <w:t xml:space="preserve"> (enhanced oil recovery)</w:t>
      </w:r>
      <w:r w:rsidRPr="603E87AA">
        <w:rPr>
          <w:color w:val="373737" w:themeColor="text2"/>
          <w:sz w:val="20"/>
          <w:szCs w:val="20"/>
        </w:rPr>
        <w:t>,</w:t>
      </w:r>
      <w:r>
        <w:rPr>
          <w:color w:val="373737" w:themeColor="text2"/>
          <w:sz w:val="20"/>
          <w:szCs w:val="20"/>
        </w:rPr>
        <w:t xml:space="preserve"> </w:t>
      </w:r>
      <w:r w:rsidR="00C36BEB">
        <w:rPr>
          <w:color w:val="373737" w:themeColor="text2"/>
          <w:sz w:val="20"/>
          <w:szCs w:val="20"/>
        </w:rPr>
        <w:t>g</w:t>
      </w:r>
      <w:r w:rsidRPr="603E87AA">
        <w:rPr>
          <w:color w:val="373737" w:themeColor="text2"/>
          <w:sz w:val="20"/>
          <w:szCs w:val="20"/>
        </w:rPr>
        <w:t>lobally there are now 41 operational CC</w:t>
      </w:r>
      <w:r>
        <w:rPr>
          <w:color w:val="373737" w:themeColor="text2"/>
          <w:sz w:val="20"/>
          <w:szCs w:val="20"/>
        </w:rPr>
        <w:t>U</w:t>
      </w:r>
      <w:r w:rsidRPr="603E87AA">
        <w:rPr>
          <w:color w:val="373737" w:themeColor="text2"/>
          <w:sz w:val="20"/>
          <w:szCs w:val="20"/>
        </w:rPr>
        <w:t>S projects and 351 in development</w:t>
      </w:r>
      <w:r>
        <w:rPr>
          <w:color w:val="373737" w:themeColor="text2"/>
          <w:sz w:val="20"/>
          <w:szCs w:val="20"/>
        </w:rPr>
        <w:t xml:space="preserve">. These span a range of </w:t>
      </w:r>
      <w:r w:rsidRPr="603E87AA">
        <w:rPr>
          <w:color w:val="373737" w:themeColor="text2"/>
          <w:sz w:val="20"/>
          <w:szCs w:val="20"/>
        </w:rPr>
        <w:t xml:space="preserve">industries </w:t>
      </w:r>
      <w:r>
        <w:rPr>
          <w:color w:val="373737" w:themeColor="text2"/>
          <w:sz w:val="20"/>
          <w:szCs w:val="20"/>
        </w:rPr>
        <w:t>(</w:t>
      </w:r>
      <w:r w:rsidRPr="603E87AA">
        <w:rPr>
          <w:color w:val="373737" w:themeColor="text2"/>
          <w:sz w:val="20"/>
          <w:szCs w:val="20"/>
        </w:rPr>
        <w:t>including ethanol, hydrogen, ammonia and cement out</w:t>
      </w:r>
      <w:r>
        <w:rPr>
          <w:color w:val="373737" w:themeColor="text2"/>
          <w:sz w:val="20"/>
          <w:szCs w:val="20"/>
        </w:rPr>
        <w:t>put)</w:t>
      </w:r>
      <w:r w:rsidRPr="603E87AA">
        <w:rPr>
          <w:color w:val="373737" w:themeColor="text2"/>
          <w:sz w:val="20"/>
          <w:szCs w:val="20"/>
        </w:rPr>
        <w:t>. Of these, there are 45 CC</w:t>
      </w:r>
      <w:r>
        <w:rPr>
          <w:color w:val="373737" w:themeColor="text2"/>
          <w:sz w:val="20"/>
          <w:szCs w:val="20"/>
        </w:rPr>
        <w:t>U</w:t>
      </w:r>
      <w:r w:rsidRPr="603E87AA">
        <w:rPr>
          <w:color w:val="373737" w:themeColor="text2"/>
          <w:sz w:val="20"/>
          <w:szCs w:val="20"/>
        </w:rPr>
        <w:t xml:space="preserve">S facilities (in operation or development) for natural gas processing. </w:t>
      </w:r>
    </w:p>
    <w:p w14:paraId="3CD12A48" w14:textId="5FFFA98D" w:rsidR="00082213" w:rsidRPr="00AF7375" w:rsidRDefault="00082213" w:rsidP="00082213">
      <w:pPr>
        <w:spacing w:after="120"/>
        <w:rPr>
          <w:color w:val="373737"/>
          <w:sz w:val="20"/>
        </w:rPr>
      </w:pPr>
      <w:r w:rsidRPr="00AF7375">
        <w:rPr>
          <w:color w:val="373737"/>
          <w:sz w:val="20"/>
        </w:rPr>
        <w:t>As CCUS refers to a range of technologies, the availability and cost varies considerably by technology</w:t>
      </w:r>
      <w:r w:rsidR="006478CE">
        <w:rPr>
          <w:color w:val="373737"/>
          <w:sz w:val="20"/>
        </w:rPr>
        <w:t xml:space="preserve"> and use case</w:t>
      </w:r>
      <w:r w:rsidRPr="00AF7375">
        <w:rPr>
          <w:color w:val="373737"/>
          <w:sz w:val="20"/>
        </w:rPr>
        <w:t xml:space="preserve">. </w:t>
      </w:r>
      <w:r w:rsidR="00283693">
        <w:rPr>
          <w:color w:val="373737"/>
          <w:sz w:val="20"/>
        </w:rPr>
        <w:t>For example, p</w:t>
      </w:r>
      <w:r w:rsidR="00E550E4">
        <w:rPr>
          <w:color w:val="373737"/>
          <w:sz w:val="20"/>
        </w:rPr>
        <w:t xml:space="preserve">oint source capture costs for concentrated </w:t>
      </w:r>
      <w:r w:rsidR="00E550E4" w:rsidRPr="00AF7375">
        <w:rPr>
          <w:color w:val="373737"/>
          <w:sz w:val="20"/>
        </w:rPr>
        <w:t>CO</w:t>
      </w:r>
      <w:r w:rsidR="00E550E4" w:rsidRPr="00AF7375">
        <w:rPr>
          <w:color w:val="373737"/>
          <w:sz w:val="20"/>
          <w:vertAlign w:val="subscript"/>
        </w:rPr>
        <w:t>2</w:t>
      </w:r>
      <w:r w:rsidR="00E550E4" w:rsidRPr="00AF7375">
        <w:rPr>
          <w:color w:val="373737"/>
          <w:sz w:val="20"/>
        </w:rPr>
        <w:t xml:space="preserve"> </w:t>
      </w:r>
      <w:r w:rsidR="00E550E4">
        <w:rPr>
          <w:color w:val="373737"/>
          <w:sz w:val="20"/>
        </w:rPr>
        <w:t xml:space="preserve">streams are generally lower. Capture costs for more dilute </w:t>
      </w:r>
      <w:r w:rsidR="00E550E4" w:rsidRPr="00AF7375">
        <w:rPr>
          <w:color w:val="373737"/>
          <w:sz w:val="20"/>
        </w:rPr>
        <w:t>CO</w:t>
      </w:r>
      <w:r w:rsidR="00E550E4" w:rsidRPr="00AF7375">
        <w:rPr>
          <w:color w:val="373737"/>
          <w:sz w:val="20"/>
          <w:vertAlign w:val="subscript"/>
        </w:rPr>
        <w:t>2</w:t>
      </w:r>
      <w:r w:rsidR="00E550E4" w:rsidRPr="00AF7375">
        <w:rPr>
          <w:color w:val="373737"/>
          <w:sz w:val="20"/>
        </w:rPr>
        <w:t xml:space="preserve"> </w:t>
      </w:r>
      <w:r w:rsidR="00E550E4">
        <w:rPr>
          <w:color w:val="373737"/>
          <w:sz w:val="20"/>
        </w:rPr>
        <w:t>streams, such as those captured through direct air capture (DAC) are significantly higher, with relatively smaller-scale plants in operation (IEA 2023)</w:t>
      </w:r>
      <w:r w:rsidR="00283693">
        <w:rPr>
          <w:color w:val="373737"/>
          <w:sz w:val="20"/>
        </w:rPr>
        <w:t xml:space="preserve">. Many factors will affect the total cost, including costs associated </w:t>
      </w:r>
      <w:r w:rsidR="00C36BEB">
        <w:rPr>
          <w:color w:val="373737"/>
          <w:sz w:val="20"/>
        </w:rPr>
        <w:t xml:space="preserve">with </w:t>
      </w:r>
      <w:r w:rsidR="00283693">
        <w:rPr>
          <w:color w:val="373737"/>
          <w:sz w:val="20"/>
        </w:rPr>
        <w:t>capture, transport and storage or use.</w:t>
      </w:r>
      <w:r w:rsidRPr="00AF7375">
        <w:rPr>
          <w:color w:val="373737"/>
          <w:sz w:val="20"/>
        </w:rPr>
        <w:t xml:space="preserve"> </w:t>
      </w:r>
      <w:bookmarkEnd w:id="67"/>
    </w:p>
    <w:p w14:paraId="0A9B470C" w14:textId="7787E8FC" w:rsidR="006478CE" w:rsidRDefault="006478CE" w:rsidP="00082213">
      <w:pPr>
        <w:spacing w:after="120"/>
        <w:rPr>
          <w:color w:val="373737"/>
          <w:sz w:val="20"/>
        </w:rPr>
      </w:pPr>
      <w:r>
        <w:rPr>
          <w:color w:val="373737"/>
          <w:sz w:val="20"/>
        </w:rPr>
        <w:t xml:space="preserve">CCUS is </w:t>
      </w:r>
      <w:r w:rsidR="00E550E4">
        <w:rPr>
          <w:color w:val="373737"/>
          <w:sz w:val="20"/>
        </w:rPr>
        <w:t>t</w:t>
      </w:r>
      <w:r w:rsidR="00E550E4" w:rsidRPr="00E550E4">
        <w:rPr>
          <w:color w:val="373737"/>
          <w:sz w:val="20"/>
        </w:rPr>
        <w:t xml:space="preserve">he only group of technologies that both reduces emissions from the continued use of fossil fuels and removes </w:t>
      </w:r>
      <w:r w:rsidR="00750916" w:rsidRPr="00AF7375">
        <w:rPr>
          <w:color w:val="373737"/>
          <w:sz w:val="20"/>
        </w:rPr>
        <w:t>CO</w:t>
      </w:r>
      <w:r w:rsidR="00750916" w:rsidRPr="00AF7375">
        <w:rPr>
          <w:color w:val="373737"/>
          <w:sz w:val="20"/>
          <w:vertAlign w:val="subscript"/>
        </w:rPr>
        <w:t>2</w:t>
      </w:r>
      <w:r w:rsidR="00750916" w:rsidRPr="00E550E4">
        <w:rPr>
          <w:color w:val="373737"/>
          <w:sz w:val="20"/>
        </w:rPr>
        <w:t xml:space="preserve"> </w:t>
      </w:r>
      <w:r w:rsidR="00E550E4" w:rsidRPr="00E550E4">
        <w:rPr>
          <w:color w:val="373737"/>
          <w:sz w:val="20"/>
        </w:rPr>
        <w:t>to balance emissions that are challenging to avoid.</w:t>
      </w:r>
      <w:r w:rsidR="00E550E4" w:rsidRPr="00E550E4">
        <w:t xml:space="preserve"> </w:t>
      </w:r>
      <w:r w:rsidR="00E550E4" w:rsidRPr="00E550E4">
        <w:rPr>
          <w:color w:val="373737"/>
          <w:sz w:val="20"/>
        </w:rPr>
        <w:t>CCUS is therefore critical to achieving net-zero goals (IEA 2020).</w:t>
      </w:r>
      <w:r>
        <w:rPr>
          <w:color w:val="373737"/>
          <w:sz w:val="20"/>
        </w:rPr>
        <w:t xml:space="preserve"> </w:t>
      </w:r>
    </w:p>
    <w:p w14:paraId="4EA700C9" w14:textId="6277DC68" w:rsidR="00E550E4" w:rsidRDefault="00E550E4" w:rsidP="00E550E4">
      <w:pPr>
        <w:spacing w:after="120"/>
        <w:rPr>
          <w:color w:val="373737" w:themeColor="text2"/>
          <w:sz w:val="20"/>
          <w:szCs w:val="20"/>
        </w:rPr>
      </w:pPr>
      <w:r w:rsidRPr="3054D877">
        <w:rPr>
          <w:color w:val="373737" w:themeColor="text2"/>
          <w:sz w:val="20"/>
          <w:szCs w:val="20"/>
        </w:rPr>
        <w:t>CSIRO</w:t>
      </w:r>
      <w:r w:rsidR="00D33314">
        <w:rPr>
          <w:color w:val="373737" w:themeColor="text2"/>
          <w:sz w:val="20"/>
          <w:szCs w:val="20"/>
        </w:rPr>
        <w:t xml:space="preserve"> (2022)</w:t>
      </w:r>
      <w:r w:rsidRPr="3054D877">
        <w:rPr>
          <w:color w:val="373737" w:themeColor="text2"/>
          <w:sz w:val="20"/>
          <w:szCs w:val="20"/>
        </w:rPr>
        <w:t xml:space="preserve"> estimates suggest that the greatest potential for sequestration in Australia is from geological sequestration, </w:t>
      </w:r>
      <w:r>
        <w:rPr>
          <w:color w:val="373737" w:themeColor="text2"/>
          <w:sz w:val="20"/>
          <w:szCs w:val="20"/>
        </w:rPr>
        <w:t>with</w:t>
      </w:r>
      <w:r w:rsidRPr="3054D877">
        <w:rPr>
          <w:color w:val="373737" w:themeColor="text2"/>
          <w:sz w:val="20"/>
          <w:szCs w:val="20"/>
        </w:rPr>
        <w:t xml:space="preserve"> a </w:t>
      </w:r>
      <w:r w:rsidRPr="732271D0">
        <w:rPr>
          <w:color w:val="373737" w:themeColor="text2"/>
          <w:sz w:val="20"/>
          <w:szCs w:val="20"/>
        </w:rPr>
        <w:t xml:space="preserve">theoretical </w:t>
      </w:r>
      <w:r w:rsidRPr="3054D877">
        <w:rPr>
          <w:color w:val="373737" w:themeColor="text2"/>
          <w:sz w:val="20"/>
          <w:szCs w:val="20"/>
        </w:rPr>
        <w:t xml:space="preserve">sequestration potential of 227 gigatonnes. </w:t>
      </w:r>
      <w:r w:rsidR="00C36BEB">
        <w:rPr>
          <w:rFonts w:eastAsiaTheme="minorEastAsia"/>
          <w:color w:val="373737" w:themeColor="text2"/>
          <w:sz w:val="20"/>
          <w:szCs w:val="20"/>
        </w:rPr>
        <w:t>While the</w:t>
      </w:r>
      <w:r w:rsidRPr="00F84F55">
        <w:rPr>
          <w:rFonts w:eastAsiaTheme="minorEastAsia"/>
          <w:color w:val="373737" w:themeColor="text2"/>
          <w:sz w:val="20"/>
          <w:szCs w:val="20"/>
        </w:rPr>
        <w:t xml:space="preserve"> practical storage capacity, accounting for factors such as injectivity, economics and resource competition </w:t>
      </w:r>
      <w:r>
        <w:rPr>
          <w:rFonts w:eastAsiaTheme="minorEastAsia"/>
          <w:color w:val="373737" w:themeColor="text2"/>
          <w:sz w:val="20"/>
          <w:szCs w:val="20"/>
        </w:rPr>
        <w:t>may</w:t>
      </w:r>
      <w:r w:rsidRPr="00F84F55">
        <w:rPr>
          <w:rFonts w:eastAsiaTheme="minorEastAsia"/>
          <w:color w:val="373737" w:themeColor="text2"/>
          <w:sz w:val="20"/>
          <w:szCs w:val="20"/>
        </w:rPr>
        <w:t xml:space="preserve"> be much lowe</w:t>
      </w:r>
      <w:r w:rsidR="00D61712">
        <w:rPr>
          <w:rFonts w:eastAsiaTheme="minorEastAsia"/>
          <w:color w:val="373737" w:themeColor="text2"/>
          <w:sz w:val="20"/>
          <w:szCs w:val="20"/>
        </w:rPr>
        <w:t>r</w:t>
      </w:r>
      <w:r w:rsidR="00C36BEB">
        <w:rPr>
          <w:rFonts w:eastAsiaTheme="minorEastAsia"/>
          <w:color w:val="373737" w:themeColor="text2"/>
          <w:sz w:val="20"/>
          <w:szCs w:val="20"/>
        </w:rPr>
        <w:t>,</w:t>
      </w:r>
      <w:r w:rsidR="00D61712">
        <w:rPr>
          <w:rFonts w:eastAsiaTheme="minorEastAsia"/>
          <w:color w:val="373737" w:themeColor="text2"/>
          <w:sz w:val="20"/>
          <w:szCs w:val="20"/>
        </w:rPr>
        <w:t xml:space="preserve"> </w:t>
      </w:r>
      <w:r w:rsidR="00D61712" w:rsidRPr="00F84F55">
        <w:rPr>
          <w:rFonts w:eastAsiaTheme="minorEastAsia"/>
          <w:color w:val="373737" w:themeColor="text2"/>
          <w:sz w:val="20"/>
          <w:szCs w:val="20"/>
        </w:rPr>
        <w:t xml:space="preserve">the total storage capacity in Australia is still expected be substantial. </w:t>
      </w:r>
      <w:r w:rsidRPr="00F84F55">
        <w:rPr>
          <w:rFonts w:eastAsiaTheme="minorEastAsia"/>
          <w:color w:val="373737" w:themeColor="text2"/>
          <w:sz w:val="20"/>
          <w:szCs w:val="20"/>
        </w:rPr>
        <w:t>The Oil and Gas Climate Initiative (</w:t>
      </w:r>
      <w:r>
        <w:rPr>
          <w:rFonts w:eastAsiaTheme="minorEastAsia"/>
          <w:color w:val="373737" w:themeColor="text2"/>
          <w:sz w:val="20"/>
          <w:szCs w:val="20"/>
        </w:rPr>
        <w:t>2022</w:t>
      </w:r>
      <w:r w:rsidRPr="00F84F55">
        <w:rPr>
          <w:rFonts w:eastAsiaTheme="minorEastAsia"/>
          <w:color w:val="373737" w:themeColor="text2"/>
          <w:sz w:val="20"/>
          <w:szCs w:val="20"/>
        </w:rPr>
        <w:t>) estimated that Australia possesses 31.4 gigatonnes of sub</w:t>
      </w:r>
      <w:r>
        <w:rPr>
          <w:rFonts w:eastAsiaTheme="minorEastAsia"/>
          <w:color w:val="373737" w:themeColor="text2"/>
          <w:sz w:val="20"/>
          <w:szCs w:val="20"/>
        </w:rPr>
        <w:t>-</w:t>
      </w:r>
      <w:r w:rsidRPr="00F84F55">
        <w:rPr>
          <w:rFonts w:eastAsiaTheme="minorEastAsia"/>
          <w:color w:val="373737" w:themeColor="text2"/>
          <w:sz w:val="20"/>
          <w:szCs w:val="20"/>
        </w:rPr>
        <w:t>commercial storage resource. CSIRO</w:t>
      </w:r>
      <w:r w:rsidR="00D33314">
        <w:rPr>
          <w:rFonts w:eastAsiaTheme="minorEastAsia"/>
          <w:color w:val="373737" w:themeColor="text2"/>
          <w:sz w:val="20"/>
          <w:szCs w:val="20"/>
        </w:rPr>
        <w:t xml:space="preserve"> (2022)</w:t>
      </w:r>
      <w:r w:rsidRPr="00F84F55">
        <w:rPr>
          <w:rFonts w:eastAsiaTheme="minorEastAsia"/>
          <w:color w:val="373737" w:themeColor="text2"/>
          <w:sz w:val="20"/>
          <w:szCs w:val="20"/>
        </w:rPr>
        <w:t xml:space="preserve"> notes that </w:t>
      </w:r>
      <w:r>
        <w:rPr>
          <w:rFonts w:eastAsiaTheme="minorEastAsia"/>
          <w:color w:val="373737" w:themeColor="text2"/>
          <w:sz w:val="20"/>
          <w:szCs w:val="20"/>
        </w:rPr>
        <w:t xml:space="preserve">while CCUS alone cannot provide a path to net zero, it </w:t>
      </w:r>
      <w:r w:rsidRPr="00F84F55">
        <w:rPr>
          <w:rFonts w:eastAsiaTheme="minorEastAsia"/>
          <w:color w:val="373737" w:themeColor="text2"/>
          <w:sz w:val="20"/>
          <w:szCs w:val="20"/>
        </w:rPr>
        <w:t>can play a</w:t>
      </w:r>
      <w:r>
        <w:rPr>
          <w:rFonts w:eastAsiaTheme="minorEastAsia"/>
          <w:color w:val="373737" w:themeColor="text2"/>
          <w:sz w:val="20"/>
          <w:szCs w:val="20"/>
        </w:rPr>
        <w:t>n</w:t>
      </w:r>
      <w:r w:rsidRPr="00F84F55">
        <w:rPr>
          <w:rFonts w:eastAsiaTheme="minorEastAsia"/>
          <w:color w:val="373737" w:themeColor="text2"/>
          <w:sz w:val="20"/>
          <w:szCs w:val="20"/>
        </w:rPr>
        <w:t xml:space="preserve"> </w:t>
      </w:r>
      <w:r>
        <w:rPr>
          <w:rFonts w:eastAsiaTheme="minorEastAsia"/>
          <w:color w:val="373737" w:themeColor="text2"/>
          <w:sz w:val="20"/>
          <w:szCs w:val="20"/>
        </w:rPr>
        <w:t xml:space="preserve">important </w:t>
      </w:r>
      <w:r w:rsidRPr="00F84F55">
        <w:rPr>
          <w:rFonts w:eastAsiaTheme="minorEastAsia"/>
          <w:color w:val="373737" w:themeColor="text2"/>
          <w:sz w:val="20"/>
          <w:szCs w:val="20"/>
        </w:rPr>
        <w:t xml:space="preserve">role in </w:t>
      </w:r>
      <w:r>
        <w:rPr>
          <w:rFonts w:eastAsiaTheme="minorEastAsia"/>
          <w:color w:val="373737" w:themeColor="text2"/>
          <w:sz w:val="20"/>
          <w:szCs w:val="20"/>
        </w:rPr>
        <w:t xml:space="preserve">achieving </w:t>
      </w:r>
      <w:r w:rsidRPr="00F84F55">
        <w:rPr>
          <w:rFonts w:eastAsiaTheme="minorEastAsia"/>
          <w:color w:val="373737" w:themeColor="text2"/>
          <w:sz w:val="20"/>
          <w:szCs w:val="20"/>
        </w:rPr>
        <w:t>decarbonisation</w:t>
      </w:r>
      <w:r>
        <w:rPr>
          <w:rFonts w:eastAsiaTheme="minorEastAsia"/>
          <w:color w:val="373737" w:themeColor="text2"/>
          <w:sz w:val="20"/>
          <w:szCs w:val="20"/>
        </w:rPr>
        <w:t xml:space="preserve"> objectives.</w:t>
      </w:r>
    </w:p>
    <w:p w14:paraId="7EB6B903" w14:textId="34D2585C" w:rsidR="0051029B" w:rsidRDefault="00E550E4" w:rsidP="0051029B">
      <w:pPr>
        <w:spacing w:after="120"/>
        <w:rPr>
          <w:color w:val="373737"/>
          <w:sz w:val="20"/>
        </w:rPr>
      </w:pPr>
      <w:bookmarkStart w:id="68" w:name="_Hlk165386951"/>
      <w:r>
        <w:rPr>
          <w:color w:val="373737" w:themeColor="text2"/>
          <w:sz w:val="20"/>
          <w:szCs w:val="20"/>
        </w:rPr>
        <w:t>While m</w:t>
      </w:r>
      <w:r w:rsidRPr="18C1E5C9">
        <w:rPr>
          <w:color w:val="373737" w:themeColor="text2"/>
          <w:sz w:val="20"/>
          <w:szCs w:val="20"/>
        </w:rPr>
        <w:t xml:space="preserve">any large-scale CCUS projects are not yet commercially viable, recent policy changes overseas (such as the introduction of incentives under the US Inflation Reduction Act), may bring them closer to realisation by increasing the rate of investment in research and development. </w:t>
      </w:r>
      <w:r w:rsidRPr="18C1E5C9" w:rsidDel="00EC7EC7">
        <w:rPr>
          <w:color w:val="373737" w:themeColor="text2"/>
          <w:sz w:val="20"/>
          <w:szCs w:val="20"/>
        </w:rPr>
        <w:t xml:space="preserve">In Australia, the Safeguard Mechanism incentivises onsite abatement, which </w:t>
      </w:r>
      <w:r>
        <w:rPr>
          <w:color w:val="373737" w:themeColor="text2"/>
          <w:sz w:val="20"/>
          <w:szCs w:val="20"/>
        </w:rPr>
        <w:t>provide</w:t>
      </w:r>
      <w:r w:rsidR="00416BB4">
        <w:rPr>
          <w:color w:val="373737" w:themeColor="text2"/>
          <w:sz w:val="20"/>
          <w:szCs w:val="20"/>
        </w:rPr>
        <w:t>s</w:t>
      </w:r>
      <w:r>
        <w:rPr>
          <w:color w:val="373737" w:themeColor="text2"/>
          <w:sz w:val="20"/>
          <w:szCs w:val="20"/>
        </w:rPr>
        <w:t xml:space="preserve"> a driver for certain facilities to consider </w:t>
      </w:r>
      <w:r w:rsidRPr="18C1E5C9" w:rsidDel="00EC7EC7">
        <w:rPr>
          <w:color w:val="373737" w:themeColor="text2"/>
          <w:sz w:val="20"/>
          <w:szCs w:val="20"/>
        </w:rPr>
        <w:t>CCUS</w:t>
      </w:r>
      <w:r>
        <w:rPr>
          <w:color w:val="373737" w:themeColor="text2"/>
          <w:sz w:val="20"/>
          <w:szCs w:val="20"/>
        </w:rPr>
        <w:t xml:space="preserve"> as an abatement option where it is cost-competitive to do so.</w:t>
      </w:r>
      <w:r w:rsidRPr="00E34EA8">
        <w:rPr>
          <w:color w:val="373737" w:themeColor="text2"/>
          <w:sz w:val="20"/>
          <w:szCs w:val="20"/>
        </w:rPr>
        <w:t xml:space="preserve"> In particular, the decision to allocate a zero baseline for reservoir </w:t>
      </w:r>
      <w:r w:rsidR="00750916" w:rsidRPr="00AF7375">
        <w:rPr>
          <w:color w:val="373737"/>
          <w:sz w:val="20"/>
        </w:rPr>
        <w:t>CO</w:t>
      </w:r>
      <w:r w:rsidR="00750916" w:rsidRPr="00AF7375">
        <w:rPr>
          <w:color w:val="373737"/>
          <w:sz w:val="20"/>
          <w:vertAlign w:val="subscript"/>
        </w:rPr>
        <w:t>2</w:t>
      </w:r>
      <w:r w:rsidR="00750916">
        <w:rPr>
          <w:color w:val="373737"/>
          <w:sz w:val="20"/>
          <w:vertAlign w:val="subscript"/>
        </w:rPr>
        <w:t xml:space="preserve"> </w:t>
      </w:r>
      <w:r w:rsidRPr="00E34EA8">
        <w:rPr>
          <w:color w:val="373737" w:themeColor="text2"/>
          <w:sz w:val="20"/>
          <w:szCs w:val="20"/>
        </w:rPr>
        <w:t>emissions for new and backfill gas fields is expected to accelerate plans to deploy CCUS, particularly offshore CCUS.</w:t>
      </w:r>
      <w:r w:rsidR="0051029B">
        <w:rPr>
          <w:color w:val="373737" w:themeColor="text2"/>
          <w:sz w:val="20"/>
          <w:szCs w:val="20"/>
        </w:rPr>
        <w:t xml:space="preserve"> </w:t>
      </w:r>
      <w:r w:rsidR="0051029B" w:rsidRPr="603E87AA">
        <w:rPr>
          <w:color w:val="373737" w:themeColor="text2"/>
          <w:sz w:val="20"/>
          <w:szCs w:val="20"/>
        </w:rPr>
        <w:t>Capture, transport and storage costs vary depending on the concentration of the CO</w:t>
      </w:r>
      <w:r w:rsidR="0051029B" w:rsidRPr="603E87AA">
        <w:rPr>
          <w:color w:val="373737" w:themeColor="text2"/>
          <w:sz w:val="20"/>
          <w:szCs w:val="20"/>
          <w:vertAlign w:val="subscript"/>
        </w:rPr>
        <w:t xml:space="preserve">2 </w:t>
      </w:r>
      <w:r w:rsidR="0051029B" w:rsidRPr="603E87AA">
        <w:rPr>
          <w:color w:val="373737" w:themeColor="text2"/>
          <w:sz w:val="20"/>
          <w:szCs w:val="20"/>
        </w:rPr>
        <w:t xml:space="preserve">capture stream, the distance to the storage site and characteristics of the geological reservoir.  </w:t>
      </w:r>
    </w:p>
    <w:p w14:paraId="72BF8CAB" w14:textId="4DCDD73A" w:rsidR="00D61712" w:rsidRPr="00E34EA8" w:rsidRDefault="00E550E4" w:rsidP="0032629E">
      <w:pPr>
        <w:spacing w:before="120" w:after="120"/>
        <w:rPr>
          <w:color w:val="373737" w:themeColor="text2"/>
          <w:sz w:val="20"/>
          <w:szCs w:val="20"/>
        </w:rPr>
      </w:pPr>
      <w:bookmarkStart w:id="69" w:name="_Hlk165460534"/>
      <w:bookmarkEnd w:id="68"/>
      <w:r w:rsidRPr="00E34EA8">
        <w:rPr>
          <w:color w:val="373737" w:themeColor="text2"/>
          <w:sz w:val="20"/>
          <w:szCs w:val="20"/>
        </w:rPr>
        <w:t>Public perceptions of CC</w:t>
      </w:r>
      <w:r w:rsidR="00750916">
        <w:rPr>
          <w:color w:val="373737" w:themeColor="text2"/>
          <w:sz w:val="20"/>
          <w:szCs w:val="20"/>
        </w:rPr>
        <w:t>U</w:t>
      </w:r>
      <w:r w:rsidRPr="00E34EA8">
        <w:rPr>
          <w:color w:val="373737" w:themeColor="text2"/>
          <w:sz w:val="20"/>
          <w:szCs w:val="20"/>
        </w:rPr>
        <w:t>S in Australia have been affected by CC</w:t>
      </w:r>
      <w:r w:rsidR="00750916">
        <w:rPr>
          <w:color w:val="373737" w:themeColor="text2"/>
          <w:sz w:val="20"/>
          <w:szCs w:val="20"/>
        </w:rPr>
        <w:t>U</w:t>
      </w:r>
      <w:r w:rsidRPr="00E34EA8">
        <w:rPr>
          <w:color w:val="373737" w:themeColor="text2"/>
          <w:sz w:val="20"/>
          <w:szCs w:val="20"/>
        </w:rPr>
        <w:t>S’ historical links with the oil and gas industry and its use for Enhanced Oil Recovery (EOR)</w:t>
      </w:r>
      <w:r w:rsidR="00750916">
        <w:rPr>
          <w:color w:val="373737" w:themeColor="text2"/>
          <w:sz w:val="20"/>
          <w:szCs w:val="20"/>
        </w:rPr>
        <w:t xml:space="preserve">. More recently, public perception </w:t>
      </w:r>
      <w:r w:rsidR="00D61712">
        <w:rPr>
          <w:color w:val="373737" w:themeColor="text2"/>
          <w:sz w:val="20"/>
          <w:szCs w:val="20"/>
        </w:rPr>
        <w:t xml:space="preserve">has </w:t>
      </w:r>
      <w:r w:rsidR="00750916">
        <w:rPr>
          <w:color w:val="373737" w:themeColor="text2"/>
          <w:sz w:val="20"/>
          <w:szCs w:val="20"/>
        </w:rPr>
        <w:t xml:space="preserve">been affected </w:t>
      </w:r>
      <w:r w:rsidRPr="00E34EA8">
        <w:rPr>
          <w:color w:val="373737" w:themeColor="text2"/>
          <w:sz w:val="20"/>
          <w:szCs w:val="20"/>
        </w:rPr>
        <w:t>by some of the technical issues associated with Australia’s only operational CC</w:t>
      </w:r>
      <w:r>
        <w:rPr>
          <w:color w:val="373737" w:themeColor="text2"/>
          <w:sz w:val="20"/>
          <w:szCs w:val="20"/>
        </w:rPr>
        <w:t>U</w:t>
      </w:r>
      <w:r w:rsidRPr="00E34EA8">
        <w:rPr>
          <w:color w:val="373737" w:themeColor="text2"/>
          <w:sz w:val="20"/>
          <w:szCs w:val="20"/>
        </w:rPr>
        <w:t xml:space="preserve">S project, the Gorgon CCS project. </w:t>
      </w:r>
      <w:r w:rsidRPr="603E87AA">
        <w:rPr>
          <w:color w:val="373737" w:themeColor="text2"/>
          <w:sz w:val="20"/>
          <w:szCs w:val="20"/>
        </w:rPr>
        <w:t xml:space="preserve">Despite these issues, Gorgon is still one of the </w:t>
      </w:r>
      <w:r w:rsidR="00C36BEB">
        <w:rPr>
          <w:color w:val="373737" w:themeColor="text2"/>
          <w:sz w:val="20"/>
          <w:szCs w:val="20"/>
        </w:rPr>
        <w:t xml:space="preserve">most </w:t>
      </w:r>
      <w:r w:rsidRPr="603E87AA">
        <w:rPr>
          <w:color w:val="373737" w:themeColor="text2"/>
          <w:sz w:val="20"/>
          <w:szCs w:val="20"/>
        </w:rPr>
        <w:t>successful CCUS projects globally</w:t>
      </w:r>
      <w:r w:rsidR="00750916">
        <w:rPr>
          <w:color w:val="373737" w:themeColor="text2"/>
          <w:sz w:val="20"/>
          <w:szCs w:val="20"/>
        </w:rPr>
        <w:t xml:space="preserve">, having stored </w:t>
      </w:r>
      <w:r w:rsidR="004F742C">
        <w:rPr>
          <w:color w:val="373737" w:themeColor="text2"/>
          <w:sz w:val="20"/>
          <w:szCs w:val="20"/>
        </w:rPr>
        <w:t>more than 9</w:t>
      </w:r>
      <w:r w:rsidR="00750916">
        <w:rPr>
          <w:color w:val="373737" w:themeColor="text2"/>
          <w:sz w:val="20"/>
          <w:szCs w:val="20"/>
        </w:rPr>
        <w:t xml:space="preserve"> </w:t>
      </w:r>
      <w:r w:rsidR="001F7C36">
        <w:rPr>
          <w:color w:val="373737" w:themeColor="text2"/>
          <w:sz w:val="20"/>
          <w:szCs w:val="20"/>
        </w:rPr>
        <w:t>Mt</w:t>
      </w:r>
      <w:r w:rsidR="00750916">
        <w:rPr>
          <w:color w:val="373737" w:themeColor="text2"/>
          <w:sz w:val="20"/>
          <w:szCs w:val="20"/>
        </w:rPr>
        <w:t xml:space="preserve"> of </w:t>
      </w:r>
      <w:r w:rsidR="00750916" w:rsidRPr="00AF7375">
        <w:rPr>
          <w:color w:val="373737"/>
          <w:sz w:val="20"/>
        </w:rPr>
        <w:t>CO</w:t>
      </w:r>
      <w:r w:rsidR="00750916" w:rsidRPr="00AF7375">
        <w:rPr>
          <w:color w:val="373737"/>
          <w:sz w:val="20"/>
          <w:vertAlign w:val="subscript"/>
        </w:rPr>
        <w:t>2</w:t>
      </w:r>
      <w:r w:rsidRPr="603E87AA">
        <w:rPr>
          <w:color w:val="373737" w:themeColor="text2"/>
          <w:sz w:val="20"/>
          <w:szCs w:val="20"/>
        </w:rPr>
        <w:t xml:space="preserve"> </w:t>
      </w:r>
      <w:r w:rsidR="00750916">
        <w:rPr>
          <w:color w:val="373737" w:themeColor="text2"/>
          <w:sz w:val="20"/>
          <w:szCs w:val="20"/>
        </w:rPr>
        <w:t xml:space="preserve">between August 2019 and </w:t>
      </w:r>
      <w:r w:rsidR="004F742C">
        <w:rPr>
          <w:color w:val="373737" w:themeColor="text2"/>
          <w:sz w:val="20"/>
          <w:szCs w:val="20"/>
        </w:rPr>
        <w:t>December 2023</w:t>
      </w:r>
      <w:r w:rsidR="00750916">
        <w:rPr>
          <w:color w:val="373737" w:themeColor="text2"/>
          <w:sz w:val="20"/>
          <w:szCs w:val="20"/>
        </w:rPr>
        <w:t xml:space="preserve">. </w:t>
      </w:r>
      <w:r w:rsidR="00D61712">
        <w:rPr>
          <w:color w:val="373737" w:themeColor="text2"/>
          <w:sz w:val="20"/>
          <w:szCs w:val="20"/>
        </w:rPr>
        <w:t>R</w:t>
      </w:r>
      <w:r w:rsidRPr="603E87AA">
        <w:rPr>
          <w:color w:val="373737" w:themeColor="text2"/>
          <w:sz w:val="20"/>
          <w:szCs w:val="20"/>
        </w:rPr>
        <w:t xml:space="preserve">emediation work is underway </w:t>
      </w:r>
      <w:r w:rsidR="00D61712">
        <w:rPr>
          <w:color w:val="373737" w:themeColor="text2"/>
          <w:sz w:val="20"/>
          <w:szCs w:val="20"/>
        </w:rPr>
        <w:t xml:space="preserve">at the Gorgon CCS project </w:t>
      </w:r>
      <w:r w:rsidRPr="603E87AA">
        <w:rPr>
          <w:color w:val="373737" w:themeColor="text2"/>
          <w:sz w:val="20"/>
          <w:szCs w:val="20"/>
        </w:rPr>
        <w:t xml:space="preserve">to increase its sequestration capacity. </w:t>
      </w:r>
    </w:p>
    <w:bookmarkEnd w:id="69"/>
    <w:p w14:paraId="25390488" w14:textId="7FF78EF9" w:rsidR="006478CE" w:rsidRDefault="006478CE" w:rsidP="0032629E">
      <w:pPr>
        <w:spacing w:after="120"/>
        <w:rPr>
          <w:color w:val="373737"/>
          <w:sz w:val="20"/>
        </w:rPr>
      </w:pPr>
      <w:r w:rsidRPr="00AF7375">
        <w:rPr>
          <w:color w:val="373737"/>
          <w:sz w:val="20"/>
        </w:rPr>
        <w:t>Overseas, CCUS is used in a range of locations, notably in the US where industrial gas is captured and used to pressurise existing oil wells.</w:t>
      </w:r>
      <w:r w:rsidR="00CC3D33">
        <w:rPr>
          <w:color w:val="373737"/>
          <w:sz w:val="20"/>
        </w:rPr>
        <w:t xml:space="preserve"> It is increasing in use as it is incentivised under the </w:t>
      </w:r>
      <w:r w:rsidR="003B4922">
        <w:rPr>
          <w:color w:val="373737"/>
          <w:sz w:val="20"/>
        </w:rPr>
        <w:t>US Inflation Reduction Act</w:t>
      </w:r>
      <w:r w:rsidR="00CC3D33">
        <w:rPr>
          <w:color w:val="373737"/>
          <w:sz w:val="20"/>
        </w:rPr>
        <w:t xml:space="preserve">. </w:t>
      </w:r>
    </w:p>
    <w:p w14:paraId="67B020CD" w14:textId="77777777" w:rsidR="004077C2" w:rsidRDefault="00750916" w:rsidP="006478CE">
      <w:pPr>
        <w:spacing w:after="120"/>
        <w:rPr>
          <w:color w:val="373737"/>
          <w:sz w:val="20"/>
        </w:rPr>
      </w:pPr>
      <w:bookmarkStart w:id="70" w:name="_Toc165292759"/>
      <w:bookmarkStart w:id="71" w:name="_Toc165293424"/>
      <w:bookmarkStart w:id="72" w:name="_Toc165293736"/>
      <w:bookmarkStart w:id="73" w:name="_Toc165292766"/>
      <w:bookmarkStart w:id="74" w:name="_Toc165293431"/>
      <w:bookmarkStart w:id="75" w:name="_Toc165293743"/>
      <w:bookmarkEnd w:id="70"/>
      <w:bookmarkEnd w:id="71"/>
      <w:bookmarkEnd w:id="72"/>
      <w:bookmarkEnd w:id="73"/>
      <w:bookmarkEnd w:id="74"/>
      <w:bookmarkEnd w:id="75"/>
      <w:r>
        <w:rPr>
          <w:color w:val="373737"/>
          <w:sz w:val="20"/>
        </w:rPr>
        <w:t>As CCUS can also abate emissions from industrial users, more information is provided in Section 2.4.</w:t>
      </w:r>
    </w:p>
    <w:p w14:paraId="447CC619" w14:textId="7F4825F3" w:rsidR="00EC7EC7" w:rsidRDefault="00BC2B56" w:rsidP="0032629E">
      <w:pPr>
        <w:pStyle w:val="Heading2"/>
        <w:numPr>
          <w:ilvl w:val="1"/>
          <w:numId w:val="3"/>
        </w:numPr>
        <w:spacing w:before="180"/>
      </w:pPr>
      <w:bookmarkStart w:id="76" w:name="_Toc165150160"/>
      <w:bookmarkStart w:id="77" w:name="_Toc165157172"/>
      <w:bookmarkStart w:id="78" w:name="_Toc165157743"/>
      <w:bookmarkStart w:id="79" w:name="_Toc165157906"/>
      <w:bookmarkStart w:id="80" w:name="_Toc165269813"/>
      <w:bookmarkStart w:id="81" w:name="_Toc165150178"/>
      <w:bookmarkStart w:id="82" w:name="_Toc165157190"/>
      <w:bookmarkStart w:id="83" w:name="_Toc165157761"/>
      <w:bookmarkStart w:id="84" w:name="_Toc165157924"/>
      <w:bookmarkStart w:id="85" w:name="_Toc165269831"/>
      <w:bookmarkStart w:id="86" w:name="_Toc172794507"/>
      <w:bookmarkEnd w:id="66"/>
      <w:bookmarkEnd w:id="76"/>
      <w:bookmarkEnd w:id="77"/>
      <w:bookmarkEnd w:id="78"/>
      <w:bookmarkEnd w:id="79"/>
      <w:bookmarkEnd w:id="80"/>
      <w:bookmarkEnd w:id="81"/>
      <w:bookmarkEnd w:id="82"/>
      <w:bookmarkEnd w:id="83"/>
      <w:bookmarkEnd w:id="84"/>
      <w:bookmarkEnd w:id="85"/>
      <w:r>
        <w:t>A</w:t>
      </w:r>
      <w:r w:rsidR="00651ED4">
        <w:t xml:space="preserve">batement </w:t>
      </w:r>
      <w:r>
        <w:t>options to reduce gas use</w:t>
      </w:r>
      <w:r w:rsidR="003B4922">
        <w:t xml:space="preserve"> emissions</w:t>
      </w:r>
      <w:bookmarkEnd w:id="86"/>
    </w:p>
    <w:p w14:paraId="01C8850D" w14:textId="57EF870A" w:rsidR="00EC7EC7" w:rsidRPr="00AF7375" w:rsidRDefault="003B4922" w:rsidP="00F46D0D">
      <w:pPr>
        <w:pStyle w:val="Heading3"/>
        <w:spacing w:before="120"/>
        <w:rPr>
          <w:rFonts w:asciiTheme="minorHAnsi" w:hAnsiTheme="minorHAnsi" w:cstheme="minorHAnsi"/>
        </w:rPr>
      </w:pPr>
      <w:r>
        <w:t xml:space="preserve">Residential and commercial </w:t>
      </w:r>
      <w:r w:rsidR="00114ED0">
        <w:t>electrification</w:t>
      </w:r>
    </w:p>
    <w:p w14:paraId="471EAB1B" w14:textId="081810C3" w:rsidR="0000320E" w:rsidRDefault="00EC7EC7" w:rsidP="00082213">
      <w:pPr>
        <w:spacing w:after="120"/>
        <w:rPr>
          <w:color w:val="373737"/>
          <w:sz w:val="20"/>
        </w:rPr>
      </w:pPr>
      <w:bookmarkStart w:id="87" w:name="_Hlk161239587"/>
      <w:r w:rsidRPr="00AF7375">
        <w:rPr>
          <w:color w:val="373737"/>
          <w:sz w:val="20"/>
        </w:rPr>
        <w:t>For residential and commercial customers, emissions reduction is largely expected to be from adoption of electric appliances for space heating, cooking and water heating. These appliances are currently available, with upfront costs of electric appliances comparable to gas appliances. Electric appliances are estimated to be more cost effective over the long</w:t>
      </w:r>
      <w:r w:rsidR="00DE49E1">
        <w:rPr>
          <w:color w:val="373737"/>
          <w:sz w:val="20"/>
        </w:rPr>
        <w:t xml:space="preserve"> </w:t>
      </w:r>
      <w:r w:rsidRPr="00AF7375">
        <w:rPr>
          <w:color w:val="373737"/>
          <w:sz w:val="20"/>
        </w:rPr>
        <w:t xml:space="preserve">term, with lifecycle costs of </w:t>
      </w:r>
      <w:r w:rsidR="00EA56EA">
        <w:rPr>
          <w:color w:val="373737"/>
          <w:sz w:val="20"/>
        </w:rPr>
        <w:t xml:space="preserve">purchasing the </w:t>
      </w:r>
      <w:r w:rsidRPr="00AF7375">
        <w:rPr>
          <w:color w:val="373737"/>
          <w:sz w:val="20"/>
        </w:rPr>
        <w:t>appliance and ongoing costs generally found to be lower than gas appliances (Grattan 202</w:t>
      </w:r>
      <w:r w:rsidR="00192FA7">
        <w:rPr>
          <w:color w:val="373737"/>
          <w:sz w:val="20"/>
        </w:rPr>
        <w:t>3</w:t>
      </w:r>
      <w:r w:rsidRPr="00AF7375">
        <w:rPr>
          <w:color w:val="373737"/>
          <w:sz w:val="20"/>
        </w:rPr>
        <w:t>; Victoria State Government 202</w:t>
      </w:r>
      <w:r w:rsidR="00914DE5">
        <w:rPr>
          <w:color w:val="373737"/>
          <w:sz w:val="20"/>
        </w:rPr>
        <w:t>4</w:t>
      </w:r>
      <w:r w:rsidRPr="00AF7375">
        <w:rPr>
          <w:color w:val="373737"/>
          <w:sz w:val="20"/>
        </w:rPr>
        <w:t xml:space="preserve">). </w:t>
      </w:r>
      <w:r w:rsidR="00272FB1">
        <w:rPr>
          <w:color w:val="373737"/>
          <w:sz w:val="20"/>
        </w:rPr>
        <w:t>The</w:t>
      </w:r>
      <w:r w:rsidRPr="00AF7375">
        <w:rPr>
          <w:color w:val="373737"/>
          <w:sz w:val="20"/>
        </w:rPr>
        <w:t xml:space="preserve"> </w:t>
      </w:r>
      <w:r w:rsidR="00272FB1">
        <w:rPr>
          <w:color w:val="373737"/>
          <w:sz w:val="20"/>
        </w:rPr>
        <w:t xml:space="preserve">current </w:t>
      </w:r>
      <w:r w:rsidRPr="00AF7375">
        <w:rPr>
          <w:color w:val="373737"/>
          <w:sz w:val="20"/>
        </w:rPr>
        <w:t xml:space="preserve">rate of </w:t>
      </w:r>
      <w:r w:rsidR="00A50E9A">
        <w:rPr>
          <w:color w:val="373737"/>
          <w:sz w:val="20"/>
        </w:rPr>
        <w:t xml:space="preserve">change from gas to electric appliances </w:t>
      </w:r>
      <w:r w:rsidRPr="00AF7375">
        <w:rPr>
          <w:color w:val="373737"/>
          <w:sz w:val="20"/>
        </w:rPr>
        <w:t xml:space="preserve">is </w:t>
      </w:r>
      <w:r w:rsidR="00A50E9A">
        <w:rPr>
          <w:color w:val="373737"/>
          <w:sz w:val="20"/>
        </w:rPr>
        <w:t>less</w:t>
      </w:r>
      <w:r w:rsidRPr="00AF7375">
        <w:rPr>
          <w:color w:val="373737"/>
          <w:sz w:val="20"/>
        </w:rPr>
        <w:t xml:space="preserve"> than is required to meet Australia’s net zero targets (see Chapter 3).</w:t>
      </w:r>
    </w:p>
    <w:p w14:paraId="491660E8" w14:textId="2DBC9E05" w:rsidR="00EC7EC7" w:rsidRPr="00AF7375" w:rsidRDefault="00EC7EC7" w:rsidP="00082213">
      <w:pPr>
        <w:spacing w:after="120"/>
        <w:rPr>
          <w:color w:val="373737"/>
          <w:sz w:val="20"/>
        </w:rPr>
      </w:pPr>
      <w:r w:rsidRPr="00AF7375">
        <w:rPr>
          <w:color w:val="373737"/>
          <w:sz w:val="20"/>
        </w:rPr>
        <w:t>Some state and territory governments have introduced policies for no</w:t>
      </w:r>
      <w:r w:rsidR="00272FB1">
        <w:rPr>
          <w:color w:val="373737"/>
          <w:sz w:val="20"/>
        </w:rPr>
        <w:t xml:space="preserve"> </w:t>
      </w:r>
      <w:r w:rsidRPr="00AF7375">
        <w:rPr>
          <w:color w:val="373737"/>
          <w:sz w:val="20"/>
        </w:rPr>
        <w:t>new gas connections, enforcing adopt</w:t>
      </w:r>
      <w:r w:rsidR="00272FB1">
        <w:rPr>
          <w:color w:val="373737"/>
          <w:sz w:val="20"/>
        </w:rPr>
        <w:t>ion of</w:t>
      </w:r>
      <w:r w:rsidRPr="00AF7375">
        <w:rPr>
          <w:color w:val="373737"/>
          <w:sz w:val="20"/>
        </w:rPr>
        <w:t xml:space="preserve"> electric appliances rather than gas appliances</w:t>
      </w:r>
      <w:r w:rsidR="00272FB1">
        <w:rPr>
          <w:color w:val="373737"/>
          <w:sz w:val="20"/>
        </w:rPr>
        <w:t xml:space="preserve"> in </w:t>
      </w:r>
      <w:r w:rsidR="00272FB1" w:rsidRPr="00AF7375">
        <w:rPr>
          <w:color w:val="373737"/>
          <w:sz w:val="20"/>
        </w:rPr>
        <w:t>new commercial and residential buildings</w:t>
      </w:r>
      <w:r w:rsidRPr="00AF7375">
        <w:rPr>
          <w:color w:val="373737"/>
          <w:sz w:val="20"/>
        </w:rPr>
        <w:t xml:space="preserve">. </w:t>
      </w:r>
      <w:r w:rsidR="00DE49E1">
        <w:rPr>
          <w:color w:val="373737"/>
          <w:sz w:val="20"/>
        </w:rPr>
        <w:t>Without</w:t>
      </w:r>
      <w:r w:rsidRPr="00AF7375">
        <w:rPr>
          <w:color w:val="373737"/>
          <w:sz w:val="20"/>
        </w:rPr>
        <w:t xml:space="preserve"> regulations, </w:t>
      </w:r>
      <w:r w:rsidR="00EA56EA">
        <w:rPr>
          <w:color w:val="373737"/>
          <w:sz w:val="20"/>
        </w:rPr>
        <w:t>household</w:t>
      </w:r>
      <w:r w:rsidRPr="00AF7375">
        <w:rPr>
          <w:color w:val="373737"/>
          <w:sz w:val="20"/>
        </w:rPr>
        <w:t xml:space="preserve"> decisions are likely to be based on factors such as appliance and installation cost, and </w:t>
      </w:r>
      <w:r w:rsidR="00EA56EA">
        <w:rPr>
          <w:color w:val="373737"/>
          <w:sz w:val="20"/>
        </w:rPr>
        <w:t>expected</w:t>
      </w:r>
      <w:r w:rsidRPr="00AF7375">
        <w:rPr>
          <w:color w:val="373737"/>
          <w:sz w:val="20"/>
        </w:rPr>
        <w:t xml:space="preserve"> ongoing fuel </w:t>
      </w:r>
      <w:r w:rsidR="00272FB1">
        <w:rPr>
          <w:color w:val="373737"/>
          <w:sz w:val="20"/>
        </w:rPr>
        <w:t>and maintenance</w:t>
      </w:r>
      <w:r w:rsidRPr="00AF7375">
        <w:rPr>
          <w:color w:val="373737"/>
          <w:sz w:val="20"/>
        </w:rPr>
        <w:t xml:space="preserve"> costs. </w:t>
      </w:r>
    </w:p>
    <w:p w14:paraId="232FAA12" w14:textId="1050BCE4" w:rsidR="00EA56EA" w:rsidRDefault="00EA56EA" w:rsidP="004077C2">
      <w:pPr>
        <w:pStyle w:val="Heading3"/>
      </w:pPr>
      <w:r>
        <w:t>Industrial and mining electrification</w:t>
      </w:r>
    </w:p>
    <w:p w14:paraId="026C9A48" w14:textId="5DE34034" w:rsidR="00DE49E1" w:rsidRDefault="00EA56EA" w:rsidP="00082213">
      <w:pPr>
        <w:spacing w:after="120"/>
        <w:rPr>
          <w:color w:val="373737"/>
          <w:sz w:val="20"/>
        </w:rPr>
      </w:pPr>
      <w:r>
        <w:rPr>
          <w:color w:val="373737"/>
          <w:sz w:val="20"/>
        </w:rPr>
        <w:t>Decarbonising</w:t>
      </w:r>
      <w:r w:rsidR="00EC7EC7" w:rsidRPr="00AF7375">
        <w:rPr>
          <w:color w:val="373737"/>
          <w:sz w:val="20"/>
        </w:rPr>
        <w:t xml:space="preserve"> industrial and mining sectors</w:t>
      </w:r>
      <w:r w:rsidR="00DE49E1">
        <w:rPr>
          <w:color w:val="373737"/>
          <w:sz w:val="20"/>
        </w:rPr>
        <w:t xml:space="preserve"> </w:t>
      </w:r>
      <w:r>
        <w:rPr>
          <w:color w:val="373737"/>
          <w:sz w:val="20"/>
        </w:rPr>
        <w:t>processes will require a wide range of new technologies given the diverse processes in which gas is used.</w:t>
      </w:r>
      <w:r w:rsidR="00EC7EC7" w:rsidRPr="00AF7375">
        <w:rPr>
          <w:color w:val="373737"/>
          <w:sz w:val="20"/>
        </w:rPr>
        <w:t xml:space="preserve"> For industrial consumers, low-temperature process heat is </w:t>
      </w:r>
      <w:r>
        <w:rPr>
          <w:color w:val="373737"/>
          <w:sz w:val="20"/>
        </w:rPr>
        <w:t>currently able</w:t>
      </w:r>
      <w:r w:rsidR="00EC7EC7" w:rsidRPr="00AF7375">
        <w:rPr>
          <w:color w:val="373737"/>
          <w:sz w:val="20"/>
        </w:rPr>
        <w:t xml:space="preserve"> to be electrified at relatively low cost, but solutions for high-temperature process heat and feedstock use are not currently cost-effective </w:t>
      </w:r>
      <w:r w:rsidR="00272FB1">
        <w:rPr>
          <w:color w:val="373737"/>
          <w:sz w:val="20"/>
        </w:rPr>
        <w:t xml:space="preserve">and have not been </w:t>
      </w:r>
      <w:r w:rsidR="00EC7EC7" w:rsidRPr="00AF7375">
        <w:rPr>
          <w:color w:val="373737"/>
          <w:sz w:val="20"/>
        </w:rPr>
        <w:t xml:space="preserve">deployed at scale. For industrial consumers who use gas in high-temperature process heat, future alternatives to natural gas include electric arc heating and alternative clean fuels. </w:t>
      </w:r>
      <w:r>
        <w:rPr>
          <w:color w:val="373737"/>
          <w:sz w:val="20"/>
        </w:rPr>
        <w:t>Chapter 3 expands on the use of gas in industry and mining, and on options for reducing demand.</w:t>
      </w:r>
    </w:p>
    <w:p w14:paraId="7A908021" w14:textId="5AC07154" w:rsidR="00EC7EC7" w:rsidRPr="00AF7375" w:rsidRDefault="00EC7EC7" w:rsidP="00082213">
      <w:pPr>
        <w:spacing w:after="120"/>
        <w:rPr>
          <w:color w:val="373737"/>
          <w:sz w:val="20"/>
        </w:rPr>
      </w:pPr>
      <w:r w:rsidRPr="00AF7375">
        <w:rPr>
          <w:color w:val="373737"/>
          <w:sz w:val="20"/>
        </w:rPr>
        <w:t xml:space="preserve">Research in the EU suggests that most industrial processes </w:t>
      </w:r>
      <w:r w:rsidR="00EA56EA">
        <w:rPr>
          <w:color w:val="373737"/>
          <w:sz w:val="20"/>
        </w:rPr>
        <w:t>are likely to</w:t>
      </w:r>
      <w:r w:rsidR="00EA56EA" w:rsidRPr="00AF7375">
        <w:rPr>
          <w:color w:val="373737"/>
          <w:sz w:val="20"/>
        </w:rPr>
        <w:t xml:space="preserve"> </w:t>
      </w:r>
      <w:r w:rsidRPr="00AF7375">
        <w:rPr>
          <w:color w:val="373737"/>
          <w:sz w:val="20"/>
        </w:rPr>
        <w:t>be electrifi</w:t>
      </w:r>
      <w:r w:rsidR="00EA56EA">
        <w:rPr>
          <w:color w:val="373737"/>
          <w:sz w:val="20"/>
        </w:rPr>
        <w:t>able at some point –</w:t>
      </w:r>
      <w:r w:rsidRPr="00AF7375">
        <w:rPr>
          <w:color w:val="373737"/>
          <w:sz w:val="20"/>
        </w:rPr>
        <w:t xml:space="preserve"> Madeddu et. </w:t>
      </w:r>
      <w:r w:rsidR="00D33314">
        <w:rPr>
          <w:color w:val="373737"/>
          <w:sz w:val="20"/>
        </w:rPr>
        <w:t>A</w:t>
      </w:r>
      <w:r w:rsidR="00EA56EA" w:rsidRPr="00AF7375">
        <w:rPr>
          <w:color w:val="373737"/>
          <w:sz w:val="20"/>
        </w:rPr>
        <w:t>l</w:t>
      </w:r>
      <w:r w:rsidRPr="00AF7375">
        <w:rPr>
          <w:color w:val="373737"/>
          <w:sz w:val="20"/>
        </w:rPr>
        <w:t xml:space="preserve">. (2020) found that 78% of energy demand is electrifiable with already established technologies, with 99% electrification possible </w:t>
      </w:r>
      <w:bookmarkEnd w:id="87"/>
      <w:r w:rsidR="00EA56EA">
        <w:rPr>
          <w:color w:val="373737"/>
          <w:sz w:val="20"/>
        </w:rPr>
        <w:t xml:space="preserve">using </w:t>
      </w:r>
      <w:r w:rsidR="00EA56EA" w:rsidRPr="00AF7375">
        <w:rPr>
          <w:color w:val="373737"/>
          <w:sz w:val="20"/>
        </w:rPr>
        <w:t>technologies under development</w:t>
      </w:r>
      <w:r w:rsidR="00EA56EA">
        <w:rPr>
          <w:color w:val="373737"/>
          <w:sz w:val="20"/>
        </w:rPr>
        <w:t xml:space="preserve">. However, </w:t>
      </w:r>
      <w:r w:rsidRPr="00AF7375">
        <w:rPr>
          <w:color w:val="373737"/>
          <w:sz w:val="20"/>
        </w:rPr>
        <w:t xml:space="preserve">there is </w:t>
      </w:r>
      <w:r w:rsidR="00EA56EA">
        <w:rPr>
          <w:color w:val="373737"/>
          <w:sz w:val="20"/>
        </w:rPr>
        <w:t xml:space="preserve">significant </w:t>
      </w:r>
      <w:r w:rsidRPr="00AF7375">
        <w:rPr>
          <w:color w:val="373737"/>
          <w:sz w:val="20"/>
        </w:rPr>
        <w:t xml:space="preserve">uncertainty about </w:t>
      </w:r>
      <w:r w:rsidR="00EA56EA">
        <w:rPr>
          <w:color w:val="373737"/>
          <w:sz w:val="20"/>
        </w:rPr>
        <w:t xml:space="preserve">the timeframe for technology development (and its cost), </w:t>
      </w:r>
      <w:r w:rsidRPr="00AF7375">
        <w:rPr>
          <w:color w:val="373737"/>
          <w:sz w:val="20"/>
        </w:rPr>
        <w:t xml:space="preserve">future </w:t>
      </w:r>
      <w:r w:rsidR="00EA56EA">
        <w:rPr>
          <w:color w:val="373737"/>
          <w:sz w:val="20"/>
        </w:rPr>
        <w:t xml:space="preserve">capital and operational </w:t>
      </w:r>
      <w:r w:rsidRPr="00AF7375">
        <w:rPr>
          <w:color w:val="373737"/>
          <w:sz w:val="20"/>
        </w:rPr>
        <w:t xml:space="preserve">costs </w:t>
      </w:r>
      <w:r w:rsidR="00EA56EA">
        <w:rPr>
          <w:color w:val="373737"/>
          <w:sz w:val="20"/>
        </w:rPr>
        <w:t xml:space="preserve">of each technology </w:t>
      </w:r>
      <w:r w:rsidRPr="00AF7375">
        <w:rPr>
          <w:color w:val="373737"/>
          <w:sz w:val="20"/>
        </w:rPr>
        <w:t xml:space="preserve">and </w:t>
      </w:r>
      <w:r w:rsidR="00EA56EA">
        <w:rPr>
          <w:color w:val="373737"/>
          <w:sz w:val="20"/>
        </w:rPr>
        <w:t>which technology will end up the most effective</w:t>
      </w:r>
      <w:r w:rsidRPr="00AF7375">
        <w:rPr>
          <w:color w:val="373737"/>
          <w:sz w:val="20"/>
        </w:rPr>
        <w:t>.</w:t>
      </w:r>
      <w:r w:rsidR="00EA56EA">
        <w:rPr>
          <w:color w:val="373737"/>
          <w:sz w:val="20"/>
        </w:rPr>
        <w:t xml:space="preserve"> Such factors </w:t>
      </w:r>
      <w:r w:rsidR="00114ED0">
        <w:rPr>
          <w:color w:val="373737"/>
          <w:sz w:val="20"/>
        </w:rPr>
        <w:t>will tend</w:t>
      </w:r>
      <w:r w:rsidR="00EA56EA">
        <w:rPr>
          <w:color w:val="373737"/>
          <w:sz w:val="20"/>
        </w:rPr>
        <w:t xml:space="preserve"> to delay investment</w:t>
      </w:r>
      <w:r w:rsidRPr="00AF7375">
        <w:rPr>
          <w:color w:val="373737"/>
          <w:sz w:val="20"/>
        </w:rPr>
        <w:t xml:space="preserve"> </w:t>
      </w:r>
      <w:r w:rsidR="00114ED0">
        <w:rPr>
          <w:color w:val="373737"/>
          <w:sz w:val="20"/>
        </w:rPr>
        <w:t xml:space="preserve">in electrification </w:t>
      </w:r>
      <w:r w:rsidR="00EA56EA">
        <w:rPr>
          <w:color w:val="373737"/>
          <w:sz w:val="20"/>
        </w:rPr>
        <w:t>d</w:t>
      </w:r>
      <w:r w:rsidRPr="00AF7375">
        <w:rPr>
          <w:color w:val="373737"/>
          <w:sz w:val="20"/>
        </w:rPr>
        <w:t>espite the decarbonisation potential.</w:t>
      </w:r>
      <w:r w:rsidR="00082213" w:rsidRPr="00AF7375">
        <w:rPr>
          <w:color w:val="373737"/>
          <w:sz w:val="20"/>
        </w:rPr>
        <w:t xml:space="preserve"> </w:t>
      </w:r>
    </w:p>
    <w:p w14:paraId="14907D6F" w14:textId="64A37B3F" w:rsidR="00EC7EC7" w:rsidRPr="00AF7375" w:rsidRDefault="004F5849" w:rsidP="00082213">
      <w:pPr>
        <w:pStyle w:val="Heading3"/>
        <w:rPr>
          <w:rFonts w:asciiTheme="minorHAnsi" w:hAnsiTheme="minorHAnsi" w:cstheme="minorHAnsi"/>
        </w:rPr>
      </w:pPr>
      <w:r>
        <w:t>Low-emissions gases – biomethane, hydrogen, ammonia and e-methane</w:t>
      </w:r>
    </w:p>
    <w:p w14:paraId="71914D8B" w14:textId="2A76C1E9" w:rsidR="00114ED0" w:rsidRDefault="00082213" w:rsidP="00082213">
      <w:pPr>
        <w:spacing w:after="120"/>
        <w:rPr>
          <w:color w:val="373737"/>
          <w:sz w:val="20"/>
        </w:rPr>
      </w:pPr>
      <w:bookmarkStart w:id="88" w:name="_Hlk161239607"/>
      <w:r w:rsidRPr="00AF7375">
        <w:rPr>
          <w:color w:val="373737"/>
          <w:sz w:val="20"/>
        </w:rPr>
        <w:t>Low</w:t>
      </w:r>
      <w:r w:rsidR="00DE49E1">
        <w:rPr>
          <w:color w:val="373737"/>
          <w:sz w:val="20"/>
        </w:rPr>
        <w:t>-</w:t>
      </w:r>
      <w:r w:rsidRPr="00AF7375">
        <w:rPr>
          <w:color w:val="373737"/>
          <w:sz w:val="20"/>
        </w:rPr>
        <w:t xml:space="preserve">emission gases – such as biomethane, hydrogen, ammonia, and e-methane – </w:t>
      </w:r>
      <w:r w:rsidR="00114ED0">
        <w:rPr>
          <w:color w:val="373737"/>
          <w:sz w:val="20"/>
        </w:rPr>
        <w:t>have the potential to</w:t>
      </w:r>
      <w:r w:rsidRPr="00AF7375">
        <w:rPr>
          <w:color w:val="373737"/>
          <w:sz w:val="20"/>
        </w:rPr>
        <w:t xml:space="preserve"> substantially decarbonise gas supply chains.</w:t>
      </w:r>
    </w:p>
    <w:p w14:paraId="4AD0823A" w14:textId="572E4BD4" w:rsidR="00082213" w:rsidRPr="00AF7375" w:rsidRDefault="00082213" w:rsidP="00082213">
      <w:pPr>
        <w:spacing w:after="120"/>
        <w:rPr>
          <w:color w:val="373737"/>
          <w:sz w:val="20"/>
        </w:rPr>
      </w:pPr>
      <w:r w:rsidRPr="00AF7375">
        <w:rPr>
          <w:color w:val="373737"/>
          <w:sz w:val="20"/>
        </w:rPr>
        <w:t>The IEA</w:t>
      </w:r>
      <w:r w:rsidR="00D33314">
        <w:rPr>
          <w:color w:val="373737"/>
          <w:sz w:val="20"/>
        </w:rPr>
        <w:t xml:space="preserve"> (2023</w:t>
      </w:r>
      <w:r w:rsidR="00480D6E">
        <w:rPr>
          <w:color w:val="373737"/>
          <w:sz w:val="20"/>
        </w:rPr>
        <w:t>f</w:t>
      </w:r>
      <w:r w:rsidR="00D33314">
        <w:rPr>
          <w:color w:val="373737"/>
          <w:sz w:val="20"/>
        </w:rPr>
        <w:t>)</w:t>
      </w:r>
      <w:r w:rsidRPr="00AF7375">
        <w:rPr>
          <w:color w:val="373737"/>
          <w:sz w:val="20"/>
        </w:rPr>
        <w:t xml:space="preserve"> forecasts that the global supply of low-emission gases will double by 2026 – mostly in Europe and the US</w:t>
      </w:r>
      <w:r w:rsidR="00DE49E1">
        <w:rPr>
          <w:color w:val="373737"/>
          <w:sz w:val="20"/>
        </w:rPr>
        <w:t xml:space="preserve">. </w:t>
      </w:r>
      <w:r w:rsidR="00114ED0">
        <w:rPr>
          <w:color w:val="373737"/>
          <w:sz w:val="20"/>
        </w:rPr>
        <w:t xml:space="preserve">Subsidies provided as part of the </w:t>
      </w:r>
      <w:r w:rsidR="00DE49E1" w:rsidRPr="00AF7375">
        <w:rPr>
          <w:color w:val="373737"/>
          <w:sz w:val="20"/>
        </w:rPr>
        <w:t>R</w:t>
      </w:r>
      <w:r w:rsidR="00DE49E1">
        <w:rPr>
          <w:color w:val="373737"/>
          <w:sz w:val="20"/>
        </w:rPr>
        <w:t>E</w:t>
      </w:r>
      <w:r w:rsidR="00DE49E1" w:rsidRPr="00AF7375">
        <w:rPr>
          <w:color w:val="373737"/>
          <w:sz w:val="20"/>
        </w:rPr>
        <w:t xml:space="preserve">PowerEU </w:t>
      </w:r>
      <w:r w:rsidR="00DE49E1">
        <w:rPr>
          <w:color w:val="373737"/>
          <w:sz w:val="20"/>
        </w:rPr>
        <w:t>(European Union)</w:t>
      </w:r>
      <w:r w:rsidRPr="00AF7375">
        <w:rPr>
          <w:color w:val="373737"/>
          <w:sz w:val="20"/>
        </w:rPr>
        <w:t xml:space="preserve"> and </w:t>
      </w:r>
      <w:r w:rsidR="00DE49E1">
        <w:rPr>
          <w:color w:val="373737"/>
          <w:sz w:val="20"/>
        </w:rPr>
        <w:t>the</w:t>
      </w:r>
      <w:r w:rsidR="00DE49E1" w:rsidRPr="00AF7375">
        <w:rPr>
          <w:color w:val="373737"/>
          <w:sz w:val="20"/>
        </w:rPr>
        <w:t xml:space="preserve"> </w:t>
      </w:r>
      <w:r w:rsidRPr="00AF7375">
        <w:rPr>
          <w:color w:val="373737"/>
          <w:sz w:val="20"/>
        </w:rPr>
        <w:t xml:space="preserve">Inflation Reduction Act </w:t>
      </w:r>
      <w:r w:rsidR="00DE49E1">
        <w:rPr>
          <w:color w:val="373737"/>
          <w:sz w:val="20"/>
        </w:rPr>
        <w:t xml:space="preserve">(United States) are expected to support growth </w:t>
      </w:r>
      <w:r w:rsidR="00114ED0">
        <w:rPr>
          <w:color w:val="373737"/>
          <w:sz w:val="20"/>
        </w:rPr>
        <w:t xml:space="preserve">in low-emissions gases </w:t>
      </w:r>
      <w:r w:rsidR="00DE49E1" w:rsidRPr="00AF7375">
        <w:rPr>
          <w:color w:val="373737"/>
          <w:sz w:val="20"/>
        </w:rPr>
        <w:t xml:space="preserve">and </w:t>
      </w:r>
      <w:r w:rsidR="00114ED0">
        <w:rPr>
          <w:color w:val="373737"/>
          <w:sz w:val="20"/>
        </w:rPr>
        <w:t xml:space="preserve">both regions can support distribution through </w:t>
      </w:r>
      <w:r w:rsidR="00DE49E1" w:rsidRPr="00AF7375">
        <w:rPr>
          <w:color w:val="373737"/>
          <w:sz w:val="20"/>
        </w:rPr>
        <w:t>well-developed gas networks.</w:t>
      </w:r>
      <w:r w:rsidRPr="00AF7375">
        <w:rPr>
          <w:color w:val="373737"/>
          <w:sz w:val="20"/>
        </w:rPr>
        <w:t xml:space="preserve"> </w:t>
      </w:r>
      <w:r w:rsidR="00114ED0">
        <w:rPr>
          <w:color w:val="373737"/>
          <w:sz w:val="20"/>
        </w:rPr>
        <w:t>E</w:t>
      </w:r>
      <w:r w:rsidRPr="00AF7375">
        <w:rPr>
          <w:color w:val="373737"/>
          <w:sz w:val="20"/>
        </w:rPr>
        <w:t xml:space="preserve">merging market participants </w:t>
      </w:r>
      <w:r w:rsidR="00DE49E1">
        <w:rPr>
          <w:color w:val="373737"/>
          <w:sz w:val="20"/>
        </w:rPr>
        <w:t xml:space="preserve">such as Brazil, China and India </w:t>
      </w:r>
      <w:r w:rsidRPr="00AF7375">
        <w:rPr>
          <w:color w:val="373737"/>
          <w:sz w:val="20"/>
        </w:rPr>
        <w:t>are also expected to notably increase their production</w:t>
      </w:r>
      <w:r w:rsidR="00DE49E1">
        <w:rPr>
          <w:color w:val="373737"/>
          <w:sz w:val="20"/>
        </w:rPr>
        <w:t xml:space="preserve"> of low-emission gases</w:t>
      </w:r>
      <w:r w:rsidRPr="00AF7375">
        <w:rPr>
          <w:color w:val="373737"/>
          <w:sz w:val="20"/>
        </w:rPr>
        <w:t xml:space="preserve">. </w:t>
      </w:r>
    </w:p>
    <w:p w14:paraId="3C20D4CB" w14:textId="153EEC48" w:rsidR="00082213" w:rsidRPr="00AF7375" w:rsidRDefault="00082213" w:rsidP="00082213">
      <w:pPr>
        <w:spacing w:after="120"/>
        <w:rPr>
          <w:color w:val="373737"/>
          <w:sz w:val="20"/>
        </w:rPr>
      </w:pPr>
      <w:r w:rsidRPr="00AF7375">
        <w:rPr>
          <w:color w:val="373737"/>
          <w:sz w:val="20"/>
        </w:rPr>
        <w:t xml:space="preserve">In the </w:t>
      </w:r>
      <w:r w:rsidR="003B4922">
        <w:rPr>
          <w:color w:val="373737"/>
          <w:sz w:val="20"/>
        </w:rPr>
        <w:t>near</w:t>
      </w:r>
      <w:r w:rsidRPr="00AF7375">
        <w:rPr>
          <w:color w:val="373737"/>
          <w:sz w:val="20"/>
        </w:rPr>
        <w:t xml:space="preserve"> term to 2026, over half of global production growth in low</w:t>
      </w:r>
      <w:r w:rsidR="00272FB1">
        <w:rPr>
          <w:color w:val="373737"/>
          <w:sz w:val="20"/>
        </w:rPr>
        <w:noBreakHyphen/>
      </w:r>
      <w:r w:rsidRPr="00AF7375">
        <w:rPr>
          <w:color w:val="373737"/>
          <w:sz w:val="20"/>
        </w:rPr>
        <w:t xml:space="preserve">emission gases is from biomethane. Biomethane has a chemical composition very close to natural gas and </w:t>
      </w:r>
      <w:r w:rsidR="00114ED0">
        <w:rPr>
          <w:color w:val="373737"/>
          <w:sz w:val="20"/>
        </w:rPr>
        <w:t>u</w:t>
      </w:r>
      <w:r w:rsidR="00BF1B9F">
        <w:rPr>
          <w:color w:val="373737"/>
          <w:sz w:val="20"/>
        </w:rPr>
        <w:t>nder Australian National Greenhouse Accounts Factors, b</w:t>
      </w:r>
      <w:r w:rsidR="00C9568F" w:rsidRPr="00C9568F">
        <w:rPr>
          <w:color w:val="373737"/>
          <w:sz w:val="20"/>
        </w:rPr>
        <w:t xml:space="preserve">iomethane </w:t>
      </w:r>
      <w:r w:rsidR="00C9568F">
        <w:rPr>
          <w:color w:val="373737"/>
          <w:sz w:val="20"/>
        </w:rPr>
        <w:t xml:space="preserve">has </w:t>
      </w:r>
      <w:r w:rsidR="00C9568F" w:rsidRPr="00C9568F">
        <w:rPr>
          <w:color w:val="373737"/>
          <w:sz w:val="20"/>
        </w:rPr>
        <w:t xml:space="preserve">a zero </w:t>
      </w:r>
      <w:r w:rsidR="00114ED0">
        <w:rPr>
          <w:color w:val="373737"/>
          <w:sz w:val="20"/>
        </w:rPr>
        <w:t>CO</w:t>
      </w:r>
      <w:r w:rsidR="00114ED0">
        <w:rPr>
          <w:color w:val="373737"/>
          <w:sz w:val="20"/>
          <w:vertAlign w:val="subscript"/>
        </w:rPr>
        <w:t>2</w:t>
      </w:r>
      <w:r w:rsidR="00C9568F" w:rsidRPr="00C9568F">
        <w:rPr>
          <w:color w:val="373737"/>
          <w:sz w:val="20"/>
        </w:rPr>
        <w:t xml:space="preserve"> emission factor </w:t>
      </w:r>
      <w:r w:rsidR="00C9568F">
        <w:rPr>
          <w:color w:val="373737"/>
          <w:sz w:val="20"/>
        </w:rPr>
        <w:t xml:space="preserve">as </w:t>
      </w:r>
      <w:r w:rsidR="00C9568F" w:rsidRPr="00C9568F">
        <w:rPr>
          <w:color w:val="373737"/>
          <w:sz w:val="20"/>
        </w:rPr>
        <w:t xml:space="preserve">its combustion releases carbon </w:t>
      </w:r>
      <w:r w:rsidR="00C9568F">
        <w:rPr>
          <w:color w:val="373737"/>
          <w:sz w:val="20"/>
        </w:rPr>
        <w:t xml:space="preserve">that </w:t>
      </w:r>
      <w:r w:rsidR="00114ED0">
        <w:rPr>
          <w:color w:val="373737"/>
          <w:sz w:val="20"/>
        </w:rPr>
        <w:t>has been recently</w:t>
      </w:r>
      <w:r w:rsidR="00C9568F">
        <w:rPr>
          <w:color w:val="373737"/>
          <w:sz w:val="20"/>
        </w:rPr>
        <w:t xml:space="preserve"> </w:t>
      </w:r>
      <w:r w:rsidR="00C9568F" w:rsidRPr="00C9568F">
        <w:rPr>
          <w:color w:val="373737"/>
          <w:sz w:val="20"/>
        </w:rPr>
        <w:t>absorbed from the atmosphere.</w:t>
      </w:r>
      <w:r w:rsidR="00114ED0">
        <w:rPr>
          <w:color w:val="373737"/>
          <w:sz w:val="20"/>
        </w:rPr>
        <w:t xml:space="preserve"> Biomethane </w:t>
      </w:r>
      <w:r w:rsidRPr="00AF7375">
        <w:rPr>
          <w:color w:val="373737"/>
          <w:sz w:val="20"/>
        </w:rPr>
        <w:t xml:space="preserve">can be injected </w:t>
      </w:r>
      <w:r w:rsidR="00114ED0">
        <w:rPr>
          <w:color w:val="373737"/>
          <w:sz w:val="20"/>
        </w:rPr>
        <w:t xml:space="preserve">directly </w:t>
      </w:r>
      <w:r w:rsidRPr="00AF7375">
        <w:rPr>
          <w:color w:val="373737"/>
          <w:sz w:val="20"/>
        </w:rPr>
        <w:t xml:space="preserve">into the </w:t>
      </w:r>
      <w:r w:rsidR="00114ED0">
        <w:rPr>
          <w:color w:val="373737"/>
          <w:sz w:val="20"/>
        </w:rPr>
        <w:t xml:space="preserve">gas network as a substitute for </w:t>
      </w:r>
      <w:r w:rsidRPr="00AF7375">
        <w:rPr>
          <w:color w:val="373737"/>
          <w:sz w:val="20"/>
        </w:rPr>
        <w:t>natural gas</w:t>
      </w:r>
      <w:r w:rsidR="00114ED0">
        <w:rPr>
          <w:color w:val="373737"/>
          <w:sz w:val="20"/>
        </w:rPr>
        <w:t>.</w:t>
      </w:r>
    </w:p>
    <w:p w14:paraId="529054E6" w14:textId="370E0631" w:rsidR="00082213" w:rsidRPr="00AF7375" w:rsidRDefault="00082213" w:rsidP="00082213">
      <w:pPr>
        <w:spacing w:after="120"/>
        <w:rPr>
          <w:color w:val="373737"/>
          <w:sz w:val="20"/>
        </w:rPr>
      </w:pPr>
      <w:r w:rsidRPr="00AF7375">
        <w:rPr>
          <w:color w:val="373737"/>
          <w:sz w:val="20"/>
        </w:rPr>
        <w:t xml:space="preserve">According to </w:t>
      </w:r>
      <w:r w:rsidR="007978AE">
        <w:rPr>
          <w:color w:val="373737"/>
          <w:sz w:val="20"/>
        </w:rPr>
        <w:t>the</w:t>
      </w:r>
      <w:r w:rsidRPr="00AF7375">
        <w:rPr>
          <w:color w:val="373737"/>
          <w:sz w:val="20"/>
        </w:rPr>
        <w:t xml:space="preserve"> </w:t>
      </w:r>
      <w:r w:rsidR="007978AE">
        <w:rPr>
          <w:color w:val="373737"/>
          <w:sz w:val="20"/>
        </w:rPr>
        <w:t>Australian Renewable Energy Agency (</w:t>
      </w:r>
      <w:r w:rsidRPr="00AF7375">
        <w:rPr>
          <w:color w:val="373737"/>
          <w:sz w:val="20"/>
        </w:rPr>
        <w:t>ARENA</w:t>
      </w:r>
      <w:r w:rsidR="007978AE">
        <w:rPr>
          <w:color w:val="373737"/>
          <w:sz w:val="20"/>
        </w:rPr>
        <w:t>)</w:t>
      </w:r>
      <w:r w:rsidR="00AD5B8E">
        <w:rPr>
          <w:color w:val="373737"/>
          <w:sz w:val="20"/>
        </w:rPr>
        <w:t xml:space="preserve"> (2021)</w:t>
      </w:r>
      <w:r w:rsidRPr="00AF7375">
        <w:rPr>
          <w:color w:val="373737"/>
          <w:sz w:val="20"/>
        </w:rPr>
        <w:t>, biomethane production costs are currently more attractive than other renewable gas pathways such as hydrogen. Future Fuels CRC (202</w:t>
      </w:r>
      <w:r w:rsidR="00542D90">
        <w:rPr>
          <w:color w:val="373737"/>
          <w:sz w:val="20"/>
        </w:rPr>
        <w:t>2</w:t>
      </w:r>
      <w:r w:rsidRPr="00AF7375">
        <w:rPr>
          <w:color w:val="373737"/>
          <w:sz w:val="20"/>
        </w:rPr>
        <w:t xml:space="preserve">) suggests that the cost of producing biomethane in Australia varies considerably by geography, with the levelised cost of energy (LCOE) ranging between $15/GJ to $25/GJ for the sites with the lowest LCOE. Although this remains higher than the long-run average of natural gas in Australia ($10.74/GJ between 2019 and 2023), it is significantly lower than the </w:t>
      </w:r>
      <w:r w:rsidR="00CE5141">
        <w:rPr>
          <w:color w:val="373737"/>
          <w:sz w:val="20"/>
        </w:rPr>
        <w:t xml:space="preserve">current </w:t>
      </w:r>
      <w:r w:rsidRPr="00AF7375">
        <w:rPr>
          <w:color w:val="373737"/>
          <w:sz w:val="20"/>
        </w:rPr>
        <w:t xml:space="preserve">cost of green hydrogen, which was suggested to be around USD5/kg (equivalent to AUD60/GJ at 2020 exchange rates). </w:t>
      </w:r>
    </w:p>
    <w:p w14:paraId="0615DDA4" w14:textId="24FA46D8" w:rsidR="00082213" w:rsidRPr="00AF7375" w:rsidRDefault="00082213" w:rsidP="00082213">
      <w:pPr>
        <w:spacing w:after="120"/>
        <w:rPr>
          <w:color w:val="373737"/>
          <w:sz w:val="20"/>
        </w:rPr>
      </w:pPr>
      <w:r w:rsidRPr="00AF7375">
        <w:rPr>
          <w:color w:val="373737"/>
          <w:sz w:val="20"/>
        </w:rPr>
        <w:t>Furthermore, inject</w:t>
      </w:r>
      <w:r w:rsidR="00272FB1">
        <w:rPr>
          <w:color w:val="373737"/>
          <w:sz w:val="20"/>
        </w:rPr>
        <w:t>ing</w:t>
      </w:r>
      <w:r w:rsidRPr="00AF7375">
        <w:rPr>
          <w:color w:val="373737"/>
          <w:sz w:val="20"/>
        </w:rPr>
        <w:t xml:space="preserve"> </w:t>
      </w:r>
      <w:r w:rsidR="00272FB1">
        <w:rPr>
          <w:color w:val="373737"/>
          <w:sz w:val="20"/>
        </w:rPr>
        <w:t xml:space="preserve">of </w:t>
      </w:r>
      <w:r w:rsidRPr="00AF7375">
        <w:rPr>
          <w:color w:val="373737"/>
          <w:sz w:val="20"/>
        </w:rPr>
        <w:t xml:space="preserve">biomethane </w:t>
      </w:r>
      <w:r w:rsidR="00272FB1">
        <w:rPr>
          <w:color w:val="373737"/>
          <w:sz w:val="20"/>
        </w:rPr>
        <w:t xml:space="preserve">into the natural gas grid </w:t>
      </w:r>
      <w:r w:rsidRPr="00AF7375">
        <w:rPr>
          <w:color w:val="373737"/>
          <w:sz w:val="20"/>
        </w:rPr>
        <w:t xml:space="preserve">does not </w:t>
      </w:r>
      <w:r w:rsidR="00272FB1">
        <w:rPr>
          <w:color w:val="373737"/>
          <w:sz w:val="20"/>
        </w:rPr>
        <w:t xml:space="preserve">require </w:t>
      </w:r>
      <w:r w:rsidRPr="00AF7375">
        <w:rPr>
          <w:color w:val="373737"/>
          <w:sz w:val="20"/>
        </w:rPr>
        <w:t>significant upgrade</w:t>
      </w:r>
      <w:r w:rsidR="00DE49E1">
        <w:rPr>
          <w:color w:val="373737"/>
          <w:sz w:val="20"/>
        </w:rPr>
        <w:t>s</w:t>
      </w:r>
      <w:r w:rsidRPr="00AF7375">
        <w:rPr>
          <w:color w:val="373737"/>
          <w:sz w:val="20"/>
        </w:rPr>
        <w:t xml:space="preserve"> </w:t>
      </w:r>
      <w:r w:rsidR="00272FB1">
        <w:rPr>
          <w:color w:val="373737"/>
          <w:sz w:val="20"/>
        </w:rPr>
        <w:t xml:space="preserve">of </w:t>
      </w:r>
      <w:r w:rsidRPr="00AF7375">
        <w:rPr>
          <w:color w:val="373737"/>
          <w:sz w:val="20"/>
        </w:rPr>
        <w:t xml:space="preserve">gas infrastructure or appliances. Jemena’s Malabar Biomethane Injection plant is the first demonstration project in Australia to produce biomethane and inject it into a gas network. This pales in comparison to global leaders in biomethane, with Europe having 1,322 biomethane producing facilities, over half of which </w:t>
      </w:r>
      <w:r w:rsidR="002B0594">
        <w:rPr>
          <w:color w:val="373737"/>
          <w:sz w:val="20"/>
        </w:rPr>
        <w:t xml:space="preserve">are </w:t>
      </w:r>
      <w:r w:rsidR="00DE49E1" w:rsidRPr="00AF7375">
        <w:rPr>
          <w:color w:val="373737"/>
          <w:sz w:val="20"/>
        </w:rPr>
        <w:t>connect</w:t>
      </w:r>
      <w:r w:rsidR="002B0594">
        <w:rPr>
          <w:color w:val="373737"/>
          <w:sz w:val="20"/>
        </w:rPr>
        <w:t>ed</w:t>
      </w:r>
      <w:r w:rsidR="00DE49E1">
        <w:rPr>
          <w:color w:val="373737"/>
          <w:sz w:val="20"/>
        </w:rPr>
        <w:t xml:space="preserve"> </w:t>
      </w:r>
      <w:r w:rsidR="002B0594">
        <w:rPr>
          <w:color w:val="373737"/>
          <w:sz w:val="20"/>
        </w:rPr>
        <w:t>to</w:t>
      </w:r>
      <w:r w:rsidR="002B0594" w:rsidRPr="00AF7375">
        <w:rPr>
          <w:color w:val="373737"/>
          <w:sz w:val="20"/>
        </w:rPr>
        <w:t xml:space="preserve"> </w:t>
      </w:r>
      <w:r w:rsidRPr="00AF7375">
        <w:rPr>
          <w:color w:val="373737"/>
          <w:sz w:val="20"/>
        </w:rPr>
        <w:t>distribution grids.</w:t>
      </w:r>
      <w:r w:rsidRPr="00AF7375" w:rsidDel="00B00ABD">
        <w:rPr>
          <w:color w:val="373737"/>
          <w:sz w:val="20"/>
        </w:rPr>
        <w:t xml:space="preserve"> </w:t>
      </w:r>
    </w:p>
    <w:p w14:paraId="0FE48724" w14:textId="44494C05" w:rsidR="00082213" w:rsidRPr="00AF7375" w:rsidRDefault="00082213" w:rsidP="00082213">
      <w:pPr>
        <w:spacing w:after="120"/>
        <w:rPr>
          <w:color w:val="373737"/>
          <w:sz w:val="20"/>
          <w:lang w:val="en"/>
        </w:rPr>
      </w:pPr>
      <w:r w:rsidRPr="00AF7375">
        <w:rPr>
          <w:color w:val="373737"/>
          <w:sz w:val="20"/>
        </w:rPr>
        <w:t xml:space="preserve">The feedstock to make biomethane, however, is unevenly distributed </w:t>
      </w:r>
      <w:r w:rsidR="002B0594">
        <w:rPr>
          <w:color w:val="373737"/>
          <w:sz w:val="20"/>
        </w:rPr>
        <w:t xml:space="preserve">in Australia </w:t>
      </w:r>
      <w:r w:rsidRPr="00AF7375">
        <w:rPr>
          <w:color w:val="373737"/>
          <w:sz w:val="20"/>
        </w:rPr>
        <w:t xml:space="preserve">and can only partially replace demand for natural gas. For instance, the Grattan Institute estimates that the 48 PJ </w:t>
      </w:r>
      <w:r w:rsidR="00EC3D07">
        <w:rPr>
          <w:color w:val="373737"/>
          <w:sz w:val="20"/>
        </w:rPr>
        <w:t xml:space="preserve">that could be </w:t>
      </w:r>
      <w:r w:rsidRPr="00AF7375">
        <w:rPr>
          <w:color w:val="373737"/>
          <w:sz w:val="20"/>
        </w:rPr>
        <w:t xml:space="preserve">produced annually from local feedstock in Victoria would not meet the 124 PJ required to meet the annual gas demand in homes and small businesses. In this way, biomethane is likely to be more valuable to gas users where electrification is not feasible, and hydrogen is not an option or not economically viable. </w:t>
      </w:r>
      <w:r w:rsidR="00C27EB3">
        <w:rPr>
          <w:color w:val="373737"/>
          <w:sz w:val="20"/>
        </w:rPr>
        <w:t>In Australia, several large industrial users of natural gas are building biomethane demonstration plants onsite to reduce reliance on natural gas for high heat processes.</w:t>
      </w:r>
    </w:p>
    <w:p w14:paraId="22F27F60" w14:textId="486D954C" w:rsidR="00DE49E1" w:rsidRDefault="004F5849" w:rsidP="00DE49E1">
      <w:pPr>
        <w:spacing w:after="120"/>
        <w:rPr>
          <w:color w:val="373737"/>
          <w:sz w:val="20"/>
        </w:rPr>
      </w:pPr>
      <w:r>
        <w:rPr>
          <w:color w:val="373737"/>
          <w:sz w:val="20"/>
        </w:rPr>
        <w:t xml:space="preserve">Hydrogen is another potential low-emissions gas that could replace the use of natural gas for high heat processes or firming power generation. </w:t>
      </w:r>
      <w:r w:rsidR="009549FA" w:rsidRPr="00AF7375">
        <w:rPr>
          <w:color w:val="373737"/>
          <w:sz w:val="20"/>
        </w:rPr>
        <w:t xml:space="preserve">The emissions intensity of hydrogen varies considerably depending on </w:t>
      </w:r>
      <w:r>
        <w:rPr>
          <w:color w:val="373737"/>
          <w:sz w:val="20"/>
        </w:rPr>
        <w:t>energy source and production method</w:t>
      </w:r>
      <w:r w:rsidR="009549FA" w:rsidRPr="00AF7375">
        <w:rPr>
          <w:color w:val="373737"/>
          <w:sz w:val="20"/>
        </w:rPr>
        <w:t xml:space="preserve">. </w:t>
      </w:r>
      <w:r w:rsidR="00DE49E1">
        <w:rPr>
          <w:color w:val="373737"/>
          <w:sz w:val="20"/>
        </w:rPr>
        <w:t xml:space="preserve">Hydrogen </w:t>
      </w:r>
      <w:r>
        <w:rPr>
          <w:color w:val="373737"/>
          <w:sz w:val="20"/>
        </w:rPr>
        <w:t>can be produced through</w:t>
      </w:r>
      <w:r w:rsidR="00DE49E1">
        <w:rPr>
          <w:color w:val="373737"/>
          <w:sz w:val="20"/>
        </w:rPr>
        <w:t xml:space="preserve"> three primary methods:</w:t>
      </w:r>
    </w:p>
    <w:p w14:paraId="4C0D38FA" w14:textId="5E5699C8" w:rsidR="00DE49E1" w:rsidRDefault="00DE49E1" w:rsidP="00DE49E1">
      <w:pPr>
        <w:pStyle w:val="ListBullet"/>
        <w:numPr>
          <w:ilvl w:val="0"/>
          <w:numId w:val="4"/>
        </w:numPr>
        <w:ind w:left="284" w:hanging="284"/>
      </w:pPr>
      <w:r>
        <w:t xml:space="preserve">Grey Hydrogen – the most common form of hydrogen production, produced </w:t>
      </w:r>
      <w:r w:rsidRPr="00AF7375">
        <w:t>from natural gas using a process called steam methane reformation, but without capturing or storing the greenhouse gases made in the process</w:t>
      </w:r>
      <w:r w:rsidR="004F5849">
        <w:t>. Highest emissions</w:t>
      </w:r>
    </w:p>
    <w:p w14:paraId="324FA404" w14:textId="4E856A92" w:rsidR="00DE49E1" w:rsidRDefault="00DE49E1" w:rsidP="00DE49E1">
      <w:pPr>
        <w:pStyle w:val="ListBullet"/>
        <w:numPr>
          <w:ilvl w:val="0"/>
          <w:numId w:val="4"/>
        </w:numPr>
        <w:ind w:left="284" w:hanging="284"/>
      </w:pPr>
      <w:r>
        <w:t xml:space="preserve">Blue Hydrogen – </w:t>
      </w:r>
      <w:r w:rsidRPr="00AF7375">
        <w:t xml:space="preserve">produced </w:t>
      </w:r>
      <w:r>
        <w:t>from</w:t>
      </w:r>
      <w:r w:rsidRPr="00AF7375">
        <w:t xml:space="preserve"> natural gas using steam methane reformation, using CCUS to trap and store the </w:t>
      </w:r>
      <w:r w:rsidR="004F5849">
        <w:t>resulting</w:t>
      </w:r>
      <w:r w:rsidRPr="00AF7375">
        <w:t xml:space="preserve"> </w:t>
      </w:r>
      <w:r w:rsidR="004F5849">
        <w:t>emissions.</w:t>
      </w:r>
    </w:p>
    <w:p w14:paraId="3453F516" w14:textId="74A2A7ED" w:rsidR="00DE49E1" w:rsidRDefault="00DE49E1" w:rsidP="00DE49E1">
      <w:pPr>
        <w:pStyle w:val="ListBullet"/>
        <w:numPr>
          <w:ilvl w:val="0"/>
          <w:numId w:val="4"/>
        </w:numPr>
        <w:ind w:left="284" w:hanging="284"/>
      </w:pPr>
      <w:r>
        <w:t xml:space="preserve">Green Hydrogen – </w:t>
      </w:r>
      <w:r w:rsidRPr="00AF7375">
        <w:t xml:space="preserve">produced </w:t>
      </w:r>
      <w:r w:rsidR="004F5849">
        <w:t xml:space="preserve">using electrolysis powered by </w:t>
      </w:r>
      <w:r>
        <w:t>renewable electricity.</w:t>
      </w:r>
      <w:r w:rsidR="004F5849">
        <w:t xml:space="preserve"> Lowest emissions</w:t>
      </w:r>
    </w:p>
    <w:p w14:paraId="4720517E" w14:textId="02B3C4CF" w:rsidR="004F5849" w:rsidRDefault="004F5849" w:rsidP="00E31AD6">
      <w:pPr>
        <w:pStyle w:val="BodyText"/>
      </w:pPr>
      <w:r>
        <w:t xml:space="preserve">Natural </w:t>
      </w:r>
      <w:r w:rsidR="002B0594">
        <w:t xml:space="preserve">(or white) </w:t>
      </w:r>
      <w:r>
        <w:t xml:space="preserve">hydrogen </w:t>
      </w:r>
      <w:r w:rsidR="002B0594">
        <w:t xml:space="preserve">is </w:t>
      </w:r>
      <w:r>
        <w:t>also found in the Earth</w:t>
      </w:r>
      <w:r w:rsidR="00E31AD6">
        <w:t>. Although this is an emerging industry, estimates suggest that the cost of natural hydrogen may be less than blue or green hydrogen. Furthermore,</w:t>
      </w:r>
      <w:r w:rsidR="002B0594">
        <w:t xml:space="preserve"> natural </w:t>
      </w:r>
      <w:r w:rsidR="00E31AD6">
        <w:t xml:space="preserve">hydrogen has relatively low emissions intensity. </w:t>
      </w:r>
    </w:p>
    <w:p w14:paraId="17484BE1" w14:textId="74F9B3EE" w:rsidR="004F5849" w:rsidRDefault="004F5849" w:rsidP="00DE49E1">
      <w:pPr>
        <w:spacing w:after="120"/>
        <w:rPr>
          <w:color w:val="373737"/>
          <w:sz w:val="20"/>
        </w:rPr>
      </w:pPr>
      <w:r>
        <w:rPr>
          <w:color w:val="373737"/>
          <w:sz w:val="20"/>
        </w:rPr>
        <w:t>The relative emissions intensity is key to whether hydrogen can provide a useful fuel in a net</w:t>
      </w:r>
      <w:r w:rsidR="002B0594">
        <w:rPr>
          <w:color w:val="373737"/>
          <w:sz w:val="20"/>
        </w:rPr>
        <w:t>-</w:t>
      </w:r>
      <w:r>
        <w:rPr>
          <w:color w:val="373737"/>
          <w:sz w:val="20"/>
        </w:rPr>
        <w:t>zero</w:t>
      </w:r>
      <w:r w:rsidR="002B0594">
        <w:rPr>
          <w:color w:val="373737"/>
          <w:sz w:val="20"/>
        </w:rPr>
        <w:t>-</w:t>
      </w:r>
      <w:r>
        <w:rPr>
          <w:color w:val="373737"/>
          <w:sz w:val="20"/>
        </w:rPr>
        <w:t xml:space="preserve">emissions economy. Green hydrogen can </w:t>
      </w:r>
      <w:r w:rsidR="00E31AD6">
        <w:rPr>
          <w:color w:val="373737"/>
          <w:sz w:val="20"/>
        </w:rPr>
        <w:t xml:space="preserve">potentially </w:t>
      </w:r>
      <w:r>
        <w:rPr>
          <w:color w:val="373737"/>
          <w:sz w:val="20"/>
        </w:rPr>
        <w:t xml:space="preserve">be manufactured with zero emissions if powered by renewable electricity. </w:t>
      </w:r>
      <w:r w:rsidRPr="004077C2">
        <w:rPr>
          <w:color w:val="373737"/>
          <w:sz w:val="20"/>
        </w:rPr>
        <w:t>However,</w:t>
      </w:r>
      <w:r w:rsidR="00DE49E1" w:rsidRPr="004077C2">
        <w:rPr>
          <w:color w:val="373737"/>
          <w:sz w:val="20"/>
        </w:rPr>
        <w:t xml:space="preserve"> </w:t>
      </w:r>
      <w:r w:rsidRPr="004077C2">
        <w:rPr>
          <w:color w:val="373737"/>
          <w:sz w:val="20"/>
        </w:rPr>
        <w:t>blue hydrogen is being produced in the US at relatively high CC</w:t>
      </w:r>
      <w:r w:rsidR="00E31AD6" w:rsidRPr="004077C2">
        <w:rPr>
          <w:color w:val="373737"/>
          <w:sz w:val="20"/>
        </w:rPr>
        <w:t>U</w:t>
      </w:r>
      <w:r w:rsidRPr="004077C2">
        <w:rPr>
          <w:color w:val="373737"/>
          <w:sz w:val="20"/>
        </w:rPr>
        <w:t xml:space="preserve">S capture rates so that the emissions intensity of final energy use is considerably lower </w:t>
      </w:r>
      <w:r w:rsidR="00464C2D">
        <w:rPr>
          <w:color w:val="373737"/>
          <w:sz w:val="20"/>
        </w:rPr>
        <w:t>than other forms of hydrogen produced using natural gas</w:t>
      </w:r>
      <w:r w:rsidRPr="004077C2">
        <w:rPr>
          <w:color w:val="373737"/>
          <w:sz w:val="20"/>
        </w:rPr>
        <w:t xml:space="preserve"> (</w:t>
      </w:r>
      <w:r w:rsidR="00D61712">
        <w:rPr>
          <w:color w:val="373737"/>
          <w:sz w:val="20"/>
        </w:rPr>
        <w:t xml:space="preserve">represented </w:t>
      </w:r>
      <w:r w:rsidR="004077C2" w:rsidRPr="004077C2">
        <w:rPr>
          <w:color w:val="373737"/>
          <w:sz w:val="20"/>
        </w:rPr>
        <w:t>in Figure 2.</w:t>
      </w:r>
      <w:r w:rsidR="00BB7746">
        <w:rPr>
          <w:color w:val="373737"/>
          <w:sz w:val="20"/>
        </w:rPr>
        <w:t>8</w:t>
      </w:r>
      <w:r w:rsidR="004077C2" w:rsidRPr="004077C2">
        <w:rPr>
          <w:color w:val="373737"/>
          <w:sz w:val="20"/>
        </w:rPr>
        <w:t xml:space="preserve"> as the </w:t>
      </w:r>
      <w:r w:rsidR="00E31AD6" w:rsidRPr="004077C2">
        <w:rPr>
          <w:color w:val="373737"/>
          <w:sz w:val="20"/>
        </w:rPr>
        <w:t xml:space="preserve">hydrogen produced </w:t>
      </w:r>
      <w:r w:rsidR="004077C2" w:rsidRPr="004077C2">
        <w:rPr>
          <w:color w:val="373737"/>
          <w:sz w:val="20"/>
        </w:rPr>
        <w:t>from natural gas</w:t>
      </w:r>
      <w:r w:rsidR="00D61712">
        <w:rPr>
          <w:color w:val="373737"/>
          <w:sz w:val="20"/>
        </w:rPr>
        <w:t xml:space="preserve"> with lower emissions intensity</w:t>
      </w:r>
      <w:r w:rsidR="004077C2" w:rsidRPr="004077C2">
        <w:rPr>
          <w:color w:val="373737"/>
          <w:sz w:val="20"/>
        </w:rPr>
        <w:t>)</w:t>
      </w:r>
      <w:r w:rsidRPr="009560C9">
        <w:rPr>
          <w:color w:val="373737"/>
          <w:sz w:val="20"/>
        </w:rPr>
        <w:t>.</w:t>
      </w:r>
      <w:r>
        <w:rPr>
          <w:color w:val="373737"/>
          <w:sz w:val="20"/>
        </w:rPr>
        <w:t xml:space="preserve"> F</w:t>
      </w:r>
      <w:r w:rsidR="00DE49E1" w:rsidRPr="00AF7375">
        <w:rPr>
          <w:color w:val="373737"/>
          <w:sz w:val="20"/>
        </w:rPr>
        <w:t xml:space="preserve">urther reductions in the cost of green hydrogen </w:t>
      </w:r>
      <w:r>
        <w:rPr>
          <w:color w:val="373737"/>
          <w:sz w:val="20"/>
        </w:rPr>
        <w:t>will be required to make it competitive in the near term with blue hydrogen</w:t>
      </w:r>
      <w:r w:rsidR="00DE49E1" w:rsidRPr="00AF7375">
        <w:rPr>
          <w:color w:val="373737"/>
          <w:sz w:val="20"/>
        </w:rPr>
        <w:t xml:space="preserve"> </w:t>
      </w:r>
      <w:r w:rsidR="00264937">
        <w:rPr>
          <w:color w:val="373737"/>
          <w:sz w:val="20"/>
        </w:rPr>
        <w:t>(see Box 3.</w:t>
      </w:r>
      <w:r w:rsidR="00464C2D">
        <w:rPr>
          <w:color w:val="373737"/>
          <w:sz w:val="20"/>
        </w:rPr>
        <w:t>8</w:t>
      </w:r>
      <w:r w:rsidR="00264937">
        <w:rPr>
          <w:color w:val="373737"/>
          <w:sz w:val="20"/>
        </w:rPr>
        <w:t>)</w:t>
      </w:r>
      <w:r w:rsidR="00DE49E1" w:rsidRPr="00AF7375">
        <w:rPr>
          <w:color w:val="373737"/>
          <w:sz w:val="20"/>
        </w:rPr>
        <w:t>.</w:t>
      </w:r>
      <w:r>
        <w:rPr>
          <w:color w:val="373737"/>
          <w:sz w:val="20"/>
        </w:rPr>
        <w:t xml:space="preserve"> </w:t>
      </w:r>
    </w:p>
    <w:p w14:paraId="6A2F13D2" w14:textId="0F9E80B6" w:rsidR="00C27EB3" w:rsidRDefault="00C27EB3" w:rsidP="00DE49E1">
      <w:pPr>
        <w:spacing w:after="120"/>
        <w:rPr>
          <w:color w:val="373737"/>
          <w:sz w:val="20"/>
        </w:rPr>
      </w:pPr>
      <w:r>
        <w:rPr>
          <w:color w:val="373737"/>
          <w:sz w:val="20"/>
          <w:lang w:val="en"/>
        </w:rPr>
        <w:t>Australia has significant potential to use renewable electricity to manufacture green hydrogen and there are many hydrogen projects at various stages of approval around Australia</w:t>
      </w:r>
      <w:r w:rsidR="00E31AD6">
        <w:rPr>
          <w:color w:val="373737"/>
          <w:sz w:val="20"/>
          <w:lang w:val="en"/>
        </w:rPr>
        <w:t xml:space="preserve"> (DISR 2023)</w:t>
      </w:r>
      <w:r>
        <w:rPr>
          <w:color w:val="373737"/>
          <w:sz w:val="20"/>
          <w:lang w:val="en"/>
        </w:rPr>
        <w:t xml:space="preserve">. </w:t>
      </w:r>
      <w:r w:rsidRPr="00AF7375">
        <w:rPr>
          <w:color w:val="373737"/>
          <w:sz w:val="20"/>
          <w:lang w:val="en"/>
        </w:rPr>
        <w:t xml:space="preserve">As noted in Chapter 3, under the AEMO </w:t>
      </w:r>
      <w:r w:rsidR="00D33314">
        <w:rPr>
          <w:color w:val="373737"/>
          <w:sz w:val="20"/>
          <w:lang w:val="en"/>
        </w:rPr>
        <w:t>(202</w:t>
      </w:r>
      <w:r w:rsidR="008711FD">
        <w:rPr>
          <w:color w:val="373737"/>
          <w:sz w:val="20"/>
          <w:lang w:val="en"/>
        </w:rPr>
        <w:t>4</w:t>
      </w:r>
      <w:r w:rsidR="00FA64B8">
        <w:rPr>
          <w:color w:val="373737"/>
          <w:sz w:val="20"/>
          <w:lang w:val="en"/>
        </w:rPr>
        <w:t>a</w:t>
      </w:r>
      <w:r w:rsidR="00D33314">
        <w:rPr>
          <w:color w:val="373737"/>
          <w:sz w:val="20"/>
          <w:lang w:val="en"/>
        </w:rPr>
        <w:t>)</w:t>
      </w:r>
      <w:r w:rsidRPr="00AF7375">
        <w:rPr>
          <w:color w:val="373737"/>
          <w:sz w:val="20"/>
          <w:lang w:val="en"/>
        </w:rPr>
        <w:t xml:space="preserve"> scenarios, hydrogen and biomethane uptake could </w:t>
      </w:r>
      <w:r>
        <w:rPr>
          <w:color w:val="373737"/>
          <w:sz w:val="20"/>
          <w:lang w:val="en"/>
        </w:rPr>
        <w:t xml:space="preserve">reduce east coast gas </w:t>
      </w:r>
      <w:r w:rsidR="002B0594">
        <w:rPr>
          <w:color w:val="373737"/>
          <w:sz w:val="20"/>
          <w:lang w:val="en"/>
        </w:rPr>
        <w:t xml:space="preserve">use </w:t>
      </w:r>
      <w:r>
        <w:rPr>
          <w:color w:val="373737"/>
          <w:sz w:val="20"/>
          <w:lang w:val="en"/>
        </w:rPr>
        <w:t>by up to 30 PJ per year by 2031</w:t>
      </w:r>
      <w:r w:rsidRPr="00AF7375">
        <w:rPr>
          <w:color w:val="373737"/>
          <w:sz w:val="20"/>
          <w:lang w:val="en"/>
        </w:rPr>
        <w:t xml:space="preserve">. This change </w:t>
      </w:r>
      <w:r w:rsidR="002B0594">
        <w:rPr>
          <w:color w:val="373737"/>
          <w:sz w:val="20"/>
          <w:lang w:val="en"/>
        </w:rPr>
        <w:t xml:space="preserve">is driven by </w:t>
      </w:r>
      <w:r w:rsidRPr="00AF7375">
        <w:rPr>
          <w:color w:val="373737"/>
          <w:sz w:val="20"/>
          <w:lang w:val="en"/>
        </w:rPr>
        <w:t xml:space="preserve">gas-to-hydrogen switching by industrial/mining and power generation sectors. </w:t>
      </w:r>
      <w:r w:rsidR="00DE49E1" w:rsidRPr="00AF7375">
        <w:rPr>
          <w:color w:val="373737"/>
          <w:sz w:val="20"/>
        </w:rPr>
        <w:t xml:space="preserve">The potential of hydrogen to replace gas </w:t>
      </w:r>
      <w:r w:rsidR="004F5849">
        <w:rPr>
          <w:color w:val="373737"/>
          <w:sz w:val="20"/>
        </w:rPr>
        <w:t>within industrial processes</w:t>
      </w:r>
      <w:r w:rsidR="00DE49E1" w:rsidRPr="00AF7375">
        <w:rPr>
          <w:color w:val="373737"/>
          <w:sz w:val="20"/>
        </w:rPr>
        <w:t xml:space="preserve"> is </w:t>
      </w:r>
      <w:r>
        <w:rPr>
          <w:color w:val="373737"/>
          <w:sz w:val="20"/>
        </w:rPr>
        <w:t xml:space="preserve">further </w:t>
      </w:r>
      <w:r w:rsidR="00DE49E1" w:rsidRPr="00AF7375">
        <w:rPr>
          <w:color w:val="373737"/>
          <w:sz w:val="20"/>
        </w:rPr>
        <w:t>examined in Box 3.</w:t>
      </w:r>
      <w:r w:rsidR="00464C2D">
        <w:rPr>
          <w:color w:val="373737"/>
          <w:sz w:val="20"/>
        </w:rPr>
        <w:t>8</w:t>
      </w:r>
      <w:r w:rsidR="00DE49E1" w:rsidRPr="00AF7375">
        <w:rPr>
          <w:color w:val="373737"/>
          <w:sz w:val="20"/>
        </w:rPr>
        <w:t>.</w:t>
      </w:r>
      <w:r>
        <w:rPr>
          <w:color w:val="373737"/>
          <w:sz w:val="20"/>
        </w:rPr>
        <w:t xml:space="preserve"> </w:t>
      </w:r>
    </w:p>
    <w:p w14:paraId="24AAAF37" w14:textId="19EB39CC" w:rsidR="00DE49E1" w:rsidRDefault="00C27EB3" w:rsidP="00DE49E1">
      <w:pPr>
        <w:spacing w:after="120"/>
        <w:rPr>
          <w:color w:val="373737"/>
          <w:sz w:val="20"/>
        </w:rPr>
      </w:pPr>
      <w:r>
        <w:rPr>
          <w:color w:val="373737"/>
          <w:sz w:val="20"/>
        </w:rPr>
        <w:t xml:space="preserve">Key LNG trading partners </w:t>
      </w:r>
      <w:r w:rsidR="002805DE">
        <w:rPr>
          <w:color w:val="373737"/>
          <w:sz w:val="20"/>
        </w:rPr>
        <w:t xml:space="preserve">(notably Japan) </w:t>
      </w:r>
      <w:r>
        <w:rPr>
          <w:color w:val="373737"/>
          <w:sz w:val="20"/>
        </w:rPr>
        <w:t xml:space="preserve">also see potential in Australia’s future hydrogen industry and </w:t>
      </w:r>
      <w:r>
        <w:rPr>
          <w:color w:val="373737"/>
          <w:sz w:val="20"/>
          <w:lang w:val="en"/>
        </w:rPr>
        <w:t>have invested</w:t>
      </w:r>
      <w:r w:rsidRPr="00AF7375">
        <w:rPr>
          <w:color w:val="373737"/>
          <w:sz w:val="20"/>
          <w:lang w:val="en"/>
        </w:rPr>
        <w:t xml:space="preserve"> in pilot programs in Australia’s hydrogen sector.</w:t>
      </w:r>
    </w:p>
    <w:p w14:paraId="69BACF03" w14:textId="3E34AC4D" w:rsidR="0086360F" w:rsidRPr="00AF7375" w:rsidRDefault="0086360F" w:rsidP="00C97679">
      <w:pPr>
        <w:pStyle w:val="Caption"/>
        <w:rPr>
          <w:lang w:val="en"/>
        </w:rPr>
      </w:pPr>
      <w:r w:rsidRPr="00AF7375">
        <w:t xml:space="preserve">Figure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rsidR="00C13C31">
        <w:t>.</w:t>
      </w:r>
      <w:r w:rsidR="00C13C31">
        <w:fldChar w:fldCharType="begin"/>
      </w:r>
      <w:r w:rsidR="00C13C31">
        <w:rPr>
          <w:lang w:val="en"/>
        </w:rPr>
        <w:instrText xml:space="preserve"> SEQ Figure \* ARABIC \s 1 </w:instrText>
      </w:r>
      <w:r w:rsidR="00C13C31">
        <w:fldChar w:fldCharType="separate"/>
      </w:r>
      <w:r w:rsidR="00BF178A">
        <w:rPr>
          <w:noProof/>
          <w:lang w:val="en"/>
        </w:rPr>
        <w:t>8</w:t>
      </w:r>
      <w:r w:rsidR="00C13C31">
        <w:fldChar w:fldCharType="end"/>
      </w:r>
      <w:r w:rsidRPr="00AF7375">
        <w:rPr>
          <w:lang w:val="en"/>
        </w:rPr>
        <w:t>: Comparison of the emissions intensity of different hydrogen production routes, 2021</w:t>
      </w:r>
    </w:p>
    <w:p w14:paraId="3EA49343" w14:textId="3F06F619" w:rsidR="0086360F" w:rsidRPr="00AF7375" w:rsidRDefault="005E613F" w:rsidP="0086360F">
      <w:pPr>
        <w:keepNext/>
        <w:spacing w:after="60" w:line="240" w:lineRule="auto"/>
        <w:rPr>
          <w:rFonts w:eastAsia="Times New Roman" w:cs="Arial"/>
          <w:color w:val="005CAF"/>
          <w:sz w:val="16"/>
          <w:szCs w:val="20"/>
          <w:lang w:val="en"/>
        </w:rPr>
      </w:pPr>
      <w:r>
        <w:rPr>
          <w:noProof/>
        </w:rPr>
        <w:drawing>
          <wp:inline distT="0" distB="0" distL="0" distR="0" wp14:anchorId="342A853C" wp14:editId="62F6782D">
            <wp:extent cx="4206875" cy="5124450"/>
            <wp:effectExtent l="0" t="0" r="3175" b="0"/>
            <wp:docPr id="29" name="Chart 29" descr="This figure shows emission intensity of different hydrogen production routes in 2021, in KgCO2/Kg H2. It indicates that hydrogen produced using coal generally has higher emissions than hydrogen produced using natural gas. Hydrogen produced renewable energy has the lowest emissions intensity. Emissions intensity also fall for hydrogen produced using coal and natural gas as more effective carbon capture and storage is used.">
              <a:extLst xmlns:a="http://schemas.openxmlformats.org/drawingml/2006/main">
                <a:ext uri="{FF2B5EF4-FFF2-40B4-BE49-F238E27FC236}">
                  <a16:creationId xmlns:a16="http://schemas.microsoft.com/office/drawing/2014/main" id="{F730B2FB-16D9-4D1D-8014-7EC307C3A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AB23DC4" w14:textId="77777777" w:rsidR="0086360F" w:rsidRPr="00AF7375" w:rsidRDefault="0086360F" w:rsidP="00932AAD">
      <w:pPr>
        <w:pStyle w:val="Source"/>
      </w:pPr>
      <w:r w:rsidRPr="00AF7375">
        <w:t>Notes: BAT = best available technology; CCS = carbon capture and storage; SMR = steam methane reforming; Pox = partial oxidation; Median upstr</w:t>
      </w:r>
      <w:r>
        <w:t>eam emissions</w:t>
      </w:r>
      <w:r w:rsidRPr="00AF7375">
        <w:t xml:space="preserve"> = global median value of upstream and midstream emissions in 2021; BAT upstr</w:t>
      </w:r>
      <w:r>
        <w:t>eam e</w:t>
      </w:r>
      <w:r w:rsidRPr="00AF7375">
        <w:t>mis</w:t>
      </w:r>
      <w:r>
        <w:t>sions</w:t>
      </w:r>
      <w:r w:rsidRPr="00AF7375">
        <w:t xml:space="preserve"> = best available technology today to address upstream and midstream emissions.</w:t>
      </w:r>
    </w:p>
    <w:p w14:paraId="32F86C89" w14:textId="4B9339B0" w:rsidR="0086360F" w:rsidRPr="00AF7375" w:rsidRDefault="0086360F" w:rsidP="00932AAD">
      <w:pPr>
        <w:pStyle w:val="Source"/>
      </w:pPr>
      <w:r w:rsidRPr="00AF7375">
        <w:t>Source: IEA (2023</w:t>
      </w:r>
      <w:r w:rsidR="00754C56">
        <w:t>b</w:t>
      </w:r>
      <w:r w:rsidRPr="00AF7375">
        <w:t>)</w:t>
      </w:r>
    </w:p>
    <w:p w14:paraId="27DF878A" w14:textId="4D6B12EB" w:rsidR="009549FA" w:rsidRDefault="00082213" w:rsidP="009549FA">
      <w:pPr>
        <w:spacing w:after="120"/>
        <w:rPr>
          <w:color w:val="373737"/>
          <w:sz w:val="20"/>
        </w:rPr>
      </w:pPr>
      <w:r w:rsidRPr="00AF7375">
        <w:rPr>
          <w:color w:val="373737"/>
          <w:sz w:val="20"/>
        </w:rPr>
        <w:t xml:space="preserve">E-methane is produced by combining low-emission hydrogen and a carbon source. Although it could play a significant role in decarbonising existing gas networks without the need for retrofitting, the IEA </w:t>
      </w:r>
      <w:r w:rsidR="0015552C">
        <w:rPr>
          <w:color w:val="373737"/>
          <w:sz w:val="20"/>
        </w:rPr>
        <w:t>(2023</w:t>
      </w:r>
      <w:r w:rsidR="0041465F">
        <w:rPr>
          <w:color w:val="373737"/>
          <w:sz w:val="20"/>
        </w:rPr>
        <w:t>f</w:t>
      </w:r>
      <w:r w:rsidR="0015552C">
        <w:rPr>
          <w:color w:val="373737"/>
          <w:sz w:val="20"/>
        </w:rPr>
        <w:t>)</w:t>
      </w:r>
      <w:r w:rsidRPr="00AF7375">
        <w:rPr>
          <w:color w:val="373737"/>
          <w:sz w:val="20"/>
        </w:rPr>
        <w:t xml:space="preserve"> expects that e-methane supply will increase less quickly than biomethane and hydrogen</w:t>
      </w:r>
      <w:r w:rsidR="002805DE">
        <w:rPr>
          <w:color w:val="373737"/>
          <w:sz w:val="20"/>
        </w:rPr>
        <w:t>. Due to its</w:t>
      </w:r>
      <w:r w:rsidR="002805DE" w:rsidRPr="00AF7375">
        <w:rPr>
          <w:color w:val="373737"/>
          <w:sz w:val="20"/>
        </w:rPr>
        <w:t xml:space="preserve"> </w:t>
      </w:r>
      <w:r w:rsidRPr="00AF7375">
        <w:rPr>
          <w:color w:val="373737"/>
          <w:sz w:val="20"/>
        </w:rPr>
        <w:t>production costs and complex value chains</w:t>
      </w:r>
      <w:r w:rsidR="00EB3F3F">
        <w:rPr>
          <w:color w:val="373737"/>
          <w:sz w:val="20"/>
        </w:rPr>
        <w:t>,</w:t>
      </w:r>
      <w:r w:rsidRPr="00AF7375">
        <w:rPr>
          <w:color w:val="373737"/>
          <w:sz w:val="20"/>
        </w:rPr>
        <w:t xml:space="preserve"> ongoing technology development and policy support were highlighted as key enablers to drive the cost of e-methane down</w:t>
      </w:r>
      <w:r w:rsidR="002805DE">
        <w:rPr>
          <w:color w:val="373737"/>
          <w:sz w:val="20"/>
        </w:rPr>
        <w:t>. The</w:t>
      </w:r>
      <w:r w:rsidR="002805DE" w:rsidRPr="00AF7375">
        <w:rPr>
          <w:color w:val="373737"/>
          <w:sz w:val="20"/>
        </w:rPr>
        <w:t xml:space="preserve"> </w:t>
      </w:r>
      <w:r w:rsidRPr="00AF7375">
        <w:rPr>
          <w:color w:val="373737"/>
          <w:sz w:val="20"/>
        </w:rPr>
        <w:t xml:space="preserve">IEA estimates costs in 2022 were between $76.48/GJ and $78.01/GJ. </w:t>
      </w:r>
      <w:bookmarkEnd w:id="88"/>
    </w:p>
    <w:p w14:paraId="0597C8C0" w14:textId="0FBF4309" w:rsidR="00CC3D33" w:rsidRPr="00AF7375" w:rsidRDefault="002805DE" w:rsidP="007D47BF">
      <w:pPr>
        <w:pStyle w:val="Heading3"/>
      </w:pPr>
      <w:r>
        <w:t>CCUS to abate emissions from gas use</w:t>
      </w:r>
    </w:p>
    <w:p w14:paraId="7B99DF76" w14:textId="690DFEF4" w:rsidR="00D61712" w:rsidRDefault="00E550E4" w:rsidP="00E550E4">
      <w:pPr>
        <w:spacing w:after="120"/>
        <w:rPr>
          <w:color w:val="373737"/>
          <w:sz w:val="20"/>
        </w:rPr>
      </w:pPr>
      <w:r w:rsidRPr="00E550E4">
        <w:rPr>
          <w:color w:val="373737"/>
          <w:sz w:val="20"/>
        </w:rPr>
        <w:t xml:space="preserve">Domestically, several industries will require </w:t>
      </w:r>
      <w:r w:rsidR="00D61712">
        <w:rPr>
          <w:color w:val="373737"/>
          <w:sz w:val="20"/>
        </w:rPr>
        <w:t>gas in the medium term</w:t>
      </w:r>
      <w:r w:rsidRPr="00E550E4">
        <w:rPr>
          <w:color w:val="373737"/>
          <w:sz w:val="20"/>
        </w:rPr>
        <w:t>, until low</w:t>
      </w:r>
      <w:r w:rsidR="00EB3F3F">
        <w:rPr>
          <w:color w:val="373737"/>
          <w:sz w:val="20"/>
        </w:rPr>
        <w:t>-</w:t>
      </w:r>
      <w:r w:rsidRPr="00E550E4">
        <w:rPr>
          <w:color w:val="373737"/>
          <w:sz w:val="20"/>
        </w:rPr>
        <w:t>emission gases become available at scale or until battery technology progresses well beyond today’s capabilities.</w:t>
      </w:r>
      <w:r w:rsidR="00CC3D33">
        <w:rPr>
          <w:color w:val="373737"/>
          <w:sz w:val="20"/>
        </w:rPr>
        <w:t xml:space="preserve"> </w:t>
      </w:r>
      <w:r w:rsidR="00D61712">
        <w:rPr>
          <w:color w:val="373737"/>
          <w:sz w:val="20"/>
        </w:rPr>
        <w:t xml:space="preserve">International </w:t>
      </w:r>
      <w:r w:rsidR="00D61712">
        <w:rPr>
          <w:color w:val="373737" w:themeColor="text2"/>
          <w:sz w:val="20"/>
          <w:szCs w:val="20"/>
        </w:rPr>
        <w:t>c</w:t>
      </w:r>
      <w:r w:rsidR="00D61712" w:rsidRPr="001C1CC5">
        <w:rPr>
          <w:color w:val="373737" w:themeColor="text2"/>
          <w:sz w:val="20"/>
          <w:szCs w:val="20"/>
        </w:rPr>
        <w:t xml:space="preserve">limate models project a </w:t>
      </w:r>
      <w:r w:rsidR="00D61712">
        <w:rPr>
          <w:color w:val="373737" w:themeColor="text2"/>
          <w:sz w:val="20"/>
          <w:szCs w:val="20"/>
        </w:rPr>
        <w:t xml:space="preserve">broad </w:t>
      </w:r>
      <w:r w:rsidR="00D61712" w:rsidRPr="001C1CC5">
        <w:rPr>
          <w:color w:val="373737" w:themeColor="text2"/>
          <w:sz w:val="20"/>
          <w:szCs w:val="20"/>
        </w:rPr>
        <w:t>role for CCUS in abating emissions in hard-to-abate industries</w:t>
      </w:r>
      <w:r w:rsidR="00D61712">
        <w:rPr>
          <w:color w:val="373737" w:themeColor="text2"/>
          <w:sz w:val="20"/>
          <w:szCs w:val="20"/>
        </w:rPr>
        <w:t xml:space="preserve"> and </w:t>
      </w:r>
      <w:r w:rsidR="00D61712" w:rsidRPr="001C1CC5">
        <w:rPr>
          <w:color w:val="373737" w:themeColor="text2"/>
          <w:sz w:val="20"/>
          <w:szCs w:val="20"/>
        </w:rPr>
        <w:t>hydrogen production</w:t>
      </w:r>
      <w:r w:rsidR="00D61712">
        <w:rPr>
          <w:color w:val="373737" w:themeColor="text2"/>
          <w:sz w:val="20"/>
          <w:szCs w:val="20"/>
        </w:rPr>
        <w:t xml:space="preserve">. </w:t>
      </w:r>
      <w:r>
        <w:rPr>
          <w:color w:val="373737"/>
          <w:sz w:val="20"/>
        </w:rPr>
        <w:t>S</w:t>
      </w:r>
      <w:r w:rsidR="00CC3D33">
        <w:rPr>
          <w:color w:val="373737"/>
          <w:sz w:val="20"/>
        </w:rPr>
        <w:t xml:space="preserve">everal large industrial users </w:t>
      </w:r>
      <w:r>
        <w:rPr>
          <w:color w:val="373737"/>
          <w:sz w:val="20"/>
        </w:rPr>
        <w:t>are</w:t>
      </w:r>
      <w:r w:rsidR="00CC3D33" w:rsidDel="00D61712">
        <w:rPr>
          <w:color w:val="373737"/>
          <w:sz w:val="20"/>
        </w:rPr>
        <w:t xml:space="preserve"> </w:t>
      </w:r>
      <w:r w:rsidR="00CC3D33">
        <w:rPr>
          <w:color w:val="373737"/>
          <w:sz w:val="20"/>
        </w:rPr>
        <w:t>pursuing CCUS to capture emissions from industrial uses.</w:t>
      </w:r>
      <w:r>
        <w:rPr>
          <w:color w:val="373737"/>
          <w:sz w:val="20"/>
        </w:rPr>
        <w:t xml:space="preserve"> </w:t>
      </w:r>
    </w:p>
    <w:p w14:paraId="2AFD28F2" w14:textId="2BA6A352" w:rsidR="00CC3D33" w:rsidRDefault="00E550E4" w:rsidP="00E550E4">
      <w:pPr>
        <w:spacing w:after="120"/>
        <w:rPr>
          <w:color w:val="373737"/>
          <w:sz w:val="20"/>
        </w:rPr>
      </w:pPr>
      <w:r>
        <w:rPr>
          <w:color w:val="373737" w:themeColor="text2"/>
          <w:sz w:val="20"/>
          <w:szCs w:val="20"/>
        </w:rPr>
        <w:t xml:space="preserve">Overseas, there are a growing number of CCUS projects that </w:t>
      </w:r>
      <w:r w:rsidR="0081639C">
        <w:rPr>
          <w:color w:val="373737" w:themeColor="text2"/>
          <w:sz w:val="20"/>
          <w:szCs w:val="20"/>
        </w:rPr>
        <w:t xml:space="preserve">intend </w:t>
      </w:r>
      <w:r>
        <w:rPr>
          <w:color w:val="373737" w:themeColor="text2"/>
          <w:sz w:val="20"/>
          <w:szCs w:val="20"/>
        </w:rPr>
        <w:t xml:space="preserve">to store industrial </w:t>
      </w:r>
      <w:r w:rsidR="00EF626F" w:rsidRPr="00E127D8">
        <w:rPr>
          <w:rFonts w:eastAsia="Times New Roman" w:cs="Arial"/>
          <w:color w:val="373737"/>
          <w:sz w:val="20"/>
          <w:szCs w:val="18"/>
          <w:lang w:val="en"/>
        </w:rPr>
        <w:t>CO</w:t>
      </w:r>
      <w:r w:rsidR="00EF626F" w:rsidRPr="00D33ECA">
        <w:rPr>
          <w:rFonts w:eastAsia="Times New Roman" w:cs="Arial"/>
          <w:color w:val="373737"/>
          <w:sz w:val="20"/>
          <w:szCs w:val="18"/>
          <w:vertAlign w:val="subscript"/>
          <w:lang w:val="en"/>
        </w:rPr>
        <w:t>2</w:t>
      </w:r>
      <w:r>
        <w:rPr>
          <w:color w:val="373737" w:themeColor="text2"/>
          <w:sz w:val="20"/>
          <w:szCs w:val="20"/>
        </w:rPr>
        <w:t xml:space="preserve"> emissions. For example, </w:t>
      </w:r>
      <w:r w:rsidR="00D61712">
        <w:rPr>
          <w:color w:val="373737"/>
          <w:sz w:val="20"/>
        </w:rPr>
        <w:t xml:space="preserve">Longship </w:t>
      </w:r>
      <w:r>
        <w:rPr>
          <w:color w:val="373737"/>
          <w:sz w:val="20"/>
        </w:rPr>
        <w:t>in Norway is expected to become operational in 2025</w:t>
      </w:r>
      <w:r w:rsidR="00B47F2F">
        <w:rPr>
          <w:color w:val="373737"/>
          <w:sz w:val="20"/>
        </w:rPr>
        <w:t>.</w:t>
      </w:r>
      <w:r>
        <w:rPr>
          <w:color w:val="373737"/>
          <w:sz w:val="20"/>
        </w:rPr>
        <w:t xml:space="preserve"> </w:t>
      </w:r>
      <w:r w:rsidR="00B47F2F">
        <w:rPr>
          <w:color w:val="373737"/>
          <w:sz w:val="20"/>
        </w:rPr>
        <w:t>Longship</w:t>
      </w:r>
      <w:r w:rsidR="00D61712">
        <w:rPr>
          <w:color w:val="373737"/>
          <w:sz w:val="20"/>
        </w:rPr>
        <w:t xml:space="preserve"> is a </w:t>
      </w:r>
      <w:r>
        <w:rPr>
          <w:color w:val="373737"/>
          <w:sz w:val="20"/>
        </w:rPr>
        <w:t xml:space="preserve">cross-border carbon capture and storage </w:t>
      </w:r>
      <w:r w:rsidR="00B47F2F">
        <w:rPr>
          <w:color w:val="373737"/>
          <w:sz w:val="20"/>
        </w:rPr>
        <w:t>project</w:t>
      </w:r>
      <w:r w:rsidR="0081639C">
        <w:rPr>
          <w:color w:val="373737"/>
          <w:sz w:val="20"/>
        </w:rPr>
        <w:t xml:space="preserve">, storing </w:t>
      </w:r>
      <w:r w:rsidR="00B47F2F">
        <w:rPr>
          <w:color w:val="373737"/>
          <w:sz w:val="20"/>
        </w:rPr>
        <w:t xml:space="preserve">industrial </w:t>
      </w:r>
      <w:r w:rsidR="0081639C">
        <w:rPr>
          <w:color w:val="373737"/>
          <w:sz w:val="20"/>
        </w:rPr>
        <w:t>emissions for consumers across Europe</w:t>
      </w:r>
      <w:r>
        <w:rPr>
          <w:color w:val="373737"/>
          <w:sz w:val="20"/>
        </w:rPr>
        <w:t>.</w:t>
      </w:r>
    </w:p>
    <w:p w14:paraId="0CAC2073" w14:textId="3ACFA198" w:rsidR="00E550E4" w:rsidRDefault="00E550E4" w:rsidP="00E550E4">
      <w:pPr>
        <w:spacing w:after="120"/>
        <w:rPr>
          <w:color w:val="373737" w:themeColor="text2"/>
          <w:sz w:val="20"/>
          <w:szCs w:val="20"/>
        </w:rPr>
      </w:pPr>
      <w:r>
        <w:rPr>
          <w:color w:val="373737" w:themeColor="text2"/>
          <w:sz w:val="20"/>
          <w:szCs w:val="20"/>
        </w:rPr>
        <w:t xml:space="preserve">Key regional and trading partners are looking to work with Australia </w:t>
      </w:r>
      <w:r w:rsidRPr="00B61E00">
        <w:rPr>
          <w:color w:val="373737" w:themeColor="text2"/>
          <w:sz w:val="20"/>
          <w:szCs w:val="20"/>
        </w:rPr>
        <w:t xml:space="preserve">to </w:t>
      </w:r>
      <w:r>
        <w:rPr>
          <w:color w:val="373737" w:themeColor="text2"/>
          <w:sz w:val="20"/>
          <w:szCs w:val="20"/>
        </w:rPr>
        <w:t xml:space="preserve">utilise suitable geological storage capacity </w:t>
      </w:r>
      <w:r w:rsidRPr="00B61E00">
        <w:rPr>
          <w:color w:val="373737" w:themeColor="text2"/>
          <w:sz w:val="20"/>
          <w:szCs w:val="20"/>
        </w:rPr>
        <w:t xml:space="preserve">to </w:t>
      </w:r>
      <w:r>
        <w:rPr>
          <w:color w:val="373737" w:themeColor="text2"/>
          <w:sz w:val="20"/>
          <w:szCs w:val="20"/>
        </w:rPr>
        <w:t>help them meet their energy security and decarbonisation targets, including through the movement of CO</w:t>
      </w:r>
      <w:r w:rsidRPr="001C1CC5">
        <w:rPr>
          <w:color w:val="373737" w:themeColor="text2"/>
          <w:sz w:val="20"/>
          <w:szCs w:val="20"/>
          <w:vertAlign w:val="subscript"/>
        </w:rPr>
        <w:t>2</w:t>
      </w:r>
      <w:r>
        <w:rPr>
          <w:color w:val="373737" w:themeColor="text2"/>
          <w:sz w:val="20"/>
          <w:szCs w:val="20"/>
        </w:rPr>
        <w:t xml:space="preserve"> across international borders into offshore geological storage. </w:t>
      </w:r>
    </w:p>
    <w:p w14:paraId="426596D2" w14:textId="6AA6C428" w:rsidR="00E550E4" w:rsidRDefault="00E550E4" w:rsidP="00E550E4">
      <w:pPr>
        <w:spacing w:after="120"/>
        <w:rPr>
          <w:color w:val="373737" w:themeColor="text2"/>
          <w:sz w:val="20"/>
          <w:szCs w:val="20"/>
        </w:rPr>
      </w:pPr>
      <w:r>
        <w:rPr>
          <w:color w:val="373737" w:themeColor="text2"/>
          <w:sz w:val="20"/>
          <w:szCs w:val="20"/>
        </w:rPr>
        <w:t xml:space="preserve">Australia passed the </w:t>
      </w:r>
      <w:r w:rsidRPr="001C1CC5">
        <w:rPr>
          <w:i/>
          <w:iCs/>
          <w:color w:val="373737" w:themeColor="text2"/>
          <w:sz w:val="20"/>
          <w:szCs w:val="20"/>
        </w:rPr>
        <w:t>Environment Protection (Sea Dumping) Amendment (Using New Technologies to Fight Climate Change) Act 2023</w:t>
      </w:r>
      <w:r>
        <w:rPr>
          <w:color w:val="373737" w:themeColor="text2"/>
          <w:sz w:val="20"/>
          <w:szCs w:val="20"/>
        </w:rPr>
        <w:t xml:space="preserve"> in November 2023. This enables Australia to ratify the 2009 amendment to the </w:t>
      </w:r>
      <w:r w:rsidRPr="00C46EC5">
        <w:rPr>
          <w:color w:val="373737" w:themeColor="text2"/>
          <w:sz w:val="20"/>
          <w:szCs w:val="20"/>
        </w:rPr>
        <w:t>1996 Protocol</w:t>
      </w:r>
      <w:r w:rsidRPr="00082A08">
        <w:rPr>
          <w:i/>
          <w:color w:val="373737" w:themeColor="text2"/>
          <w:sz w:val="20"/>
          <w:szCs w:val="20"/>
        </w:rPr>
        <w:t xml:space="preserve"> </w:t>
      </w:r>
      <w:r>
        <w:rPr>
          <w:color w:val="373737" w:themeColor="text2"/>
          <w:sz w:val="20"/>
          <w:szCs w:val="20"/>
        </w:rPr>
        <w:t>t</w:t>
      </w:r>
      <w:r w:rsidRPr="00C46EC5">
        <w:rPr>
          <w:color w:val="373737" w:themeColor="text2"/>
          <w:sz w:val="20"/>
          <w:szCs w:val="20"/>
        </w:rPr>
        <w:t xml:space="preserve">o </w:t>
      </w:r>
      <w:r w:rsidRPr="00082A08">
        <w:rPr>
          <w:i/>
          <w:color w:val="373737" w:themeColor="text2"/>
          <w:sz w:val="20"/>
          <w:szCs w:val="20"/>
        </w:rPr>
        <w:t>the Convention on the Prevention of Marine Pollution by Dumping of Wastes and Other Matter 1972</w:t>
      </w:r>
      <w:r>
        <w:rPr>
          <w:color w:val="373737" w:themeColor="text2"/>
          <w:sz w:val="20"/>
          <w:szCs w:val="20"/>
        </w:rPr>
        <w:t xml:space="preserve"> (</w:t>
      </w:r>
      <w:r w:rsidR="008B0DBC">
        <w:rPr>
          <w:color w:val="373737" w:themeColor="text2"/>
          <w:sz w:val="20"/>
          <w:szCs w:val="20"/>
        </w:rPr>
        <w:t xml:space="preserve">the </w:t>
      </w:r>
      <w:r>
        <w:rPr>
          <w:color w:val="373737" w:themeColor="text2"/>
          <w:sz w:val="20"/>
          <w:szCs w:val="20"/>
        </w:rPr>
        <w:t>London Protocol)</w:t>
      </w:r>
      <w:r w:rsidR="008B0DBC">
        <w:rPr>
          <w:color w:val="373737" w:themeColor="text2"/>
          <w:sz w:val="20"/>
          <w:szCs w:val="20"/>
        </w:rPr>
        <w:t xml:space="preserve">. Ratifying this amendment is required </w:t>
      </w:r>
      <w:r>
        <w:rPr>
          <w:color w:val="373737" w:themeColor="text2"/>
          <w:sz w:val="20"/>
          <w:szCs w:val="20"/>
        </w:rPr>
        <w:t>before any CO</w:t>
      </w:r>
      <w:r w:rsidRPr="001C1CC5">
        <w:rPr>
          <w:color w:val="373737" w:themeColor="text2"/>
          <w:sz w:val="20"/>
          <w:szCs w:val="20"/>
          <w:vertAlign w:val="subscript"/>
        </w:rPr>
        <w:t>2</w:t>
      </w:r>
      <w:r>
        <w:rPr>
          <w:color w:val="373737" w:themeColor="text2"/>
          <w:sz w:val="20"/>
          <w:szCs w:val="20"/>
        </w:rPr>
        <w:t xml:space="preserve"> can be lawfully imported or exported for offshore geological storage. </w:t>
      </w:r>
    </w:p>
    <w:p w14:paraId="1ED382A4" w14:textId="418776AB" w:rsidR="00E550E4" w:rsidRPr="00AF7375" w:rsidRDefault="00E550E4" w:rsidP="008913AD">
      <w:pPr>
        <w:rPr>
          <w:color w:val="373737"/>
          <w:sz w:val="20"/>
        </w:rPr>
      </w:pPr>
      <w:r>
        <w:rPr>
          <w:color w:val="373737" w:themeColor="text2"/>
          <w:sz w:val="20"/>
          <w:szCs w:val="20"/>
        </w:rPr>
        <w:t xml:space="preserve">Australia is working with </w:t>
      </w:r>
      <w:r w:rsidR="008B0DBC">
        <w:rPr>
          <w:color w:val="373737" w:themeColor="text2"/>
          <w:sz w:val="20"/>
          <w:szCs w:val="20"/>
        </w:rPr>
        <w:t xml:space="preserve">trading </w:t>
      </w:r>
      <w:r>
        <w:rPr>
          <w:color w:val="373737" w:themeColor="text2"/>
          <w:sz w:val="20"/>
          <w:szCs w:val="20"/>
        </w:rPr>
        <w:t>partners on the necessary policy and regulatory frameworks to meet our obligations under the London Protocol</w:t>
      </w:r>
      <w:r w:rsidR="008B0DBC">
        <w:rPr>
          <w:color w:val="373737" w:themeColor="text2"/>
          <w:sz w:val="20"/>
          <w:szCs w:val="20"/>
        </w:rPr>
        <w:t xml:space="preserve">. This collaboration will </w:t>
      </w:r>
      <w:r>
        <w:rPr>
          <w:color w:val="373737" w:themeColor="text2"/>
          <w:sz w:val="20"/>
          <w:szCs w:val="20"/>
        </w:rPr>
        <w:t>support industry to decarbonise their supply chains</w:t>
      </w:r>
      <w:r w:rsidR="00950CAD">
        <w:rPr>
          <w:color w:val="373737" w:themeColor="text2"/>
          <w:sz w:val="20"/>
          <w:szCs w:val="20"/>
        </w:rPr>
        <w:t xml:space="preserve"> </w:t>
      </w:r>
      <w:r>
        <w:rPr>
          <w:color w:val="373737" w:themeColor="text2"/>
          <w:sz w:val="20"/>
          <w:szCs w:val="20"/>
        </w:rPr>
        <w:t xml:space="preserve">and provide energy security and carbon management solutions. </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550E4" w14:paraId="5D0BBB85" w14:textId="77777777" w:rsidTr="00120D05">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591D8888" w14:textId="3C363412" w:rsidR="00E550E4" w:rsidRPr="00641342" w:rsidRDefault="00E550E4" w:rsidP="00E00A10">
            <w:pPr>
              <w:widowControl w:val="0"/>
              <w:spacing w:beforeLines="60" w:before="144" w:afterLines="60" w:after="144"/>
              <w:ind w:left="113" w:right="113"/>
              <w:jc w:val="both"/>
              <w:rPr>
                <w:color w:val="373737"/>
                <w:sz w:val="20"/>
              </w:rPr>
            </w:pPr>
            <w:bookmarkStart w:id="89" w:name="_Hlk161239634"/>
            <w:r w:rsidRPr="00663B55">
              <w:rPr>
                <w:rFonts w:eastAsia="Times New Roman" w:cs="Arial"/>
                <w:b/>
                <w:color w:val="auto"/>
                <w:sz w:val="20"/>
                <w:szCs w:val="18"/>
              </w:rPr>
              <w:t>Insight:</w:t>
            </w:r>
            <w:r w:rsidRPr="00E00A10">
              <w:rPr>
                <w:rFonts w:eastAsia="Times New Roman" w:cs="Arial"/>
                <w:color w:val="auto"/>
                <w:sz w:val="20"/>
                <w:szCs w:val="18"/>
              </w:rPr>
              <w:t xml:space="preserve"> </w:t>
            </w:r>
            <w:r w:rsidR="005D6897" w:rsidRPr="00E00A10">
              <w:rPr>
                <w:rFonts w:eastAsia="Times New Roman" w:cs="Arial"/>
                <w:color w:val="auto"/>
                <w:sz w:val="20"/>
                <w:szCs w:val="18"/>
              </w:rPr>
              <w:t>C</w:t>
            </w:r>
            <w:r w:rsidRPr="00E00A10">
              <w:rPr>
                <w:rFonts w:eastAsia="Times New Roman" w:cs="Arial"/>
                <w:color w:val="auto"/>
                <w:sz w:val="20"/>
                <w:szCs w:val="18"/>
              </w:rPr>
              <w:t>limate models have projected a broad role for CCUS in abating emissions in hard-to-abate industries, hydrogen production and negative emissions technologies like direct air capture</w:t>
            </w:r>
            <w:r w:rsidR="005D6897" w:rsidRPr="00E00A10">
              <w:rPr>
                <w:rFonts w:eastAsia="Times New Roman" w:cs="Arial"/>
                <w:color w:val="auto"/>
                <w:sz w:val="20"/>
                <w:szCs w:val="18"/>
              </w:rPr>
              <w:t xml:space="preserve"> over the long term</w:t>
            </w:r>
            <w:r w:rsidRPr="00E00A10">
              <w:rPr>
                <w:rFonts w:eastAsia="Times New Roman" w:cs="Arial"/>
                <w:color w:val="auto"/>
                <w:sz w:val="20"/>
                <w:szCs w:val="18"/>
              </w:rPr>
              <w:t>.</w:t>
            </w:r>
          </w:p>
        </w:tc>
      </w:tr>
    </w:tbl>
    <w:p w14:paraId="0474E8CD" w14:textId="77777777" w:rsidR="00E75C40" w:rsidRDefault="00E75C40" w:rsidP="00C97679">
      <w:pPr>
        <w:pStyle w:val="Caption"/>
      </w:pPr>
    </w:p>
    <w:p w14:paraId="712454DD" w14:textId="77777777" w:rsidR="002A2BEF" w:rsidRDefault="002A2BEF" w:rsidP="002A2BEF">
      <w:pPr>
        <w:pStyle w:val="BodyText"/>
      </w:pPr>
    </w:p>
    <w:p w14:paraId="35718F0F" w14:textId="77777777" w:rsidR="002A2BEF" w:rsidRDefault="002A2BEF" w:rsidP="002A2BEF">
      <w:pPr>
        <w:pStyle w:val="BodyText"/>
      </w:pPr>
    </w:p>
    <w:p w14:paraId="6761A2DE" w14:textId="77777777" w:rsidR="002A2BEF" w:rsidRDefault="002A2BEF" w:rsidP="002A2BEF">
      <w:pPr>
        <w:pStyle w:val="BodyText"/>
      </w:pPr>
    </w:p>
    <w:p w14:paraId="63DB9E7B" w14:textId="77777777" w:rsidR="002A2BEF" w:rsidRDefault="002A2BEF" w:rsidP="002A2BEF">
      <w:pPr>
        <w:pStyle w:val="BodyText"/>
      </w:pPr>
    </w:p>
    <w:p w14:paraId="1AC56591" w14:textId="77777777" w:rsidR="002A2BEF" w:rsidRDefault="002A2BEF" w:rsidP="002A2BEF">
      <w:pPr>
        <w:pStyle w:val="BodyText"/>
      </w:pPr>
    </w:p>
    <w:p w14:paraId="22E6C38E" w14:textId="77777777" w:rsidR="002A2BEF" w:rsidRDefault="002A2BEF" w:rsidP="002A2BEF">
      <w:pPr>
        <w:pStyle w:val="BodyText"/>
      </w:pPr>
    </w:p>
    <w:p w14:paraId="0AB04A7D" w14:textId="77777777" w:rsidR="002A2BEF" w:rsidRDefault="002A2BEF" w:rsidP="002A2BEF">
      <w:pPr>
        <w:pStyle w:val="BodyText"/>
      </w:pPr>
    </w:p>
    <w:p w14:paraId="274E7B41" w14:textId="77777777" w:rsidR="002A2BEF" w:rsidRDefault="002A2BEF" w:rsidP="002A2BEF">
      <w:pPr>
        <w:pStyle w:val="BodyText"/>
      </w:pPr>
    </w:p>
    <w:p w14:paraId="6158D1E9" w14:textId="77777777" w:rsidR="002A2BEF" w:rsidRDefault="002A2BEF" w:rsidP="002A2BEF">
      <w:pPr>
        <w:pStyle w:val="BodyText"/>
      </w:pPr>
    </w:p>
    <w:p w14:paraId="0D03607D" w14:textId="77777777" w:rsidR="002A2BEF" w:rsidRDefault="002A2BEF" w:rsidP="002A2BEF">
      <w:pPr>
        <w:pStyle w:val="BodyText"/>
      </w:pPr>
    </w:p>
    <w:p w14:paraId="5FE59AE0" w14:textId="77777777" w:rsidR="002A2BEF" w:rsidRDefault="002A2BEF" w:rsidP="002A2BEF">
      <w:pPr>
        <w:pStyle w:val="BodyText"/>
      </w:pPr>
    </w:p>
    <w:p w14:paraId="1D9A9C40" w14:textId="77777777" w:rsidR="002A2BEF" w:rsidRDefault="002A2BEF" w:rsidP="002A2BEF">
      <w:pPr>
        <w:pStyle w:val="BodyText"/>
      </w:pPr>
    </w:p>
    <w:p w14:paraId="08BCD006" w14:textId="77777777" w:rsidR="002A2BEF" w:rsidRDefault="002A2BEF" w:rsidP="002A2BEF">
      <w:pPr>
        <w:pStyle w:val="BodyText"/>
      </w:pPr>
    </w:p>
    <w:p w14:paraId="2AF223DE" w14:textId="77777777" w:rsidR="002A2BEF" w:rsidRDefault="002A2BEF" w:rsidP="002A2BEF">
      <w:pPr>
        <w:pStyle w:val="BodyText"/>
      </w:pPr>
    </w:p>
    <w:p w14:paraId="076D00FB" w14:textId="77777777" w:rsidR="002A2BEF" w:rsidRDefault="002A2BEF" w:rsidP="002A2BEF">
      <w:pPr>
        <w:pStyle w:val="BodyText"/>
      </w:pPr>
    </w:p>
    <w:p w14:paraId="66EF1779" w14:textId="77777777" w:rsidR="002A2BEF" w:rsidRDefault="002A2BEF" w:rsidP="002A2BEF">
      <w:pPr>
        <w:pStyle w:val="BodyText"/>
      </w:pPr>
    </w:p>
    <w:p w14:paraId="563B9128" w14:textId="77777777" w:rsidR="002A2BEF" w:rsidRDefault="002A2BEF" w:rsidP="002A2BEF">
      <w:pPr>
        <w:pStyle w:val="BodyText"/>
      </w:pPr>
    </w:p>
    <w:p w14:paraId="25C8F175" w14:textId="77777777" w:rsidR="002A2BEF" w:rsidRDefault="002A2BEF" w:rsidP="002A2BEF">
      <w:pPr>
        <w:pStyle w:val="BodyText"/>
      </w:pPr>
    </w:p>
    <w:p w14:paraId="54087BFD" w14:textId="652550EB" w:rsidR="002A2BEF" w:rsidRPr="002A2BEF" w:rsidRDefault="002A2BEF" w:rsidP="002A2BEF">
      <w:pPr>
        <w:pStyle w:val="BodyText"/>
        <w:sectPr w:rsidR="002A2BEF" w:rsidRPr="002A2BEF" w:rsidSect="008A223A">
          <w:footerReference w:type="default" r:id="rId52"/>
          <w:footerReference w:type="first" r:id="rId53"/>
          <w:pgSz w:w="16838" w:h="11906" w:orient="landscape" w:code="9"/>
          <w:pgMar w:top="709" w:right="1440" w:bottom="568" w:left="1440" w:header="709" w:footer="709" w:gutter="0"/>
          <w:cols w:num="2" w:space="708"/>
          <w:docGrid w:linePitch="360"/>
        </w:sectPr>
      </w:pPr>
    </w:p>
    <w:p w14:paraId="5D96769E" w14:textId="2BBD8587" w:rsidR="00CC3D33" w:rsidRPr="00AF7375" w:rsidRDefault="00CC3D33" w:rsidP="00C97679">
      <w:pPr>
        <w:pStyle w:val="Caption"/>
        <w:rPr>
          <w:lang w:val="en"/>
        </w:rPr>
      </w:pPr>
      <w:r w:rsidRPr="00AF7375">
        <w:t xml:space="preserve">Figure </w:t>
      </w:r>
      <w:r w:rsidR="00341B3B">
        <w:fldChar w:fldCharType="begin"/>
      </w:r>
      <w:r w:rsidR="00341B3B">
        <w:instrText xml:space="preserve"> STYLEREF 1 \s </w:instrText>
      </w:r>
      <w:r w:rsidR="00341B3B">
        <w:fldChar w:fldCharType="separate"/>
      </w:r>
      <w:r w:rsidR="00BF178A">
        <w:rPr>
          <w:noProof/>
        </w:rPr>
        <w:t>2</w:t>
      </w:r>
      <w:r w:rsidR="00341B3B">
        <w:rPr>
          <w:noProof/>
        </w:rPr>
        <w:fldChar w:fldCharType="end"/>
      </w:r>
      <w:r w:rsidR="00C13C31">
        <w:t>.</w:t>
      </w:r>
      <w:r w:rsidR="00C13C31">
        <w:fldChar w:fldCharType="begin"/>
      </w:r>
      <w:r w:rsidR="00C13C31">
        <w:rPr>
          <w:rFonts w:eastAsia="Times New Roman" w:cstheme="majorHAnsi"/>
          <w:szCs w:val="20"/>
          <w:lang w:val="en"/>
        </w:rPr>
        <w:instrText xml:space="preserve"> SEQ Figure \* ARABIC \s 1 </w:instrText>
      </w:r>
      <w:r w:rsidR="00C13C31">
        <w:fldChar w:fldCharType="separate"/>
      </w:r>
      <w:r w:rsidR="00BF178A">
        <w:rPr>
          <w:rFonts w:eastAsia="Times New Roman" w:cstheme="majorHAnsi"/>
          <w:noProof/>
          <w:szCs w:val="20"/>
          <w:lang w:val="en"/>
        </w:rPr>
        <w:t>9</w:t>
      </w:r>
      <w:r w:rsidR="00C13C31">
        <w:fldChar w:fldCharType="end"/>
      </w:r>
      <w:r w:rsidR="00F02B42">
        <w:t>:</w:t>
      </w:r>
      <w:r w:rsidRPr="00AF7375">
        <w:rPr>
          <w:lang w:val="en"/>
        </w:rPr>
        <w:t xml:space="preserve"> </w:t>
      </w:r>
      <w:r w:rsidRPr="00070095">
        <w:rPr>
          <w:lang w:val="en"/>
        </w:rPr>
        <w:t xml:space="preserve">Location of </w:t>
      </w:r>
      <w:r>
        <w:rPr>
          <w:lang w:val="en"/>
        </w:rPr>
        <w:t xml:space="preserve">potential </w:t>
      </w:r>
      <w:r w:rsidRPr="00070095">
        <w:rPr>
          <w:lang w:val="en"/>
        </w:rPr>
        <w:t>CC</w:t>
      </w:r>
      <w:r>
        <w:rPr>
          <w:lang w:val="en"/>
        </w:rPr>
        <w:t>U</w:t>
      </w:r>
      <w:r w:rsidRPr="00070095">
        <w:rPr>
          <w:lang w:val="en"/>
        </w:rPr>
        <w:t>S projects, October 2022</w:t>
      </w:r>
    </w:p>
    <w:p w14:paraId="58B0E88E" w14:textId="239E983B" w:rsidR="00A90DA1" w:rsidRPr="00A90DA1" w:rsidRDefault="00A90DA1" w:rsidP="00A90DA1">
      <w:pPr>
        <w:spacing w:after="0" w:line="240" w:lineRule="auto"/>
        <w:rPr>
          <w:rFonts w:ascii="Times New Roman" w:eastAsia="Times New Roman" w:hAnsi="Times New Roman" w:cs="Times New Roman"/>
          <w:sz w:val="24"/>
          <w:szCs w:val="24"/>
          <w:lang w:eastAsia="en-AU"/>
        </w:rPr>
      </w:pPr>
      <w:r w:rsidRPr="00A90DA1">
        <w:rPr>
          <w:rFonts w:eastAsia="Times New Roman" w:cs="Arial"/>
          <w:noProof/>
          <w:color w:val="005CAF"/>
          <w:sz w:val="16"/>
          <w:szCs w:val="20"/>
          <w:lang w:val="en"/>
        </w:rPr>
        <w:drawing>
          <wp:inline distT="0" distB="0" distL="0" distR="0" wp14:anchorId="60D4A453" wp14:editId="1F4D346C">
            <wp:extent cx="8240251" cy="5038725"/>
            <wp:effectExtent l="0" t="0" r="8890" b="0"/>
            <wp:docPr id="5" name="Picture 5" descr="This map of Australia shows the locations of potential carbon capture, use and storage projects as of October 2022. The different types of projects are specified between depleted oil/gas field/trap projects, saline aquifer projects, and saline aquifer test facilities. Greenhouse gas 2021 acreage areas are also marked. There is a box next to the map that says “rapidly evolving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map of Australia shows the locations of potential carbon capture, use and storage projects as of October 2022. The different types of projects are specified between depleted oil/gas field/trap projects, saline aquifer projects, and saline aquifer test facilities. Greenhouse gas 2021 acreage areas are also marked. There is a box next to the map that says “rapidly evolving landscap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49549" cy="5044410"/>
                    </a:xfrm>
                    <a:prstGeom prst="rect">
                      <a:avLst/>
                    </a:prstGeom>
                    <a:noFill/>
                    <a:ln>
                      <a:noFill/>
                    </a:ln>
                  </pic:spPr>
                </pic:pic>
              </a:graphicData>
            </a:graphic>
          </wp:inline>
        </w:drawing>
      </w:r>
    </w:p>
    <w:p w14:paraId="5EDEE3D5" w14:textId="77777777" w:rsidR="00CC3D33" w:rsidRPr="00AF7375" w:rsidRDefault="00CC3D33" w:rsidP="00CC3D33">
      <w:pPr>
        <w:keepNext/>
        <w:spacing w:after="60" w:line="240" w:lineRule="auto"/>
        <w:rPr>
          <w:rFonts w:eastAsia="Times New Roman" w:cs="Arial"/>
          <w:color w:val="005CAF"/>
          <w:sz w:val="16"/>
          <w:szCs w:val="20"/>
          <w:lang w:val="en"/>
        </w:rPr>
      </w:pPr>
    </w:p>
    <w:p w14:paraId="7EAB3B0F" w14:textId="79315DAD" w:rsidR="00CC3D33" w:rsidRPr="00AF7375" w:rsidRDefault="00CC3D33" w:rsidP="00932AAD">
      <w:pPr>
        <w:pStyle w:val="Source"/>
      </w:pPr>
      <w:r w:rsidRPr="00AF7375">
        <w:t xml:space="preserve">Source: </w:t>
      </w:r>
      <w:r>
        <w:t xml:space="preserve">CSIRO </w:t>
      </w:r>
      <w:r w:rsidRPr="00AF7375">
        <w:t>(202</w:t>
      </w:r>
      <w:r>
        <w:t>2</w:t>
      </w:r>
      <w:r w:rsidRPr="00AF7375">
        <w:t xml:space="preserve">) </w:t>
      </w:r>
    </w:p>
    <w:p w14:paraId="64897765" w14:textId="77777777" w:rsidR="00E75C40" w:rsidRDefault="00E75C40" w:rsidP="00932AAD">
      <w:pPr>
        <w:pStyle w:val="Source"/>
        <w:sectPr w:rsidR="00E75C40" w:rsidSect="008A223A">
          <w:type w:val="continuous"/>
          <w:pgSz w:w="16838" w:h="11906" w:orient="landscape" w:code="9"/>
          <w:pgMar w:top="709" w:right="1440" w:bottom="568" w:left="1440" w:header="709" w:footer="709" w:gutter="0"/>
          <w:cols w:space="708"/>
          <w:docGrid w:linePitch="360"/>
        </w:sectPr>
      </w:pPr>
    </w:p>
    <w:p w14:paraId="4B5EF42A" w14:textId="4D3C3092" w:rsidR="00EC7EC7" w:rsidRPr="00082213" w:rsidRDefault="00EC7EC7" w:rsidP="00082213">
      <w:pPr>
        <w:spacing w:after="120"/>
      </w:pPr>
      <w:r>
        <w:br w:type="page"/>
      </w:r>
      <w:bookmarkEnd w:id="89"/>
    </w:p>
    <w:p w14:paraId="2EA343A2" w14:textId="3CCE69E6" w:rsidR="00EC7EC7" w:rsidRDefault="00EC7EC7" w:rsidP="00C13C31">
      <w:pPr>
        <w:pStyle w:val="Heading1"/>
        <w:pageBreakBefore/>
        <w:numPr>
          <w:ilvl w:val="0"/>
          <w:numId w:val="3"/>
        </w:numPr>
      </w:pPr>
      <w:bookmarkStart w:id="90" w:name="_Toc172794508"/>
      <w:r>
        <w:t xml:space="preserve">Domestic </w:t>
      </w:r>
      <w:r w:rsidR="00AC01C3">
        <w:t>d</w:t>
      </w:r>
      <w:r>
        <w:t xml:space="preserve">emand </w:t>
      </w:r>
      <w:r w:rsidR="00AC01C3">
        <w:t>o</w:t>
      </w:r>
      <w:r>
        <w:t>utlook</w:t>
      </w:r>
      <w:bookmarkEnd w:id="90"/>
    </w:p>
    <w:p w14:paraId="486668DB" w14:textId="77777777" w:rsidR="00EC7EC7" w:rsidRDefault="00EC7EC7" w:rsidP="00EC7EC7">
      <w:pPr>
        <w:pStyle w:val="Heading2"/>
        <w:numPr>
          <w:ilvl w:val="0"/>
          <w:numId w:val="0"/>
        </w:numPr>
      </w:pPr>
      <w:bookmarkStart w:id="91" w:name="_Toc161153356"/>
      <w:bookmarkStart w:id="92" w:name="_Toc172794509"/>
      <w:r>
        <w:t>Summary</w:t>
      </w:r>
      <w:bookmarkEnd w:id="91"/>
      <w:bookmarkEnd w:id="92"/>
    </w:p>
    <w:p w14:paraId="1BD16C95" w14:textId="5D67C4AF" w:rsidR="00EC7EC7" w:rsidRPr="008B10CE" w:rsidRDefault="00EC7EC7" w:rsidP="00EC7EC7">
      <w:pPr>
        <w:pStyle w:val="BodyText"/>
      </w:pPr>
      <w:r w:rsidRPr="007460D8">
        <w:t>In Australia, gas underpins a wide range of economic activity and is a core component of energy security. In buildings</w:t>
      </w:r>
      <w:r w:rsidR="00F45F54">
        <w:t>,</w:t>
      </w:r>
      <w:r w:rsidRPr="007460D8">
        <w:t xml:space="preserve"> it is used to heat homes, </w:t>
      </w:r>
      <w:r w:rsidR="00627C34">
        <w:t xml:space="preserve">heat </w:t>
      </w:r>
      <w:r w:rsidRPr="007460D8">
        <w:t xml:space="preserve">water and </w:t>
      </w:r>
      <w:r>
        <w:t xml:space="preserve">to </w:t>
      </w:r>
      <w:r w:rsidRPr="007460D8">
        <w:t>cook. It is</w:t>
      </w:r>
      <w:r>
        <w:t xml:space="preserve"> also</w:t>
      </w:r>
      <w:r w:rsidRPr="007460D8">
        <w:t xml:space="preserve"> used to generate electricity, </w:t>
      </w:r>
      <w:r>
        <w:t xml:space="preserve">with gas </w:t>
      </w:r>
      <w:r w:rsidR="00DF1457">
        <w:t>accounting for</w:t>
      </w:r>
      <w:r w:rsidRPr="007460D8">
        <w:t xml:space="preserve"> around </w:t>
      </w:r>
      <w:r>
        <w:t xml:space="preserve">5% of </w:t>
      </w:r>
      <w:r w:rsidRPr="007460D8">
        <w:t xml:space="preserve">electricity </w:t>
      </w:r>
      <w:r>
        <w:t xml:space="preserve">generation and 16% of generation capacity in the NEM (east coast), </w:t>
      </w:r>
      <w:r w:rsidRPr="007460D8">
        <w:t xml:space="preserve">and </w:t>
      </w:r>
      <w:r>
        <w:t>38%</w:t>
      </w:r>
      <w:r w:rsidRPr="007460D8">
        <w:t xml:space="preserve"> </w:t>
      </w:r>
      <w:r>
        <w:t xml:space="preserve">of electricity generation </w:t>
      </w:r>
      <w:r w:rsidRPr="007460D8">
        <w:t xml:space="preserve">in the WEM (west coast). In industry, it is used to produce heat </w:t>
      </w:r>
      <w:r>
        <w:t xml:space="preserve">(up to very high temperatures) </w:t>
      </w:r>
      <w:r w:rsidRPr="007460D8">
        <w:t xml:space="preserve">and power, </w:t>
      </w:r>
      <w:r>
        <w:t>and</w:t>
      </w:r>
      <w:r w:rsidRPr="007460D8">
        <w:t xml:space="preserve"> as a feedstock</w:t>
      </w:r>
      <w:r>
        <w:t xml:space="preserve"> for </w:t>
      </w:r>
      <w:r w:rsidR="008913AD">
        <w:t xml:space="preserve">numerous </w:t>
      </w:r>
      <w:r>
        <w:t>chemical processes</w:t>
      </w:r>
      <w:r w:rsidRPr="007460D8">
        <w:t>.</w:t>
      </w:r>
    </w:p>
    <w:p w14:paraId="4C3F4D7F" w14:textId="50A49987" w:rsidR="00EC7EC7" w:rsidRPr="008B10CE" w:rsidRDefault="00EC7EC7" w:rsidP="00EC7EC7">
      <w:pPr>
        <w:pStyle w:val="BodyText"/>
      </w:pPr>
      <w:r w:rsidRPr="007460D8">
        <w:t xml:space="preserve">This chapter evaluates </w:t>
      </w:r>
      <w:r w:rsidR="00C2054B">
        <w:t xml:space="preserve">domestic </w:t>
      </w:r>
      <w:r w:rsidRPr="007460D8">
        <w:t xml:space="preserve">demand for gas in the medium term </w:t>
      </w:r>
      <w:r>
        <w:t xml:space="preserve">(to </w:t>
      </w:r>
      <w:r w:rsidRPr="007460D8">
        <w:t xml:space="preserve">2035) and </w:t>
      </w:r>
      <w:r w:rsidR="00627C34">
        <w:t>for the east coast</w:t>
      </w:r>
      <w:r>
        <w:t xml:space="preserve"> </w:t>
      </w:r>
      <w:r w:rsidRPr="007460D8">
        <w:t xml:space="preserve">out to </w:t>
      </w:r>
      <w:r w:rsidR="00627C34">
        <w:t>2043</w:t>
      </w:r>
      <w:r w:rsidRPr="007460D8">
        <w:t xml:space="preserve"> </w:t>
      </w:r>
      <w:r w:rsidR="00627C34">
        <w:t>using the scenario-based projections of gas demand produced by AEMO</w:t>
      </w:r>
      <w:r w:rsidRPr="007460D8">
        <w:t>. The supply of gas, and whether it can meet demand, is considered in Chapter</w:t>
      </w:r>
      <w:r w:rsidR="00C2054B">
        <w:t> </w:t>
      </w:r>
      <w:r>
        <w:t>5</w:t>
      </w:r>
      <w:r w:rsidRPr="007460D8">
        <w:t>.</w:t>
      </w:r>
    </w:p>
    <w:p w14:paraId="338CD1E9" w14:textId="51A04CF0" w:rsidR="00EC7EC7" w:rsidRPr="007B72BF" w:rsidRDefault="00EC7EC7" w:rsidP="00EC7EC7">
      <w:pPr>
        <w:pStyle w:val="BodyText"/>
      </w:pPr>
      <w:r w:rsidRPr="007B72BF">
        <w:t xml:space="preserve">Australia has two distinct gas markets: on the east and west coasts. Projections by </w:t>
      </w:r>
      <w:r>
        <w:t xml:space="preserve">AEMO </w:t>
      </w:r>
      <w:r w:rsidRPr="007B72BF">
        <w:t>indicate that demand for gas in the east coast is likely to fall in the medium term as gas substitutes are adopted under current policy settings. In contrast, demand on the west coast is likely to rise in the medium term due to increased use of gas in power generation and the minerals processing sector</w:t>
      </w:r>
      <w:r w:rsidR="00CF1C3B">
        <w:t xml:space="preserve">. This is </w:t>
      </w:r>
      <w:r w:rsidRPr="007B72BF">
        <w:t xml:space="preserve">despite energy efficiency </w:t>
      </w:r>
      <w:r w:rsidR="00CF1C3B">
        <w:t>improvements in</w:t>
      </w:r>
      <w:r w:rsidRPr="007B72BF">
        <w:t xml:space="preserve"> the sector. These trajectories reflect the different mix of gas use across the two sides of the country.</w:t>
      </w:r>
    </w:p>
    <w:p w14:paraId="3E94CF1C" w14:textId="406A7117" w:rsidR="00627C34" w:rsidRPr="002135D6" w:rsidRDefault="00627C34" w:rsidP="00627C34">
      <w:pPr>
        <w:pStyle w:val="BodyText"/>
      </w:pPr>
      <w:r w:rsidRPr="002135D6">
        <w:t>While domestic data</w:t>
      </w:r>
      <w:r>
        <w:t xml:space="preserve"> beyond the medium term</w:t>
      </w:r>
      <w:r w:rsidRPr="002135D6">
        <w:t xml:space="preserve"> </w:t>
      </w:r>
      <w:r>
        <w:t xml:space="preserve">(beyond 2033 in the west coast and 2043 in the east coast) </w:t>
      </w:r>
      <w:r w:rsidRPr="002135D6">
        <w:t>is scarcer and leaves import</w:t>
      </w:r>
      <w:r>
        <w:t>ant</w:t>
      </w:r>
      <w:r w:rsidRPr="002135D6">
        <w:t xml:space="preserve"> gaps for understanding the long</w:t>
      </w:r>
      <w:r>
        <w:t>-</w:t>
      </w:r>
      <w:r w:rsidRPr="002135D6">
        <w:t xml:space="preserve">term trajectory of domestic gas demand, the sectoral story provides a reasoned basis to expect there to be domestic demand for gas into 2050, particularly among hard-to-abate gas use cases. Taken together with the international demand projections in Chapter </w:t>
      </w:r>
      <w:r>
        <w:t>4</w:t>
      </w:r>
      <w:r w:rsidRPr="002135D6">
        <w:t xml:space="preserve">, there is a clear role for Australian gas into 2050 across all levels of climate ambition. </w:t>
      </w:r>
    </w:p>
    <w:p w14:paraId="3C5DAA24" w14:textId="54A9A4CB" w:rsidR="00EC7EC7" w:rsidRPr="002135D6" w:rsidRDefault="008D0BB2" w:rsidP="00EC7EC7">
      <w:pPr>
        <w:pStyle w:val="BodyText"/>
      </w:pPr>
      <w:r>
        <w:t>T</w:t>
      </w:r>
      <w:r w:rsidR="00EC7EC7" w:rsidRPr="002135D6">
        <w:t>he</w:t>
      </w:r>
      <w:r>
        <w:t xml:space="preserve"> AEMO demand</w:t>
      </w:r>
      <w:r w:rsidR="00EC7EC7" w:rsidRPr="002135D6">
        <w:t xml:space="preserve"> outlook </w:t>
      </w:r>
      <w:r>
        <w:t>for</w:t>
      </w:r>
      <w:r w:rsidR="00EC7EC7" w:rsidRPr="002135D6">
        <w:t xml:space="preserve"> residential and commercial</w:t>
      </w:r>
      <w:r>
        <w:t xml:space="preserve"> consumers indicates different pressures for the</w:t>
      </w:r>
      <w:r w:rsidR="00EC7EC7" w:rsidRPr="002135D6">
        <w:t xml:space="preserve"> power generation and industry sectors</w:t>
      </w:r>
      <w:r>
        <w:t>.</w:t>
      </w:r>
    </w:p>
    <w:p w14:paraId="70550064" w14:textId="649F3C6E" w:rsidR="00EC7EC7" w:rsidRPr="008B10CE" w:rsidRDefault="00EE1FAC" w:rsidP="00EC7EC7">
      <w:pPr>
        <w:pStyle w:val="BodyText"/>
      </w:pPr>
      <w:r w:rsidRPr="00C13C31">
        <w:t>Based on current technology,</w:t>
      </w:r>
      <w:r>
        <w:rPr>
          <w:b/>
          <w:bCs/>
        </w:rPr>
        <w:t xml:space="preserve"> </w:t>
      </w:r>
      <w:r w:rsidR="00EC7EC7" w:rsidRPr="007460D8" w:rsidDel="00EE1FAC">
        <w:rPr>
          <w:b/>
          <w:bCs/>
        </w:rPr>
        <w:t>g</w:t>
      </w:r>
      <w:r w:rsidR="00EC7EC7" w:rsidRPr="007460D8">
        <w:rPr>
          <w:b/>
          <w:bCs/>
        </w:rPr>
        <w:t>as-powered electricity generation</w:t>
      </w:r>
      <w:r w:rsidR="00EC7EC7" w:rsidRPr="007460D8">
        <w:t xml:space="preserve"> </w:t>
      </w:r>
      <w:r w:rsidR="00F0577B">
        <w:t xml:space="preserve">is expected to </w:t>
      </w:r>
      <w:r>
        <w:t>provide essential firming services as the renewable power generation capacity expands and coal-fired power exits Australia’s grids</w:t>
      </w:r>
      <w:r w:rsidR="00F0577B">
        <w:t xml:space="preserve">. </w:t>
      </w:r>
      <w:r>
        <w:t>Within the NEM</w:t>
      </w:r>
      <w:r w:rsidR="004E3032">
        <w:t xml:space="preserve"> and Northern Territory</w:t>
      </w:r>
      <w:r>
        <w:t xml:space="preserve">, demand is </w:t>
      </w:r>
      <w:r w:rsidR="00683EED">
        <w:t xml:space="preserve">projected to be </w:t>
      </w:r>
      <w:r>
        <w:t>volatile</w:t>
      </w:r>
      <w:r w:rsidR="004E3032">
        <w:t xml:space="preserve">, with </w:t>
      </w:r>
      <w:r w:rsidR="00683EED">
        <w:t>decli</w:t>
      </w:r>
      <w:r w:rsidR="004E3032">
        <w:t>nes expected</w:t>
      </w:r>
      <w:r w:rsidR="00683EED">
        <w:t xml:space="preserve"> </w:t>
      </w:r>
      <w:r>
        <w:t>in the medium term</w:t>
      </w:r>
      <w:r w:rsidR="004E3032">
        <w:t xml:space="preserve">, and increases </w:t>
      </w:r>
      <w:r w:rsidR="00DF1457">
        <w:t>from out to</w:t>
      </w:r>
      <w:r>
        <w:t xml:space="preserve"> 2043 and to 2050. In particular, </w:t>
      </w:r>
      <w:r w:rsidRPr="007460D8">
        <w:t xml:space="preserve">peak daily demand for gas in the NEM </w:t>
      </w:r>
      <w:r>
        <w:t>may increase by a factor of two to three by 2043. Uncertainty is high</w:t>
      </w:r>
      <w:r w:rsidR="00E35A9A">
        <w:t>. T</w:t>
      </w:r>
      <w:r w:rsidR="003A6048" w:rsidRPr="003A6048">
        <w:t xml:space="preserve">he </w:t>
      </w:r>
      <w:r>
        <w:t>scenarios show a wide range of non</w:t>
      </w:r>
      <w:r w:rsidR="00AE4016">
        <w:noBreakHyphen/>
      </w:r>
      <w:r>
        <w:t>linear scenarios depending on the</w:t>
      </w:r>
      <w:r w:rsidR="003A6048" w:rsidRPr="003A6048">
        <w:t xml:space="preserve"> closure of coal-fired power generators and rate of build of renewables.</w:t>
      </w:r>
      <w:r w:rsidR="003A6048">
        <w:t xml:space="preserve"> </w:t>
      </w:r>
      <w:r>
        <w:t xml:space="preserve">The role of gas in firming </w:t>
      </w:r>
      <w:r w:rsidR="00E35A9A">
        <w:t xml:space="preserve">by </w:t>
      </w:r>
      <w:r>
        <w:t>2050 is uncertain but likely</w:t>
      </w:r>
      <w:r w:rsidR="00E35A9A">
        <w:t>.</w:t>
      </w:r>
      <w:r>
        <w:t xml:space="preserve">; </w:t>
      </w:r>
      <w:r w:rsidR="00E35A9A">
        <w:t xml:space="preserve">The rollout of </w:t>
      </w:r>
      <w:r>
        <w:t xml:space="preserve">alternatives </w:t>
      </w:r>
      <w:r w:rsidR="00C10890">
        <w:t>to</w:t>
      </w:r>
      <w:r>
        <w:t xml:space="preserve"> firming</w:t>
      </w:r>
      <w:r w:rsidR="00E35A9A">
        <w:t>,</w:t>
      </w:r>
      <w:r>
        <w:t xml:space="preserve"> such as long-duration batteries, hydrogen and thermal storage</w:t>
      </w:r>
      <w:r w:rsidR="00E35A9A">
        <w:t xml:space="preserve"> give</w:t>
      </w:r>
      <w:r w:rsidR="00665DD7">
        <w:t>s</w:t>
      </w:r>
      <w:r w:rsidR="00E35A9A">
        <w:t xml:space="preserve"> rise to this uncertainty</w:t>
      </w:r>
      <w:r>
        <w:t xml:space="preserve">. Within the WEM, gas demand for power generation is expected to rise to 2033. </w:t>
      </w:r>
    </w:p>
    <w:p w14:paraId="4F32CA72" w14:textId="7DCD3245" w:rsidR="008C5CFB" w:rsidRDefault="00EC7EC7" w:rsidP="00EC7EC7">
      <w:pPr>
        <w:pStyle w:val="BodyText"/>
      </w:pPr>
      <w:r>
        <w:t xml:space="preserve">For </w:t>
      </w:r>
      <w:r w:rsidRPr="007460D8">
        <w:rPr>
          <w:b/>
          <w:bCs/>
        </w:rPr>
        <w:t>residential and commercial</w:t>
      </w:r>
      <w:r w:rsidRPr="002135D6">
        <w:t xml:space="preserve"> </w:t>
      </w:r>
      <w:r>
        <w:t>buildings</w:t>
      </w:r>
      <w:r w:rsidRPr="00753752">
        <w:t xml:space="preserve">, it is already possible to electrify household appliances </w:t>
      </w:r>
      <w:r>
        <w:t xml:space="preserve">(which involve low heat) </w:t>
      </w:r>
      <w:r w:rsidRPr="00753752">
        <w:t>and project</w:t>
      </w:r>
      <w:r>
        <w:t>ed</w:t>
      </w:r>
      <w:r w:rsidRPr="00753752">
        <w:t xml:space="preserve"> falls in </w:t>
      </w:r>
      <w:r>
        <w:t xml:space="preserve">east coast </w:t>
      </w:r>
      <w:r w:rsidR="00EE1FAC">
        <w:t xml:space="preserve">gas </w:t>
      </w:r>
      <w:r w:rsidRPr="00753752">
        <w:t xml:space="preserve">demand </w:t>
      </w:r>
      <w:r w:rsidR="00EE1FAC">
        <w:t>are sizeable</w:t>
      </w:r>
      <w:r w:rsidRPr="00753752">
        <w:t xml:space="preserve"> by </w:t>
      </w:r>
      <w:r w:rsidR="00AB40D4">
        <w:t>2043</w:t>
      </w:r>
      <w:r>
        <w:t>. T</w:t>
      </w:r>
      <w:r w:rsidRPr="007460D8">
        <w:t>he key question</w:t>
      </w:r>
      <w:r w:rsidR="00EE1FAC">
        <w:t xml:space="preserve"> is whether replacement of existing appliances will meet expectations</w:t>
      </w:r>
      <w:r w:rsidR="00627C34">
        <w:t>.</w:t>
      </w:r>
    </w:p>
    <w:p w14:paraId="0CA7DF3B" w14:textId="241CC914" w:rsidR="00EC7EC7" w:rsidRPr="008B10CE" w:rsidRDefault="00EE1FAC" w:rsidP="00EC7EC7">
      <w:pPr>
        <w:pStyle w:val="BodyText"/>
      </w:pPr>
      <w:r>
        <w:t xml:space="preserve">On the </w:t>
      </w:r>
      <w:r w:rsidR="00EC7EC7">
        <w:t>east coast</w:t>
      </w:r>
      <w:r>
        <w:t>,</w:t>
      </w:r>
      <w:r w:rsidR="00EC7EC7">
        <w:t xml:space="preserve"> </w:t>
      </w:r>
      <w:r w:rsidR="00EC7EC7" w:rsidRPr="007460D8">
        <w:rPr>
          <w:b/>
          <w:bCs/>
        </w:rPr>
        <w:t xml:space="preserve">industrial </w:t>
      </w:r>
      <w:r w:rsidR="00EC7EC7" w:rsidRPr="007460D8">
        <w:t>demand</w:t>
      </w:r>
      <w:r w:rsidR="00EC7EC7">
        <w:t xml:space="preserve"> </w:t>
      </w:r>
      <w:r>
        <w:t>is also expected to decline out to 2043, but to a lesser extent.</w:t>
      </w:r>
      <w:r w:rsidR="00EC7EC7" w:rsidRPr="007460D8">
        <w:t xml:space="preserve"> Across </w:t>
      </w:r>
      <w:r w:rsidR="00EC7EC7">
        <w:t>the diverse set of industries that use gas, multiple new technologies are needed to enable the transition off gas</w:t>
      </w:r>
      <w:r w:rsidR="00A6490C">
        <w:t>, involving re-engineering of processes to use different feedstock</w:t>
      </w:r>
      <w:r w:rsidR="00F732C2">
        <w:t xml:space="preserve"> or </w:t>
      </w:r>
      <w:r w:rsidR="00A6490C">
        <w:t>electrification</w:t>
      </w:r>
      <w:r w:rsidR="00EC7EC7">
        <w:t xml:space="preserve">. For very high heat and feedstock applications, alternatives are still in development and </w:t>
      </w:r>
      <w:r w:rsidR="00A6490C">
        <w:t>expected to take longer</w:t>
      </w:r>
      <w:r w:rsidR="00EC7EC7">
        <w:t xml:space="preserve"> to become viable. </w:t>
      </w:r>
      <w:r>
        <w:t xml:space="preserve">This is particularly a factor for west coast demand. </w:t>
      </w:r>
      <w:r w:rsidR="00EC7EC7" w:rsidRPr="007460D8">
        <w:t xml:space="preserve">For </w:t>
      </w:r>
      <w:r w:rsidR="00A6490C">
        <w:t xml:space="preserve">some </w:t>
      </w:r>
      <w:r w:rsidR="00EC7EC7" w:rsidRPr="007460D8">
        <w:t xml:space="preserve">processes it may not be possible to remove the use of natural gas entirely. </w:t>
      </w:r>
    </w:p>
    <w:p w14:paraId="59D56546" w14:textId="2CC11C1A" w:rsidR="00E90C9F" w:rsidRPr="008B10CE" w:rsidRDefault="00EE1FAC" w:rsidP="00EC7EC7">
      <w:pPr>
        <w:pStyle w:val="BodyText"/>
      </w:pPr>
      <w:r>
        <w:t xml:space="preserve">There are </w:t>
      </w:r>
      <w:r w:rsidR="006C47CF">
        <w:t xml:space="preserve">upside demand </w:t>
      </w:r>
      <w:r>
        <w:t>risks</w:t>
      </w:r>
      <w:r w:rsidR="006C47CF">
        <w:t>.</w:t>
      </w:r>
      <w:r w:rsidR="00EC7EC7" w:rsidRPr="007460D8">
        <w:t xml:space="preserve"> </w:t>
      </w:r>
      <w:r>
        <w:t>L</w:t>
      </w:r>
      <w:r w:rsidR="00EC7EC7" w:rsidRPr="007460D8">
        <w:t xml:space="preserve">arge industrial users reliant on coal for onsite power generation or as a feedstock have indicated that switching </w:t>
      </w:r>
      <w:r w:rsidR="00EC7EC7">
        <w:t xml:space="preserve">to </w:t>
      </w:r>
      <w:r w:rsidR="00EC7EC7" w:rsidRPr="007460D8">
        <w:t xml:space="preserve">gas could lower emissions in the interim </w:t>
      </w:r>
      <w:r w:rsidR="00EC7EC7">
        <w:t>before transitioning to</w:t>
      </w:r>
      <w:r w:rsidR="00EC7EC7" w:rsidRPr="007460D8">
        <w:t xml:space="preserve"> hydrogen</w:t>
      </w:r>
      <w:r w:rsidR="00EC7EC7">
        <w:t xml:space="preserve"> gas</w:t>
      </w:r>
      <w:r w:rsidR="00EC7EC7" w:rsidRPr="007460D8">
        <w:t xml:space="preserve"> in the future. </w:t>
      </w:r>
      <w:r w:rsidR="008F6255">
        <w:t xml:space="preserve">Stronger than expected </w:t>
      </w:r>
      <w:r>
        <w:t xml:space="preserve">growth in minerals processing and industrial production </w:t>
      </w:r>
      <w:r w:rsidR="005478C5">
        <w:t>also creates uncertainty for gas demand</w:t>
      </w:r>
      <w:r>
        <w:t>.</w:t>
      </w:r>
    </w:p>
    <w:p w14:paraId="380F3449" w14:textId="6C4B3DB7" w:rsidR="004461D6" w:rsidRDefault="004461D6">
      <w:pPr>
        <w:spacing w:after="200" w:line="276" w:lineRule="auto"/>
        <w:rPr>
          <w:color w:val="373737"/>
          <w:sz w:val="20"/>
        </w:rPr>
      </w:pPr>
      <w:r>
        <w:br w:type="page"/>
      </w:r>
    </w:p>
    <w:p w14:paraId="1FAA4E21" w14:textId="7DF91C92" w:rsidR="00EC7EC7" w:rsidRDefault="00EC7EC7" w:rsidP="007F2512">
      <w:pPr>
        <w:pStyle w:val="Heading2"/>
      </w:pPr>
      <w:bookmarkStart w:id="93" w:name="_Toc172794510"/>
      <w:r w:rsidRPr="000A60FB">
        <w:t>Overview of gas demand in Australia</w:t>
      </w:r>
      <w:bookmarkEnd w:id="93"/>
    </w:p>
    <w:p w14:paraId="638417C9" w14:textId="77777777" w:rsidR="00EC7EC7" w:rsidRDefault="00EC7EC7" w:rsidP="00EC7EC7">
      <w:pPr>
        <w:pStyle w:val="Heading3"/>
      </w:pPr>
      <w:r w:rsidRPr="000A60FB">
        <w:t>What are the markets for gas in Australia, and what shapes them?</w:t>
      </w:r>
    </w:p>
    <w:p w14:paraId="5D916504" w14:textId="77777777" w:rsidR="00EC7EC7" w:rsidRDefault="00EC7EC7" w:rsidP="00EC7EC7">
      <w:pPr>
        <w:pStyle w:val="BodyText"/>
      </w:pPr>
      <w:r>
        <w:t xml:space="preserve">Two key characteristics are critical to analysing Australian gas demand. </w:t>
      </w:r>
    </w:p>
    <w:p w14:paraId="2DDD32FB" w14:textId="7713639F" w:rsidR="00EC7EC7" w:rsidRDefault="00EC7EC7" w:rsidP="00EC7EC7">
      <w:pPr>
        <w:pStyle w:val="BodyText"/>
      </w:pPr>
      <w:r>
        <w:t xml:space="preserve">First, a wide range of economic factors drive and shape the demand for Australian gas (Figure 3.1 outlines share of gas use by industry and state). A brief history of the gas sector’s development (Box 3.1) reveals that demand for gas (at least on the </w:t>
      </w:r>
      <w:r w:rsidR="007C78D0">
        <w:t>east c</w:t>
      </w:r>
      <w:r>
        <w:t>oast) has grown in part due to its relative abundance at key points in time. Today, households, businesses and electricity markets determine the level of residential, industrial and power sector gas demand while foreign consumers determine the level of demand for Australian LNG. This chapter focuses on demand from domestic users.</w:t>
      </w:r>
    </w:p>
    <w:p w14:paraId="19F98993" w14:textId="77777777" w:rsidR="00EC7EC7" w:rsidRDefault="00EC7EC7" w:rsidP="00EC7EC7">
      <w:pPr>
        <w:pStyle w:val="BodyText"/>
      </w:pPr>
      <w:r>
        <w:t xml:space="preserve">Second, the profile of gas demand over the year varies across user groups and geography. Thus, both total annual demand and peak daily demand need to be considered. Seasonal changes affect the levels of gas demand, with peak daily demand in the colder months (when temperatures fall) in the southern regions and demand for heating and electricity double the levels of warmer months (Figure 3.2). </w:t>
      </w:r>
    </w:p>
    <w:p w14:paraId="151F7D55" w14:textId="77777777" w:rsidR="00EC7EC7" w:rsidRDefault="00EC7EC7" w:rsidP="00EC7EC7">
      <w:pPr>
        <w:pStyle w:val="BodyText"/>
      </w:pPr>
      <w:r>
        <w:t xml:space="preserve">In the warmer regions of Queensland, the Northern Territory and Western Australia, consumption profiles are relatively flat throughout the year due to the dominance of demand from industrial and mining sectors, and the limited need for space heating. Demand driven by power generation can also fluctuate in response to the conditions of the electricity market across Australia, ranging from outages at a coal-fired power stations to major weather events being significant drivers of peak daily demand. </w:t>
      </w:r>
    </w:p>
    <w:p w14:paraId="7417F0CE" w14:textId="77777777" w:rsidR="00EC7EC7" w:rsidRDefault="00EC7EC7" w:rsidP="00EC7EC7">
      <w:pPr>
        <w:pStyle w:val="BodyText"/>
      </w:pPr>
      <w:r>
        <w:t>While there are common drivers, trends in demand differ across the east and west coast markets due to the different sectoral composition in each market. Information about demand is therefore presented separately for the for the east and west coast gas markets.</w:t>
      </w:r>
    </w:p>
    <w:tbl>
      <w:tblPr>
        <w:tblStyle w:val="OCETable"/>
        <w:tblW w:w="6804" w:type="dxa"/>
        <w:shd w:val="clear" w:color="auto" w:fill="DEE8F1"/>
        <w:tblLayout w:type="fixed"/>
        <w:tblLook w:val="04A0" w:firstRow="1" w:lastRow="0" w:firstColumn="1" w:lastColumn="0" w:noHBand="0" w:noVBand="1"/>
      </w:tblPr>
      <w:tblGrid>
        <w:gridCol w:w="6804"/>
      </w:tblGrid>
      <w:tr w:rsidR="00EC7EC7" w14:paraId="0B08C6B6" w14:textId="77777777" w:rsidTr="0000320E">
        <w:trPr>
          <w:cnfStyle w:val="100000000000" w:firstRow="1" w:lastRow="0" w:firstColumn="0" w:lastColumn="0" w:oddVBand="0" w:evenVBand="0" w:oddHBand="0" w:evenHBand="0" w:firstRowFirstColumn="0" w:firstRowLastColumn="0" w:lastRowFirstColumn="0" w:lastRowLastColumn="0"/>
          <w:trHeight w:val="2835"/>
        </w:trPr>
        <w:tc>
          <w:tcPr>
            <w:tcW w:w="5000" w:type="pct"/>
            <w:shd w:val="clear" w:color="auto" w:fill="DEE8F1"/>
          </w:tcPr>
          <w:p w14:paraId="557E0140" w14:textId="77777777" w:rsidR="00EC7EC7" w:rsidRDefault="00EC7EC7" w:rsidP="00C50D71">
            <w:pPr>
              <w:pStyle w:val="Boxtext"/>
              <w:spacing w:beforeLines="60" w:before="144" w:afterLines="60" w:after="144"/>
              <w:ind w:left="119" w:right="113"/>
              <w:jc w:val="both"/>
              <w:rPr>
                <w:color w:val="auto"/>
              </w:rPr>
            </w:pPr>
            <w:r>
              <w:br w:type="column"/>
            </w:r>
            <w:r>
              <w:br w:type="column"/>
            </w:r>
            <w:r>
              <w:br w:type="column"/>
            </w:r>
            <w:r w:rsidRPr="00A841C7">
              <w:rPr>
                <w:b/>
                <w:bCs/>
                <w:color w:val="005CAF" w:themeColor="accent1"/>
              </w:rPr>
              <w:t xml:space="preserve">Box </w:t>
            </w:r>
            <w:r>
              <w:rPr>
                <w:b/>
                <w:bCs/>
                <w:color w:val="005CAF" w:themeColor="accent1"/>
              </w:rPr>
              <w:t>3</w:t>
            </w:r>
            <w:r w:rsidRPr="00A841C7">
              <w:rPr>
                <w:b/>
                <w:bCs/>
                <w:color w:val="005CAF" w:themeColor="accent1"/>
              </w:rPr>
              <w:t>.1:</w:t>
            </w:r>
            <w:r>
              <w:t xml:space="preserve"> </w:t>
            </w:r>
            <w:r w:rsidRPr="00F756F1">
              <w:rPr>
                <w:b/>
                <w:bCs/>
                <w:color w:val="005CAF" w:themeColor="accent1"/>
              </w:rPr>
              <w:t>History of Australian gas demand</w:t>
            </w:r>
          </w:p>
          <w:p w14:paraId="5E02DC2D" w14:textId="77777777" w:rsidR="00EC7EC7" w:rsidRPr="00F756F1" w:rsidRDefault="00EC7EC7" w:rsidP="00C50D71">
            <w:pPr>
              <w:pStyle w:val="Boxtext"/>
              <w:spacing w:beforeLines="60" w:before="144" w:afterLines="60" w:after="144"/>
              <w:ind w:left="113" w:right="113"/>
              <w:rPr>
                <w:color w:val="373737"/>
              </w:rPr>
            </w:pPr>
            <w:r w:rsidRPr="00F756F1">
              <w:rPr>
                <w:color w:val="373737"/>
              </w:rPr>
              <w:t>Gas has been part of the Australian economic landscape since 1841. Gas was initially used for street lighting, sourced from town gas (gas that is made from coal and distributed using pipelines). Throughout the 19</w:t>
            </w:r>
            <w:r w:rsidRPr="00E51EDF">
              <w:rPr>
                <w:color w:val="373737"/>
                <w:vertAlign w:val="superscript"/>
              </w:rPr>
              <w:t>th</w:t>
            </w:r>
            <w:r w:rsidRPr="00F756F1">
              <w:rPr>
                <w:color w:val="373737"/>
              </w:rPr>
              <w:t xml:space="preserve"> and early 20</w:t>
            </w:r>
            <w:r w:rsidRPr="00E51EDF">
              <w:rPr>
                <w:color w:val="373737"/>
                <w:vertAlign w:val="superscript"/>
              </w:rPr>
              <w:t>th</w:t>
            </w:r>
            <w:r w:rsidRPr="00F756F1">
              <w:rPr>
                <w:color w:val="373737"/>
              </w:rPr>
              <w:t xml:space="preserve"> centuries, gas street lighting became common in major Australian cities, along with gas cookers, water heaters and fires.</w:t>
            </w:r>
          </w:p>
          <w:p w14:paraId="2EC581B7" w14:textId="341E2D16" w:rsidR="00EC7EC7" w:rsidRPr="00F756F1" w:rsidRDefault="00EC7EC7" w:rsidP="00C50D71">
            <w:pPr>
              <w:pStyle w:val="Boxtext"/>
              <w:spacing w:beforeLines="60" w:before="144" w:afterLines="60" w:after="144"/>
              <w:ind w:left="113" w:right="113"/>
              <w:rPr>
                <w:color w:val="373737"/>
              </w:rPr>
            </w:pPr>
            <w:r w:rsidRPr="00F756F1">
              <w:rPr>
                <w:color w:val="373737"/>
              </w:rPr>
              <w:t xml:space="preserve">Major developments </w:t>
            </w:r>
            <w:r w:rsidR="00747E68">
              <w:rPr>
                <w:color w:val="373737"/>
              </w:rPr>
              <w:t xml:space="preserve">in the exploration and production </w:t>
            </w:r>
            <w:r w:rsidRPr="00F756F1">
              <w:rPr>
                <w:color w:val="373737"/>
              </w:rPr>
              <w:t xml:space="preserve">of Australia’s natural gas (that is, gas extracted from petroleum wells) industry began in the 1960s on the </w:t>
            </w:r>
            <w:r w:rsidR="007C78D0">
              <w:rPr>
                <w:color w:val="373737"/>
              </w:rPr>
              <w:t>east c</w:t>
            </w:r>
            <w:r w:rsidRPr="00F756F1">
              <w:rPr>
                <w:color w:val="373737"/>
              </w:rPr>
              <w:t xml:space="preserve">oast and 1970s on the </w:t>
            </w:r>
            <w:r w:rsidR="007C78D0">
              <w:rPr>
                <w:color w:val="373737"/>
              </w:rPr>
              <w:t>west c</w:t>
            </w:r>
            <w:r w:rsidRPr="00F756F1">
              <w:rPr>
                <w:color w:val="373737"/>
              </w:rPr>
              <w:t xml:space="preserve">oast. Melbourne was the first major Australian city to switch from town gas to natural gas due to </w:t>
            </w:r>
            <w:r w:rsidR="007D3332">
              <w:rPr>
                <w:color w:val="373737"/>
              </w:rPr>
              <w:t xml:space="preserve">its </w:t>
            </w:r>
            <w:r w:rsidRPr="00F756F1">
              <w:rPr>
                <w:color w:val="373737"/>
              </w:rPr>
              <w:t xml:space="preserve">proximity to </w:t>
            </w:r>
            <w:r w:rsidR="007D3332">
              <w:rPr>
                <w:color w:val="373737"/>
              </w:rPr>
              <w:t xml:space="preserve">an </w:t>
            </w:r>
            <w:r w:rsidRPr="00F756F1">
              <w:rPr>
                <w:color w:val="373737"/>
              </w:rPr>
              <w:t xml:space="preserve">abundant supply. Gas basins in Victoria also produced valuable crude oil and condensate which helped subsidise the production of natural gas. Because natural gas was cheap and abundant, it was used to provide space heating to a fast-growing population of residential users. The larger loads facilitated the development of the gas network, including into regional areas. </w:t>
            </w:r>
          </w:p>
          <w:p w14:paraId="6A0E1B60" w14:textId="529EAFEF" w:rsidR="00EC7EC7" w:rsidRPr="00F756F1" w:rsidRDefault="00EC7EC7" w:rsidP="00C50D71">
            <w:pPr>
              <w:pStyle w:val="Boxtext"/>
              <w:spacing w:beforeLines="60" w:before="144" w:afterLines="60" w:after="144"/>
              <w:ind w:left="113" w:right="113"/>
              <w:rPr>
                <w:color w:val="373737"/>
              </w:rPr>
            </w:pPr>
            <w:r w:rsidRPr="00F756F1">
              <w:rPr>
                <w:color w:val="373737"/>
              </w:rPr>
              <w:t xml:space="preserve">Western Australia’s gas industry was initially based on town gas with the City of Perth Gas Company being formed in 1882. </w:t>
            </w:r>
          </w:p>
          <w:p w14:paraId="5607F9D8" w14:textId="64C31004" w:rsidR="00EC7EC7" w:rsidRPr="006F1B18" w:rsidRDefault="00EC7EC7" w:rsidP="00C50D71">
            <w:pPr>
              <w:pStyle w:val="Boxtext"/>
              <w:spacing w:beforeLines="60" w:before="144" w:afterLines="60" w:after="144"/>
              <w:ind w:left="113" w:right="113"/>
              <w:rPr>
                <w:color w:val="373737"/>
              </w:rPr>
            </w:pPr>
            <w:r w:rsidRPr="00F756F1">
              <w:rPr>
                <w:color w:val="373737"/>
              </w:rPr>
              <w:t>The late 1960s saw a number of natural gas discoveries in WA, with the first natural gas piped to Perth in 1971. In the same year, a number of discoveries were made on the North West Shelf. Early work focused on an LNG facility, but it was deemed not feasible at this time. With the financial underpinning of the WA Government and support from Alcoa (the state’s largest consumer of gas), the North West Shelf and gas industry in WA continued to grow, and the first LNG from the North West Shelf was delivered in 1989.</w:t>
            </w:r>
          </w:p>
        </w:tc>
      </w:tr>
    </w:tbl>
    <w:p w14:paraId="6ABBF587" w14:textId="77777777" w:rsidR="00EC7EC7" w:rsidRDefault="00EC7EC7" w:rsidP="00EC7EC7">
      <w:pPr>
        <w:pStyle w:val="BodyText"/>
      </w:pPr>
    </w:p>
    <w:p w14:paraId="10A95775" w14:textId="29A62084" w:rsidR="00F02B42" w:rsidRDefault="00EC7EC7" w:rsidP="00C97679">
      <w:pPr>
        <w:pStyle w:val="Caption"/>
      </w:pPr>
      <w:r>
        <w:t xml:space="preserve">Figure </w:t>
      </w:r>
      <w:r w:rsidR="00341B3B">
        <w:fldChar w:fldCharType="begin"/>
      </w:r>
      <w:r w:rsidR="00341B3B">
        <w:instrText xml:space="preserve"> STYLEREF 1 \s </w:instrText>
      </w:r>
      <w:r w:rsidR="00341B3B">
        <w:fldChar w:fldCharType="separate"/>
      </w:r>
      <w:r w:rsidR="00BF178A">
        <w:rPr>
          <w:noProof/>
        </w:rPr>
        <w:t>3</w:t>
      </w:r>
      <w:r w:rsidR="00341B3B">
        <w:rPr>
          <w:noProof/>
        </w:rPr>
        <w:fldChar w:fldCharType="end"/>
      </w:r>
      <w:r>
        <w:rPr>
          <w:noProof/>
        </w:rPr>
        <w:fldChar w:fldCharType="begin"/>
      </w:r>
      <w:r>
        <w:rPr>
          <w:noProof/>
        </w:rPr>
        <w:fldChar w:fldCharType="separate"/>
      </w:r>
      <w:r w:rsidR="00231476">
        <w:rPr>
          <w:noProof/>
        </w:rPr>
        <w:t>3</w:t>
      </w:r>
      <w:r>
        <w:rPr>
          <w:noProof/>
        </w:rPr>
        <w:fldChar w:fldCharType="end"/>
      </w:r>
      <w:r w:rsidR="00180E3B">
        <w:t>.</w:t>
      </w:r>
      <w:r w:rsidR="00341B3B">
        <w:fldChar w:fldCharType="begin"/>
      </w:r>
      <w:r w:rsidR="00341B3B">
        <w:instrText xml:space="preserve"> SEQ Figure \* ARABIC \s 1 </w:instrText>
      </w:r>
      <w:r w:rsidR="00341B3B">
        <w:fldChar w:fldCharType="separate"/>
      </w:r>
      <w:r w:rsidR="00BF178A">
        <w:rPr>
          <w:noProof/>
        </w:rPr>
        <w:t>1</w:t>
      </w:r>
      <w:r w:rsidR="00341B3B">
        <w:rPr>
          <w:noProof/>
        </w:rPr>
        <w:fldChar w:fldCharType="end"/>
      </w:r>
      <w:r w:rsidR="00F02B42">
        <w:t xml:space="preserve">: Gas demand by state and sector, </w:t>
      </w:r>
      <w:r w:rsidR="00A90DA1">
        <w:t>and total</w:t>
      </w:r>
      <w:r w:rsidR="00F02B42">
        <w:t>, 2021</w:t>
      </w:r>
      <w:r w:rsidR="00DB5745">
        <w:t>–</w:t>
      </w:r>
      <w:r w:rsidR="00F02B42">
        <w:t>22</w:t>
      </w:r>
    </w:p>
    <w:p w14:paraId="4B8CCA8B" w14:textId="2FF437DB" w:rsidR="00F02B42" w:rsidRDefault="005E76CF" w:rsidP="00C97679">
      <w:pPr>
        <w:pStyle w:val="Caption"/>
      </w:pPr>
      <w:r>
        <w:rPr>
          <w:noProof/>
        </w:rPr>
        <w:drawing>
          <wp:inline distT="0" distB="0" distL="0" distR="0" wp14:anchorId="470F9457" wp14:editId="1F9F840D">
            <wp:extent cx="4206875" cy="4912360"/>
            <wp:effectExtent l="0" t="0" r="3175" b="2540"/>
            <wp:docPr id="34" name="Chart 34" descr="This figure shows gas consumption by state and sector as a proportion of total gas use in 2021-22. As a percentage of total gas use, it shows that in WA and SA, that power is the predominant use of gas. Mining dominates in Qld and the NT, while Industry dominates in NSW and Tasmania. Victoria’s demand for gas primarily comes from Buildings. For the total of all states and territories in Australia, power is the predominant use of gas.">
              <a:extLst xmlns:a="http://schemas.openxmlformats.org/drawingml/2006/main">
                <a:ext uri="{FF2B5EF4-FFF2-40B4-BE49-F238E27FC236}">
                  <a16:creationId xmlns:a16="http://schemas.microsoft.com/office/drawing/2014/main" id="{5B2DF94B-95ED-49D5-AC15-044672A45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3430252" w14:textId="19ADD874" w:rsidR="00F02B42" w:rsidRPr="00C62F3A" w:rsidRDefault="00F02B42" w:rsidP="0006388B">
      <w:pPr>
        <w:pStyle w:val="Source"/>
      </w:pPr>
      <w:r>
        <w:t xml:space="preserve">Notes: ACT included in NSW. On-site electricity generation is included in the </w:t>
      </w:r>
      <w:r w:rsidR="00EB16D9">
        <w:t xml:space="preserve">power </w:t>
      </w:r>
      <w:r>
        <w:t>sector. Buildings</w:t>
      </w:r>
      <w:r w:rsidR="00EB16D9">
        <w:t xml:space="preserve"> demand</w:t>
      </w:r>
      <w:r>
        <w:t xml:space="preserve"> includes gas use in both commercial and residential buildings. Mining demand includes gas used to power LNG liquef</w:t>
      </w:r>
      <w:r w:rsidR="002976A7">
        <w:t>a</w:t>
      </w:r>
      <w:r>
        <w:t>c</w:t>
      </w:r>
      <w:r w:rsidR="002976A7">
        <w:t>t</w:t>
      </w:r>
      <w:r>
        <w:t>ion. Power demand includes gas consumed by the manufacturing sector to generate off</w:t>
      </w:r>
      <w:r w:rsidR="00EB16D9">
        <w:t>-</w:t>
      </w:r>
      <w:r>
        <w:t xml:space="preserve">grid electricity. </w:t>
      </w:r>
      <w:r w:rsidRPr="00040682">
        <w:t>Other</w:t>
      </w:r>
      <w:r w:rsidR="00EB16D9">
        <w:t xml:space="preserve"> demand</w:t>
      </w:r>
      <w:r w:rsidRPr="00040682">
        <w:t xml:space="preserve"> </w:t>
      </w:r>
      <w:r>
        <w:t>consists of</w:t>
      </w:r>
      <w:r w:rsidRPr="00040682">
        <w:t xml:space="preserve"> gas use for transportation, agriculture, construction, water and waste treatment and gas supply.</w:t>
      </w:r>
      <w:r>
        <w:t xml:space="preserve"> Data in this graph may not align with that produced by AEMO.</w:t>
      </w:r>
    </w:p>
    <w:p w14:paraId="6CBCFD18" w14:textId="3D8FF7C2" w:rsidR="00F02B42" w:rsidRDefault="00F02B42" w:rsidP="0006388B">
      <w:pPr>
        <w:pStyle w:val="Source"/>
      </w:pPr>
      <w:r>
        <w:t xml:space="preserve">Source: </w:t>
      </w:r>
      <w:r w:rsidR="00E7172C">
        <w:t>DCCEEW (2023c)</w:t>
      </w:r>
    </w:p>
    <w:p w14:paraId="339C0F9D" w14:textId="77777777" w:rsidR="00F02B42" w:rsidRPr="00F02B42" w:rsidRDefault="00F02B42" w:rsidP="00180E3B">
      <w:pPr>
        <w:pStyle w:val="BodyText"/>
      </w:pPr>
    </w:p>
    <w:p w14:paraId="47019952" w14:textId="3A0EEC7A" w:rsidR="00EC7EC7" w:rsidRDefault="00EC7EC7"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3</w:t>
      </w:r>
      <w:r>
        <w:rPr>
          <w:noProof/>
        </w:rPr>
        <w:fldChar w:fldCharType="end"/>
      </w:r>
      <w:r w:rsidR="00180E3B">
        <w:t>.</w:t>
      </w:r>
      <w:r w:rsidR="00341B3B">
        <w:fldChar w:fldCharType="begin"/>
      </w:r>
      <w:r w:rsidR="00341B3B">
        <w:instrText xml:space="preserve"> SEQ Figure \* ARABIC \s 1 </w:instrText>
      </w:r>
      <w:r w:rsidR="00341B3B">
        <w:fldChar w:fldCharType="separate"/>
      </w:r>
      <w:r w:rsidR="00BF178A">
        <w:rPr>
          <w:noProof/>
        </w:rPr>
        <w:t>2</w:t>
      </w:r>
      <w:r w:rsidR="00341B3B">
        <w:rPr>
          <w:noProof/>
        </w:rPr>
        <w:fldChar w:fldCharType="end"/>
      </w:r>
      <w:r w:rsidR="006877E8">
        <w:fldChar w:fldCharType="begin"/>
      </w:r>
      <w:r w:rsidR="006877E8">
        <w:fldChar w:fldCharType="separate"/>
      </w:r>
      <w:r w:rsidR="00231476">
        <w:rPr>
          <w:noProof/>
        </w:rPr>
        <w:t>2</w:t>
      </w:r>
      <w:r w:rsidR="006877E8">
        <w:fldChar w:fldCharType="end"/>
      </w:r>
      <w:r>
        <w:t xml:space="preserve">: Daily gas demand in Victoria, NSW, </w:t>
      </w:r>
      <w:r w:rsidR="00203D63">
        <w:t xml:space="preserve">ACT, </w:t>
      </w:r>
      <w:r>
        <w:t>SA, and Tasmania</w:t>
      </w:r>
      <w:r w:rsidR="00C3180B">
        <w:t>,</w:t>
      </w:r>
      <w:r>
        <w:t xml:space="preserve"> 202</w:t>
      </w:r>
      <w:r w:rsidR="00203D63">
        <w:t>2</w:t>
      </w:r>
      <w:r w:rsidR="009E0322">
        <w:t xml:space="preserve"> to 20</w:t>
      </w:r>
      <w:r>
        <w:t>2</w:t>
      </w:r>
      <w:r w:rsidR="00203D63">
        <w:t>3</w:t>
      </w:r>
    </w:p>
    <w:p w14:paraId="2363C2D2" w14:textId="698D233E" w:rsidR="00EC7EC7" w:rsidRDefault="00EC7EC7" w:rsidP="00EC7EC7">
      <w:pPr>
        <w:pStyle w:val="Note"/>
      </w:pPr>
    </w:p>
    <w:p w14:paraId="6B701B40" w14:textId="7F13D7C5" w:rsidR="00203D63" w:rsidRDefault="00203D63" w:rsidP="00EC7EC7">
      <w:pPr>
        <w:pStyle w:val="Note"/>
      </w:pPr>
      <w:r>
        <w:rPr>
          <w:noProof/>
        </w:rPr>
        <w:drawing>
          <wp:inline distT="0" distB="0" distL="0" distR="0" wp14:anchorId="37499B60" wp14:editId="2247B0EF">
            <wp:extent cx="4206875" cy="4931410"/>
            <wp:effectExtent l="0" t="0" r="3175" b="2540"/>
            <wp:docPr id="618117896" name="Chart 618117896" descr="This figure shows total daily gas demand across Victoria, New South Wales, Australian Capital Territory, South Australia, and Tasmania across 2022 and 2023, in TJ. Demand is split between gas powered generation demand and other types of gas demand. Gas demand is seasonal and highest during the winter months of both years. However peak demand in 2022 was 2,351 TJ/day compared to 2,032 TJ/d J in 2023, and partly driven by additional gas-powered generation demand.">
              <a:extLst xmlns:a="http://schemas.openxmlformats.org/drawingml/2006/main">
                <a:ext uri="{FF2B5EF4-FFF2-40B4-BE49-F238E27FC236}">
                  <a16:creationId xmlns:a16="http://schemas.microsoft.com/office/drawing/2014/main" id="{C22C9D7C-209E-4FC5-B9D6-B42DFC927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535B892" w14:textId="5B8B1085" w:rsidR="00EC7EC7" w:rsidRPr="00C62F3A" w:rsidRDefault="00EC7EC7" w:rsidP="0006388B">
      <w:pPr>
        <w:pStyle w:val="Source"/>
      </w:pPr>
      <w:r>
        <w:t>Notes: GPG refers to gas</w:t>
      </w:r>
      <w:r w:rsidR="006944D0">
        <w:t>-</w:t>
      </w:r>
      <w:r>
        <w:t>power</w:t>
      </w:r>
      <w:r w:rsidR="006944D0">
        <w:t>ed</w:t>
      </w:r>
      <w:r>
        <w:t xml:space="preserve"> generation.</w:t>
      </w:r>
    </w:p>
    <w:p w14:paraId="3A2A3189" w14:textId="313B0AC5" w:rsidR="00A1470B" w:rsidRPr="00151B6F" w:rsidRDefault="00A1470B" w:rsidP="0006388B">
      <w:pPr>
        <w:pStyle w:val="Source"/>
      </w:pPr>
      <w:r>
        <w:t xml:space="preserve">Source: </w:t>
      </w:r>
      <w:r w:rsidRPr="00BB080C">
        <w:t>AEMO (202</w:t>
      </w:r>
      <w:r>
        <w:t>4</w:t>
      </w:r>
      <w:r w:rsidR="00F86FFE">
        <w:t>b</w:t>
      </w:r>
      <w:r w:rsidRPr="00BB080C">
        <w:t>)</w:t>
      </w:r>
    </w:p>
    <w:p w14:paraId="35A2FAC7" w14:textId="77777777" w:rsidR="00B30CD6" w:rsidRDefault="00B30CD6" w:rsidP="00A91DF8">
      <w:pPr>
        <w:pStyle w:val="Heading3"/>
      </w:pPr>
      <w:r>
        <w:t>Current gas use by sector</w:t>
      </w:r>
    </w:p>
    <w:p w14:paraId="487B6ABA" w14:textId="4237A143" w:rsidR="00B30CD6" w:rsidRDefault="00B30CD6" w:rsidP="00F46D0D">
      <w:pPr>
        <w:pStyle w:val="BodyText"/>
        <w:spacing w:before="120"/>
      </w:pPr>
      <w:r>
        <w:t>The four main end uses for natural gas that dominate Australian domestic gas markets are (Figure 3.</w:t>
      </w:r>
      <w:r w:rsidR="00BB7746">
        <w:t>1</w:t>
      </w:r>
      <w:r>
        <w:t>):</w:t>
      </w:r>
    </w:p>
    <w:p w14:paraId="41BA3185" w14:textId="4725E13A" w:rsidR="00B30CD6" w:rsidRPr="008A5D3C" w:rsidRDefault="00B30CD6" w:rsidP="00B30CD6">
      <w:pPr>
        <w:pStyle w:val="ListBullet2"/>
        <w:numPr>
          <w:ilvl w:val="1"/>
          <w:numId w:val="4"/>
        </w:numPr>
        <w:ind w:left="568" w:hanging="284"/>
      </w:pPr>
      <w:r>
        <w:t>electricity generation via gas-fired power plants and on-site electricity generation (520 PJ or 33% of 2021</w:t>
      </w:r>
      <w:r w:rsidR="00DB5745">
        <w:t>–</w:t>
      </w:r>
      <w:r>
        <w:t>22 Australian demand),</w:t>
      </w:r>
    </w:p>
    <w:p w14:paraId="1F0A8DE4" w14:textId="77777777" w:rsidR="00B30CD6" w:rsidRDefault="00B30CD6" w:rsidP="00B30CD6">
      <w:pPr>
        <w:pStyle w:val="ListBullet2"/>
        <w:numPr>
          <w:ilvl w:val="1"/>
          <w:numId w:val="4"/>
        </w:numPr>
        <w:ind w:left="568" w:hanging="284"/>
      </w:pPr>
      <w:r>
        <w:t>mining and minerals processing (417 PJ or 26%),</w:t>
      </w:r>
    </w:p>
    <w:p w14:paraId="72F21DBF" w14:textId="5807240D" w:rsidR="00B30CD6" w:rsidRPr="008A5D3C" w:rsidRDefault="00B30CD6" w:rsidP="00B30CD6">
      <w:pPr>
        <w:pStyle w:val="ListBullet2"/>
        <w:numPr>
          <w:ilvl w:val="1"/>
          <w:numId w:val="4"/>
        </w:numPr>
        <w:ind w:left="568" w:hanging="284"/>
      </w:pPr>
      <w:r>
        <w:t>other i</w:t>
      </w:r>
      <w:r w:rsidRPr="008A5D3C">
        <w:t>ndustrial use</w:t>
      </w:r>
      <w:r>
        <w:t xml:space="preserve">s, including chemical processing, and </w:t>
      </w:r>
      <w:r w:rsidR="00EB16D9">
        <w:t>high-grade</w:t>
      </w:r>
      <w:r>
        <w:t xml:space="preserve"> industrial heat (380 PJ or 24%), and</w:t>
      </w:r>
    </w:p>
    <w:p w14:paraId="4D6C11E3" w14:textId="1417E763" w:rsidR="00B30CD6" w:rsidRDefault="00B30CD6" w:rsidP="008913AD">
      <w:pPr>
        <w:pStyle w:val="ListBullet2"/>
        <w:numPr>
          <w:ilvl w:val="1"/>
          <w:numId w:val="4"/>
        </w:numPr>
        <w:spacing w:after="180"/>
        <w:ind w:left="568" w:hanging="284"/>
      </w:pPr>
      <w:r w:rsidRPr="008A5D3C">
        <w:t>residential and commercial</w:t>
      </w:r>
      <w:r>
        <w:t xml:space="preserve"> uses, such as cooking and heating by households and businesses (211 PJ or 14%).</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B30CD6" w14:paraId="7A22111C" w14:textId="77777777" w:rsidTr="008676FE">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30099190" w14:textId="48016515" w:rsidR="00B30CD6" w:rsidRPr="00401289" w:rsidRDefault="00B30CD6" w:rsidP="00556751">
            <w:pPr>
              <w:pStyle w:val="Boxtext"/>
              <w:spacing w:beforeLines="60" w:before="144" w:afterLines="60" w:after="144"/>
              <w:ind w:left="113" w:right="113"/>
              <w:jc w:val="both"/>
              <w:rPr>
                <w:color w:val="auto"/>
              </w:rPr>
            </w:pPr>
            <w:r w:rsidRPr="005458FA">
              <w:rPr>
                <w:b/>
                <w:bCs/>
                <w:color w:val="auto"/>
              </w:rPr>
              <w:t xml:space="preserve">Insight: </w:t>
            </w:r>
            <w:r>
              <w:rPr>
                <w:color w:val="auto"/>
              </w:rPr>
              <w:t xml:space="preserve">About </w:t>
            </w:r>
            <w:r w:rsidRPr="006A6CED">
              <w:rPr>
                <w:color w:val="auto"/>
              </w:rPr>
              <w:t xml:space="preserve">33% of current Australian domestic gas demand is used for power generation, 26% for mining and minerals processing, 24% for (other) industrial users and 14% for residential and commercial </w:t>
            </w:r>
            <w:r>
              <w:rPr>
                <w:color w:val="auto"/>
              </w:rPr>
              <w:t>buildings</w:t>
            </w:r>
            <w:r w:rsidRPr="006A6CED">
              <w:rPr>
                <w:color w:val="auto"/>
              </w:rPr>
              <w:t>.</w:t>
            </w:r>
            <w:r>
              <w:rPr>
                <w:color w:val="auto"/>
              </w:rPr>
              <w:t xml:space="preserve"> Gas demand by sector varies across the </w:t>
            </w:r>
            <w:r w:rsidR="00FF01BA">
              <w:rPr>
                <w:color w:val="auto"/>
              </w:rPr>
              <w:t>s</w:t>
            </w:r>
            <w:r>
              <w:rPr>
                <w:color w:val="auto"/>
              </w:rPr>
              <w:t xml:space="preserve">tates and </w:t>
            </w:r>
            <w:r w:rsidR="00FF01BA">
              <w:rPr>
                <w:color w:val="auto"/>
              </w:rPr>
              <w:t>t</w:t>
            </w:r>
            <w:r>
              <w:rPr>
                <w:color w:val="auto"/>
              </w:rPr>
              <w:t>erritories.</w:t>
            </w:r>
          </w:p>
        </w:tc>
      </w:tr>
    </w:tbl>
    <w:p w14:paraId="59414031" w14:textId="19046155" w:rsidR="00B30CD6" w:rsidRPr="00DD7C9B" w:rsidRDefault="00B30CD6" w:rsidP="008D54FD">
      <w:pPr>
        <w:pStyle w:val="BodyText"/>
        <w:spacing w:before="180"/>
      </w:pPr>
      <w:r>
        <w:t>The power sector is the largest source of domestic gas demand. The majority of this gas is used in gas-powered generators to produce electricity for the east and west coast</w:t>
      </w:r>
      <w:r w:rsidR="00EB16D9">
        <w:t>,</w:t>
      </w:r>
      <w:r>
        <w:t xml:space="preserve"> while the remainder is used </w:t>
      </w:r>
      <w:r w:rsidR="00EB16D9">
        <w:t>in</w:t>
      </w:r>
      <w:r>
        <w:t xml:space="preserve"> industrial and mining facilities for on-site (called ‘behind-the-meter’) electricity generation. Gas-powered generators are versatile: they can scale up and down rapidly, and so can provide supply during peak electricity demand (called ‘peaking’) </w:t>
      </w:r>
      <w:r w:rsidR="00EB16D9">
        <w:t>to</w:t>
      </w:r>
      <w:r>
        <w:t xml:space="preserve"> complement coal, wind and solar generation (called ‘firming’). </w:t>
      </w:r>
      <w:r w:rsidR="00EB16D9">
        <w:t>Gas-powered generators</w:t>
      </w:r>
      <w:r>
        <w:t xml:space="preserve"> are a component of </w:t>
      </w:r>
      <w:r w:rsidRPr="00DD7C9B">
        <w:t>electricity markets</w:t>
      </w:r>
      <w:r w:rsidRPr="00DD7C9B" w:rsidDel="00F63E3D">
        <w:t xml:space="preserve"> </w:t>
      </w:r>
      <w:r w:rsidRPr="00DD7C9B">
        <w:t xml:space="preserve">covering every </w:t>
      </w:r>
      <w:r w:rsidR="00EB16D9" w:rsidRPr="00DD7C9B">
        <w:t>s</w:t>
      </w:r>
      <w:r w:rsidRPr="00DD7C9B">
        <w:t xml:space="preserve">tate and </w:t>
      </w:r>
      <w:r w:rsidR="00EB16D9" w:rsidRPr="00DD7C9B">
        <w:t>t</w:t>
      </w:r>
      <w:r w:rsidRPr="00DD7C9B">
        <w:t>erritory in Australia, ranging from 2% to 86% of electricity markets</w:t>
      </w:r>
      <w:r w:rsidR="00EB16D9" w:rsidRPr="00DD7C9B">
        <w:t>.</w:t>
      </w:r>
    </w:p>
    <w:p w14:paraId="710B210D" w14:textId="4B3FF2A8" w:rsidR="00B30CD6" w:rsidRDefault="00B30CD6" w:rsidP="00B30CD6">
      <w:pPr>
        <w:pStyle w:val="BodyText"/>
      </w:pPr>
      <w:r w:rsidRPr="00DD7C9B">
        <w:t>Industrial gas demand is diverse</w:t>
      </w:r>
      <w:r w:rsidR="00C92695" w:rsidRPr="00DD7C9B">
        <w:t xml:space="preserve"> and </w:t>
      </w:r>
      <w:r w:rsidRPr="00DD7C9B">
        <w:t xml:space="preserve">considerably so </w:t>
      </w:r>
      <w:r w:rsidR="00C92695" w:rsidRPr="00DD7C9B">
        <w:t xml:space="preserve">when compared with </w:t>
      </w:r>
      <w:r w:rsidRPr="00DD7C9B">
        <w:t>demand from the residential</w:t>
      </w:r>
      <w:r w:rsidR="00C92695" w:rsidRPr="00DD7C9B">
        <w:t xml:space="preserve">, </w:t>
      </w:r>
      <w:r w:rsidRPr="00DD7C9B">
        <w:t>commercial and electricity sectors (Figure 3.</w:t>
      </w:r>
      <w:r w:rsidR="00DD7C9B">
        <w:t>3</w:t>
      </w:r>
      <w:r w:rsidRPr="00DD7C9B">
        <w:t xml:space="preserve">). In general, gas </w:t>
      </w:r>
      <w:r w:rsidR="009909AE" w:rsidRPr="00DD7C9B">
        <w:t xml:space="preserve">is the preferred fuel where </w:t>
      </w:r>
      <w:r w:rsidRPr="00DD7C9B">
        <w:t>processes require a lot of energy, high heat or as a feedstock.</w:t>
      </w:r>
      <w:r>
        <w:t xml:space="preserve"> </w:t>
      </w:r>
    </w:p>
    <w:p w14:paraId="52FFEC07" w14:textId="20FE89D8" w:rsidR="00B30CD6" w:rsidRDefault="00B30CD6" w:rsidP="00B30CD6">
      <w:pPr>
        <w:pStyle w:val="BodyText"/>
      </w:pPr>
      <w:r>
        <w:t xml:space="preserve">The majority of </w:t>
      </w:r>
      <w:r w:rsidR="0046652C">
        <w:t xml:space="preserve">gas consumed in the </w:t>
      </w:r>
      <w:r>
        <w:t xml:space="preserve">mining and resources is in LNG export facilities to liquify natural gas for export, </w:t>
      </w:r>
      <w:r w:rsidR="0046652C">
        <w:t>and</w:t>
      </w:r>
      <w:r>
        <w:t xml:space="preserve"> a smaller proportion is used to generate heat </w:t>
      </w:r>
      <w:r w:rsidR="0046652C">
        <w:t>for mineral processing</w:t>
      </w:r>
      <w:r>
        <w:t xml:space="preserve"> in the mining sector.  </w:t>
      </w:r>
    </w:p>
    <w:p w14:paraId="3F0EAF92" w14:textId="77777777" w:rsidR="00B30CD6" w:rsidRDefault="00B30CD6" w:rsidP="00B30CD6">
      <w:pPr>
        <w:pStyle w:val="BodyText"/>
      </w:pPr>
      <w:r>
        <w:t xml:space="preserve">Gas is also used by industry as an input to manufacture pulp, paper, chemicals, stone, bricks, glass and processed foods. It is a chemical feedstock to produce ammonia for fertilisers and explosives, which play a major role in Australia’s agricultural and mining sectors. </w:t>
      </w:r>
    </w:p>
    <w:p w14:paraId="31724483" w14:textId="0A91BBFC" w:rsidR="00B30CD6" w:rsidRPr="008A5D3C" w:rsidRDefault="00BF5898" w:rsidP="00B30CD6">
      <w:pPr>
        <w:pStyle w:val="BodyText"/>
      </w:pPr>
      <w:r>
        <w:t>EnergyQuest</w:t>
      </w:r>
      <w:r w:rsidR="00B30CD6">
        <w:t xml:space="preserve"> </w:t>
      </w:r>
      <w:r w:rsidR="0015552C">
        <w:t>(202</w:t>
      </w:r>
      <w:r w:rsidR="00590517">
        <w:t>3</w:t>
      </w:r>
      <w:r w:rsidR="00FA3686">
        <w:t>a</w:t>
      </w:r>
      <w:r w:rsidR="0015552C">
        <w:t>)</w:t>
      </w:r>
      <w:r w:rsidR="00B30CD6">
        <w:t xml:space="preserve"> estimates that 74% (294 PJ) </w:t>
      </w:r>
      <w:r w:rsidR="00B30CD6" w:rsidRPr="00DD7C9B">
        <w:t>of industrial gas use in 2021</w:t>
      </w:r>
      <w:r w:rsidR="00DB5745">
        <w:t>–</w:t>
      </w:r>
      <w:r w:rsidR="00B30CD6" w:rsidRPr="00DD7C9B">
        <w:t>22 is for heat and other manufacturing processes, 17% (65 PJ) as a feedstock and 9% (37 PJ) for on-site electricity generation (Figure 3.</w:t>
      </w:r>
      <w:r w:rsidR="00BB7746" w:rsidRPr="00DD7C9B">
        <w:t>3</w:t>
      </w:r>
      <w:r w:rsidR="00B30CD6" w:rsidRPr="00DD7C9B">
        <w:t>).</w:t>
      </w:r>
    </w:p>
    <w:p w14:paraId="189358A4" w14:textId="54D7A62D" w:rsidR="00180E3B" w:rsidRDefault="00180E3B" w:rsidP="00C97679">
      <w:pPr>
        <w:pStyle w:val="Caption"/>
      </w:pPr>
      <w:r>
        <w:t xml:space="preserve">Figure </w:t>
      </w:r>
      <w:r w:rsidR="00341B3B">
        <w:fldChar w:fldCharType="begin"/>
      </w:r>
      <w:r w:rsidR="00341B3B">
        <w:instrText xml:space="preserve"> STYLEREF 1 \s </w:instrText>
      </w:r>
      <w:r w:rsidR="00341B3B">
        <w:fldChar w:fldCharType="separate"/>
      </w:r>
      <w:r w:rsidR="00BF178A">
        <w:rPr>
          <w:noProof/>
        </w:rPr>
        <w:t>3</w:t>
      </w:r>
      <w:r w:rsidR="00341B3B">
        <w:rPr>
          <w:noProof/>
        </w:rPr>
        <w:fldChar w:fldCharType="end"/>
      </w:r>
      <w:r>
        <w:t>.</w:t>
      </w:r>
      <w:r w:rsidR="00341B3B">
        <w:fldChar w:fldCharType="begin"/>
      </w:r>
      <w:r w:rsidR="00341B3B">
        <w:instrText xml:space="preserve"> SEQ Figure \* ARABIC \s 1 </w:instrText>
      </w:r>
      <w:r w:rsidR="00341B3B">
        <w:fldChar w:fldCharType="separate"/>
      </w:r>
      <w:r w:rsidR="00BF178A">
        <w:rPr>
          <w:noProof/>
        </w:rPr>
        <w:t>3</w:t>
      </w:r>
      <w:r w:rsidR="00341B3B">
        <w:rPr>
          <w:noProof/>
        </w:rPr>
        <w:fldChar w:fldCharType="end"/>
      </w:r>
      <w:r>
        <w:t xml:space="preserve">: Indicative large industrial gas demand segments and shares - </w:t>
      </w:r>
      <w:r w:rsidR="00B75611">
        <w:t>e</w:t>
      </w:r>
      <w:r>
        <w:t>ast coast and N</w:t>
      </w:r>
      <w:r w:rsidR="00663B55">
        <w:t>orthern Territory</w:t>
      </w:r>
    </w:p>
    <w:p w14:paraId="67BC49D7" w14:textId="091BF966" w:rsidR="00180E3B" w:rsidRDefault="005E613F" w:rsidP="00180E3B">
      <w:pPr>
        <w:pStyle w:val="Note"/>
      </w:pPr>
      <w:r>
        <w:rPr>
          <w:noProof/>
        </w:rPr>
        <mc:AlternateContent>
          <mc:Choice Requires="wps">
            <w:drawing>
              <wp:anchor distT="0" distB="0" distL="114300" distR="114300" simplePos="0" relativeHeight="251658242" behindDoc="0" locked="0" layoutInCell="1" allowOverlap="1" wp14:anchorId="3C499CE2" wp14:editId="5E7EE5D2">
                <wp:simplePos x="0" y="0"/>
                <wp:positionH relativeFrom="column">
                  <wp:posOffset>1287145</wp:posOffset>
                </wp:positionH>
                <wp:positionV relativeFrom="paragraph">
                  <wp:posOffset>1467485</wp:posOffset>
                </wp:positionV>
                <wp:extent cx="1323975" cy="447675"/>
                <wp:effectExtent l="0" t="0" r="0" b="0"/>
                <wp:wrapNone/>
                <wp:docPr id="699518976" name="Rectangle 6995189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3975" cy="4476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73FFAD" w14:textId="592F03AE" w:rsidR="005E613F" w:rsidRPr="005E613F" w:rsidRDefault="005E613F" w:rsidP="005E613F">
                            <w:pPr>
                              <w:jc w:val="center"/>
                              <w:rPr>
                                <w:rFonts w:ascii="Arial" w:hAnsi="Arial" w:cs="Arial"/>
                                <w:b/>
                                <w:bCs/>
                                <w:color w:val="373737"/>
                                <w:sz w:val="20"/>
                                <w:szCs w:val="20"/>
                              </w:rPr>
                            </w:pPr>
                            <w:r w:rsidRPr="005E613F">
                              <w:rPr>
                                <w:rFonts w:ascii="Arial" w:hAnsi="Arial" w:cs="Arial"/>
                                <w:b/>
                                <w:bCs/>
                                <w:color w:val="373737"/>
                                <w:sz w:val="20"/>
                                <w:szCs w:val="20"/>
                              </w:rPr>
                              <w:t>186 PJ per annum</w:t>
                            </w:r>
                            <w:r w:rsidRPr="005E613F">
                              <w:rPr>
                                <w:rFonts w:ascii="Arial" w:hAnsi="Arial" w:cs="Arial"/>
                                <w:b/>
                                <w:bCs/>
                                <w:color w:val="373737"/>
                                <w:sz w:val="20"/>
                                <w:szCs w:val="20"/>
                              </w:rPr>
                              <w:br/>
                              <w:t>(41 largest users)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99CE2" id="Rectangle 699518976" o:spid="_x0000_s1034" alt="&quot;&quot;" style="position:absolute;margin-left:101.35pt;margin-top:115.55pt;width:104.25pt;height:3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" filled="f" stroked="f" strokeweight="2pt">
                <v:textbox>
                  <w:txbxContent>
                    <w:p w14:paraId="6A73FFAD" w14:textId="592F03AE" w:rsidR="005E613F" w:rsidRPr="005E613F" w:rsidRDefault="005E613F" w:rsidP="005E613F">
                      <w:pPr>
                        <w:jc w:val="center"/>
                        <w:rPr>
                          <w:rFonts w:ascii="Arial" w:hAnsi="Arial" w:cs="Arial"/>
                          <w:b/>
                          <w:bCs/>
                          <w:color w:val="373737"/>
                          <w:sz w:val="20"/>
                          <w:szCs w:val="20"/>
                        </w:rPr>
                      </w:pPr>
                      <w:r w:rsidRPr="005E613F">
                        <w:rPr>
                          <w:rFonts w:ascii="Arial" w:hAnsi="Arial" w:cs="Arial"/>
                          <w:b/>
                          <w:bCs/>
                          <w:color w:val="373737"/>
                          <w:sz w:val="20"/>
                          <w:szCs w:val="20"/>
                        </w:rPr>
                        <w:t>186 PJ per annum</w:t>
                      </w:r>
                      <w:r w:rsidRPr="005E613F">
                        <w:rPr>
                          <w:rFonts w:ascii="Arial" w:hAnsi="Arial" w:cs="Arial"/>
                          <w:b/>
                          <w:bCs/>
                          <w:color w:val="373737"/>
                          <w:sz w:val="20"/>
                          <w:szCs w:val="20"/>
                        </w:rPr>
                        <w:br/>
                        <w:t>(41 largest users)</w:t>
                      </w:r>
                    </w:p>
                  </w:txbxContent>
                </v:textbox>
              </v:rect>
            </w:pict>
          </mc:Fallback>
        </mc:AlternateContent>
      </w:r>
      <w:r>
        <w:rPr>
          <w:noProof/>
        </w:rPr>
        <w:drawing>
          <wp:inline distT="0" distB="0" distL="0" distR="0" wp14:anchorId="02F652F8" wp14:editId="494413A5">
            <wp:extent cx="3895725" cy="3390900"/>
            <wp:effectExtent l="0" t="0" r="0" b="0"/>
            <wp:docPr id="699518977" name="Chart 699518977" descr="This figure is a pie chart showing the share of the large industrial gas uses as segments for the east coast and Northern Territory. Alumina/Aluminium has the largest share at 21%, followed by Ammonia/Ammonium Nitrate at 15% and fertilisers and iron and steel smelters with a 14% share each. ">
              <a:extLst xmlns:a="http://schemas.openxmlformats.org/drawingml/2006/main">
                <a:ext uri="{FF2B5EF4-FFF2-40B4-BE49-F238E27FC236}">
                  <a16:creationId xmlns:a16="http://schemas.microsoft.com/office/drawing/2014/main" id="{384B3DE4-7721-41A2-8FAF-D4C35D40C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C3CF520" w14:textId="135FE0D1" w:rsidR="00180E3B" w:rsidRDefault="00180E3B" w:rsidP="0006388B">
      <w:pPr>
        <w:pStyle w:val="Source"/>
      </w:pPr>
      <w:r>
        <w:t xml:space="preserve">Source: </w:t>
      </w:r>
      <w:r w:rsidR="00BF5898">
        <w:t>EnergyQuest</w:t>
      </w:r>
      <w:r>
        <w:t xml:space="preserve"> (202</w:t>
      </w:r>
      <w:r w:rsidR="00933E2B">
        <w:t>3a</w:t>
      </w:r>
      <w:r>
        <w:t>)</w:t>
      </w:r>
    </w:p>
    <w:p w14:paraId="08069FEA" w14:textId="6E07EECD" w:rsidR="00B30CD6" w:rsidRDefault="00B30CD6" w:rsidP="00B30CD6">
      <w:pPr>
        <w:pStyle w:val="BodyText"/>
      </w:pPr>
      <w:r>
        <w:t>Gas used by residential and commercial consumers for cooking and heating. Figure 3.</w:t>
      </w:r>
      <w:r w:rsidR="00FA158B">
        <w:t>1</w:t>
      </w:r>
      <w:r>
        <w:t xml:space="preserve"> </w:t>
      </w:r>
      <w:r w:rsidR="00666641">
        <w:t>shows that</w:t>
      </w:r>
      <w:r>
        <w:t xml:space="preserve"> residential demand comprises 25% (195 PJ) gas demand in the east coast and 2% (17 PJ) on the west coast. The east coast market average masks significant variability between states, with 52</w:t>
      </w:r>
      <w:r w:rsidRPr="00B933B8">
        <w:t>%</w:t>
      </w:r>
      <w:r>
        <w:t xml:space="preserve"> of residential and commercial gas demand in Victoria, 35% in NSW and 2% in Queensland.</w:t>
      </w:r>
    </w:p>
    <w:p w14:paraId="689B3A52" w14:textId="3F34A39C" w:rsidR="00EC7EC7" w:rsidRDefault="00EC7EC7" w:rsidP="002D4EEC">
      <w:pPr>
        <w:pStyle w:val="Heading2"/>
        <w:numPr>
          <w:ilvl w:val="1"/>
          <w:numId w:val="3"/>
        </w:numPr>
        <w:spacing w:before="120"/>
      </w:pPr>
      <w:bookmarkStart w:id="94" w:name="_Toc172794511"/>
      <w:r>
        <w:t xml:space="preserve">Projections of </w:t>
      </w:r>
      <w:r w:rsidR="00400F37">
        <w:t>e</w:t>
      </w:r>
      <w:r>
        <w:t xml:space="preserve">ast and </w:t>
      </w:r>
      <w:r w:rsidR="00400F37">
        <w:t>w</w:t>
      </w:r>
      <w:r>
        <w:t>est coast gas demand</w:t>
      </w:r>
      <w:bookmarkEnd w:id="94"/>
    </w:p>
    <w:p w14:paraId="26193B53" w14:textId="41D8BF92" w:rsidR="00EC7EC7" w:rsidRDefault="00EC7EC7" w:rsidP="00EC7EC7">
      <w:pPr>
        <w:pStyle w:val="BodyText"/>
      </w:pPr>
      <w:r>
        <w:t xml:space="preserve">The best current source of information on domestic Australian gas demand are the detailed projections of the </w:t>
      </w:r>
      <w:r w:rsidR="00006846">
        <w:t>e</w:t>
      </w:r>
      <w:r>
        <w:t xml:space="preserve">ast coast and </w:t>
      </w:r>
      <w:r w:rsidR="00006846">
        <w:t>w</w:t>
      </w:r>
      <w:r>
        <w:t xml:space="preserve">est </w:t>
      </w:r>
      <w:r w:rsidR="00006846">
        <w:t>c</w:t>
      </w:r>
      <w:r>
        <w:t xml:space="preserve">oast demand scenarios in AEMO yearly publications </w:t>
      </w:r>
      <w:r w:rsidR="0090014A">
        <w:rPr>
          <w:lang w:eastAsia="en-AU"/>
        </w:rPr>
        <w:t>—</w:t>
      </w:r>
      <w:r>
        <w:t xml:space="preserve"> the Gas Statement of Opportunities (GSOO on the </w:t>
      </w:r>
      <w:r w:rsidR="007C78D0">
        <w:t>east c</w:t>
      </w:r>
      <w:r>
        <w:t xml:space="preserve">oast and the WA GSOO for the </w:t>
      </w:r>
      <w:r w:rsidR="007C78D0">
        <w:t>w</w:t>
      </w:r>
      <w:r>
        <w:t>est coast</w:t>
      </w:r>
      <w:r w:rsidR="00A32EA9">
        <w:t>)</w:t>
      </w:r>
      <w:r>
        <w:t>. AEMO projections of gas demand (drawn heavily from the 202</w:t>
      </w:r>
      <w:r w:rsidR="00203D63">
        <w:t>4</w:t>
      </w:r>
      <w:r>
        <w:t xml:space="preserve"> GSOO and </w:t>
      </w:r>
      <w:r w:rsidR="00203D63">
        <w:t xml:space="preserve">2023 </w:t>
      </w:r>
      <w:r>
        <w:t>WA GSOO reports) are based around similar temperature and emissions outcomes as the three global climate</w:t>
      </w:r>
      <w:r w:rsidR="0019603A">
        <w:noBreakHyphen/>
      </w:r>
      <w:r>
        <w:t xml:space="preserve">constrained scenarios published by the IEA (used in Chapters 1 and </w:t>
      </w:r>
      <w:r w:rsidR="006E0D05">
        <w:t>4</w:t>
      </w:r>
      <w:r>
        <w:t>)</w:t>
      </w:r>
      <w:r>
        <w:rPr>
          <w:rStyle w:val="FootnoteReference"/>
        </w:rPr>
        <w:footnoteReference w:id="7"/>
      </w:r>
      <w:r>
        <w:t xml:space="preserve"> although they only extend to 204</w:t>
      </w:r>
      <w:r w:rsidR="007B50FB">
        <w:t>3</w:t>
      </w:r>
      <w:r>
        <w:t xml:space="preserve">. For the </w:t>
      </w:r>
      <w:r w:rsidR="00006846">
        <w:t>w</w:t>
      </w:r>
      <w:r>
        <w:t xml:space="preserve">est </w:t>
      </w:r>
      <w:r w:rsidR="00006846">
        <w:t>c</w:t>
      </w:r>
      <w:r>
        <w:t xml:space="preserve">oast, the outlook extends to 2033 only. </w:t>
      </w:r>
    </w:p>
    <w:p w14:paraId="229D905F" w14:textId="4EB6A71C" w:rsidR="007902FE" w:rsidRDefault="00EC7EC7" w:rsidP="007902FE">
      <w:pPr>
        <w:pStyle w:val="BodyText"/>
        <w:rPr>
          <w:lang w:eastAsia="en-AU"/>
        </w:rPr>
      </w:pPr>
      <w:r>
        <w:t xml:space="preserve">There is a wide band of potential domestic gas demand outcomes projected for both the </w:t>
      </w:r>
      <w:r w:rsidR="00006846">
        <w:t>e</w:t>
      </w:r>
      <w:r>
        <w:t xml:space="preserve">ast and </w:t>
      </w:r>
      <w:r w:rsidR="00006846">
        <w:t>w</w:t>
      </w:r>
      <w:r>
        <w:t xml:space="preserve">est </w:t>
      </w:r>
      <w:r w:rsidR="00006846">
        <w:t>c</w:t>
      </w:r>
      <w:r>
        <w:t>oast markets. Each trajectory depends on assumptions about the adoption of alternatives to gas and economic and social conditions. AEMO updates their projections yearly to reflect changes in knowledge, and while projections can appear to be volatile, these projections reflect the best knowledge available at the time.</w:t>
      </w:r>
      <w:r w:rsidR="00A95C34">
        <w:rPr>
          <w:rStyle w:val="FootnoteReference"/>
        </w:rPr>
        <w:footnoteReference w:id="8"/>
      </w:r>
      <w:bookmarkStart w:id="95" w:name="_Hlk165017604"/>
    </w:p>
    <w:tbl>
      <w:tblPr>
        <w:tblStyle w:val="OCETable"/>
        <w:tblW w:w="5000" w:type="pct"/>
        <w:shd w:val="clear" w:color="auto" w:fill="F1CFCF"/>
        <w:tblLayout w:type="fixed"/>
        <w:tblLook w:val="04A0" w:firstRow="1" w:lastRow="0" w:firstColumn="1" w:lastColumn="0" w:noHBand="0" w:noVBand="1"/>
      </w:tblPr>
      <w:tblGrid>
        <w:gridCol w:w="6625"/>
      </w:tblGrid>
      <w:tr w:rsidR="00EC7EC7" w14:paraId="00EBDF29" w14:textId="77777777" w:rsidTr="008676FE">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F1CFCF"/>
          </w:tcPr>
          <w:bookmarkEnd w:id="95"/>
          <w:p w14:paraId="4695B707" w14:textId="73E06FF8" w:rsidR="00EC7EC7" w:rsidRPr="005458FA" w:rsidRDefault="00EC7EC7" w:rsidP="00C50D71">
            <w:pPr>
              <w:pStyle w:val="Boxtext"/>
              <w:spacing w:beforeLines="60" w:before="144" w:afterLines="60" w:after="144"/>
              <w:ind w:left="113" w:right="113"/>
              <w:jc w:val="both"/>
              <w:rPr>
                <w:b/>
                <w:bCs/>
              </w:rPr>
            </w:pPr>
            <w:r w:rsidRPr="005458FA">
              <w:rPr>
                <w:b/>
                <w:bCs/>
                <w:color w:val="auto"/>
              </w:rPr>
              <w:t xml:space="preserve">Insight: </w:t>
            </w:r>
            <w:r w:rsidRPr="00D74698">
              <w:rPr>
                <w:color w:val="auto"/>
              </w:rPr>
              <w:t xml:space="preserve">Annual domestic gas demand is forecast to fall on the </w:t>
            </w:r>
            <w:r w:rsidR="007447DF">
              <w:rPr>
                <w:color w:val="auto"/>
              </w:rPr>
              <w:t>e</w:t>
            </w:r>
            <w:r w:rsidRPr="00D74698">
              <w:rPr>
                <w:color w:val="auto"/>
              </w:rPr>
              <w:t xml:space="preserve">ast coast across all scenarios between </w:t>
            </w:r>
            <w:r w:rsidR="007B50FB" w:rsidRPr="00D74698">
              <w:rPr>
                <w:color w:val="auto"/>
              </w:rPr>
              <w:t>202</w:t>
            </w:r>
            <w:r w:rsidR="007B50FB">
              <w:rPr>
                <w:color w:val="auto"/>
              </w:rPr>
              <w:t>3</w:t>
            </w:r>
            <w:r w:rsidR="007B50FB" w:rsidRPr="00D74698">
              <w:rPr>
                <w:color w:val="auto"/>
              </w:rPr>
              <w:t xml:space="preserve"> </w:t>
            </w:r>
            <w:r w:rsidRPr="00D74698">
              <w:rPr>
                <w:color w:val="auto"/>
              </w:rPr>
              <w:t>and 204</w:t>
            </w:r>
            <w:r w:rsidR="007B50FB">
              <w:rPr>
                <w:color w:val="auto"/>
              </w:rPr>
              <w:t>3</w:t>
            </w:r>
            <w:r w:rsidRPr="00D74698">
              <w:rPr>
                <w:color w:val="auto"/>
              </w:rPr>
              <w:t xml:space="preserve">, </w:t>
            </w:r>
            <w:r w:rsidR="005478C5">
              <w:rPr>
                <w:color w:val="auto"/>
              </w:rPr>
              <w:t>but there is a wide range of potential outcomes</w:t>
            </w:r>
            <w:r w:rsidRPr="00D74698">
              <w:rPr>
                <w:color w:val="auto"/>
              </w:rPr>
              <w:t xml:space="preserve">. </w:t>
            </w:r>
            <w:r w:rsidR="005478C5">
              <w:rPr>
                <w:color w:val="auto"/>
              </w:rPr>
              <w:t>In all scenarios,</w:t>
            </w:r>
            <w:r w:rsidRPr="00D74698">
              <w:rPr>
                <w:color w:val="auto"/>
              </w:rPr>
              <w:t xml:space="preserve"> gas demand </w:t>
            </w:r>
            <w:r w:rsidR="007447DF">
              <w:rPr>
                <w:color w:val="auto"/>
              </w:rPr>
              <w:t>persists</w:t>
            </w:r>
            <w:r w:rsidRPr="00D74698">
              <w:rPr>
                <w:color w:val="auto"/>
              </w:rPr>
              <w:t xml:space="preserve"> </w:t>
            </w:r>
            <w:r w:rsidR="005478C5">
              <w:rPr>
                <w:color w:val="auto"/>
              </w:rPr>
              <w:t xml:space="preserve">for hard-to-abate activities </w:t>
            </w:r>
            <w:r w:rsidRPr="00D74698">
              <w:rPr>
                <w:color w:val="auto"/>
              </w:rPr>
              <w:t>in 204</w:t>
            </w:r>
            <w:r w:rsidR="007B50FB">
              <w:rPr>
                <w:color w:val="auto"/>
              </w:rPr>
              <w:t>3</w:t>
            </w:r>
            <w:r w:rsidRPr="00D74698">
              <w:rPr>
                <w:color w:val="auto"/>
              </w:rPr>
              <w:t xml:space="preserve"> and </w:t>
            </w:r>
            <w:r w:rsidR="005478C5">
              <w:rPr>
                <w:color w:val="auto"/>
              </w:rPr>
              <w:t>is expected to continue to 2050</w:t>
            </w:r>
            <w:r w:rsidRPr="00D74698">
              <w:rPr>
                <w:color w:val="auto"/>
              </w:rPr>
              <w:t>. Overall, there are upside risks to these scenarios</w:t>
            </w:r>
            <w:r w:rsidR="005478C5">
              <w:rPr>
                <w:color w:val="auto"/>
              </w:rPr>
              <w:t xml:space="preserve"> in the medium term</w:t>
            </w:r>
            <w:r w:rsidRPr="00D74698">
              <w:rPr>
                <w:color w:val="auto"/>
              </w:rPr>
              <w:t>.</w:t>
            </w:r>
          </w:p>
        </w:tc>
      </w:tr>
    </w:tbl>
    <w:p w14:paraId="278D01FE" w14:textId="5F885237" w:rsidR="005478C5" w:rsidRDefault="00EC7EC7" w:rsidP="00EC7EC7">
      <w:pPr>
        <w:pStyle w:val="BodyText"/>
        <w:spacing w:before="180"/>
      </w:pPr>
      <w:r>
        <w:t xml:space="preserve">The rate of decline in </w:t>
      </w:r>
      <w:r w:rsidR="007C78D0">
        <w:t>east c</w:t>
      </w:r>
      <w:r>
        <w:t xml:space="preserve">oast demand </w:t>
      </w:r>
      <w:r w:rsidR="0090014A">
        <w:rPr>
          <w:lang w:eastAsia="en-AU"/>
        </w:rPr>
        <w:t>—</w:t>
      </w:r>
      <w:r>
        <w:t xml:space="preserve"> across the range of scenarios </w:t>
      </w:r>
      <w:r w:rsidR="0090014A">
        <w:rPr>
          <w:lang w:eastAsia="en-AU"/>
        </w:rPr>
        <w:t>—</w:t>
      </w:r>
      <w:r>
        <w:t xml:space="preserve"> follows a broadly similar path to IEA projections of global demand (Figure 3.</w:t>
      </w:r>
      <w:r w:rsidR="00BB7746">
        <w:t>4</w:t>
      </w:r>
      <w:r>
        <w:t xml:space="preserve">). </w:t>
      </w:r>
      <w:bookmarkStart w:id="96" w:name="_Hlk151121813"/>
    </w:p>
    <w:p w14:paraId="78DEB3F1" w14:textId="0996B7B8" w:rsidR="00EC7EC7" w:rsidRDefault="00EC7EC7" w:rsidP="00C97679">
      <w:pPr>
        <w:pStyle w:val="Caption"/>
      </w:pPr>
      <w:r>
        <w:t xml:space="preserve">Figure </w:t>
      </w:r>
      <w:r w:rsidRPr="00C51083">
        <w:rPr>
          <w:noProof/>
        </w:rPr>
        <w:fldChar w:fldCharType="begin"/>
      </w:r>
      <w:r w:rsidRPr="00C51083">
        <w:rPr>
          <w:noProof/>
        </w:rPr>
        <w:instrText xml:space="preserve"> STYLEREF 1 \s </w:instrText>
      </w:r>
      <w:r w:rsidRPr="00C51083">
        <w:rPr>
          <w:noProof/>
        </w:rPr>
        <w:fldChar w:fldCharType="separate"/>
      </w:r>
      <w:r w:rsidR="00BF178A">
        <w:rPr>
          <w:noProof/>
        </w:rPr>
        <w:t>3</w:t>
      </w:r>
      <w:r w:rsidRPr="00C51083">
        <w:rPr>
          <w:noProof/>
        </w:rPr>
        <w:fldChar w:fldCharType="end"/>
      </w:r>
      <w:r w:rsidR="00150C16">
        <w:rPr>
          <w:noProof/>
        </w:rPr>
        <w:t>.</w:t>
      </w:r>
      <w:r w:rsidR="00150C16">
        <w:rPr>
          <w:noProof/>
        </w:rPr>
        <w:fldChar w:fldCharType="begin"/>
      </w:r>
      <w:r w:rsidR="00150C16">
        <w:rPr>
          <w:noProof/>
        </w:rPr>
        <w:instrText xml:space="preserve"> SEQ Figure \* ARABIC \s 1 </w:instrText>
      </w:r>
      <w:r w:rsidR="00150C16">
        <w:rPr>
          <w:noProof/>
        </w:rPr>
        <w:fldChar w:fldCharType="separate"/>
      </w:r>
      <w:r w:rsidR="00BF178A">
        <w:rPr>
          <w:noProof/>
        </w:rPr>
        <w:t>4</w:t>
      </w:r>
      <w:r w:rsidR="00150C16">
        <w:rPr>
          <w:noProof/>
        </w:rPr>
        <w:fldChar w:fldCharType="end"/>
      </w:r>
      <w:r w:rsidRPr="00C51083">
        <w:t>:</w:t>
      </w:r>
      <w:r>
        <w:t xml:space="preserve"> East </w:t>
      </w:r>
      <w:r w:rsidR="006944D0">
        <w:t>coast gas demand p</w:t>
      </w:r>
      <w:r>
        <w:t>rojections, 201</w:t>
      </w:r>
      <w:r w:rsidR="00D57164">
        <w:t>7</w:t>
      </w:r>
      <w:r w:rsidR="008624CE">
        <w:t xml:space="preserve"> to </w:t>
      </w:r>
      <w:r>
        <w:t>204</w:t>
      </w:r>
      <w:r w:rsidR="007B50FB">
        <w:t>3</w:t>
      </w:r>
    </w:p>
    <w:p w14:paraId="44FBAD5F" w14:textId="3CA7B9DB" w:rsidR="00203D63" w:rsidRDefault="005E76CF" w:rsidP="00EC7EC7">
      <w:pPr>
        <w:pStyle w:val="Note"/>
      </w:pPr>
      <w:r>
        <w:rPr>
          <w:noProof/>
        </w:rPr>
        <w:drawing>
          <wp:inline distT="0" distB="0" distL="0" distR="0" wp14:anchorId="0991DBFB" wp14:editId="1BE9FEFC">
            <wp:extent cx="4206875" cy="4120738"/>
            <wp:effectExtent l="0" t="0" r="3175" b="0"/>
            <wp:docPr id="38" name="Chart 38" descr="This figure shows actual demand for gas on the East Coast from 2017 to 2023, gas consumption reached 512 PJ in 2023. It then shows three scenarios between 2024 and 2043. The step change forecast is the highest projection in 2043 at 471 PJ. In the step change scenario, there is some volatility out to 2036, but demand is projected to remain relatively steady between 2036 and 2043. The progressive change scenario is expected to fall to 372 PJ in 2043, however there is expected to be sizeable annual volatility. Green energy exports is projected to fall to 357 PJ in 2043, with a sharp decline between 2023 and 2032 and a modest decline between 2033 and 2043. The Progressive change forecast follows a similar path but only reaches a value of 372 PJ by 2043. The green energy exports forecast does not elevate again after the drop off in 2030 and results in a gas demand of 357 PJ by 2043.">
              <a:extLst xmlns:a="http://schemas.openxmlformats.org/drawingml/2006/main">
                <a:ext uri="{FF2B5EF4-FFF2-40B4-BE49-F238E27FC236}">
                  <a16:creationId xmlns:a16="http://schemas.microsoft.com/office/drawing/2014/main" id="{C6B8C274-506F-4310-ADC2-43A1CD831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6F59A3D" w14:textId="4569A3C5" w:rsidR="00203D63" w:rsidRPr="00C62F3A" w:rsidRDefault="00EC7EC7" w:rsidP="0006388B">
      <w:pPr>
        <w:pStyle w:val="Source"/>
      </w:pPr>
      <w:r>
        <w:t xml:space="preserve">Notes: </w:t>
      </w:r>
      <w:r w:rsidR="00203D63">
        <w:t xml:space="preserve">Forecasts assume demand is met by natural gas, and renewable gases if they are developed.  </w:t>
      </w:r>
      <w:r w:rsidR="00203D63" w:rsidRPr="008A5D3C">
        <w:t>NT</w:t>
      </w:r>
      <w:r w:rsidR="00203D63">
        <w:t xml:space="preserve"> domestic</w:t>
      </w:r>
      <w:r w:rsidR="00203D63" w:rsidRPr="008A5D3C">
        <w:t xml:space="preserve"> gas consumption</w:t>
      </w:r>
      <w:r w:rsidR="00203D63">
        <w:t xml:space="preserve"> (excludes LNG forecasts)</w:t>
      </w:r>
      <w:r w:rsidR="00203D63" w:rsidRPr="008A5D3C">
        <w:t xml:space="preserve"> is included in AEMO’s east coast </w:t>
      </w:r>
      <w:r w:rsidR="00203D63">
        <w:t>projections from 2020 onwards</w:t>
      </w:r>
      <w:r w:rsidR="00203D63" w:rsidRPr="008A5D3C">
        <w:t>.</w:t>
      </w:r>
    </w:p>
    <w:p w14:paraId="5F112258" w14:textId="12AD6403" w:rsidR="00EC7EC7" w:rsidRDefault="00EC7EC7" w:rsidP="0006388B">
      <w:pPr>
        <w:pStyle w:val="Source"/>
      </w:pPr>
      <w:r>
        <w:t>Source: AEMO (202</w:t>
      </w:r>
      <w:r w:rsidR="00A1470B">
        <w:t>4</w:t>
      </w:r>
      <w:r w:rsidR="00F86FFE">
        <w:t>b</w:t>
      </w:r>
      <w:r>
        <w:t>)</w:t>
      </w:r>
    </w:p>
    <w:bookmarkEnd w:id="96"/>
    <w:p w14:paraId="57EC01D8" w14:textId="6C5CD980" w:rsidR="00A963D5" w:rsidRDefault="00EC7EC7" w:rsidP="00A963D5">
      <w:pPr>
        <w:pStyle w:val="BodyText"/>
        <w:spacing w:before="180"/>
      </w:pPr>
      <w:r>
        <w:br w:type="column"/>
      </w:r>
      <w:r w:rsidR="00A963D5">
        <w:t xml:space="preserve">East coast demand is forecast to fall in all published scenarios. Under the most ambitious emissions scenario </w:t>
      </w:r>
      <w:r w:rsidR="00A963D5" w:rsidRPr="00396346">
        <w:t xml:space="preserve">(called ‘Green </w:t>
      </w:r>
      <w:r w:rsidR="00A963D5">
        <w:t>E</w:t>
      </w:r>
      <w:r w:rsidR="00A963D5" w:rsidRPr="00396346">
        <w:t xml:space="preserve">nergy </w:t>
      </w:r>
      <w:r w:rsidR="00A963D5">
        <w:t>E</w:t>
      </w:r>
      <w:r w:rsidR="00A963D5" w:rsidRPr="00396346">
        <w:t xml:space="preserve">xports’), demand is projected to decline by </w:t>
      </w:r>
      <w:r w:rsidR="00A963D5">
        <w:t>30%</w:t>
      </w:r>
      <w:r w:rsidR="00A963D5" w:rsidRPr="00396346">
        <w:t xml:space="preserve"> by 204</w:t>
      </w:r>
      <w:r w:rsidR="00A963D5">
        <w:t>3</w:t>
      </w:r>
      <w:r w:rsidR="00A963D5" w:rsidRPr="00396346">
        <w:t xml:space="preserve"> when compared with 202</w:t>
      </w:r>
      <w:r w:rsidR="00A963D5">
        <w:t xml:space="preserve">3, with a </w:t>
      </w:r>
      <w:r w:rsidR="00A963D5" w:rsidRPr="00396346">
        <w:t>spike in</w:t>
      </w:r>
      <w:r w:rsidR="00A963D5">
        <w:t xml:space="preserve"> near-term demand </w:t>
      </w:r>
      <w:r w:rsidR="00A963D5" w:rsidRPr="00396346">
        <w:t>reflect</w:t>
      </w:r>
      <w:r w:rsidR="00A963D5">
        <w:t>ing</w:t>
      </w:r>
      <w:r w:rsidR="00A963D5" w:rsidRPr="00396346">
        <w:t xml:space="preserve"> </w:t>
      </w:r>
      <w:r w:rsidR="007447DF">
        <w:t>accelerated coal-to-gas fuel switching.</w:t>
      </w:r>
      <w:r w:rsidR="00A963D5">
        <w:t xml:space="preserve"> Under the least ambitious climate trajectory (Step Change), demand is projected to fall by around 8% by 2043. </w:t>
      </w:r>
    </w:p>
    <w:p w14:paraId="140FA0B3" w14:textId="406D16D1" w:rsidR="00A963D5" w:rsidRDefault="008F6255" w:rsidP="00A963D5">
      <w:pPr>
        <w:pStyle w:val="BodyText"/>
        <w:spacing w:before="180"/>
      </w:pPr>
      <w:r>
        <w:t>T</w:t>
      </w:r>
      <w:r w:rsidR="00A963D5">
        <w:t xml:space="preserve">here are </w:t>
      </w:r>
      <w:r>
        <w:t xml:space="preserve">also </w:t>
      </w:r>
      <w:r w:rsidR="00A963D5">
        <w:t>upside risks associated with</w:t>
      </w:r>
      <w:r w:rsidR="007447DF">
        <w:t>:</w:t>
      </w:r>
      <w:r w:rsidR="00A963D5">
        <w:t xml:space="preserve"> facilities switching from coal to gas at a faster rate than assumed, residential demand reduction rates proceeding slower than assumed, or if the roll out of sufficient renewables and enabling technologies is slower than assumed. These issues are explored further in Section 3.3, which examines demand by sector.</w:t>
      </w:r>
    </w:p>
    <w:p w14:paraId="14512A7F" w14:textId="6F15D7DF" w:rsidR="00CC4ED8" w:rsidRDefault="00EC7EC7" w:rsidP="00EC7EC7">
      <w:pPr>
        <w:pStyle w:val="BodyText"/>
      </w:pPr>
      <w:r>
        <w:t xml:space="preserve">The range of </w:t>
      </w:r>
      <w:r w:rsidR="00006846">
        <w:t>w</w:t>
      </w:r>
      <w:r>
        <w:t xml:space="preserve">est </w:t>
      </w:r>
      <w:r w:rsidR="00006846">
        <w:t>c</w:t>
      </w:r>
      <w:r>
        <w:t xml:space="preserve">oast demand scenarios varies from </w:t>
      </w:r>
      <w:r w:rsidR="005478C5">
        <w:t>stable l</w:t>
      </w:r>
      <w:r>
        <w:t>ong</w:t>
      </w:r>
      <w:r w:rsidR="009F6064">
        <w:t>-</w:t>
      </w:r>
      <w:r>
        <w:t>term</w:t>
      </w:r>
      <w:r w:rsidDel="005478C5">
        <w:t xml:space="preserve"> </w:t>
      </w:r>
      <w:r>
        <w:t xml:space="preserve">gas demand under the most ambitious climate scenario (called ‘Low’), to a 25% </w:t>
      </w:r>
      <w:r w:rsidRPr="002214A5">
        <w:t>rise</w:t>
      </w:r>
      <w:r>
        <w:t xml:space="preserve"> in gas demand over the next decade under the least ambitious climate scenario (called ‘High’) (Figure 3.</w:t>
      </w:r>
      <w:r w:rsidR="00BB7746">
        <w:t>5</w:t>
      </w:r>
      <w:r>
        <w:t>).</w:t>
      </w:r>
    </w:p>
    <w:p w14:paraId="629EB1B1" w14:textId="2050315B" w:rsidR="00EC7EC7" w:rsidRDefault="00EC7EC7" w:rsidP="00EC7EC7">
      <w:pPr>
        <w:pStyle w:val="BodyText"/>
        <w:rPr>
          <w:lang w:eastAsia="en-AU"/>
        </w:rPr>
      </w:pPr>
      <w:r>
        <w:t xml:space="preserve">With residential demand </w:t>
      </w:r>
      <w:r w:rsidR="006A7AE5">
        <w:t>accounting for</w:t>
      </w:r>
      <w:r>
        <w:t xml:space="preserve"> a small component of </w:t>
      </w:r>
      <w:r w:rsidR="00006846">
        <w:t>w</w:t>
      </w:r>
      <w:r>
        <w:t xml:space="preserve">est </w:t>
      </w:r>
      <w:r w:rsidR="00006846">
        <w:t>c</w:t>
      </w:r>
      <w:r>
        <w:t xml:space="preserve">oast demand, differences between scenarios are explained by expected rates of growth in gas demand for new minerals processing (such as lithium hydroxide, see Box 3.2), mining and manufacturing consumers, assumed rates of increase in energy efficiency from these sources of demand, and expected rates of gas-to-electricity switching associated with renewables. There is a high degree of uncertainty </w:t>
      </w:r>
      <w:r w:rsidR="00D42D0E">
        <w:t xml:space="preserve">for </w:t>
      </w:r>
      <w:r>
        <w:t xml:space="preserve">the growth rates of </w:t>
      </w:r>
      <w:r w:rsidR="00D42D0E">
        <w:t>industrial consumers, due to the wide range of potential pathways for the adoption of emissions abatement technologies</w:t>
      </w:r>
      <w:r w:rsidR="003531AD">
        <w:t>.</w:t>
      </w:r>
    </w:p>
    <w:tbl>
      <w:tblPr>
        <w:tblStyle w:val="OCETable"/>
        <w:tblW w:w="6804" w:type="dxa"/>
        <w:shd w:val="clear" w:color="auto" w:fill="F1CFCF"/>
        <w:tblLayout w:type="fixed"/>
        <w:tblLook w:val="04A0" w:firstRow="1" w:lastRow="0" w:firstColumn="1" w:lastColumn="0" w:noHBand="0" w:noVBand="1"/>
      </w:tblPr>
      <w:tblGrid>
        <w:gridCol w:w="6804"/>
      </w:tblGrid>
      <w:tr w:rsidR="00EC7EC7" w14:paraId="79F3EC92" w14:textId="77777777" w:rsidTr="008676FE">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7D13C184" w14:textId="494692B1" w:rsidR="00EC7EC7" w:rsidRPr="00401289" w:rsidRDefault="00EC7EC7" w:rsidP="00C50D71">
            <w:pPr>
              <w:pStyle w:val="Boxtext"/>
              <w:spacing w:beforeLines="60" w:before="144" w:afterLines="60" w:after="144"/>
              <w:ind w:left="113" w:right="113"/>
              <w:jc w:val="both"/>
              <w:rPr>
                <w:color w:val="auto"/>
              </w:rPr>
            </w:pPr>
            <w:r w:rsidRPr="005458FA">
              <w:rPr>
                <w:b/>
                <w:bCs/>
                <w:color w:val="auto"/>
              </w:rPr>
              <w:t xml:space="preserve">Insight: </w:t>
            </w:r>
            <w:r w:rsidRPr="00D74698">
              <w:rPr>
                <w:color w:val="auto"/>
              </w:rPr>
              <w:t xml:space="preserve">Annual domestic gas demand on the </w:t>
            </w:r>
            <w:r w:rsidR="00006846">
              <w:rPr>
                <w:color w:val="auto"/>
              </w:rPr>
              <w:t>w</w:t>
            </w:r>
            <w:r w:rsidRPr="00D74698">
              <w:rPr>
                <w:color w:val="auto"/>
              </w:rPr>
              <w:t xml:space="preserve">est </w:t>
            </w:r>
            <w:r w:rsidR="00006846">
              <w:rPr>
                <w:color w:val="auto"/>
              </w:rPr>
              <w:t>c</w:t>
            </w:r>
            <w:r w:rsidRPr="00D74698">
              <w:rPr>
                <w:color w:val="auto"/>
              </w:rPr>
              <w:t xml:space="preserve">oast is projected to remain steady or rise out to 2033, due to coal-to-gas switching and growing demand for gas for mining and industrial uses. AEMO does not project demand for the </w:t>
            </w:r>
            <w:r w:rsidR="00006846">
              <w:rPr>
                <w:color w:val="auto"/>
              </w:rPr>
              <w:t>w</w:t>
            </w:r>
            <w:r w:rsidRPr="00D74698">
              <w:rPr>
                <w:color w:val="auto"/>
              </w:rPr>
              <w:t xml:space="preserve">est </w:t>
            </w:r>
            <w:r w:rsidR="00006846">
              <w:rPr>
                <w:color w:val="auto"/>
              </w:rPr>
              <w:t>c</w:t>
            </w:r>
            <w:r w:rsidRPr="00D74698">
              <w:rPr>
                <w:color w:val="auto"/>
              </w:rPr>
              <w:t>oast beyond 2033</w:t>
            </w:r>
            <w:r w:rsidR="003D448E">
              <w:rPr>
                <w:color w:val="auto"/>
              </w:rPr>
              <w:t xml:space="preserve"> but it is likely gas demand will remain </w:t>
            </w:r>
            <w:r w:rsidR="003D448E" w:rsidDel="000319FD">
              <w:rPr>
                <w:color w:val="auto"/>
              </w:rPr>
              <w:t>strong</w:t>
            </w:r>
            <w:r w:rsidR="003D448E">
              <w:rPr>
                <w:color w:val="auto"/>
              </w:rPr>
              <w:t xml:space="preserve"> given the large share of gas demand from hard-to-abate industrial users on the west coast. </w:t>
            </w:r>
          </w:p>
        </w:tc>
      </w:tr>
    </w:tbl>
    <w:p w14:paraId="1DC7948D" w14:textId="77777777" w:rsidR="00EC7EC7" w:rsidRDefault="00EC7EC7" w:rsidP="00EC7EC7">
      <w:pPr>
        <w:pStyle w:val="BodyText"/>
      </w:pPr>
    </w:p>
    <w:p w14:paraId="0C9AB447" w14:textId="096BE0CB" w:rsidR="00EC7EC7" w:rsidRDefault="00EC7EC7"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3</w:t>
      </w:r>
      <w:r>
        <w:rPr>
          <w:noProof/>
        </w:rPr>
        <w:fldChar w:fldCharType="end"/>
      </w:r>
      <w:r w:rsidR="00BB7746">
        <w:rPr>
          <w:noProof/>
        </w:rPr>
        <w:t>.</w:t>
      </w:r>
      <w:r w:rsidR="00BB7746">
        <w:rPr>
          <w:noProof/>
        </w:rPr>
        <w:fldChar w:fldCharType="begin"/>
      </w:r>
      <w:r w:rsidR="00BB7746">
        <w:rPr>
          <w:noProof/>
        </w:rPr>
        <w:instrText xml:space="preserve"> SEQ Figure \* ARABIC \s 1 </w:instrText>
      </w:r>
      <w:r w:rsidR="00BB7746">
        <w:rPr>
          <w:noProof/>
        </w:rPr>
        <w:fldChar w:fldCharType="separate"/>
      </w:r>
      <w:r w:rsidR="00BF178A">
        <w:rPr>
          <w:noProof/>
        </w:rPr>
        <w:t>5</w:t>
      </w:r>
      <w:r w:rsidR="00BB7746">
        <w:rPr>
          <w:noProof/>
        </w:rPr>
        <w:fldChar w:fldCharType="end"/>
      </w:r>
      <w:r>
        <w:t xml:space="preserve">: </w:t>
      </w:r>
      <w:r w:rsidRPr="00AD0108">
        <w:t xml:space="preserve">West </w:t>
      </w:r>
      <w:r w:rsidR="006944D0">
        <w:t>c</w:t>
      </w:r>
      <w:r w:rsidRPr="00AD0108">
        <w:t>oast domestic gas demand, 2016</w:t>
      </w:r>
      <w:r w:rsidR="008624CE">
        <w:t xml:space="preserve"> to </w:t>
      </w:r>
      <w:r w:rsidRPr="00AD0108">
        <w:t>203</w:t>
      </w:r>
      <w:r>
        <w:t>3</w:t>
      </w:r>
    </w:p>
    <w:p w14:paraId="4FB7D02E" w14:textId="5D9C7EEA" w:rsidR="00EC7EC7" w:rsidRPr="00C62F3A" w:rsidRDefault="005E76CF" w:rsidP="0006388B">
      <w:pPr>
        <w:pStyle w:val="Source"/>
      </w:pPr>
      <w:r>
        <w:rPr>
          <w:noProof/>
        </w:rPr>
        <w:drawing>
          <wp:inline distT="0" distB="0" distL="0" distR="0" wp14:anchorId="57BDB03F" wp14:editId="4D3CD4E8">
            <wp:extent cx="4206875" cy="4912360"/>
            <wp:effectExtent l="0" t="0" r="3175" b="2540"/>
            <wp:docPr id="40" name="Chart 40" descr="This figure shows actual Western Australia domestic gas demand between 2016 and 2023, with demand reaching 386 PJ in 2023. The figure shows three forecast lines between 2024 and 2033 each representing a different scenario. The low demand growth line dips down before returning to 399 PJ in 2033. The base scenario increases to 484 PJ in 2033. The high growth demand peaks in 2028 before falling to 476 PJ in 2033.">
              <a:extLst xmlns:a="http://schemas.openxmlformats.org/drawingml/2006/main">
                <a:ext uri="{FF2B5EF4-FFF2-40B4-BE49-F238E27FC236}">
                  <a16:creationId xmlns:a16="http://schemas.microsoft.com/office/drawing/2014/main" id="{018B704C-466D-46DE-84EF-56F9CE81C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EC7EC7">
        <w:t xml:space="preserve">Notes: </w:t>
      </w:r>
      <w:r w:rsidR="00EC7EC7" w:rsidRPr="00AD0108">
        <w:t>Low demand growth scenario assumes lower population growth and weaker investment growth in mining. High demand scenario assumes stronger decarbonisation objectives and moderate economic and population growth relative to the base scenario.</w:t>
      </w:r>
      <w:r w:rsidR="00F01094">
        <w:t xml:space="preserve"> Data from 2016 and 201</w:t>
      </w:r>
      <w:r w:rsidR="00FC2305">
        <w:t>7</w:t>
      </w:r>
      <w:r w:rsidR="00F01094">
        <w:t xml:space="preserve"> was sourced from the 2022 WA GSOO.</w:t>
      </w:r>
    </w:p>
    <w:p w14:paraId="59BA59B7" w14:textId="26919A04" w:rsidR="00EC7EC7" w:rsidRDefault="00EC7EC7" w:rsidP="0006388B">
      <w:pPr>
        <w:pStyle w:val="Source"/>
      </w:pPr>
      <w:r>
        <w:t xml:space="preserve">Source: </w:t>
      </w:r>
      <w:r w:rsidRPr="00AD0108">
        <w:t>AEMO (</w:t>
      </w:r>
      <w:r w:rsidR="00F01094">
        <w:t>2022;</w:t>
      </w:r>
      <w:r w:rsidRPr="00AD0108">
        <w:t>202</w:t>
      </w:r>
      <w:r>
        <w:t>3</w:t>
      </w:r>
      <w:r w:rsidR="005C2B2F">
        <w:t>d</w:t>
      </w:r>
      <w:r w:rsidRPr="00AD0108">
        <w:t>)</w:t>
      </w:r>
    </w:p>
    <w:p w14:paraId="4219FD5B" w14:textId="77A3FC78" w:rsidR="00EC7EC7" w:rsidRPr="005F2630" w:rsidRDefault="00EC7EC7" w:rsidP="00EC7EC7">
      <w:pPr>
        <w:pStyle w:val="Heading2"/>
        <w:numPr>
          <w:ilvl w:val="1"/>
          <w:numId w:val="3"/>
        </w:numPr>
      </w:pPr>
      <w:bookmarkStart w:id="97" w:name="_Toc165157940"/>
      <w:bookmarkStart w:id="98" w:name="_Toc165269847"/>
      <w:bookmarkStart w:id="99" w:name="_Toc165292779"/>
      <w:bookmarkStart w:id="100" w:name="_Toc172794512"/>
      <w:bookmarkEnd w:id="97"/>
      <w:bookmarkEnd w:id="98"/>
      <w:bookmarkEnd w:id="99"/>
      <w:r>
        <w:t xml:space="preserve">East </w:t>
      </w:r>
      <w:r w:rsidR="007C78D0">
        <w:t>c</w:t>
      </w:r>
      <w:r>
        <w:t xml:space="preserve">oast demand projections by </w:t>
      </w:r>
      <w:r w:rsidR="00006846">
        <w:t>s</w:t>
      </w:r>
      <w:r>
        <w:t>ector</w:t>
      </w:r>
      <w:bookmarkEnd w:id="100"/>
    </w:p>
    <w:p w14:paraId="7A196BF7" w14:textId="77777777" w:rsidR="00EC7EC7" w:rsidRDefault="00EC7EC7" w:rsidP="00EC7EC7">
      <w:pPr>
        <w:pStyle w:val="Heading3"/>
      </w:pPr>
      <w:r>
        <w:t>Buildings</w:t>
      </w:r>
    </w:p>
    <w:p w14:paraId="3C4FCFC0" w14:textId="2F77A692" w:rsidR="00EC7EC7" w:rsidRDefault="00EC7EC7" w:rsidP="00EC7EC7">
      <w:pPr>
        <w:pStyle w:val="BodyText"/>
      </w:pPr>
      <w:r w:rsidRPr="00855F4B">
        <w:t xml:space="preserve">The largest declines in gas demand on the </w:t>
      </w:r>
      <w:r w:rsidR="00162B2E">
        <w:t>east coast</w:t>
      </w:r>
      <w:r w:rsidRPr="00855F4B">
        <w:t xml:space="preserve"> (between </w:t>
      </w:r>
      <w:r w:rsidR="00652636" w:rsidRPr="00855F4B">
        <w:t>4</w:t>
      </w:r>
      <w:r w:rsidR="00652636">
        <w:t>7</w:t>
      </w:r>
      <w:r>
        <w:t>%</w:t>
      </w:r>
      <w:r w:rsidRPr="00855F4B">
        <w:t xml:space="preserve"> and </w:t>
      </w:r>
      <w:r w:rsidR="00652636">
        <w:t>71</w:t>
      </w:r>
      <w:r w:rsidRPr="00855F4B">
        <w:t xml:space="preserve">% declines </w:t>
      </w:r>
      <w:r w:rsidR="00203D63">
        <w:t xml:space="preserve">compared with 2023 </w:t>
      </w:r>
      <w:r w:rsidRPr="00855F4B">
        <w:t xml:space="preserve">levels) </w:t>
      </w:r>
      <w:r>
        <w:t xml:space="preserve">out to </w:t>
      </w:r>
      <w:r w:rsidR="00652636">
        <w:t>2043</w:t>
      </w:r>
      <w:r>
        <w:t xml:space="preserve"> </w:t>
      </w:r>
      <w:r w:rsidRPr="00855F4B">
        <w:t>are forecast for</w:t>
      </w:r>
      <w:r>
        <w:t xml:space="preserve"> buildings</w:t>
      </w:r>
      <w:r w:rsidR="00FA158B">
        <w:t xml:space="preserve"> (Figure 3.6)</w:t>
      </w:r>
      <w:r>
        <w:t>. Such projections assume that declines in gas use are driven by two factors: increases in the rate of electrification (the replacement of existing gas heating, hot water</w:t>
      </w:r>
      <w:r w:rsidR="000254EB">
        <w:t>,</w:t>
      </w:r>
      <w:r>
        <w:t xml:space="preserve"> and cooking appliances with an electric</w:t>
      </w:r>
      <w:r w:rsidRPr="00D452E4">
        <w:t xml:space="preserve"> </w:t>
      </w:r>
      <w:r>
        <w:t>alternative</w:t>
      </w:r>
      <w:r w:rsidR="0041333D">
        <w:t>)</w:t>
      </w:r>
      <w:r>
        <w:t xml:space="preserve"> and reducing the </w:t>
      </w:r>
      <w:r w:rsidR="0041333D">
        <w:t xml:space="preserve">growth </w:t>
      </w:r>
      <w:r>
        <w:t>rate of new household and commercial gas connections, largely as fewer new buildings connect to gas networks. The combined impact of these two factors on building demand outlined for AEMO’s scenarios is shown in Figure 3.</w:t>
      </w:r>
      <w:r w:rsidR="00FA158B">
        <w:t>7</w:t>
      </w:r>
      <w:r>
        <w:t>.</w:t>
      </w:r>
    </w:p>
    <w:p w14:paraId="5CE1DDAD" w14:textId="16BE3C94" w:rsidR="00EC7EC7" w:rsidRDefault="00EC7EC7" w:rsidP="00EC7EC7">
      <w:pPr>
        <w:pStyle w:val="BodyText"/>
      </w:pPr>
      <w:r>
        <w:t xml:space="preserve">East </w:t>
      </w:r>
      <w:r w:rsidR="00162B2E">
        <w:t>c</w:t>
      </w:r>
      <w:r>
        <w:t xml:space="preserve">oast domestic projections shows that </w:t>
      </w:r>
      <w:r w:rsidRPr="00F553BB">
        <w:t xml:space="preserve">electrification </w:t>
      </w:r>
      <w:r>
        <w:t xml:space="preserve">could </w:t>
      </w:r>
      <w:r w:rsidRPr="00F553BB">
        <w:t>reduce</w:t>
      </w:r>
      <w:r>
        <w:t xml:space="preserve"> </w:t>
      </w:r>
      <w:r w:rsidRPr="00F553BB">
        <w:t xml:space="preserve">gas consumption </w:t>
      </w:r>
      <w:r>
        <w:t xml:space="preserve">by somewhere between </w:t>
      </w:r>
      <w:r w:rsidR="00203D63">
        <w:t xml:space="preserve">136 </w:t>
      </w:r>
      <w:r w:rsidRPr="00F553BB">
        <w:t xml:space="preserve">to </w:t>
      </w:r>
      <w:r w:rsidR="00652636">
        <w:t>203</w:t>
      </w:r>
      <w:r w:rsidR="00203D63">
        <w:t xml:space="preserve"> </w:t>
      </w:r>
      <w:r>
        <w:t>PJ</w:t>
      </w:r>
      <w:r w:rsidRPr="00F553BB">
        <w:t xml:space="preserve"> by </w:t>
      </w:r>
      <w:r w:rsidR="00203D63">
        <w:t>2043</w:t>
      </w:r>
      <w:r>
        <w:t xml:space="preserve">, </w:t>
      </w:r>
      <w:r w:rsidRPr="00F553BB">
        <w:t>account</w:t>
      </w:r>
      <w:r>
        <w:t>ing</w:t>
      </w:r>
      <w:r w:rsidRPr="00F553BB">
        <w:t xml:space="preserve"> </w:t>
      </w:r>
      <w:r w:rsidR="00203D63" w:rsidRPr="00350923">
        <w:t xml:space="preserve">from more than </w:t>
      </w:r>
      <w:r w:rsidR="00C54947">
        <w:t>a</w:t>
      </w:r>
      <w:r w:rsidR="00203D63" w:rsidRPr="00350923">
        <w:t xml:space="preserve"> third to more </w:t>
      </w:r>
      <w:r w:rsidDel="00203D63">
        <w:t>than half</w:t>
      </w:r>
      <w:r>
        <w:t xml:space="preserve"> of the reduction in gas demand </w:t>
      </w:r>
      <w:r w:rsidR="00203D63">
        <w:t xml:space="preserve">depending on the </w:t>
      </w:r>
      <w:r>
        <w:t xml:space="preserve">scenario </w:t>
      </w:r>
      <w:r w:rsidR="00D10461">
        <w:t>(</w:t>
      </w:r>
      <w:r>
        <w:t>Figure 3.</w:t>
      </w:r>
      <w:r w:rsidR="00FA158B">
        <w:t>8</w:t>
      </w:r>
      <w:r>
        <w:t>)</w:t>
      </w:r>
      <w:r w:rsidRPr="00F553BB">
        <w:t xml:space="preserve">. </w:t>
      </w:r>
      <w:r w:rsidR="00471010">
        <w:t xml:space="preserve">Although these electrification projections also account for other sectors, most of the natural gas reduction is expected to come from electrification in buildings. </w:t>
      </w:r>
      <w:r w:rsidR="00444A68">
        <w:t xml:space="preserve">  </w:t>
      </w:r>
    </w:p>
    <w:p w14:paraId="60022963" w14:textId="167F9D6E" w:rsidR="00EC7EC7" w:rsidRPr="002E1CCB" w:rsidRDefault="00EC7EC7" w:rsidP="00EC7EC7">
      <w:pPr>
        <w:pStyle w:val="BodyText"/>
        <w:rPr>
          <w:lang w:eastAsia="en-AU"/>
        </w:rPr>
      </w:pPr>
      <w:r>
        <w:t xml:space="preserve">The choice to embrace electric alternatives to gas appliances depends on a range of considerations including cost, lifespan, quality of products, urgency of need for replacement, and the financial constraints the household faces. The Grattan Institute </w:t>
      </w:r>
      <w:r w:rsidR="006A7AE5">
        <w:t>(2023)</w:t>
      </w:r>
      <w:r>
        <w:t xml:space="preserve"> argues that households typically choose to replace like for like, especially if financially constrained or in urgent need of a replacement.</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C7EC7" w14:paraId="21AFAE90" w14:textId="77777777" w:rsidTr="00D81BB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4DFA9840" w14:textId="65472ECD" w:rsidR="00EC7EC7" w:rsidRPr="00401289" w:rsidRDefault="00EC7EC7" w:rsidP="00C50D71">
            <w:pPr>
              <w:pStyle w:val="Boxtext"/>
              <w:spacing w:beforeLines="60" w:before="144" w:afterLines="60" w:after="144"/>
              <w:ind w:left="113" w:right="113"/>
              <w:jc w:val="both"/>
              <w:rPr>
                <w:color w:val="auto"/>
              </w:rPr>
            </w:pPr>
            <w:r w:rsidRPr="005458FA">
              <w:rPr>
                <w:b/>
                <w:bCs/>
                <w:color w:val="auto"/>
              </w:rPr>
              <w:t>Insight:</w:t>
            </w:r>
            <w:r w:rsidRPr="006A6CED">
              <w:rPr>
                <w:color w:val="auto"/>
              </w:rPr>
              <w:t xml:space="preserve"> The largest projected reductions in gas demand are in the residential and commercial sector</w:t>
            </w:r>
            <w:r w:rsidR="0082591B">
              <w:rPr>
                <w:color w:val="auto"/>
              </w:rPr>
              <w:t xml:space="preserve"> due to </w:t>
            </w:r>
            <w:r w:rsidR="00656B59">
              <w:rPr>
                <w:color w:val="auto"/>
              </w:rPr>
              <w:t>electrification</w:t>
            </w:r>
            <w:r w:rsidR="00087731" w:rsidRPr="00087731">
              <w:rPr>
                <w:color w:val="auto"/>
              </w:rPr>
              <w:t>.</w:t>
            </w:r>
            <w:r w:rsidRPr="006A6CED">
              <w:rPr>
                <w:color w:val="auto"/>
              </w:rPr>
              <w:t xml:space="preserve"> Falls in industrial gas demand are likely to remain more muted</w:t>
            </w:r>
            <w:r w:rsidR="00656B59">
              <w:rPr>
                <w:color w:val="auto"/>
              </w:rPr>
              <w:t xml:space="preserve">. Gas demand in power generation is expected to rise, </w:t>
            </w:r>
            <w:r w:rsidR="0082591B">
              <w:rPr>
                <w:color w:val="auto"/>
              </w:rPr>
              <w:t>due to growing total electricity demand and to firm variable renewable energy generation</w:t>
            </w:r>
          </w:p>
        </w:tc>
      </w:tr>
    </w:tbl>
    <w:p w14:paraId="05D37CF4" w14:textId="718940C3" w:rsidR="00EC7EC7" w:rsidRDefault="00EC7EC7"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3</w:t>
      </w:r>
      <w:r>
        <w:rPr>
          <w:noProof/>
        </w:rPr>
        <w:fldChar w:fldCharType="end"/>
      </w:r>
      <w:r w:rsidR="00FA158B">
        <w:rPr>
          <w:noProof/>
        </w:rPr>
        <w:t>.</w:t>
      </w:r>
      <w:r w:rsidR="00FA158B">
        <w:rPr>
          <w:noProof/>
        </w:rPr>
        <w:fldChar w:fldCharType="begin"/>
      </w:r>
      <w:r w:rsidR="00FA158B">
        <w:rPr>
          <w:noProof/>
        </w:rPr>
        <w:instrText xml:space="preserve"> SEQ Figure \* ARABIC \s 1 </w:instrText>
      </w:r>
      <w:r w:rsidR="00FA158B">
        <w:rPr>
          <w:noProof/>
        </w:rPr>
        <w:fldChar w:fldCharType="separate"/>
      </w:r>
      <w:r w:rsidR="00BF178A">
        <w:rPr>
          <w:noProof/>
        </w:rPr>
        <w:t>6</w:t>
      </w:r>
      <w:r w:rsidR="00FA158B">
        <w:rPr>
          <w:noProof/>
        </w:rPr>
        <w:fldChar w:fldCharType="end"/>
      </w:r>
      <w:r>
        <w:t>:</w:t>
      </w:r>
      <w:r w:rsidRPr="00C57E05">
        <w:t xml:space="preserve"> Changes in </w:t>
      </w:r>
      <w:r w:rsidR="00162B2E">
        <w:t>east coast</w:t>
      </w:r>
      <w:r w:rsidRPr="00C57E05">
        <w:t xml:space="preserve"> demand by sector and scenario</w:t>
      </w:r>
      <w:r w:rsidR="00656B59">
        <w:t>, 2023 to 2043</w:t>
      </w:r>
    </w:p>
    <w:p w14:paraId="2849EBF5" w14:textId="7A1B408E" w:rsidR="00203D63" w:rsidRDefault="00203D63" w:rsidP="00EC7EC7">
      <w:pPr>
        <w:pStyle w:val="Note"/>
      </w:pPr>
      <w:r>
        <w:rPr>
          <w:noProof/>
        </w:rPr>
        <w:drawing>
          <wp:inline distT="0" distB="0" distL="0" distR="0" wp14:anchorId="02888CAA" wp14:editId="6186F041">
            <wp:extent cx="4053205" cy="2258705"/>
            <wp:effectExtent l="0" t="0" r="4445" b="8255"/>
            <wp:docPr id="674301601" name="Chart 674301601" descr="This figure shows a series of grouped columns indicating the change in east coast demand by sector and forecast scenarios from 2023 to 2043. In all scenarios, buildings show a reduction in demand of at least 50%. The change in industrial demand which includes mining, shows a minor reduction in all scenarios. All scenarios show an increase in gas demand for power, with the step change forecast showing over a 150% demand increase, progressive change showing a 50% increase and green energy exports showing a minimal increase. ">
              <a:extLst xmlns:a="http://schemas.openxmlformats.org/drawingml/2006/main">
                <a:ext uri="{FF2B5EF4-FFF2-40B4-BE49-F238E27FC236}">
                  <a16:creationId xmlns:a16="http://schemas.microsoft.com/office/drawing/2014/main" id="{493C3AA7-E8F3-4439-B69E-619F79E4C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3BD47C7" w14:textId="7861560E" w:rsidR="00203D63" w:rsidRPr="00C62F3A" w:rsidRDefault="00EC7EC7" w:rsidP="00C3180B">
      <w:pPr>
        <w:pStyle w:val="Source"/>
      </w:pPr>
      <w:r>
        <w:t xml:space="preserve">Notes: </w:t>
      </w:r>
      <w:r w:rsidR="00203D63">
        <w:t>Step Change is comparable to the Orchestrated Step Change in the 2023 GSOO.</w:t>
      </w:r>
    </w:p>
    <w:p w14:paraId="0F774B9A" w14:textId="514E4E00" w:rsidR="00203D63" w:rsidRDefault="00203D63" w:rsidP="00C3180B">
      <w:pPr>
        <w:pStyle w:val="Source"/>
        <w:rPr>
          <w:szCs w:val="18"/>
        </w:rPr>
      </w:pPr>
      <w:r>
        <w:t xml:space="preserve">Source: </w:t>
      </w:r>
      <w:r w:rsidRPr="00463DF8">
        <w:rPr>
          <w:szCs w:val="18"/>
        </w:rPr>
        <w:t>DISR calculations of AEMO</w:t>
      </w:r>
      <w:r>
        <w:rPr>
          <w:szCs w:val="18"/>
        </w:rPr>
        <w:t xml:space="preserve"> (2024</w:t>
      </w:r>
      <w:r w:rsidR="00F86FFE">
        <w:rPr>
          <w:szCs w:val="18"/>
        </w:rPr>
        <w:t>b</w:t>
      </w:r>
      <w:r>
        <w:rPr>
          <w:szCs w:val="18"/>
        </w:rPr>
        <w:t>)</w:t>
      </w:r>
      <w:r w:rsidRPr="00463DF8">
        <w:rPr>
          <w:szCs w:val="18"/>
        </w:rPr>
        <w:t xml:space="preserve"> data</w:t>
      </w:r>
    </w:p>
    <w:p w14:paraId="64D5CC35" w14:textId="77777777" w:rsidR="00A90DA1" w:rsidRDefault="00A90DA1" w:rsidP="00203D63">
      <w:pPr>
        <w:pStyle w:val="Note"/>
      </w:pPr>
    </w:p>
    <w:p w14:paraId="7CD345D5" w14:textId="41DD5AF1" w:rsidR="00203D63" w:rsidRDefault="00EC7EC7" w:rsidP="00EC7EC7">
      <w:pPr>
        <w:pStyle w:val="Note"/>
      </w:pPr>
      <w:r w:rsidRPr="008075F8">
        <w:rPr>
          <w:rFonts w:eastAsiaTheme="minorHAnsi" w:cstheme="minorBidi"/>
          <w:b/>
          <w:bCs/>
          <w:sz w:val="20"/>
          <w:szCs w:val="18"/>
          <w:lang w:val="en-AU"/>
        </w:rPr>
        <w:t xml:space="preserve">Figure </w:t>
      </w:r>
      <w:r w:rsidRPr="008075F8">
        <w:rPr>
          <w:rFonts w:eastAsiaTheme="minorHAnsi" w:cstheme="minorBidi"/>
          <w:b/>
          <w:bCs/>
          <w:sz w:val="20"/>
          <w:szCs w:val="18"/>
          <w:lang w:val="en-AU"/>
        </w:rPr>
        <w:fldChar w:fldCharType="begin"/>
      </w:r>
      <w:r w:rsidRPr="008075F8">
        <w:rPr>
          <w:rFonts w:eastAsiaTheme="minorHAnsi" w:cstheme="minorBidi"/>
          <w:b/>
          <w:bCs/>
          <w:sz w:val="20"/>
          <w:szCs w:val="18"/>
          <w:lang w:val="en-AU"/>
        </w:rPr>
        <w:instrText xml:space="preserve"> STYLEREF 1 \s </w:instrText>
      </w:r>
      <w:r w:rsidRPr="008075F8">
        <w:rPr>
          <w:rFonts w:eastAsiaTheme="minorHAnsi" w:cstheme="minorBidi"/>
          <w:b/>
          <w:bCs/>
          <w:sz w:val="20"/>
          <w:szCs w:val="18"/>
          <w:lang w:val="en-AU"/>
        </w:rPr>
        <w:fldChar w:fldCharType="separate"/>
      </w:r>
      <w:r w:rsidR="00BF178A">
        <w:rPr>
          <w:rFonts w:eastAsiaTheme="minorHAnsi" w:cstheme="minorBidi"/>
          <w:b/>
          <w:bCs/>
          <w:noProof/>
          <w:sz w:val="20"/>
          <w:szCs w:val="18"/>
          <w:lang w:val="en-AU"/>
        </w:rPr>
        <w:t>3</w:t>
      </w:r>
      <w:r w:rsidRPr="008075F8">
        <w:rPr>
          <w:rFonts w:eastAsiaTheme="minorHAnsi" w:cstheme="minorBidi"/>
          <w:b/>
          <w:bCs/>
          <w:sz w:val="20"/>
          <w:szCs w:val="18"/>
          <w:lang w:val="en-AU"/>
        </w:rPr>
        <w:fldChar w:fldCharType="end"/>
      </w:r>
      <w:r w:rsidR="00FA158B" w:rsidRPr="008075F8">
        <w:rPr>
          <w:rFonts w:eastAsiaTheme="minorHAnsi" w:cstheme="minorBidi"/>
          <w:b/>
          <w:bCs/>
          <w:sz w:val="20"/>
          <w:szCs w:val="18"/>
          <w:lang w:val="en-AU"/>
        </w:rPr>
        <w:t>.</w:t>
      </w:r>
      <w:r w:rsidR="00FA158B" w:rsidRPr="008075F8">
        <w:rPr>
          <w:rFonts w:eastAsiaTheme="minorHAnsi" w:cstheme="minorBidi"/>
          <w:b/>
          <w:bCs/>
          <w:sz w:val="20"/>
          <w:szCs w:val="18"/>
          <w:lang w:val="en-AU"/>
        </w:rPr>
        <w:fldChar w:fldCharType="begin"/>
      </w:r>
      <w:r w:rsidR="00FA158B" w:rsidRPr="008075F8">
        <w:rPr>
          <w:rFonts w:eastAsiaTheme="minorHAnsi" w:cstheme="minorBidi"/>
          <w:b/>
          <w:bCs/>
          <w:sz w:val="20"/>
          <w:szCs w:val="18"/>
          <w:lang w:val="en-AU"/>
        </w:rPr>
        <w:instrText xml:space="preserve"> SEQ Figure \* ARABIC \s 1 </w:instrText>
      </w:r>
      <w:r w:rsidR="00FA158B" w:rsidRPr="008075F8">
        <w:rPr>
          <w:rFonts w:eastAsiaTheme="minorHAnsi" w:cstheme="minorBidi"/>
          <w:b/>
          <w:bCs/>
          <w:sz w:val="20"/>
          <w:szCs w:val="18"/>
          <w:lang w:val="en-AU"/>
        </w:rPr>
        <w:fldChar w:fldCharType="separate"/>
      </w:r>
      <w:r w:rsidR="00BF178A">
        <w:rPr>
          <w:rFonts w:eastAsiaTheme="minorHAnsi" w:cstheme="minorBidi"/>
          <w:b/>
          <w:bCs/>
          <w:noProof/>
          <w:sz w:val="20"/>
          <w:szCs w:val="18"/>
          <w:lang w:val="en-AU"/>
        </w:rPr>
        <w:t>7</w:t>
      </w:r>
      <w:r w:rsidR="00FA158B" w:rsidRPr="008075F8">
        <w:rPr>
          <w:rFonts w:eastAsiaTheme="minorHAnsi" w:cstheme="minorBidi"/>
          <w:b/>
          <w:bCs/>
          <w:sz w:val="20"/>
          <w:szCs w:val="18"/>
          <w:lang w:val="en-AU"/>
        </w:rPr>
        <w:fldChar w:fldCharType="end"/>
      </w:r>
      <w:r w:rsidRPr="008075F8">
        <w:rPr>
          <w:rFonts w:eastAsiaTheme="minorHAnsi" w:cstheme="minorBidi"/>
          <w:b/>
          <w:bCs/>
          <w:sz w:val="20"/>
          <w:szCs w:val="18"/>
          <w:lang w:val="en-AU"/>
        </w:rPr>
        <w:t xml:space="preserve">: Building demand for gas by scenario, </w:t>
      </w:r>
      <w:r w:rsidR="008075F8" w:rsidRPr="008075F8">
        <w:rPr>
          <w:rFonts w:eastAsiaTheme="minorHAnsi" w:cstheme="minorBidi"/>
          <w:b/>
          <w:bCs/>
          <w:sz w:val="20"/>
          <w:szCs w:val="18"/>
          <w:lang w:val="en-AU"/>
        </w:rPr>
        <w:t>2023 to 2043</w:t>
      </w:r>
      <w:r w:rsidR="00203D63">
        <w:rPr>
          <w:noProof/>
        </w:rPr>
        <w:drawing>
          <wp:inline distT="0" distB="0" distL="0" distR="0" wp14:anchorId="2AB91146" wp14:editId="7C65F717">
            <wp:extent cx="4299585" cy="2518012"/>
            <wp:effectExtent l="0" t="0" r="5715" b="0"/>
            <wp:docPr id="908706818" name="Chart 908706818" descr="This figure shows the projected growth by the different scenarios on the east coast for the Buildings sector between 2023 and 2043. From an initial value of 175 PJ in 2023, step change with no electrification increases to 219 PJ in 2043, step change decreases to 51 PJ in 2043, progressive change decreases to 93 PJ in 2043 and green energy exports decreases to 62 PJ in 2043. ">
              <a:extLst xmlns:a="http://schemas.openxmlformats.org/drawingml/2006/main">
                <a:ext uri="{FF2B5EF4-FFF2-40B4-BE49-F238E27FC236}">
                  <a16:creationId xmlns:a16="http://schemas.microsoft.com/office/drawing/2014/main" id="{8A9D90DA-3B41-46DD-9543-D3357D556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1C1236C" w14:textId="1F8BCCCF" w:rsidR="00EC7EC7" w:rsidRPr="00C62F3A" w:rsidRDefault="00EC7EC7" w:rsidP="00C3180B">
      <w:pPr>
        <w:pStyle w:val="Source"/>
      </w:pPr>
      <w:r>
        <w:t xml:space="preserve">Notes: </w:t>
      </w:r>
      <w:r w:rsidRPr="007C06E2">
        <w:t>Building demand covers gas used for residential and commercial heating</w:t>
      </w:r>
      <w:r w:rsidR="00471010">
        <w:t>, water heating and cooking</w:t>
      </w:r>
      <w:r w:rsidRPr="007C06E2">
        <w:t xml:space="preserve"> on the east coast</w:t>
      </w:r>
      <w:r w:rsidR="008602E7">
        <w:t>.</w:t>
      </w:r>
    </w:p>
    <w:p w14:paraId="69789104" w14:textId="7A78272A" w:rsidR="00EC7EC7" w:rsidRDefault="00EC7EC7" w:rsidP="00C3180B">
      <w:pPr>
        <w:pStyle w:val="Source"/>
      </w:pPr>
      <w:r>
        <w:t xml:space="preserve">Source: </w:t>
      </w:r>
      <w:r w:rsidRPr="00264DD3">
        <w:t>AEMO (202</w:t>
      </w:r>
      <w:r w:rsidR="00203D63">
        <w:t>4</w:t>
      </w:r>
      <w:r w:rsidR="00F86FFE">
        <w:t>b</w:t>
      </w:r>
      <w:r w:rsidRPr="00264DD3">
        <w:t>)</w:t>
      </w:r>
    </w:p>
    <w:p w14:paraId="73E2B675" w14:textId="4B963433" w:rsidR="00EC7EC7" w:rsidRDefault="00EC7EC7" w:rsidP="00C97679">
      <w:pPr>
        <w:pStyle w:val="Caption"/>
      </w:pPr>
      <w:r>
        <w:t xml:space="preserve">Figure </w:t>
      </w:r>
      <w:r>
        <w:fldChar w:fldCharType="begin"/>
      </w:r>
      <w:r>
        <w:rPr>
          <w:noProof/>
        </w:rPr>
        <w:instrText xml:space="preserve"> STYLEREF 1 \s </w:instrText>
      </w:r>
      <w:r>
        <w:fldChar w:fldCharType="separate"/>
      </w:r>
      <w:r w:rsidR="00BF178A">
        <w:rPr>
          <w:noProof/>
        </w:rPr>
        <w:t>3</w:t>
      </w:r>
      <w:r>
        <w:fldChar w:fldCharType="end"/>
      </w:r>
      <w:r w:rsidR="00FA158B">
        <w:rPr>
          <w:noProof/>
        </w:rPr>
        <w:t>.</w:t>
      </w:r>
      <w:r w:rsidR="00FA158B">
        <w:fldChar w:fldCharType="begin"/>
      </w:r>
      <w:r w:rsidR="00FA158B">
        <w:rPr>
          <w:noProof/>
        </w:rPr>
        <w:instrText xml:space="preserve"> SEQ Figure \* ARABIC \s 1 </w:instrText>
      </w:r>
      <w:r w:rsidR="00FA158B">
        <w:fldChar w:fldCharType="separate"/>
      </w:r>
      <w:r w:rsidR="00BF178A">
        <w:rPr>
          <w:noProof/>
        </w:rPr>
        <w:t>8</w:t>
      </w:r>
      <w:r w:rsidR="00FA158B">
        <w:fldChar w:fldCharType="end"/>
      </w:r>
      <w:r>
        <w:t>:</w:t>
      </w:r>
      <w:r w:rsidRPr="00C57E05">
        <w:t xml:space="preserve"> </w:t>
      </w:r>
      <w:r>
        <w:t>Projected</w:t>
      </w:r>
      <w:r w:rsidRPr="00B06C45">
        <w:t xml:space="preserve"> reduction in </w:t>
      </w:r>
      <w:r w:rsidR="00CD4535">
        <w:t xml:space="preserve">east coast </w:t>
      </w:r>
      <w:r w:rsidRPr="00B06C45">
        <w:t>gas consumption from electrification by scenario, 202</w:t>
      </w:r>
      <w:r w:rsidR="00471010">
        <w:t>4</w:t>
      </w:r>
      <w:r w:rsidR="008624CE">
        <w:t xml:space="preserve"> to </w:t>
      </w:r>
      <w:r w:rsidR="00C3180B">
        <w:t>20</w:t>
      </w:r>
      <w:r w:rsidRPr="00B06C45">
        <w:t>4</w:t>
      </w:r>
      <w:r w:rsidR="00471010">
        <w:t>3</w:t>
      </w:r>
    </w:p>
    <w:p w14:paraId="605BA585" w14:textId="1EF8564E" w:rsidR="00203D63" w:rsidRDefault="00203D63" w:rsidP="00EC7EC7">
      <w:pPr>
        <w:pStyle w:val="Note"/>
      </w:pPr>
      <w:r>
        <w:rPr>
          <w:noProof/>
        </w:rPr>
        <w:drawing>
          <wp:inline distT="0" distB="0" distL="0" distR="0" wp14:anchorId="3813B166" wp14:editId="0BE21B56">
            <wp:extent cx="4206875" cy="1849272"/>
            <wp:effectExtent l="0" t="0" r="3175" b="0"/>
            <wp:docPr id="1354501738" name="Chart 1354501738" descr="This figure shows the projected reduction in gas consumption from electrification for the east coast by scenario out to 2043. Green energy exports has the greatest reduction in 2043 of 203 PJ, followed by 178 PJ for step change and 136 PJ for progressive change. ">
              <a:extLst xmlns:a="http://schemas.openxmlformats.org/drawingml/2006/main">
                <a:ext uri="{FF2B5EF4-FFF2-40B4-BE49-F238E27FC236}">
                  <a16:creationId xmlns:a16="http://schemas.microsoft.com/office/drawing/2014/main" id="{001A3B88-4FCA-43D1-8180-A36F7C578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B7E8CEE" w14:textId="77777777" w:rsidR="00EC7EC7" w:rsidRPr="00C62F3A" w:rsidRDefault="00EC7EC7" w:rsidP="00C3180B">
      <w:pPr>
        <w:pStyle w:val="Source"/>
      </w:pPr>
      <w:r>
        <w:t>Notes: Electrification refers to the transition from gas appliances to electric appliances</w:t>
      </w:r>
    </w:p>
    <w:p w14:paraId="20F16BFE" w14:textId="2404C662" w:rsidR="00EC7EC7" w:rsidRDefault="00EC7EC7" w:rsidP="00C3180B">
      <w:pPr>
        <w:pStyle w:val="Source"/>
      </w:pPr>
      <w:r>
        <w:t>Source: AEMO (202</w:t>
      </w:r>
      <w:r w:rsidR="00203D63">
        <w:t>4</w:t>
      </w:r>
      <w:r w:rsidR="00F86FFE">
        <w:t>b</w:t>
      </w:r>
      <w:r>
        <w:t>)</w:t>
      </w:r>
    </w:p>
    <w:p w14:paraId="68C8A778" w14:textId="1B4A9A5E" w:rsidR="00EC7EC7" w:rsidRDefault="00780EE4" w:rsidP="00EC7EC7">
      <w:pPr>
        <w:pStyle w:val="BodyText"/>
      </w:pPr>
      <w:r>
        <w:t>To provide an indication of the magnitude of this transition,</w:t>
      </w:r>
      <w:r w:rsidR="00EC7EC7">
        <w:t xml:space="preserve"> the east coast would need to disconnect the equivalent of </w:t>
      </w:r>
      <w:r w:rsidR="002756C5">
        <w:t>143</w:t>
      </w:r>
      <w:r w:rsidR="00EC7EC7">
        <w:t xml:space="preserve">,000 net </w:t>
      </w:r>
      <w:r w:rsidR="00EC7EC7" w:rsidRPr="005F6579">
        <w:t>average</w:t>
      </w:r>
      <w:r w:rsidR="00EC7EC7">
        <w:t xml:space="preserve"> households from gas a year for the next 20 years (just under 400 per day)</w:t>
      </w:r>
      <w:r>
        <w:t xml:space="preserve"> to meet the reductions in household gas demand assumed within AEMO’s high-ambition scenario (‘Green Energy Exports’)</w:t>
      </w:r>
      <w:r w:rsidR="00EC7EC7">
        <w:t xml:space="preserve">. This compares with estimates from the Grattan Institute </w:t>
      </w:r>
      <w:r w:rsidR="006A7AE5">
        <w:t>(2023)</w:t>
      </w:r>
      <w:r w:rsidR="00EC7EC7">
        <w:t xml:space="preserve"> that between 2010 and 2020, </w:t>
      </w:r>
      <w:r w:rsidR="00EC7EC7" w:rsidRPr="00D42D0E">
        <w:t xml:space="preserve">the number of residential gas customers grew by 37% in the Victoria and </w:t>
      </w:r>
      <w:r w:rsidR="005F31C9">
        <w:t>NSW</w:t>
      </w:r>
      <w:r w:rsidR="00EC7EC7" w:rsidRPr="00D42D0E">
        <w:t xml:space="preserve">, 22% in the </w:t>
      </w:r>
      <w:r w:rsidR="005F31C9">
        <w:t xml:space="preserve">ACT </w:t>
      </w:r>
      <w:r w:rsidR="00EC7EC7" w:rsidRPr="00D42D0E">
        <w:t>and 18% in South Australia. Approximately 68,000 househ</w:t>
      </w:r>
      <w:r w:rsidR="00EC7EC7">
        <w:t>olds joined the gas network across NSW, Victoria, South Australia, and the ACT in 2021 alone.</w:t>
      </w:r>
    </w:p>
    <w:p w14:paraId="0C1824BD" w14:textId="0D64959A" w:rsidR="00EC7EC7" w:rsidRPr="0055462D" w:rsidRDefault="00EC7EC7" w:rsidP="00EC7EC7">
      <w:pPr>
        <w:pStyle w:val="BodyText"/>
      </w:pPr>
      <w:r>
        <w:t xml:space="preserve">Notwithstanding that both the Victorian and ACT governments have announced policies to stem growth </w:t>
      </w:r>
      <w:r w:rsidR="00CD4535">
        <w:t xml:space="preserve">in gas demand </w:t>
      </w:r>
      <w:r>
        <w:t xml:space="preserve">by banning new gas connections, the rate of disconnection over the coming 5 years in order to meet the most ambitious climate scenario </w:t>
      </w:r>
      <w:r w:rsidR="0077247A">
        <w:rPr>
          <w:lang w:eastAsia="en-AU"/>
        </w:rPr>
        <w:t>—</w:t>
      </w:r>
      <w:r>
        <w:t xml:space="preserve"> with close to 400,000 net reductions in connections in 2028 </w:t>
      </w:r>
      <w:r w:rsidR="006A7AE5">
        <w:t>highlighting the difficulty of the task</w:t>
      </w:r>
      <w:r>
        <w:t xml:space="preserve"> and there are large upside risks to the range of climate-constrained scenarios. </w:t>
      </w:r>
    </w:p>
    <w:p w14:paraId="757A554F" w14:textId="29260684" w:rsidR="00EC7EC7" w:rsidRDefault="00EC7EC7" w:rsidP="00F46D0D">
      <w:pPr>
        <w:pStyle w:val="BodyText"/>
      </w:pPr>
      <w:r w:rsidRPr="00D242A5">
        <w:rPr>
          <w:lang w:val="en"/>
        </w:rPr>
        <w:t xml:space="preserve">Improvements in energy efficiency have the potential to reduce demand by an estimated </w:t>
      </w:r>
      <w:r w:rsidR="00203D63">
        <w:rPr>
          <w:lang w:val="en"/>
        </w:rPr>
        <w:t xml:space="preserve">7 </w:t>
      </w:r>
      <w:r w:rsidRPr="00D242A5">
        <w:rPr>
          <w:lang w:val="en"/>
        </w:rPr>
        <w:t xml:space="preserve">PJ per annum on the </w:t>
      </w:r>
      <w:r w:rsidR="00162B2E">
        <w:rPr>
          <w:lang w:val="en"/>
        </w:rPr>
        <w:t>east c</w:t>
      </w:r>
      <w:r w:rsidRPr="00D242A5">
        <w:rPr>
          <w:lang w:val="en"/>
        </w:rPr>
        <w:t>oast. Energy efficiency measures are concentrated in the residential and commercial sector</w:t>
      </w:r>
      <w:r w:rsidR="00CD4535">
        <w:rPr>
          <w:lang w:val="en"/>
        </w:rPr>
        <w:t>s</w:t>
      </w:r>
      <w:r w:rsidR="003C17E9">
        <w:rPr>
          <w:lang w:val="en"/>
        </w:rPr>
        <w:t xml:space="preserve"> </w:t>
      </w:r>
      <w:r w:rsidRPr="00D242A5">
        <w:rPr>
          <w:lang w:val="en"/>
        </w:rPr>
        <w:t>and are driven by building improvements which reduce gas demand for space heating. These improvements are supported by several state</w:t>
      </w:r>
      <w:r w:rsidR="00203D63">
        <w:rPr>
          <w:lang w:val="en"/>
        </w:rPr>
        <w:t xml:space="preserve"> (such as the </w:t>
      </w:r>
      <w:r w:rsidR="005F31C9">
        <w:rPr>
          <w:lang w:val="en"/>
        </w:rPr>
        <w:t>NSW</w:t>
      </w:r>
      <w:r w:rsidR="00203D63">
        <w:rPr>
          <w:lang w:val="en"/>
        </w:rPr>
        <w:t xml:space="preserve"> Energy Savings Scheme and Victorian Energy Upgrades)</w:t>
      </w:r>
      <w:r w:rsidRPr="00D242A5">
        <w:rPr>
          <w:lang w:val="en"/>
        </w:rPr>
        <w:t xml:space="preserve"> and federal </w:t>
      </w:r>
      <w:r>
        <w:rPr>
          <w:lang w:val="en"/>
        </w:rPr>
        <w:t xml:space="preserve">government </w:t>
      </w:r>
      <w:r w:rsidRPr="00D242A5">
        <w:rPr>
          <w:lang w:val="en"/>
        </w:rPr>
        <w:t>initiatives surrounding construction codes and monitoring and measurement programs.</w:t>
      </w:r>
    </w:p>
    <w:p w14:paraId="5112F2CA" w14:textId="080902F1" w:rsidR="00EC7EC7" w:rsidRPr="00605603" w:rsidRDefault="00EC7EC7" w:rsidP="002D4EEC">
      <w:pPr>
        <w:pStyle w:val="Heading3"/>
        <w:spacing w:before="120"/>
      </w:pPr>
      <w:r w:rsidRPr="009A38E2">
        <w:t>Gas</w:t>
      </w:r>
      <w:r>
        <w:t>-</w:t>
      </w:r>
      <w:r w:rsidR="00400F37">
        <w:t>p</w:t>
      </w:r>
      <w:r w:rsidRPr="009A38E2">
        <w:t xml:space="preserve">owered </w:t>
      </w:r>
      <w:r w:rsidR="00400F37">
        <w:t>g</w:t>
      </w:r>
      <w:r w:rsidRPr="009A38E2">
        <w:t>eneration</w:t>
      </w:r>
      <w:r>
        <w:t xml:space="preserve">: </w:t>
      </w:r>
      <w:r w:rsidR="00400F37">
        <w:t>o</w:t>
      </w:r>
      <w:r>
        <w:t>utlook to 2035</w:t>
      </w:r>
    </w:p>
    <w:p w14:paraId="5EF90FBD" w14:textId="68BAC85F" w:rsidR="00EC7EC7" w:rsidRDefault="00203D63" w:rsidP="00EC7EC7">
      <w:pPr>
        <w:pStyle w:val="BodyText"/>
      </w:pPr>
      <w:r w:rsidRPr="00025EB6">
        <w:t xml:space="preserve">The role of </w:t>
      </w:r>
      <w:r>
        <w:t xml:space="preserve">gas-powered generation </w:t>
      </w:r>
      <w:r w:rsidRPr="00025EB6">
        <w:t xml:space="preserve">is expected to evolve over time. </w:t>
      </w:r>
      <w:r w:rsidR="00EC7EC7" w:rsidRPr="009A38E2">
        <w:t>There are important differences in the medium term (to 2035) and longer term (to 2050) outlooks</w:t>
      </w:r>
      <w:r w:rsidR="00EC7EC7">
        <w:t xml:space="preserve"> for gas-powered generation</w:t>
      </w:r>
      <w:r w:rsidR="00EC7EC7" w:rsidRPr="009A38E2">
        <w:t>. We deal with each in turn below.</w:t>
      </w:r>
    </w:p>
    <w:p w14:paraId="05B6805F" w14:textId="0DB15E3D" w:rsidR="00683EED" w:rsidRDefault="00683EED" w:rsidP="00203D63">
      <w:pPr>
        <w:pStyle w:val="BodyText"/>
      </w:pPr>
      <w:r>
        <w:t xml:space="preserve">Projections suggest electricity demand will be volatile in the medium-term. </w:t>
      </w:r>
      <w:r w:rsidR="00203D63" w:rsidRPr="001D7253">
        <w:t>Between 2024 and 2032,</w:t>
      </w:r>
      <w:r w:rsidR="00203D63">
        <w:t xml:space="preserve"> </w:t>
      </w:r>
      <w:r w:rsidR="00203D63" w:rsidRPr="001D7253">
        <w:t>annual gas</w:t>
      </w:r>
      <w:r w:rsidR="00203D63">
        <w:t xml:space="preserve"> demand is expected to range between 37 PJ (Progressive Change) and 120 PJ (Step Change), increasing slightly from 2026 due to the retirement of coal-fired generation and growing electricity demand. Overall, </w:t>
      </w:r>
      <w:r w:rsidR="00203D63" w:rsidRPr="00D75D82">
        <w:t>AEMO projects declines in gas</w:t>
      </w:r>
      <w:r w:rsidR="00400F37">
        <w:noBreakHyphen/>
      </w:r>
      <w:r w:rsidR="00203D63" w:rsidRPr="00D75D82">
        <w:t xml:space="preserve">powered generation that range between </w:t>
      </w:r>
      <w:r w:rsidR="00203D63" w:rsidRPr="00025EB6">
        <w:t>34</w:t>
      </w:r>
      <w:r w:rsidR="00203D63" w:rsidRPr="00D75D82">
        <w:t xml:space="preserve">% and </w:t>
      </w:r>
      <w:r w:rsidR="00203D63" w:rsidRPr="00025EB6">
        <w:t>63</w:t>
      </w:r>
      <w:r w:rsidR="00203D63" w:rsidRPr="00D75D82">
        <w:t xml:space="preserve">% </w:t>
      </w:r>
      <w:r w:rsidR="00203D63" w:rsidRPr="00025EB6">
        <w:t xml:space="preserve">of 2023 levels </w:t>
      </w:r>
      <w:r w:rsidR="00203D63" w:rsidRPr="00D75D82">
        <w:t>by 2032</w:t>
      </w:r>
      <w:r w:rsidR="00203D63">
        <w:t>,</w:t>
      </w:r>
      <w:r w:rsidR="00203D63" w:rsidRPr="00D75D82">
        <w:t xml:space="preserve"> depending</w:t>
      </w:r>
      <w:r w:rsidR="00203D63" w:rsidRPr="00D53316">
        <w:t xml:space="preserve"> on the </w:t>
      </w:r>
      <w:r w:rsidR="00203D63">
        <w:t>level of climate ambition</w:t>
      </w:r>
      <w:r w:rsidR="00072F84">
        <w:t>, economic growth</w:t>
      </w:r>
      <w:r w:rsidR="00400F37">
        <w:t>,</w:t>
      </w:r>
      <w:r w:rsidR="00072F84">
        <w:t xml:space="preserve"> </w:t>
      </w:r>
      <w:r w:rsidR="00A23B83">
        <w:t xml:space="preserve">and </w:t>
      </w:r>
      <w:r w:rsidR="00072F84">
        <w:t xml:space="preserve">industrial activity </w:t>
      </w:r>
      <w:r w:rsidR="00203D63" w:rsidRPr="00D53316">
        <w:t>(Figure 3.</w:t>
      </w:r>
      <w:r w:rsidR="00FA158B">
        <w:t>9</w:t>
      </w:r>
      <w:r w:rsidR="00203D63" w:rsidRPr="00D53316">
        <w:t>).</w:t>
      </w:r>
      <w:r w:rsidR="00203D63">
        <w:t xml:space="preserve"> </w:t>
      </w:r>
    </w:p>
    <w:p w14:paraId="7AB0D89F" w14:textId="70EE58E3" w:rsidR="00400F37" w:rsidRDefault="00203D63" w:rsidP="00203D63">
      <w:pPr>
        <w:pStyle w:val="BodyText"/>
      </w:pPr>
      <w:r>
        <w:t>From 2032, annual gas demand is forecast to more than double in the Steps (from 64 PJ to 139 PJ) and Progressive Change (from 37 PJ to 98 PJ) scenarios by 2035. In contrast, the level of annual gas demand is forecast to remain stable (between 60 PJ to 63 PJ) from 2032 to 2035 in the Green Energy Exports scenario</w:t>
      </w:r>
      <w:r w:rsidR="00536289">
        <w:t xml:space="preserve"> as more renewable generation, transmission and electricity storage projects are commissioned in this scenario</w:t>
      </w:r>
      <w:r>
        <w:t>.</w:t>
      </w:r>
    </w:p>
    <w:p w14:paraId="600C2F5C" w14:textId="29D671F9" w:rsidR="00203D63" w:rsidRDefault="00203D63" w:rsidP="00203D63">
      <w:pPr>
        <w:pStyle w:val="BodyText"/>
      </w:pPr>
      <w:r>
        <w:t>AEMO’s Draft 2024 Integrated System Plan suggests that gas will continue to play key role in peaking and firming generation, although it is expected to play a relatively small role in the power generation mix (Figure 3.1</w:t>
      </w:r>
      <w:r w:rsidR="00FA158B">
        <w:t>0</w:t>
      </w:r>
      <w:r>
        <w:t>).</w:t>
      </w:r>
    </w:p>
    <w:p w14:paraId="561F8F18" w14:textId="20FEDD47" w:rsidR="00BF60AF" w:rsidRDefault="00BF60AF" w:rsidP="00BF60AF">
      <w:pPr>
        <w:pStyle w:val="BodyText"/>
        <w:spacing w:before="120"/>
      </w:pPr>
      <w:r>
        <w:t xml:space="preserve">The wide range of possible outcomes – and </w:t>
      </w:r>
      <w:r w:rsidR="00683EED">
        <w:t>volatile</w:t>
      </w:r>
      <w:r>
        <w:t xml:space="preserve"> trajectory over time – reflects how gas demand </w:t>
      </w:r>
      <w:r w:rsidRPr="00A546F2">
        <w:t>depend</w:t>
      </w:r>
      <w:r>
        <w:t xml:space="preserve">s </w:t>
      </w:r>
      <w:r w:rsidRPr="00A546F2">
        <w:t>on</w:t>
      </w:r>
      <w:r>
        <w:t xml:space="preserve"> other aspects of the electricity market, in particular the</w:t>
      </w:r>
      <w:r w:rsidRPr="00A546F2">
        <w:t xml:space="preserve"> rate of closure of coal</w:t>
      </w:r>
      <w:r>
        <w:t>-fired power generators</w:t>
      </w:r>
      <w:r w:rsidRPr="00A546F2">
        <w:t xml:space="preserve"> and rate of build o</w:t>
      </w:r>
      <w:r>
        <w:t>f</w:t>
      </w:r>
      <w:r w:rsidRPr="00A546F2">
        <w:t xml:space="preserve"> renewables</w:t>
      </w:r>
      <w:r>
        <w:t>. Figure 3.</w:t>
      </w:r>
      <w:r w:rsidR="00FA158B">
        <w:t>9</w:t>
      </w:r>
      <w:r>
        <w:t xml:space="preserve"> shows that under the </w:t>
      </w:r>
      <w:r w:rsidR="00BD393C">
        <w:t>‘</w:t>
      </w:r>
      <w:r>
        <w:t>Step Change scenario</w:t>
      </w:r>
      <w:r w:rsidR="00BD393C">
        <w:t>’</w:t>
      </w:r>
      <w:r>
        <w:t xml:space="preserve"> gas will underpin a greater volume of electricity generation, but a decreasing share over time</w:t>
      </w:r>
      <w:r w:rsidR="00D42D0E">
        <w:t xml:space="preserve"> (Figure 3.10)</w:t>
      </w:r>
      <w:r>
        <w:t xml:space="preserve">, and continue to play a role in power generation to 2050 and beyond. </w:t>
      </w:r>
      <w:r w:rsidR="00BD393C">
        <w:t>‘</w:t>
      </w:r>
      <w:r>
        <w:t>Gas use</w:t>
      </w:r>
      <w:r w:rsidR="00BD393C">
        <w:t>’</w:t>
      </w:r>
      <w:r>
        <w:t xml:space="preserve"> in Figure 3.</w:t>
      </w:r>
      <w:r w:rsidR="00FA158B">
        <w:t>10</w:t>
      </w:r>
      <w:r>
        <w:t xml:space="preserve">, however, is not limited to natural gas use </w:t>
      </w:r>
      <w:r>
        <w:rPr>
          <w:lang w:eastAsia="en-AU"/>
        </w:rPr>
        <w:t>—</w:t>
      </w:r>
      <w:r>
        <w:t xml:space="preserve"> alternative fuels such as hydrogen and biomethane may take over the role of natural gas over time.</w:t>
      </w:r>
    </w:p>
    <w:p w14:paraId="3BA0DC1E" w14:textId="456C648A" w:rsidR="00EC7EC7" w:rsidRDefault="00EC7EC7"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3</w:t>
      </w:r>
      <w:r>
        <w:rPr>
          <w:noProof/>
        </w:rPr>
        <w:fldChar w:fldCharType="end"/>
      </w:r>
      <w:r w:rsidR="00FA158B">
        <w:rPr>
          <w:noProof/>
        </w:rPr>
        <w:t>.</w:t>
      </w:r>
      <w:r w:rsidR="00FA158B">
        <w:rPr>
          <w:noProof/>
        </w:rPr>
        <w:fldChar w:fldCharType="begin"/>
      </w:r>
      <w:r w:rsidR="00FA158B">
        <w:rPr>
          <w:noProof/>
        </w:rPr>
        <w:instrText xml:space="preserve"> SEQ Figure \* ARABIC \s 1 </w:instrText>
      </w:r>
      <w:r w:rsidR="00FA158B">
        <w:rPr>
          <w:noProof/>
        </w:rPr>
        <w:fldChar w:fldCharType="separate"/>
      </w:r>
      <w:r w:rsidR="00BF178A">
        <w:rPr>
          <w:noProof/>
        </w:rPr>
        <w:t>9</w:t>
      </w:r>
      <w:r w:rsidR="00FA158B">
        <w:rPr>
          <w:noProof/>
        </w:rPr>
        <w:fldChar w:fldCharType="end"/>
      </w:r>
      <w:r>
        <w:t xml:space="preserve">: </w:t>
      </w:r>
      <w:r w:rsidRPr="00B06C45">
        <w:t>Annual gas</w:t>
      </w:r>
      <w:r w:rsidR="00D72EC2">
        <w:t>-</w:t>
      </w:r>
      <w:r w:rsidRPr="00B06C45">
        <w:t xml:space="preserve">powered generation demand by scenario, </w:t>
      </w:r>
      <w:r w:rsidR="00E75541">
        <w:t>2023 to 2043</w:t>
      </w:r>
    </w:p>
    <w:p w14:paraId="2529335B" w14:textId="30EB58B1" w:rsidR="00EC7EC7" w:rsidRDefault="0003477A" w:rsidP="00EC7EC7">
      <w:pPr>
        <w:pStyle w:val="Note"/>
      </w:pPr>
      <w:r>
        <w:rPr>
          <w:noProof/>
        </w:rPr>
        <w:drawing>
          <wp:inline distT="0" distB="0" distL="0" distR="0" wp14:anchorId="552BBF35" wp14:editId="382CA648">
            <wp:extent cx="4206875" cy="2011680"/>
            <wp:effectExtent l="0" t="0" r="3175" b="7620"/>
            <wp:docPr id="3" name="Chart 3" descr="This figure shows a line graph with three scenarios for annual gas-powered generation demand between 2023 and 2043. All scenarios begin at 98 PJ in 2023 and are volatile between 2023 and 2043. In the step change scenario, demand declines between 2026 and 2030 before increasing strongly to 190 PJ in 2043. In the progressive change scenario, demand declines between 2023 and 2032 before increasing to 105 PJ to 2043. In the green energy exports scenario, demand declines between 2027 and 2032, before remaining relatively steady to 2043. ">
              <a:extLst xmlns:a="http://schemas.openxmlformats.org/drawingml/2006/main">
                <a:ext uri="{FF2B5EF4-FFF2-40B4-BE49-F238E27FC236}">
                  <a16:creationId xmlns:a16="http://schemas.microsoft.com/office/drawing/2014/main" id="{A9103175-24D4-434F-8B6B-746BCFA5A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8A3F656" w14:textId="1C9FD4B1" w:rsidR="00EC7EC7" w:rsidRPr="00C62F3A" w:rsidRDefault="00EC7EC7" w:rsidP="00C3180B">
      <w:pPr>
        <w:pStyle w:val="Source"/>
      </w:pPr>
      <w:r>
        <w:t xml:space="preserve">Notes: </w:t>
      </w:r>
      <w:r w:rsidR="00203D63">
        <w:t xml:space="preserve">Includes the NEM and, from 2020, includes </w:t>
      </w:r>
      <w:r w:rsidR="00400F37">
        <w:t xml:space="preserve">the </w:t>
      </w:r>
      <w:r w:rsidR="00203D63">
        <w:t xml:space="preserve">Northern Territory. </w:t>
      </w:r>
      <w:r w:rsidRPr="00B06C45">
        <w:t>Assumes generators close according to schedule and not when economically unprofitable.</w:t>
      </w:r>
    </w:p>
    <w:p w14:paraId="052E17A3" w14:textId="5A66B2A2" w:rsidR="00EC7EC7" w:rsidRDefault="00EC7EC7" w:rsidP="00C3180B">
      <w:pPr>
        <w:pStyle w:val="Source"/>
      </w:pPr>
      <w:r>
        <w:t xml:space="preserve">Source: </w:t>
      </w:r>
      <w:r w:rsidRPr="00B06C45">
        <w:t>AEMO (202</w:t>
      </w:r>
      <w:r w:rsidR="002250EB">
        <w:t>4</w:t>
      </w:r>
      <w:r w:rsidR="00F86FFE">
        <w:t>b</w:t>
      </w:r>
      <w:r w:rsidRPr="00B06C45">
        <w:t>)</w:t>
      </w:r>
    </w:p>
    <w:p w14:paraId="2B151C6C" w14:textId="48677CC3" w:rsidR="00634A4D" w:rsidRDefault="00EC7EC7" w:rsidP="00CD1D05">
      <w:pPr>
        <w:pStyle w:val="Caption"/>
      </w:pPr>
      <w:r w:rsidRPr="00B10C43">
        <w:t xml:space="preserve">Figure </w:t>
      </w:r>
      <w:r w:rsidRPr="00B10C43">
        <w:fldChar w:fldCharType="begin"/>
      </w:r>
      <w:r>
        <w:rPr>
          <w:noProof/>
        </w:rPr>
        <w:instrText xml:space="preserve"> STYLEREF 1 \s </w:instrText>
      </w:r>
      <w:r w:rsidRPr="00B10C43">
        <w:fldChar w:fldCharType="separate"/>
      </w:r>
      <w:r w:rsidR="00BF178A">
        <w:rPr>
          <w:noProof/>
        </w:rPr>
        <w:t>3</w:t>
      </w:r>
      <w:r w:rsidRPr="00B10C43">
        <w:fldChar w:fldCharType="end"/>
      </w:r>
      <w:r w:rsidR="00FA158B">
        <w:rPr>
          <w:noProof/>
        </w:rPr>
        <w:t>.</w:t>
      </w:r>
      <w:r w:rsidR="00FA158B">
        <w:rPr>
          <w:noProof/>
        </w:rPr>
        <w:fldChar w:fldCharType="begin"/>
      </w:r>
      <w:r w:rsidR="00FA158B">
        <w:rPr>
          <w:noProof/>
        </w:rPr>
        <w:instrText xml:space="preserve"> SEQ Figure \* ARABIC \s 1 </w:instrText>
      </w:r>
      <w:r w:rsidR="00FA158B">
        <w:rPr>
          <w:noProof/>
        </w:rPr>
        <w:fldChar w:fldCharType="separate"/>
      </w:r>
      <w:r w:rsidR="00BF178A">
        <w:rPr>
          <w:noProof/>
        </w:rPr>
        <w:t>10</w:t>
      </w:r>
      <w:r w:rsidR="00FA158B">
        <w:rPr>
          <w:noProof/>
        </w:rPr>
        <w:fldChar w:fldCharType="end"/>
      </w:r>
      <w:r w:rsidRPr="00B10C43">
        <w:t xml:space="preserve">: Projected </w:t>
      </w:r>
      <w:r w:rsidR="00CD4535">
        <w:t>e</w:t>
      </w:r>
      <w:r w:rsidRPr="00B10C43">
        <w:t>nergy</w:t>
      </w:r>
      <w:r>
        <w:t xml:space="preserve"> </w:t>
      </w:r>
      <w:r w:rsidR="00CD4535">
        <w:t>s</w:t>
      </w:r>
      <w:r>
        <w:t>ource in the NEM, Step Change</w:t>
      </w:r>
    </w:p>
    <w:p w14:paraId="1C172ADF" w14:textId="7DB08E83" w:rsidR="00EC7EC7" w:rsidRPr="00C62F3A" w:rsidRDefault="00634A4D" w:rsidP="00634A4D">
      <w:pPr>
        <w:pStyle w:val="Note"/>
      </w:pPr>
      <w:r>
        <w:rPr>
          <w:noProof/>
        </w:rPr>
        <w:drawing>
          <wp:inline distT="0" distB="0" distL="0" distR="0" wp14:anchorId="6A17BB3A" wp14:editId="3C5570C0">
            <wp:extent cx="4206875" cy="2280920"/>
            <wp:effectExtent l="0" t="0" r="3175" b="5080"/>
            <wp:docPr id="496137139" name="Chart 1" descr="This figure shows the projected energy sources in the National Energy Market under the step change scenario by financial year to 2050. Capacity increases every year, with solar and wind increasing most significantly. Gas capacity increases between 2023-24 and 2044-45, before decreasing between 2044-45 and 2049-50. Despite the increase in gas capacity, faster growing total electricity capacity will lead to the share of gas capacity declining between 2023-24 and 2049-50.">
              <a:extLst xmlns:a="http://schemas.openxmlformats.org/drawingml/2006/main">
                <a:ext uri="{FF2B5EF4-FFF2-40B4-BE49-F238E27FC236}">
                  <a16:creationId xmlns:a16="http://schemas.microsoft.com/office/drawing/2014/main" id="{F70011F8-67F9-AC63-2DDD-9CBC109BD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EC7EC7">
        <w:t xml:space="preserve">Notes: Data derived from the 2024 Draft </w:t>
      </w:r>
      <w:r w:rsidR="00C336D0" w:rsidRPr="00C336D0">
        <w:t xml:space="preserve">Integrated System Plan </w:t>
      </w:r>
      <w:r w:rsidR="00C336D0">
        <w:t>(</w:t>
      </w:r>
      <w:r w:rsidR="00EC7EC7">
        <w:t>ISP</w:t>
      </w:r>
      <w:r w:rsidR="00C336D0">
        <w:t>)</w:t>
      </w:r>
      <w:r w:rsidR="00EC7EC7">
        <w:t xml:space="preserve"> report for the Step Change scenario.</w:t>
      </w:r>
    </w:p>
    <w:p w14:paraId="3FD46DC0" w14:textId="4C5FF07D" w:rsidR="00EC7EC7" w:rsidRDefault="00EC7EC7" w:rsidP="00C3180B">
      <w:pPr>
        <w:pStyle w:val="Source"/>
      </w:pPr>
      <w:r>
        <w:t>Source: AEMO (202</w:t>
      </w:r>
      <w:r w:rsidR="00C03526">
        <w:t>4</w:t>
      </w:r>
      <w:r w:rsidR="007D0852">
        <w:t>e</w:t>
      </w:r>
      <w:r>
        <w:t>)</w:t>
      </w:r>
    </w:p>
    <w:p w14:paraId="53833631" w14:textId="5DE0EB04" w:rsidR="00EC7EC7" w:rsidRDefault="00A4167A" w:rsidP="00790CDE">
      <w:pPr>
        <w:pStyle w:val="BodyText"/>
        <w:spacing w:before="240"/>
      </w:pPr>
      <w:r>
        <w:t>T</w:t>
      </w:r>
      <w:r w:rsidR="00203D63">
        <w:t xml:space="preserve">he forecast increase in annual </w:t>
      </w:r>
      <w:r>
        <w:t>and peak daily</w:t>
      </w:r>
      <w:r w:rsidR="00203D63">
        <w:t xml:space="preserve"> gas demand from 2032</w:t>
      </w:r>
      <w:r>
        <w:t xml:space="preserve"> signals</w:t>
      </w:r>
      <w:r w:rsidR="00EC7EC7">
        <w:t xml:space="preserve"> a need for investment in additional gas-powered generation </w:t>
      </w:r>
      <w:r w:rsidR="00EC7EC7" w:rsidRPr="00181826">
        <w:t>capacity</w:t>
      </w:r>
      <w:r w:rsidR="00EC7EC7">
        <w:rPr>
          <w:i/>
          <w:iCs/>
        </w:rPr>
        <w:t xml:space="preserve"> </w:t>
      </w:r>
      <w:r w:rsidR="00EC7EC7" w:rsidRPr="003200DC">
        <w:t>(</w:t>
      </w:r>
      <w:r w:rsidR="00EC7EC7">
        <w:t xml:space="preserve">or storage), to satisfy </w:t>
      </w:r>
      <w:r w:rsidR="000F52E2" w:rsidRPr="00181826">
        <w:t>peak electricity</w:t>
      </w:r>
      <w:r w:rsidR="000F52E2">
        <w:rPr>
          <w:i/>
          <w:iCs/>
        </w:rPr>
        <w:t xml:space="preserve"> </w:t>
      </w:r>
      <w:r w:rsidR="00EC7EC7">
        <w:t>demand</w:t>
      </w:r>
      <w:r>
        <w:t xml:space="preserve"> and firm up </w:t>
      </w:r>
      <w:r w:rsidR="00072F84">
        <w:t>variable renewable</w:t>
      </w:r>
      <w:r w:rsidR="00EC7EC7">
        <w:t xml:space="preserve"> energy </w:t>
      </w:r>
      <w:r>
        <w:t>generation</w:t>
      </w:r>
      <w:r w:rsidR="00EC7EC7">
        <w:t xml:space="preserve">. The east coast </w:t>
      </w:r>
      <w:r w:rsidR="00203D63">
        <w:t xml:space="preserve">and Northern Territory </w:t>
      </w:r>
      <w:r w:rsidR="00EC7EC7">
        <w:t xml:space="preserve">market experienced peak daily gas demand for gas-powered generation of </w:t>
      </w:r>
      <w:r w:rsidR="00203D63">
        <w:t xml:space="preserve">724 </w:t>
      </w:r>
      <w:r w:rsidR="001B50F3">
        <w:t>terajoules (</w:t>
      </w:r>
      <w:r w:rsidR="00EC7EC7" w:rsidRPr="00705043">
        <w:t>TJ</w:t>
      </w:r>
      <w:r w:rsidR="001B50F3">
        <w:t>)</w:t>
      </w:r>
      <w:r w:rsidR="00EC7EC7">
        <w:t xml:space="preserve"> in </w:t>
      </w:r>
      <w:r w:rsidR="00203D63">
        <w:t>2023</w:t>
      </w:r>
      <w:r w:rsidR="00EC7EC7">
        <w:t>. U</w:t>
      </w:r>
      <w:r w:rsidR="00EC7EC7" w:rsidRPr="00EE0931">
        <w:t xml:space="preserve">nder </w:t>
      </w:r>
      <w:r w:rsidR="00EC7EC7">
        <w:t xml:space="preserve">the </w:t>
      </w:r>
      <w:r w:rsidR="00203D63">
        <w:t xml:space="preserve">Step </w:t>
      </w:r>
      <w:r w:rsidR="00EC7EC7">
        <w:t>change</w:t>
      </w:r>
      <w:r w:rsidR="00203D63">
        <w:t xml:space="preserve"> scenario</w:t>
      </w:r>
      <w:r w:rsidR="00EC7EC7">
        <w:t xml:space="preserve">, AEMO projects peak east coast daily gas demand for gas–powered generation to </w:t>
      </w:r>
      <w:r w:rsidR="00203D63">
        <w:t xml:space="preserve">almost triple </w:t>
      </w:r>
      <w:r w:rsidR="00EC7EC7">
        <w:t>202</w:t>
      </w:r>
      <w:r w:rsidR="00203D63">
        <w:t>3</w:t>
      </w:r>
      <w:r w:rsidR="00EC7EC7">
        <w:t xml:space="preserve"> levels by 2035, to </w:t>
      </w:r>
      <w:r w:rsidR="00203D63">
        <w:t xml:space="preserve">around </w:t>
      </w:r>
      <w:r w:rsidR="00203D63" w:rsidRPr="001B50F3">
        <w:t>2281</w:t>
      </w:r>
      <w:r w:rsidR="001B50F3">
        <w:t> </w:t>
      </w:r>
      <w:r w:rsidR="00EC7EC7" w:rsidRPr="001B50F3">
        <w:t>TJ</w:t>
      </w:r>
      <w:r w:rsidR="00EC7EC7">
        <w:t xml:space="preserve"> per day (Figure 3.1</w:t>
      </w:r>
      <w:r w:rsidR="00FA158B">
        <w:t>1</w:t>
      </w:r>
      <w:r w:rsidR="00EC7EC7">
        <w:t>). There are also demand (and pricing) risks associated with a disorderly exit of coal fired power stations.</w:t>
      </w:r>
    </w:p>
    <w:p w14:paraId="6E3E669C" w14:textId="036E298C" w:rsidR="00BF60AF" w:rsidRDefault="00BF60AF" w:rsidP="00BF60AF">
      <w:pPr>
        <w:pStyle w:val="BodyText"/>
        <w:spacing w:before="240"/>
      </w:pPr>
      <w:r>
        <w:t xml:space="preserve">A significant increase in system daily capacity </w:t>
      </w:r>
      <w:r>
        <w:rPr>
          <w:lang w:eastAsia="en-AU"/>
        </w:rPr>
        <w:t>—</w:t>
      </w:r>
      <w:r>
        <w:t xml:space="preserve"> and a concurrent increase in idle capacity during non-peak days </w:t>
      </w:r>
      <w:r>
        <w:rPr>
          <w:lang w:eastAsia="en-AU"/>
        </w:rPr>
        <w:t>—</w:t>
      </w:r>
      <w:r>
        <w:t xml:space="preserve"> over a declining regular user base will place additional strain on the gas transmission system to deliver affordable gas. </w:t>
      </w:r>
      <w:r w:rsidR="006A7AE5">
        <w:t>G</w:t>
      </w:r>
      <w:r>
        <w:t xml:space="preserve">as costs </w:t>
      </w:r>
      <w:r w:rsidR="006A7AE5">
        <w:t xml:space="preserve">are discussed </w:t>
      </w:r>
      <w:r>
        <w:t>further in Chapter 6.</w:t>
      </w:r>
    </w:p>
    <w:p w14:paraId="6BC2CEAA" w14:textId="444B5208" w:rsidR="00EC7EC7" w:rsidRDefault="00EC7EC7"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3</w:t>
      </w:r>
      <w:r>
        <w:rPr>
          <w:noProof/>
        </w:rPr>
        <w:fldChar w:fldCharType="end"/>
      </w:r>
      <w:r w:rsidR="00FA158B">
        <w:rPr>
          <w:noProof/>
        </w:rPr>
        <w:t>.</w:t>
      </w:r>
      <w:r w:rsidR="00FA158B">
        <w:rPr>
          <w:noProof/>
        </w:rPr>
        <w:fldChar w:fldCharType="begin"/>
      </w:r>
      <w:r w:rsidR="00FA158B">
        <w:rPr>
          <w:noProof/>
        </w:rPr>
        <w:instrText xml:space="preserve"> SEQ Figure \* ARABIC \s 1 </w:instrText>
      </w:r>
      <w:r w:rsidR="00FA158B">
        <w:rPr>
          <w:noProof/>
        </w:rPr>
        <w:fldChar w:fldCharType="separate"/>
      </w:r>
      <w:r w:rsidR="00BF178A">
        <w:rPr>
          <w:noProof/>
        </w:rPr>
        <w:t>11</w:t>
      </w:r>
      <w:r w:rsidR="00FA158B">
        <w:rPr>
          <w:noProof/>
        </w:rPr>
        <w:fldChar w:fldCharType="end"/>
      </w:r>
      <w:r>
        <w:t xml:space="preserve">: </w:t>
      </w:r>
      <w:r w:rsidRPr="005B4E03">
        <w:t xml:space="preserve">Annual and peak day </w:t>
      </w:r>
      <w:r w:rsidR="008D1436">
        <w:t>gas-powered generation</w:t>
      </w:r>
      <w:r w:rsidRPr="005B4E03">
        <w:t xml:space="preserve"> demand, </w:t>
      </w:r>
      <w:r w:rsidR="00203D63">
        <w:t>S</w:t>
      </w:r>
      <w:r w:rsidRPr="005B4E03">
        <w:t xml:space="preserve">tep </w:t>
      </w:r>
      <w:r w:rsidR="00203D63">
        <w:t>C</w:t>
      </w:r>
      <w:r w:rsidRPr="005B4E03">
        <w:t>hange scenario, 2019</w:t>
      </w:r>
      <w:r w:rsidR="00C336D0">
        <w:t xml:space="preserve"> to</w:t>
      </w:r>
      <w:r w:rsidR="00D42D0E">
        <w:t xml:space="preserve"> 20</w:t>
      </w:r>
      <w:r w:rsidRPr="005B4E03">
        <w:t>4</w:t>
      </w:r>
      <w:r w:rsidR="00203D63">
        <w:t>3</w:t>
      </w:r>
    </w:p>
    <w:p w14:paraId="2B7F39EF" w14:textId="494C29FA" w:rsidR="00EC7EC7" w:rsidRDefault="00EC7EC7" w:rsidP="00EC7EC7">
      <w:pPr>
        <w:pStyle w:val="Note"/>
      </w:pPr>
      <w:r w:rsidRPr="002E1EE5">
        <w:rPr>
          <w:noProof/>
        </w:rPr>
        <w:t xml:space="preserve"> </w:t>
      </w:r>
      <w:r w:rsidR="0000320E">
        <w:rPr>
          <w:noProof/>
        </w:rPr>
        <w:drawing>
          <wp:inline distT="0" distB="0" distL="0" distR="0" wp14:anchorId="56E725CF" wp14:editId="07FAA9B6">
            <wp:extent cx="4206875" cy="2769080"/>
            <wp:effectExtent l="0" t="0" r="3175" b="0"/>
            <wp:docPr id="1420190836" name="Chart 1" descr="This figure shows a comparison between the annual GPG demand in the step change scenario and the peak daily GPG demand. While all values increase out to 2043, peak demand for gas in winter increases more rapidly and has higher values then annual GPG demand and peak summer demand. ">
              <a:extLst xmlns:a="http://schemas.openxmlformats.org/drawingml/2006/main">
                <a:ext uri="{FF2B5EF4-FFF2-40B4-BE49-F238E27FC236}">
                  <a16:creationId xmlns:a16="http://schemas.microsoft.com/office/drawing/2014/main" id="{EE41630E-EF31-41C9-B3CA-0579CD677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ADE4823" w14:textId="1A2E82F0" w:rsidR="00EC7EC7" w:rsidRPr="00C62F3A" w:rsidRDefault="00EC7EC7" w:rsidP="00C3180B">
      <w:pPr>
        <w:pStyle w:val="Source"/>
      </w:pPr>
      <w:r>
        <w:t>Notes: 1</w:t>
      </w:r>
      <w:r w:rsidR="008602E7">
        <w:t>,</w:t>
      </w:r>
      <w:r>
        <w:t>000 Terajoules is equal to 1 Petajoule.</w:t>
      </w:r>
    </w:p>
    <w:p w14:paraId="4C82370A" w14:textId="555B5D0F" w:rsidR="00EC7EC7" w:rsidRDefault="00EC7EC7" w:rsidP="00C3180B">
      <w:pPr>
        <w:pStyle w:val="Source"/>
      </w:pPr>
      <w:r>
        <w:t>Source: AEMO (202</w:t>
      </w:r>
      <w:r w:rsidR="004E787A">
        <w:t>4</w:t>
      </w:r>
      <w:r w:rsidR="00F86FFE">
        <w:t>b</w:t>
      </w:r>
      <w:r>
        <w:t>)</w:t>
      </w:r>
    </w:p>
    <w:p w14:paraId="4CC58A40" w14:textId="77777777" w:rsidR="00EC7EC7" w:rsidRPr="00E75AC6" w:rsidRDefault="00EC7EC7" w:rsidP="00BE77DC">
      <w:pPr>
        <w:pStyle w:val="Heading3"/>
        <w:numPr>
          <w:ilvl w:val="0"/>
          <w:numId w:val="0"/>
        </w:numPr>
      </w:pPr>
      <w:r>
        <w:t xml:space="preserve">Gas-powered generation outlook to </w:t>
      </w:r>
      <w:r w:rsidRPr="00E75AC6">
        <w:t>2050 (and beyond)</w:t>
      </w:r>
    </w:p>
    <w:p w14:paraId="5155A49F" w14:textId="319AE8F7" w:rsidR="00EC7EC7" w:rsidRDefault="00EC7EC7" w:rsidP="00EC7EC7">
      <w:pPr>
        <w:pStyle w:val="BodyText"/>
      </w:pPr>
      <w:r>
        <w:t xml:space="preserve">Predicting demand for </w:t>
      </w:r>
      <w:r w:rsidRPr="00BF7751">
        <w:t>natural</w:t>
      </w:r>
      <w:r>
        <w:t xml:space="preserve"> gas for power generation to 2050 and beyond is difficult. AEMO’s Integrated System Plan </w:t>
      </w:r>
      <w:r w:rsidR="00724B38">
        <w:t>(ISP)</w:t>
      </w:r>
      <w:r>
        <w:t xml:space="preserve"> highlights the role that </w:t>
      </w:r>
      <w:r w:rsidRPr="00BE2887">
        <w:t>gas</w:t>
      </w:r>
      <w:r w:rsidR="008D1436">
        <w:t>-</w:t>
      </w:r>
      <w:r>
        <w:t>power</w:t>
      </w:r>
      <w:r w:rsidR="00332F52">
        <w:t>ed</w:t>
      </w:r>
      <w:r>
        <w:t xml:space="preserve"> generation </w:t>
      </w:r>
      <w:r w:rsidR="00332F52">
        <w:t xml:space="preserve">is forecast </w:t>
      </w:r>
      <w:r>
        <w:t xml:space="preserve">play to 2050, but it also highlights that alternative gases or fuels </w:t>
      </w:r>
      <w:r w:rsidR="00E90C9F">
        <w:t>will play an increasing role by 2050</w:t>
      </w:r>
      <w:r>
        <w:t>.</w:t>
      </w:r>
    </w:p>
    <w:p w14:paraId="76424445" w14:textId="17754AE4" w:rsidR="00203D63" w:rsidRPr="00E42900" w:rsidRDefault="00203D63" w:rsidP="00EC7EC7">
      <w:pPr>
        <w:pStyle w:val="BodyText"/>
      </w:pPr>
      <w:r>
        <w:t xml:space="preserve">Between 2032 and 2043, AEMO forecasts </w:t>
      </w:r>
      <w:r w:rsidR="00EA2F3E">
        <w:t>per annum</w:t>
      </w:r>
      <w:r>
        <w:t xml:space="preserve"> gas demand to rise to between 120 PJ and 200 PJ. This growth is to meet growing electricity demand and provide support in periods of low renewable generation. This trend reflects an increase in peak demand, especially in winter, where renewable </w:t>
      </w:r>
      <w:r w:rsidR="00EA2F3E">
        <w:t>power</w:t>
      </w:r>
      <w:r>
        <w:t xml:space="preserve"> generation output is low and </w:t>
      </w:r>
      <w:r w:rsidRPr="00A546F2">
        <w:t>coal</w:t>
      </w:r>
      <w:r>
        <w:t xml:space="preserve">-fired power generators have </w:t>
      </w:r>
      <w:r w:rsidR="00F872FC">
        <w:t xml:space="preserve">since been </w:t>
      </w:r>
      <w:r>
        <w:t>retired. AEMO forecasts indicate large volumes of gas demand by the end of their outlook period, highlighting a significant role for gas</w:t>
      </w:r>
      <w:r w:rsidR="008D1436">
        <w:t>-</w:t>
      </w:r>
      <w:r>
        <w:t xml:space="preserve">powered generation </w:t>
      </w:r>
      <w:r w:rsidR="00F872FC">
        <w:t>to maintain</w:t>
      </w:r>
      <w:r w:rsidDel="00F872FC">
        <w:t xml:space="preserve"> </w:t>
      </w:r>
      <w:r>
        <w:t>system security and reliability. While AEMO’s current projections indicate an increase in annual gas demand, uncertainties in future energy trends and technological demand could affect the future role of gas.</w:t>
      </w:r>
    </w:p>
    <w:p w14:paraId="794D06A6" w14:textId="54A7BDD7" w:rsidR="00E90C9F" w:rsidRDefault="00E90C9F" w:rsidP="00EC7EC7">
      <w:pPr>
        <w:pStyle w:val="BodyText"/>
      </w:pPr>
      <w:r>
        <w:t xml:space="preserve">There is significant potential for natural gas demand by the electricity sector to then fall beyond 2043. </w:t>
      </w:r>
      <w:r w:rsidR="00772E29">
        <w:t xml:space="preserve">AEMO </w:t>
      </w:r>
      <w:r>
        <w:t>assume</w:t>
      </w:r>
      <w:r w:rsidR="00772E29">
        <w:t>s</w:t>
      </w:r>
      <w:r>
        <w:t xml:space="preserve"> that alternatives will be available well before 2050 – with projected demand for natural gas for electricity generation in </w:t>
      </w:r>
      <w:r w:rsidR="00181826">
        <w:t xml:space="preserve">2043 </w:t>
      </w:r>
      <w:r>
        <w:t xml:space="preserve">ranging from </w:t>
      </w:r>
      <w:r w:rsidR="00181826">
        <w:t xml:space="preserve">75 </w:t>
      </w:r>
      <w:r>
        <w:t xml:space="preserve">PJ to </w:t>
      </w:r>
      <w:r w:rsidR="00181826">
        <w:t xml:space="preserve">190 </w:t>
      </w:r>
      <w:r>
        <w:t>PJ</w:t>
      </w:r>
      <w:r w:rsidR="00181826">
        <w:t xml:space="preserve"> (AEMO 2024)</w:t>
      </w:r>
      <w:r>
        <w:t xml:space="preserve">. </w:t>
      </w:r>
    </w:p>
    <w:p w14:paraId="5D994CC3" w14:textId="41B1C8C3" w:rsidR="00EC7EC7" w:rsidRDefault="00EC7EC7" w:rsidP="00EC7EC7">
      <w:pPr>
        <w:pStyle w:val="BodyText"/>
      </w:pPr>
      <w:r>
        <w:t xml:space="preserve">The </w:t>
      </w:r>
      <w:r w:rsidR="00E90C9F">
        <w:t xml:space="preserve">role of gas in electricity generation will decline over time as the </w:t>
      </w:r>
      <w:r>
        <w:t xml:space="preserve">number of </w:t>
      </w:r>
      <w:r w:rsidR="00DF0978">
        <w:t xml:space="preserve">the </w:t>
      </w:r>
      <w:r>
        <w:t>potential commercially</w:t>
      </w:r>
      <w:r w:rsidR="00DF0978">
        <w:t xml:space="preserve"> </w:t>
      </w:r>
      <w:r>
        <w:t xml:space="preserve">viable substitutes to unabated methane gas for power generation is expected to expand over the longer term. Prospective alternatives include hydrogen gas, energy storage, pumped hydro, batteries, biomethane and other biofuels. Which option(s) will ultimately prove to be most reliable and cost effective will depend on its whole-of-life price, performance, reliability, safety and other factors in the system. The technical challenges of hydrogen, in particular, as a substitute for natural gas are discussed in Box 3.7. When such alternatives will be available will become clearer over time and will be shaped by policies in Australia and overseas. </w:t>
      </w:r>
    </w:p>
    <w:p w14:paraId="5D22CF59" w14:textId="1AC7C722" w:rsidR="00EC7EC7" w:rsidRPr="002E1CCB" w:rsidRDefault="00EC7EC7" w:rsidP="00EC7EC7">
      <w:pPr>
        <w:pStyle w:val="BodyText"/>
        <w:rPr>
          <w:lang w:eastAsia="en-AU"/>
        </w:rPr>
      </w:pPr>
      <w:r>
        <w:rPr>
          <w:rFonts w:eastAsia="Arial"/>
          <w:lang w:val="en"/>
        </w:rPr>
        <w:t xml:space="preserve">A range of energy storage technologies will compete with gas to support </w:t>
      </w:r>
      <w:r w:rsidR="00631A7F">
        <w:rPr>
          <w:rFonts w:eastAsia="Arial"/>
          <w:lang w:val="en"/>
        </w:rPr>
        <w:t>the</w:t>
      </w:r>
      <w:r>
        <w:rPr>
          <w:rFonts w:eastAsia="Arial"/>
          <w:lang w:val="en"/>
        </w:rPr>
        <w:t xml:space="preserve"> electricity grid</w:t>
      </w:r>
      <w:r w:rsidR="00631A7F">
        <w:rPr>
          <w:rFonts w:eastAsia="Arial"/>
          <w:lang w:val="en"/>
        </w:rPr>
        <w:t xml:space="preserve"> as it decarbonises</w:t>
      </w:r>
      <w:r>
        <w:rPr>
          <w:rFonts w:eastAsia="Arial"/>
          <w:lang w:val="en"/>
        </w:rPr>
        <w:t>. Lithium</w:t>
      </w:r>
      <w:r w:rsidR="00631A7F">
        <w:rPr>
          <w:rFonts w:eastAsia="Arial"/>
          <w:lang w:val="en"/>
        </w:rPr>
        <w:noBreakHyphen/>
      </w:r>
      <w:r>
        <w:rPr>
          <w:rFonts w:eastAsia="Arial"/>
          <w:lang w:val="en"/>
        </w:rPr>
        <w:t xml:space="preserve">ion batteries increasingly provide ancillary services, reducing the importance of gas to these roles. Pumped hydro provided around 8% of generation in the </w:t>
      </w:r>
      <w:r w:rsidR="007872CB">
        <w:rPr>
          <w:rFonts w:eastAsia="Arial"/>
          <w:lang w:val="en"/>
        </w:rPr>
        <w:t>NEM</w:t>
      </w:r>
      <w:r w:rsidDel="007872CB">
        <w:rPr>
          <w:rFonts w:eastAsia="Arial"/>
          <w:lang w:val="en"/>
        </w:rPr>
        <w:t xml:space="preserve"> </w:t>
      </w:r>
      <w:r>
        <w:rPr>
          <w:rFonts w:eastAsia="Arial"/>
          <w:lang w:val="en"/>
        </w:rPr>
        <w:t>in 2022 and will continue to play an important role in the future, including through the Snowy 2.0 and Borumba Dam projects. Other more nascent storage technologies, including flow batteries and thermal batteries, may also play a role in reducing the need for gas across the grid. However, for longer pauses in renewable generation (days to weeks) gas remains the only currently economic option.</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C7EC7" w14:paraId="1AC481D3" w14:textId="77777777" w:rsidTr="00D81BB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1B796280" w14:textId="14786047" w:rsidR="00EC7EC7" w:rsidRPr="00401289" w:rsidRDefault="00EC7EC7" w:rsidP="00C50D71">
            <w:pPr>
              <w:pStyle w:val="Boxtext"/>
              <w:spacing w:beforeLines="60" w:before="144" w:afterLines="60" w:after="144"/>
              <w:ind w:left="113" w:right="113"/>
              <w:jc w:val="both"/>
              <w:rPr>
                <w:color w:val="auto"/>
              </w:rPr>
            </w:pPr>
            <w:r w:rsidRPr="005458FA">
              <w:rPr>
                <w:b/>
                <w:bCs/>
                <w:color w:val="auto"/>
              </w:rPr>
              <w:t xml:space="preserve">Insight: </w:t>
            </w:r>
            <w:r w:rsidRPr="006A6CED">
              <w:rPr>
                <w:color w:val="auto"/>
              </w:rPr>
              <w:t>Gas</w:t>
            </w:r>
            <w:r w:rsidR="00631A7F">
              <w:rPr>
                <w:color w:val="auto"/>
              </w:rPr>
              <w:t>-</w:t>
            </w:r>
            <w:r w:rsidRPr="006A6CED">
              <w:rPr>
                <w:color w:val="auto"/>
              </w:rPr>
              <w:t xml:space="preserve">powered peaking power generation is a core component of the NEM </w:t>
            </w:r>
            <w:r w:rsidR="00203D63">
              <w:rPr>
                <w:color w:val="auto"/>
              </w:rPr>
              <w:t xml:space="preserve">and Northern Territory market </w:t>
            </w:r>
            <w:r w:rsidRPr="006A6CED">
              <w:rPr>
                <w:color w:val="auto"/>
              </w:rPr>
              <w:t xml:space="preserve">to 2050 and beyond. </w:t>
            </w:r>
            <w:r w:rsidR="00E90C9F">
              <w:rPr>
                <w:color w:val="auto"/>
              </w:rPr>
              <w:t>A cycle of demand is expected – with declining demand in the next decade, rising demand thereafter as coal-fired power is retired, and declining demand during the 2040s as it is assumed a greater number of alternatives to gas for peaking and firming become available. Outcomes</w:t>
            </w:r>
            <w:r w:rsidRPr="006A6CED">
              <w:rPr>
                <w:color w:val="auto"/>
              </w:rPr>
              <w:t xml:space="preserve"> will depend on the availability of low-carbon alternatives such as hydrogen, energy storage and the ability to safely and effectively abate natural gas. </w:t>
            </w:r>
          </w:p>
        </w:tc>
      </w:tr>
    </w:tbl>
    <w:p w14:paraId="7FB52D67" w14:textId="5C4AA1A7" w:rsidR="00EC7EC7" w:rsidRDefault="00EC7EC7" w:rsidP="00E407DC">
      <w:pPr>
        <w:pStyle w:val="Heading3"/>
        <w:spacing w:before="120"/>
      </w:pPr>
      <w:r>
        <w:t xml:space="preserve">Industrial and mining </w:t>
      </w:r>
      <w:r w:rsidR="00631A7F">
        <w:t xml:space="preserve">consumers </w:t>
      </w:r>
    </w:p>
    <w:p w14:paraId="649BB9A2" w14:textId="1A47B691" w:rsidR="00EC7EC7" w:rsidRDefault="00EC7EC7" w:rsidP="00EC7EC7">
      <w:pPr>
        <w:pStyle w:val="BodyText"/>
      </w:pPr>
      <w:r>
        <w:t xml:space="preserve">Demand by </w:t>
      </w:r>
      <w:r w:rsidR="00162B2E">
        <w:t>east c</w:t>
      </w:r>
      <w:r>
        <w:t xml:space="preserve">oast industrial and mining consumers is expected to fall </w:t>
      </w:r>
      <w:r w:rsidR="00203D63">
        <w:t xml:space="preserve">by </w:t>
      </w:r>
      <w:r>
        <w:t xml:space="preserve">less than </w:t>
      </w:r>
      <w:r w:rsidR="00631A7F">
        <w:t>demand from</w:t>
      </w:r>
      <w:r>
        <w:t xml:space="preserve"> buildings (Figure 3.</w:t>
      </w:r>
      <w:r w:rsidR="00FA158B">
        <w:t>6</w:t>
      </w:r>
      <w:r>
        <w:t xml:space="preserve"> above).</w:t>
      </w:r>
      <w:r w:rsidRPr="0068172C">
        <w:t xml:space="preserve"> </w:t>
      </w:r>
      <w:r w:rsidR="00203D63">
        <w:t xml:space="preserve">Across the scenarios, </w:t>
      </w:r>
      <w:r>
        <w:t xml:space="preserve">industrial gas demand is expected to fall by a maximum of </w:t>
      </w:r>
      <w:r w:rsidR="00203D63">
        <w:t>29</w:t>
      </w:r>
      <w:r>
        <w:t>% by 204</w:t>
      </w:r>
      <w:r w:rsidR="00203D63">
        <w:t>3</w:t>
      </w:r>
      <w:r>
        <w:t xml:space="preserve"> after an initial rise due to the rapid decrease in </w:t>
      </w:r>
      <w:r w:rsidR="00E90C9F">
        <w:t xml:space="preserve">use of </w:t>
      </w:r>
      <w:r>
        <w:t xml:space="preserve">coal </w:t>
      </w:r>
      <w:r w:rsidR="00C17545">
        <w:rPr>
          <w:lang w:eastAsia="en-AU"/>
        </w:rPr>
        <w:t>—</w:t>
      </w:r>
      <w:r>
        <w:t xml:space="preserve"> similar to 202</w:t>
      </w:r>
      <w:r w:rsidR="00203D63">
        <w:t>3</w:t>
      </w:r>
      <w:r>
        <w:t xml:space="preserve"> levels </w:t>
      </w:r>
      <w:r w:rsidRPr="00D42D0E">
        <w:t>(Figure 3.1</w:t>
      </w:r>
      <w:r w:rsidR="00EA4CCA">
        <w:t>2</w:t>
      </w:r>
      <w:r w:rsidRPr="00D42D0E">
        <w:t>).</w:t>
      </w:r>
      <w:r>
        <w:t xml:space="preserve"> </w:t>
      </w:r>
    </w:p>
    <w:p w14:paraId="452D6760" w14:textId="77777777" w:rsidR="00EC7EC7" w:rsidRDefault="00EC7EC7" w:rsidP="00EC7EC7">
      <w:pPr>
        <w:pStyle w:val="BodyText"/>
      </w:pPr>
      <w:r>
        <w:t xml:space="preserve">Modest projected declines in gas consumption reflect how industrial and mining uses offer the most challenging prospects for abatement. Reducing demand may require advancement in a range of different technologies, and changes to a single facility can have a large step-change impact on demand. </w:t>
      </w:r>
    </w:p>
    <w:p w14:paraId="0BD34E2C" w14:textId="49213576" w:rsidR="00A963D5" w:rsidRDefault="00A963D5" w:rsidP="00EC7EC7">
      <w:pPr>
        <w:pStyle w:val="BodyText"/>
      </w:pPr>
      <w:r>
        <w:t>There are upside risks to these projections, given proposed coal-to-gas switching by high emitters in heavy industries (particularly aluminium and steel manufactur</w:t>
      </w:r>
      <w:r w:rsidR="008B22BB">
        <w:t>ing</w:t>
      </w:r>
      <w:r>
        <w:t>) not captured in the projections. Consultation indicates that some large emitters may use natural gas as the first step to reduce emissions before alternative energy sources (hydrogen) and alternative technologies are fully established.</w:t>
      </w:r>
    </w:p>
    <w:tbl>
      <w:tblPr>
        <w:tblStyle w:val="OCETable"/>
        <w:tblW w:w="6804" w:type="dxa"/>
        <w:shd w:val="clear" w:color="auto" w:fill="DEE8F1"/>
        <w:tblLayout w:type="fixed"/>
        <w:tblLook w:val="04A0" w:firstRow="1" w:lastRow="0" w:firstColumn="1" w:lastColumn="0" w:noHBand="0" w:noVBand="1"/>
      </w:tblPr>
      <w:tblGrid>
        <w:gridCol w:w="6804"/>
      </w:tblGrid>
      <w:tr w:rsidR="00FF2C8E" w14:paraId="011FFFDE" w14:textId="77777777" w:rsidTr="0000320E">
        <w:trPr>
          <w:cnfStyle w:val="100000000000" w:firstRow="1" w:lastRow="0" w:firstColumn="0" w:lastColumn="0" w:oddVBand="0" w:evenVBand="0" w:oddHBand="0" w:evenHBand="0" w:firstRowFirstColumn="0" w:firstRowLastColumn="0" w:lastRowFirstColumn="0" w:lastRowLastColumn="0"/>
          <w:trHeight w:val="2835"/>
        </w:trPr>
        <w:tc>
          <w:tcPr>
            <w:tcW w:w="5000" w:type="pct"/>
            <w:shd w:val="clear" w:color="auto" w:fill="DEE8F1"/>
          </w:tcPr>
          <w:p w14:paraId="52E8BF87" w14:textId="5E4B45ED" w:rsidR="00FF2C8E" w:rsidRDefault="00FF2C8E" w:rsidP="00C50D71">
            <w:pPr>
              <w:pStyle w:val="Boxtext"/>
              <w:spacing w:beforeLines="60" w:before="144" w:afterLines="60" w:after="144"/>
              <w:ind w:left="119" w:right="113"/>
              <w:jc w:val="both"/>
              <w:rPr>
                <w:color w:val="auto"/>
              </w:rPr>
            </w:pPr>
            <w:r>
              <w:br w:type="column"/>
            </w:r>
            <w:r>
              <w:br w:type="column"/>
            </w:r>
            <w:r>
              <w:br w:type="column"/>
            </w:r>
            <w:r w:rsidRPr="00D42D0E">
              <w:rPr>
                <w:b/>
                <w:bCs/>
                <w:color w:val="005CAF" w:themeColor="accent1"/>
              </w:rPr>
              <w:t>Box 3.</w:t>
            </w:r>
            <w:r w:rsidR="00D42D0E" w:rsidRPr="00D42D0E">
              <w:rPr>
                <w:b/>
                <w:color w:val="005CAF" w:themeColor="accent1"/>
              </w:rPr>
              <w:t>2</w:t>
            </w:r>
            <w:r w:rsidRPr="00D42D0E">
              <w:rPr>
                <w:b/>
                <w:bCs/>
                <w:color w:val="005CAF" w:themeColor="accent1"/>
              </w:rPr>
              <w:t>:</w:t>
            </w:r>
            <w:r w:rsidRPr="00D42D0E">
              <w:t xml:space="preserve"> </w:t>
            </w:r>
            <w:r w:rsidR="00AD3690" w:rsidRPr="00D42D0E">
              <w:rPr>
                <w:b/>
                <w:bCs/>
                <w:color w:val="005CAF" w:themeColor="accent1"/>
              </w:rPr>
              <w:t>Lithium process</w:t>
            </w:r>
            <w:r w:rsidR="00A963D5" w:rsidRPr="00D42D0E">
              <w:rPr>
                <w:b/>
                <w:bCs/>
                <w:color w:val="005CAF" w:themeColor="accent1"/>
              </w:rPr>
              <w:t>ing</w:t>
            </w:r>
            <w:r>
              <w:rPr>
                <w:b/>
                <w:bCs/>
                <w:color w:val="005CAF" w:themeColor="accent1"/>
              </w:rPr>
              <w:t xml:space="preserve"> </w:t>
            </w:r>
          </w:p>
          <w:p w14:paraId="46087868" w14:textId="7DD76626" w:rsidR="00FF2C8E" w:rsidRPr="00F756F1" w:rsidRDefault="00FF2C8E" w:rsidP="00C50D71">
            <w:pPr>
              <w:pStyle w:val="Boxtext"/>
              <w:spacing w:beforeLines="60" w:before="144" w:afterLines="60" w:after="144"/>
              <w:ind w:left="113" w:right="113"/>
              <w:rPr>
                <w:color w:val="373737"/>
              </w:rPr>
            </w:pPr>
            <w:r>
              <w:rPr>
                <w:color w:val="373737"/>
              </w:rPr>
              <w:t xml:space="preserve">Lithium processing requires high amounts of gas. </w:t>
            </w:r>
            <w:r w:rsidRPr="00F756F1">
              <w:rPr>
                <w:color w:val="373737"/>
              </w:rPr>
              <w:t>Lithium can be extracted from spodumene concentrates after roasting and acid roasting operations. A concentrate with at least 6%</w:t>
            </w:r>
            <w:r w:rsidR="004E0FFC">
              <w:rPr>
                <w:color w:val="373737"/>
              </w:rPr>
              <w:t xml:space="preserve"> lithium oxide or</w:t>
            </w:r>
            <w:r w:rsidRPr="00F756F1">
              <w:rPr>
                <w:color w:val="373737"/>
              </w:rPr>
              <w:t xml:space="preserve"> Li</w:t>
            </w:r>
            <w:r w:rsidRPr="00FB2A9B">
              <w:rPr>
                <w:color w:val="373737"/>
                <w:vertAlign w:val="subscript"/>
              </w:rPr>
              <w:t>2</w:t>
            </w:r>
            <w:r w:rsidRPr="00F756F1">
              <w:rPr>
                <w:color w:val="373737"/>
              </w:rPr>
              <w:t>O (approximately 75% spodumene) is suitable for roasting at very high temperatures of about 1050°C during which spodumene will go through a phase transformation from α- to β-spodumene.</w:t>
            </w:r>
          </w:p>
          <w:p w14:paraId="4E0009DE" w14:textId="77777777" w:rsidR="00FF2C8E" w:rsidRPr="00F756F1" w:rsidRDefault="00FF2C8E" w:rsidP="00C50D71">
            <w:pPr>
              <w:pStyle w:val="Boxtext"/>
              <w:spacing w:beforeLines="60" w:before="144" w:afterLines="60" w:after="144"/>
              <w:ind w:left="113" w:right="113"/>
              <w:rPr>
                <w:color w:val="373737"/>
              </w:rPr>
            </w:pPr>
            <w:r w:rsidRPr="00F756F1">
              <w:rPr>
                <w:color w:val="373737"/>
              </w:rPr>
              <w:t xml:space="preserve">After roasting, the material is cooled and then mixed with sulphuric acid (95-97%). The mixture is roasted again at about 200°C. An exothermic reaction starts at 170°C and lithium is extracted from β-spodumene to form lithium sulphate (soluble in water), which is then transformed into </w:t>
            </w:r>
            <w:r>
              <w:rPr>
                <w:color w:val="373737"/>
              </w:rPr>
              <w:t>l</w:t>
            </w:r>
            <w:r w:rsidRPr="00F756F1">
              <w:rPr>
                <w:color w:val="373737"/>
              </w:rPr>
              <w:t>ithium hydroxide.</w:t>
            </w:r>
          </w:p>
          <w:p w14:paraId="72876C8D" w14:textId="77777777" w:rsidR="00FF2C8E" w:rsidRDefault="00FF2C8E" w:rsidP="00C50D71">
            <w:pPr>
              <w:pStyle w:val="Boxtext"/>
              <w:spacing w:beforeLines="60" w:before="144" w:afterLines="60" w:after="144"/>
              <w:ind w:left="113" w:right="113"/>
            </w:pPr>
            <w:r w:rsidRPr="00F756F1">
              <w:rPr>
                <w:color w:val="373737"/>
              </w:rPr>
              <w:t>Western Australia has large deposits of lithium, and its increase in use for battery technology is continuing to climb. Australia is increasing its processing capabilities, and this will continue to impact gas demand until lower temperature processes or alternative high heat technologies become more feasible.</w:t>
            </w:r>
          </w:p>
          <w:p w14:paraId="505C546F" w14:textId="685F3190" w:rsidR="00FF2C8E" w:rsidRPr="00F756F1" w:rsidRDefault="00FF2C8E" w:rsidP="00C50D71">
            <w:pPr>
              <w:pStyle w:val="Source"/>
              <w:rPr>
                <w:b/>
                <w:bCs/>
                <w:color w:val="373737"/>
              </w:rPr>
            </w:pPr>
            <w:r w:rsidRPr="00DB57E9">
              <w:t>Source: SGS Minerals Service (2010)</w:t>
            </w:r>
          </w:p>
        </w:tc>
      </w:tr>
    </w:tbl>
    <w:p w14:paraId="79E39A73" w14:textId="32F45261" w:rsidR="00EC7EC7" w:rsidRDefault="00B765B1" w:rsidP="006A7AE5">
      <w:pPr>
        <w:pStyle w:val="BodyText"/>
        <w:spacing w:before="180"/>
      </w:pPr>
      <w:r>
        <w:t>T</w:t>
      </w:r>
      <w:r w:rsidR="00EC7EC7">
        <w:t xml:space="preserve">he availability of gas (for coal-to-gas switching) </w:t>
      </w:r>
      <w:r>
        <w:t xml:space="preserve">and the accessibility of </w:t>
      </w:r>
      <w:r w:rsidR="00EC7EC7">
        <w:t>electricity for direct electrification</w:t>
      </w:r>
      <w:r>
        <w:t xml:space="preserve"> will influence firms as they consider their gas consumption needs going forward</w:t>
      </w:r>
      <w:r w:rsidR="00EC7EC7">
        <w:t xml:space="preserve">. Given the large energy requirements of industrial and mining users, adequate </w:t>
      </w:r>
      <w:r w:rsidR="009B1973">
        <w:t xml:space="preserve">gas </w:t>
      </w:r>
      <w:r w:rsidR="00EC7EC7">
        <w:t>suppl</w:t>
      </w:r>
      <w:r w:rsidR="009B1973">
        <w:t>y is</w:t>
      </w:r>
      <w:r w:rsidR="00EC7EC7">
        <w:t xml:space="preserve"> a key source of uncertainty for future gas demand (domestic supply and future gas shortfalls are examined in Chapter 5 and 7). </w:t>
      </w:r>
    </w:p>
    <w:p w14:paraId="003AC35E" w14:textId="2D56D732" w:rsidR="00A963D5" w:rsidRDefault="00A963D5" w:rsidP="00106BAF">
      <w:pPr>
        <w:pStyle w:val="BodyText"/>
        <w:spacing w:before="60"/>
      </w:pPr>
      <w:r>
        <w:t>For example, BlueScope are considering swapping from metallurgical coal to gas for their carbon-based feedstock and high-heat processes in one east coast-based s</w:t>
      </w:r>
      <w:r w:rsidRPr="00E5265A">
        <w:t xml:space="preserve">teel </w:t>
      </w:r>
      <w:r>
        <w:t>manufacturing</w:t>
      </w:r>
      <w:r w:rsidRPr="00E5265A">
        <w:t xml:space="preserve"> facilit</w:t>
      </w:r>
      <w:r>
        <w:t>y</w:t>
      </w:r>
      <w:r w:rsidRPr="00E5265A">
        <w:t xml:space="preserve"> covered by the </w:t>
      </w:r>
      <w:r>
        <w:t>S</w:t>
      </w:r>
      <w:r w:rsidRPr="00E5265A">
        <w:t xml:space="preserve">afeguard </w:t>
      </w:r>
      <w:r>
        <w:t>M</w:t>
      </w:r>
      <w:r w:rsidRPr="00E5265A">
        <w:t>echanism</w:t>
      </w:r>
      <w:r>
        <w:t xml:space="preserve">. </w:t>
      </w:r>
      <w:r w:rsidR="009B1973">
        <w:t xml:space="preserve">It </w:t>
      </w:r>
      <w:r>
        <w:t>claim</w:t>
      </w:r>
      <w:r w:rsidR="009B1973">
        <w:t>s</w:t>
      </w:r>
      <w:r>
        <w:t xml:space="preserve"> this could lead to a 60% reduction in carbon emissions of their operations. This change would </w:t>
      </w:r>
      <w:r w:rsidRPr="00E5265A">
        <w:t xml:space="preserve">raise aggregate </w:t>
      </w:r>
      <w:r>
        <w:t xml:space="preserve">annual east coast </w:t>
      </w:r>
      <w:r w:rsidRPr="00E5265A">
        <w:t xml:space="preserve">demand by </w:t>
      </w:r>
      <w:r>
        <w:t xml:space="preserve">up to 32 </w:t>
      </w:r>
      <w:r w:rsidRPr="00E5265A">
        <w:t xml:space="preserve">PJ </w:t>
      </w:r>
      <w:r>
        <w:t xml:space="preserve">from 2032 onwards. This equates to </w:t>
      </w:r>
      <w:r w:rsidRPr="00683A2E">
        <w:t>6</w:t>
      </w:r>
      <w:r w:rsidRPr="00D64AE1">
        <w:t>%</w:t>
      </w:r>
      <w:r w:rsidRPr="00E5265A">
        <w:t xml:space="preserve"> of the </w:t>
      </w:r>
      <w:r>
        <w:t>2022 east c</w:t>
      </w:r>
      <w:r w:rsidRPr="00E5265A">
        <w:t>oast market</w:t>
      </w:r>
      <w:r>
        <w:t xml:space="preserve"> demand, equivalent to the entire </w:t>
      </w:r>
      <w:r w:rsidRPr="00D42D0E">
        <w:t>NSW</w:t>
      </w:r>
      <w:r>
        <w:t xml:space="preserve"> residential and commercial demand</w:t>
      </w:r>
      <w:r w:rsidRPr="004D4AFC">
        <w:t>.</w:t>
      </w:r>
    </w:p>
    <w:p w14:paraId="2BA9200B" w14:textId="76FA07BA" w:rsidR="00EC7EC7" w:rsidRDefault="00EC7EC7" w:rsidP="00C97679">
      <w:pPr>
        <w:pStyle w:val="Caption"/>
      </w:pPr>
      <w:r w:rsidRPr="00D42D0E">
        <w:t xml:space="preserve">Figure </w:t>
      </w:r>
      <w:r w:rsidR="00341B3B">
        <w:fldChar w:fldCharType="begin"/>
      </w:r>
      <w:r w:rsidR="00341B3B">
        <w:instrText xml:space="preserve"> STYLEREF 1 \s </w:instrText>
      </w:r>
      <w:r w:rsidR="00341B3B">
        <w:fldChar w:fldCharType="separate"/>
      </w:r>
      <w:r w:rsidR="00BF178A">
        <w:rPr>
          <w:noProof/>
        </w:rPr>
        <w:t>3</w:t>
      </w:r>
      <w:r w:rsidR="00341B3B">
        <w:rPr>
          <w:noProof/>
        </w:rPr>
        <w:fldChar w:fldCharType="end"/>
      </w:r>
      <w:r w:rsidR="00FA158B" w:rsidRPr="00D42D0E">
        <w:t>.</w:t>
      </w:r>
      <w:r w:rsidR="00341B3B">
        <w:fldChar w:fldCharType="begin"/>
      </w:r>
      <w:r w:rsidR="00341B3B">
        <w:instrText xml:space="preserve"> SEQ Figure \* ARABIC \s 1 </w:instrText>
      </w:r>
      <w:r w:rsidR="00341B3B">
        <w:fldChar w:fldCharType="separate"/>
      </w:r>
      <w:r w:rsidR="00BF178A">
        <w:rPr>
          <w:noProof/>
        </w:rPr>
        <w:t>12</w:t>
      </w:r>
      <w:r w:rsidR="00341B3B">
        <w:rPr>
          <w:noProof/>
        </w:rPr>
        <w:fldChar w:fldCharType="end"/>
      </w:r>
      <w:r w:rsidRPr="00F9326B">
        <w:t>:</w:t>
      </w:r>
      <w:r w:rsidRPr="00D42D0E">
        <w:t xml:space="preserve"> Industrial (incl. mining) gas demand scenario</w:t>
      </w:r>
      <w:r w:rsidR="00A963D5" w:rsidRPr="00D42D0E">
        <w:t>s</w:t>
      </w:r>
      <w:r w:rsidRPr="00D42D0E">
        <w:t>, 202</w:t>
      </w:r>
      <w:r w:rsidR="00854422" w:rsidRPr="00D42D0E">
        <w:t>3</w:t>
      </w:r>
      <w:r w:rsidR="008624CE">
        <w:t xml:space="preserve"> to </w:t>
      </w:r>
      <w:r w:rsidR="00AB441C">
        <w:t>20</w:t>
      </w:r>
      <w:r w:rsidRPr="00D42D0E">
        <w:t>4</w:t>
      </w:r>
      <w:r w:rsidR="00854422" w:rsidRPr="00D42D0E">
        <w:t>3</w:t>
      </w:r>
    </w:p>
    <w:p w14:paraId="123F1FFD" w14:textId="23ADE481" w:rsidR="00EC7EC7" w:rsidRDefault="00203D63" w:rsidP="00EC7EC7">
      <w:pPr>
        <w:pStyle w:val="Note"/>
      </w:pPr>
      <w:r>
        <w:rPr>
          <w:noProof/>
        </w:rPr>
        <w:drawing>
          <wp:inline distT="0" distB="0" distL="0" distR="0" wp14:anchorId="077230C4" wp14:editId="0EE1EBF3">
            <wp:extent cx="4206875" cy="2067560"/>
            <wp:effectExtent l="0" t="0" r="3175" b="8890"/>
            <wp:docPr id="1884261734" name="Chart 1884261734" descr="This figure shows the industrial demand for gas by scenario from 2023 to 2043, on the east coast mining. All scenarios show a decline in use between 2023 and 2043. The decline in the step change scenario is small, Green Energy Exports falls more between 2023 and 2032, but is relatively flat between 2032 and 2043. The progressive change scenario is similar to the Green Energy Exports scenario between 2023 and 2030 but is steady at higher levels than Green Energy Exports between 2030 and 2043. ">
              <a:extLst xmlns:a="http://schemas.openxmlformats.org/drawingml/2006/main">
                <a:ext uri="{FF2B5EF4-FFF2-40B4-BE49-F238E27FC236}">
                  <a16:creationId xmlns:a16="http://schemas.microsoft.com/office/drawing/2014/main" id="{52FAF79D-A6D4-45BE-B51D-44697B31D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BAE628" w14:textId="77777777" w:rsidR="00EC7EC7" w:rsidRPr="00C62F3A" w:rsidRDefault="00EC7EC7" w:rsidP="008F40F4">
      <w:pPr>
        <w:pStyle w:val="Source"/>
      </w:pPr>
      <w:r>
        <w:t xml:space="preserve">Notes: </w:t>
      </w:r>
      <w:r w:rsidRPr="005B4E03">
        <w:t>Industrial users comprise fertiliser producers, mineral processing, primary metal, paper and chemical producers, oil refineries and mining. Category also captures onsite electricity generation that consumes gas.</w:t>
      </w:r>
      <w:r>
        <w:t xml:space="preserve"> Does not capture gas used for LNG feedstock.</w:t>
      </w:r>
    </w:p>
    <w:p w14:paraId="4E42AB2F" w14:textId="61BE6AA3" w:rsidR="00EC7EC7" w:rsidRDefault="00EC7EC7" w:rsidP="008F40F4">
      <w:pPr>
        <w:pStyle w:val="Source"/>
      </w:pPr>
      <w:r>
        <w:t xml:space="preserve">Source: </w:t>
      </w:r>
      <w:r w:rsidRPr="005B4E03">
        <w:t>AEMO (202</w:t>
      </w:r>
      <w:r w:rsidR="00203D63">
        <w:t>4</w:t>
      </w:r>
      <w:r w:rsidR="00F86FFE">
        <w:t>b</w:t>
      </w:r>
      <w:r w:rsidRPr="005B4E03">
        <w:t>)</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C7EC7" w14:paraId="276E1BF0" w14:textId="77777777" w:rsidTr="00D81BB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6EAE1525" w14:textId="7CA3E056" w:rsidR="00EC7EC7" w:rsidRPr="00401289" w:rsidRDefault="00EC7EC7" w:rsidP="00C50D71">
            <w:pPr>
              <w:pStyle w:val="Boxtext"/>
              <w:spacing w:beforeLines="60" w:before="144" w:afterLines="60" w:after="144"/>
              <w:ind w:left="113" w:right="113"/>
              <w:jc w:val="both"/>
              <w:rPr>
                <w:color w:val="auto"/>
              </w:rPr>
            </w:pPr>
            <w:r w:rsidRPr="005458FA">
              <w:rPr>
                <w:b/>
                <w:bCs/>
                <w:color w:val="auto"/>
              </w:rPr>
              <w:t xml:space="preserve">Insight: </w:t>
            </w:r>
            <w:r w:rsidR="000E530D">
              <w:rPr>
                <w:color w:val="auto"/>
              </w:rPr>
              <w:t>I</w:t>
            </w:r>
            <w:r w:rsidR="00536289">
              <w:rPr>
                <w:color w:val="auto"/>
              </w:rPr>
              <w:t xml:space="preserve">n the medium term, </w:t>
            </w:r>
            <w:r w:rsidRPr="00F756F1">
              <w:rPr>
                <w:color w:val="auto"/>
              </w:rPr>
              <w:t xml:space="preserve">industrial gas demand </w:t>
            </w:r>
            <w:r w:rsidR="000E530D">
              <w:rPr>
                <w:color w:val="auto"/>
              </w:rPr>
              <w:t xml:space="preserve">is expected to be relatively buoyant </w:t>
            </w:r>
            <w:r w:rsidRPr="00F756F1">
              <w:rPr>
                <w:color w:val="auto"/>
              </w:rPr>
              <w:t>due to the versatile role that gas plays in producing very high heat</w:t>
            </w:r>
            <w:r w:rsidR="00664AE1">
              <w:rPr>
                <w:color w:val="auto"/>
              </w:rPr>
              <w:t>,</w:t>
            </w:r>
            <w:r w:rsidRPr="00F756F1">
              <w:rPr>
                <w:color w:val="auto"/>
              </w:rPr>
              <w:t xml:space="preserve"> as a feedstock</w:t>
            </w:r>
            <w:r w:rsidR="000E530D">
              <w:rPr>
                <w:color w:val="auto"/>
              </w:rPr>
              <w:t xml:space="preserve">, and </w:t>
            </w:r>
            <w:r w:rsidR="00664AE1">
              <w:rPr>
                <w:color w:val="auto"/>
              </w:rPr>
              <w:t xml:space="preserve">for coal-to-gas fuel switching as an emissions reduction strategy. </w:t>
            </w:r>
            <w:r w:rsidR="00536289">
              <w:rPr>
                <w:color w:val="auto"/>
              </w:rPr>
              <w:t>In the long</w:t>
            </w:r>
            <w:r w:rsidR="009F6064">
              <w:rPr>
                <w:color w:val="auto"/>
              </w:rPr>
              <w:t>-</w:t>
            </w:r>
            <w:r w:rsidR="00536289">
              <w:rPr>
                <w:color w:val="auto"/>
              </w:rPr>
              <w:t xml:space="preserve">term, </w:t>
            </w:r>
            <w:r w:rsidR="000E530D">
              <w:rPr>
                <w:color w:val="auto"/>
              </w:rPr>
              <w:t xml:space="preserve">reduction in industrial gas demand will </w:t>
            </w:r>
            <w:r w:rsidR="00664AE1">
              <w:rPr>
                <w:color w:val="auto"/>
              </w:rPr>
              <w:t>depend</w:t>
            </w:r>
            <w:r w:rsidR="00536289">
              <w:rPr>
                <w:color w:val="auto"/>
              </w:rPr>
              <w:t xml:space="preserve"> on adoption of alternatives, and their relative costs. This includes biofuels, hydrogen and direct electrification</w:t>
            </w:r>
            <w:r w:rsidRPr="00F756F1">
              <w:rPr>
                <w:color w:val="auto"/>
              </w:rPr>
              <w:t xml:space="preserve">. </w:t>
            </w:r>
          </w:p>
        </w:tc>
      </w:tr>
    </w:tbl>
    <w:p w14:paraId="46328474" w14:textId="7F88229E" w:rsidR="00EC7EC7" w:rsidRDefault="00EC7EC7" w:rsidP="00106BAF">
      <w:pPr>
        <w:pStyle w:val="BodyText"/>
        <w:spacing w:before="60"/>
        <w:rPr>
          <w:lang w:val="en"/>
        </w:rPr>
      </w:pPr>
      <w:r>
        <w:rPr>
          <w:lang w:val="en"/>
        </w:rPr>
        <w:t>Energy efficient measures will also be important and potentially low cost for industrial gas users (Box 3.</w:t>
      </w:r>
      <w:r w:rsidR="004C117A">
        <w:rPr>
          <w:lang w:val="en"/>
        </w:rPr>
        <w:t>3</w:t>
      </w:r>
      <w:r>
        <w:rPr>
          <w:lang w:val="en"/>
        </w:rPr>
        <w:t>).</w:t>
      </w:r>
    </w:p>
    <w:tbl>
      <w:tblPr>
        <w:tblStyle w:val="OCETable"/>
        <w:tblW w:w="6804" w:type="dxa"/>
        <w:shd w:val="clear" w:color="auto" w:fill="DEE8F1"/>
        <w:tblLayout w:type="fixed"/>
        <w:tblCellMar>
          <w:top w:w="57" w:type="dxa"/>
          <w:bottom w:w="57" w:type="dxa"/>
        </w:tblCellMar>
        <w:tblLook w:val="04A0" w:firstRow="1" w:lastRow="0" w:firstColumn="1" w:lastColumn="0" w:noHBand="0" w:noVBand="1"/>
      </w:tblPr>
      <w:tblGrid>
        <w:gridCol w:w="6804"/>
      </w:tblGrid>
      <w:tr w:rsidR="00EC7EC7" w14:paraId="7299203C" w14:textId="77777777" w:rsidTr="00AA38BB">
        <w:trPr>
          <w:cnfStyle w:val="100000000000" w:firstRow="1" w:lastRow="0" w:firstColumn="0" w:lastColumn="0" w:oddVBand="0" w:evenVBand="0" w:oddHBand="0" w:evenHBand="0" w:firstRowFirstColumn="0" w:firstRowLastColumn="0" w:lastRowFirstColumn="0" w:lastRowLastColumn="0"/>
          <w:trHeight w:val="1702"/>
        </w:trPr>
        <w:tc>
          <w:tcPr>
            <w:tcW w:w="0" w:type="pct"/>
            <w:shd w:val="clear" w:color="auto" w:fill="DEE8F1"/>
          </w:tcPr>
          <w:p w14:paraId="1B102DCF" w14:textId="31906602" w:rsidR="00EC7EC7" w:rsidRDefault="00EC7EC7" w:rsidP="00AA38BB">
            <w:pPr>
              <w:pStyle w:val="Boxtext"/>
              <w:spacing w:beforeLines="50" w:before="120" w:afterLines="60" w:after="144"/>
              <w:ind w:left="119" w:right="113"/>
              <w:jc w:val="both"/>
              <w:rPr>
                <w:color w:val="auto"/>
              </w:rPr>
            </w:pPr>
            <w:r>
              <w:br w:type="column"/>
            </w:r>
            <w:r>
              <w:br w:type="column"/>
            </w:r>
            <w:r>
              <w:br w:type="column"/>
            </w:r>
            <w:r w:rsidRPr="00D42D0E">
              <w:rPr>
                <w:b/>
                <w:color w:val="005CAF" w:themeColor="accent1"/>
              </w:rPr>
              <w:t>Box 3.</w:t>
            </w:r>
            <w:r w:rsidR="00D42D0E" w:rsidRPr="00D42D0E">
              <w:rPr>
                <w:b/>
                <w:color w:val="005CAF" w:themeColor="accent1"/>
              </w:rPr>
              <w:t>3</w:t>
            </w:r>
            <w:r w:rsidRPr="00D42D0E">
              <w:rPr>
                <w:b/>
                <w:bCs/>
                <w:color w:val="005CAF" w:themeColor="accent1"/>
              </w:rPr>
              <w:t>: Ener</w:t>
            </w:r>
            <w:r w:rsidRPr="00F756F1">
              <w:rPr>
                <w:b/>
                <w:bCs/>
                <w:color w:val="005CAF" w:themeColor="accent1"/>
              </w:rPr>
              <w:t xml:space="preserve">gy </w:t>
            </w:r>
            <w:r w:rsidR="005F0A2A">
              <w:rPr>
                <w:b/>
                <w:bCs/>
                <w:color w:val="005CAF" w:themeColor="accent1"/>
              </w:rPr>
              <w:t>e</w:t>
            </w:r>
            <w:r w:rsidRPr="00F756F1">
              <w:rPr>
                <w:b/>
                <w:bCs/>
                <w:color w:val="005CAF" w:themeColor="accent1"/>
              </w:rPr>
              <w:t>fficiency in</w:t>
            </w:r>
            <w:r>
              <w:rPr>
                <w:b/>
                <w:bCs/>
                <w:color w:val="005CAF" w:themeColor="accent1"/>
              </w:rPr>
              <w:t xml:space="preserve"> the</w:t>
            </w:r>
            <w:r w:rsidRPr="00F756F1">
              <w:rPr>
                <w:b/>
                <w:bCs/>
                <w:color w:val="005CAF" w:themeColor="accent1"/>
              </w:rPr>
              <w:t xml:space="preserve"> </w:t>
            </w:r>
            <w:r w:rsidR="005F0A2A">
              <w:rPr>
                <w:b/>
                <w:bCs/>
                <w:color w:val="005CAF" w:themeColor="accent1"/>
              </w:rPr>
              <w:t>i</w:t>
            </w:r>
            <w:r w:rsidRPr="00F756F1">
              <w:rPr>
                <w:b/>
                <w:bCs/>
                <w:color w:val="005CAF" w:themeColor="accent1"/>
              </w:rPr>
              <w:t xml:space="preserve">ndustrial and </w:t>
            </w:r>
            <w:r w:rsidR="005F0A2A">
              <w:rPr>
                <w:b/>
                <w:bCs/>
                <w:color w:val="005CAF" w:themeColor="accent1"/>
              </w:rPr>
              <w:t>l</w:t>
            </w:r>
            <w:r w:rsidRPr="00F756F1">
              <w:rPr>
                <w:b/>
                <w:bCs/>
                <w:color w:val="005CAF" w:themeColor="accent1"/>
              </w:rPr>
              <w:t xml:space="preserve">arge </w:t>
            </w:r>
            <w:r w:rsidR="005F0A2A">
              <w:rPr>
                <w:b/>
                <w:bCs/>
                <w:color w:val="005CAF" w:themeColor="accent1"/>
              </w:rPr>
              <w:t>c</w:t>
            </w:r>
            <w:r w:rsidRPr="00F756F1">
              <w:rPr>
                <w:b/>
                <w:bCs/>
                <w:color w:val="005CAF" w:themeColor="accent1"/>
              </w:rPr>
              <w:t xml:space="preserve">ommercial </w:t>
            </w:r>
            <w:r w:rsidR="005F0A2A">
              <w:rPr>
                <w:b/>
                <w:bCs/>
                <w:color w:val="005CAF" w:themeColor="accent1"/>
              </w:rPr>
              <w:t>s</w:t>
            </w:r>
            <w:r w:rsidRPr="00F756F1">
              <w:rPr>
                <w:b/>
                <w:bCs/>
                <w:color w:val="005CAF" w:themeColor="accent1"/>
              </w:rPr>
              <w:t>ector</w:t>
            </w:r>
            <w:r>
              <w:rPr>
                <w:b/>
                <w:bCs/>
                <w:color w:val="005CAF" w:themeColor="accent1"/>
              </w:rPr>
              <w:t>s</w:t>
            </w:r>
          </w:p>
          <w:p w14:paraId="56BA259B" w14:textId="77777777" w:rsidR="00EC7EC7" w:rsidRPr="00F756F1" w:rsidRDefault="00EC7EC7" w:rsidP="00C50D71">
            <w:pPr>
              <w:pStyle w:val="Boxtext"/>
              <w:spacing w:beforeLines="60" w:before="144" w:afterLines="60" w:after="144"/>
              <w:ind w:left="113" w:right="113"/>
              <w:rPr>
                <w:color w:val="373737"/>
              </w:rPr>
            </w:pPr>
            <w:r w:rsidRPr="00F756F1">
              <w:rPr>
                <w:color w:val="373737"/>
              </w:rPr>
              <w:t xml:space="preserve">Northmore Gordon (in its report to the Victorian Government) identified the largest gas consuming sub-sectors in Victoria as Food and Beverage Manufacturing (16 PJ), Pulp and Paper (9 PJ), Petroleum and Coal Product Manufacturing (7 PJ), Non-Metallic Mineral Product Manufacturing (7PJ) and Basic Chemical and Chemical Product Manufacturing (6 PJ). </w:t>
            </w:r>
          </w:p>
          <w:p w14:paraId="499F1970" w14:textId="576E33C7" w:rsidR="00BF60AF" w:rsidRDefault="00EC7EC7" w:rsidP="0077247A">
            <w:pPr>
              <w:pStyle w:val="Boxtext"/>
              <w:spacing w:beforeLines="60" w:before="144" w:afterLines="60" w:after="144"/>
              <w:ind w:left="113" w:right="113"/>
            </w:pPr>
            <w:r w:rsidRPr="00F756F1">
              <w:rPr>
                <w:color w:val="373737"/>
              </w:rPr>
              <w:t xml:space="preserve">Using a </w:t>
            </w:r>
            <w:r w:rsidR="00AB441C">
              <w:rPr>
                <w:color w:val="373737"/>
              </w:rPr>
              <w:t>c</w:t>
            </w:r>
            <w:r w:rsidRPr="00F756F1">
              <w:rPr>
                <w:color w:val="373737"/>
              </w:rPr>
              <w:t>ost-</w:t>
            </w:r>
            <w:r w:rsidR="00AB441C">
              <w:rPr>
                <w:color w:val="373737"/>
              </w:rPr>
              <w:t>b</w:t>
            </w:r>
            <w:r w:rsidRPr="00F756F1">
              <w:rPr>
                <w:color w:val="373737"/>
              </w:rPr>
              <w:t xml:space="preserve">enefit </w:t>
            </w:r>
            <w:r w:rsidR="00AB441C">
              <w:rPr>
                <w:color w:val="373737"/>
              </w:rPr>
              <w:t>a</w:t>
            </w:r>
            <w:r w:rsidRPr="00F756F1">
              <w:rPr>
                <w:color w:val="373737"/>
              </w:rPr>
              <w:t>nalysis approach, the top ranked energy efficiency activities for Industrial sectors were Heat Recovery (11 PJ gas reduction potential, benefit</w:t>
            </w:r>
            <w:r w:rsidR="00C26C71">
              <w:rPr>
                <w:color w:val="373737"/>
              </w:rPr>
              <w:t>-</w:t>
            </w:r>
            <w:r w:rsidRPr="00F756F1">
              <w:rPr>
                <w:color w:val="373737"/>
              </w:rPr>
              <w:t>to</w:t>
            </w:r>
            <w:r w:rsidR="00C26C71">
              <w:rPr>
                <w:color w:val="373737"/>
              </w:rPr>
              <w:t>-</w:t>
            </w:r>
            <w:r w:rsidRPr="00F756F1">
              <w:rPr>
                <w:color w:val="373737"/>
              </w:rPr>
              <w:t>cost ratio (BCR) of 4.7), Burner and boiler upgrades (7 PJ gas reduction potential, BCR of 8.8), and low temperature heat pumps (8 PJ gas reduction potential, BCR of 3.9).</w:t>
            </w:r>
          </w:p>
          <w:p w14:paraId="73362D9F" w14:textId="339DB97F" w:rsidR="00EC7EC7" w:rsidRPr="0077247A" w:rsidRDefault="00EC7EC7" w:rsidP="0077247A">
            <w:pPr>
              <w:pStyle w:val="Boxtext"/>
              <w:spacing w:beforeLines="60" w:before="144" w:afterLines="60" w:after="144"/>
              <w:ind w:left="113" w:right="113"/>
              <w:rPr>
                <w:color w:val="373737"/>
              </w:rPr>
            </w:pPr>
            <w:r w:rsidRPr="00F756F1">
              <w:rPr>
                <w:color w:val="373737"/>
              </w:rPr>
              <w:t>The top ranked energy efficiency activities for Large Commercial were: Reverse cycle chillers and packaged units (4 PJ gas reduction potential), and low temperature heat pumps (3 PJ gas reduction potential). If fully implemented, Northmore Gordon’s modelling suggested potential annual reductions of 22.5</w:t>
            </w:r>
            <w:r>
              <w:rPr>
                <w:color w:val="373737"/>
              </w:rPr>
              <w:t xml:space="preserve"> </w:t>
            </w:r>
            <w:r w:rsidRPr="00F756F1">
              <w:rPr>
                <w:color w:val="373737"/>
              </w:rPr>
              <w:t>PJ across all industrial and large commercial sub-sectors by 2040.</w:t>
            </w:r>
          </w:p>
          <w:p w14:paraId="008111EB" w14:textId="08FF5BD2" w:rsidR="00EC7EC7" w:rsidRPr="00F756F1" w:rsidRDefault="00EC7EC7" w:rsidP="00C50D71">
            <w:pPr>
              <w:pStyle w:val="Source"/>
              <w:rPr>
                <w:b/>
                <w:bCs/>
                <w:color w:val="373737"/>
              </w:rPr>
            </w:pPr>
            <w:r w:rsidRPr="00DB57E9">
              <w:t xml:space="preserve">Source: </w:t>
            </w:r>
            <w:r w:rsidR="007D0852">
              <w:t>Hawkins (2022)</w:t>
            </w:r>
          </w:p>
        </w:tc>
      </w:tr>
    </w:tbl>
    <w:p w14:paraId="74C4FDB4" w14:textId="77777777" w:rsidR="00EC7EC7" w:rsidRPr="00F756F1" w:rsidRDefault="00EC7EC7" w:rsidP="00EC7EC7">
      <w:pPr>
        <w:pStyle w:val="Heading3"/>
      </w:pPr>
      <w:r>
        <w:t>Industrial and mining users: high heat processes</w:t>
      </w:r>
    </w:p>
    <w:p w14:paraId="4445E238" w14:textId="30B145AE" w:rsidR="00EC7EC7" w:rsidRDefault="00EC7EC7" w:rsidP="00295601">
      <w:pPr>
        <w:pStyle w:val="BodyText"/>
        <w:spacing w:after="360"/>
      </w:pPr>
      <w:r>
        <w:t>A range of high heat processes exist in manufacturing and minerals processing. Examples include the production of alumina</w:t>
      </w:r>
      <w:r w:rsidR="00E90C9F">
        <w:t xml:space="preserve"> (Box 3.</w:t>
      </w:r>
      <w:r w:rsidR="004C117A">
        <w:t>4</w:t>
      </w:r>
      <w:r w:rsidR="00E90C9F">
        <w:t>)</w:t>
      </w:r>
      <w:r>
        <w:t>, steel</w:t>
      </w:r>
      <w:r w:rsidR="00E90C9F">
        <w:t xml:space="preserve"> (Box 3.</w:t>
      </w:r>
      <w:r w:rsidR="004C117A">
        <w:t>5</w:t>
      </w:r>
      <w:r w:rsidR="00E90C9F">
        <w:t>)</w:t>
      </w:r>
      <w:r>
        <w:t>, glass, bricks, ceramics and lithium hydroxide (Box 3.</w:t>
      </w:r>
      <w:r w:rsidR="004C117A">
        <w:t>6</w:t>
      </w:r>
      <w:r w:rsidR="00E90C9F">
        <w:t>).</w:t>
      </w:r>
      <w:r>
        <w:t xml:space="preserve"> </w:t>
      </w:r>
    </w:p>
    <w:tbl>
      <w:tblPr>
        <w:tblStyle w:val="OCETable"/>
        <w:tblW w:w="6804" w:type="dxa"/>
        <w:shd w:val="clear" w:color="auto" w:fill="DEE8F1"/>
        <w:tblLayout w:type="fixed"/>
        <w:tblCellMar>
          <w:top w:w="57" w:type="dxa"/>
          <w:bottom w:w="57" w:type="dxa"/>
        </w:tblCellMar>
        <w:tblLook w:val="04A0" w:firstRow="1" w:lastRow="0" w:firstColumn="1" w:lastColumn="0" w:noHBand="0" w:noVBand="1"/>
      </w:tblPr>
      <w:tblGrid>
        <w:gridCol w:w="6804"/>
      </w:tblGrid>
      <w:tr w:rsidR="00EC7EC7" w14:paraId="4001E05A" w14:textId="77777777" w:rsidTr="00AA38BB">
        <w:trPr>
          <w:cnfStyle w:val="100000000000" w:firstRow="1" w:lastRow="0" w:firstColumn="0" w:lastColumn="0" w:oddVBand="0" w:evenVBand="0" w:oddHBand="0" w:evenHBand="0" w:firstRowFirstColumn="0" w:firstRowLastColumn="0" w:lastRowFirstColumn="0" w:lastRowLastColumn="0"/>
          <w:trHeight w:val="2835"/>
        </w:trPr>
        <w:tc>
          <w:tcPr>
            <w:tcW w:w="0" w:type="pct"/>
            <w:shd w:val="clear" w:color="auto" w:fill="DEE8F1"/>
          </w:tcPr>
          <w:p w14:paraId="480453B0" w14:textId="56F30B43" w:rsidR="00EC7EC7" w:rsidRDefault="00EC7EC7" w:rsidP="00AA38BB">
            <w:pPr>
              <w:pStyle w:val="Boxtext"/>
              <w:spacing w:beforeLines="40" w:before="96" w:afterLines="60" w:after="144"/>
              <w:ind w:left="119" w:right="113"/>
              <w:jc w:val="both"/>
              <w:rPr>
                <w:color w:val="auto"/>
              </w:rPr>
            </w:pPr>
            <w:r>
              <w:br w:type="column"/>
            </w:r>
            <w:r>
              <w:br w:type="column"/>
            </w:r>
            <w:r>
              <w:br w:type="column"/>
            </w:r>
            <w:r w:rsidRPr="00D42D0E">
              <w:rPr>
                <w:b/>
                <w:color w:val="005CAF" w:themeColor="accent1"/>
              </w:rPr>
              <w:t>Box 3.</w:t>
            </w:r>
            <w:r w:rsidR="00D42D0E" w:rsidRPr="00D42D0E">
              <w:rPr>
                <w:b/>
                <w:color w:val="005CAF" w:themeColor="accent1"/>
              </w:rPr>
              <w:t>4</w:t>
            </w:r>
            <w:r w:rsidRPr="00D42D0E">
              <w:rPr>
                <w:b/>
                <w:bCs/>
                <w:color w:val="005CAF" w:themeColor="accent1"/>
              </w:rPr>
              <w:t>: Al</w:t>
            </w:r>
            <w:r>
              <w:rPr>
                <w:b/>
                <w:bCs/>
                <w:color w:val="005CAF" w:themeColor="accent1"/>
              </w:rPr>
              <w:t>umina production</w:t>
            </w:r>
          </w:p>
          <w:p w14:paraId="690B5C81" w14:textId="2A56BBBD" w:rsidR="00EC7EC7" w:rsidRDefault="00EC7EC7" w:rsidP="00C50D71">
            <w:pPr>
              <w:pStyle w:val="Boxtext"/>
              <w:spacing w:beforeLines="60" w:before="144" w:afterLines="60" w:after="144"/>
              <w:ind w:left="113" w:right="113"/>
            </w:pPr>
            <w:r w:rsidRPr="00F756F1">
              <w:rPr>
                <w:color w:val="373737"/>
              </w:rPr>
              <w:t xml:space="preserve">Alumina refining requires two high heat stages. The first </w:t>
            </w:r>
            <w:r w:rsidR="00C17545" w:rsidRPr="00C17545">
              <w:rPr>
                <w:color w:val="auto"/>
                <w:lang w:eastAsia="en-AU"/>
              </w:rPr>
              <w:t>—</w:t>
            </w:r>
            <w:r w:rsidRPr="00F756F1">
              <w:rPr>
                <w:color w:val="373737"/>
              </w:rPr>
              <w:t xml:space="preserve"> digestion </w:t>
            </w:r>
            <w:r w:rsidR="00C17545" w:rsidRPr="00C17545">
              <w:rPr>
                <w:color w:val="auto"/>
                <w:lang w:eastAsia="en-AU"/>
              </w:rPr>
              <w:t>—</w:t>
            </w:r>
            <w:r w:rsidRPr="00F756F1">
              <w:rPr>
                <w:color w:val="373737"/>
              </w:rPr>
              <w:t xml:space="preserve"> requires heat and steam at approximately 200 degrees Celsius. The second </w:t>
            </w:r>
            <w:r w:rsidR="00C17545" w:rsidRPr="00C17545">
              <w:rPr>
                <w:color w:val="auto"/>
                <w:lang w:eastAsia="en-AU"/>
              </w:rPr>
              <w:t>—</w:t>
            </w:r>
            <w:r w:rsidRPr="00F756F1">
              <w:rPr>
                <w:color w:val="373737"/>
              </w:rPr>
              <w:t xml:space="preserve"> calcination </w:t>
            </w:r>
            <w:r w:rsidR="00C17545" w:rsidRPr="00C17545">
              <w:rPr>
                <w:color w:val="auto"/>
                <w:lang w:eastAsia="en-AU"/>
              </w:rPr>
              <w:t>—</w:t>
            </w:r>
            <w:r w:rsidRPr="00F756F1">
              <w:rPr>
                <w:color w:val="373737"/>
              </w:rPr>
              <w:t xml:space="preserve"> requires heat at around 1000 degrees Celsius. According to Climateworks, there are near-term electrification options to replace fossil fuels in the digestion stage. Although gas is currently the cleanest of the economic options to produce the high heat required for calcination, hydrogen and direct electrification are prospective pathways for the calcination process in alumina production.</w:t>
            </w:r>
          </w:p>
          <w:p w14:paraId="73E8AB55" w14:textId="7C8F8617" w:rsidR="00EC7EC7" w:rsidRPr="00F756F1" w:rsidRDefault="00EC7EC7" w:rsidP="00C50D71">
            <w:pPr>
              <w:pStyle w:val="Source"/>
              <w:rPr>
                <w:b/>
                <w:bCs/>
                <w:color w:val="373737"/>
              </w:rPr>
            </w:pPr>
            <w:r w:rsidRPr="00DB57E9">
              <w:t xml:space="preserve">Source: </w:t>
            </w:r>
            <w:r w:rsidR="00006846" w:rsidRPr="00F756F1">
              <w:t>Climateworks</w:t>
            </w:r>
            <w:r w:rsidR="007D0852">
              <w:t xml:space="preserve"> Centre</w:t>
            </w:r>
            <w:r w:rsidR="00116FEC" w:rsidRPr="00116FEC">
              <w:t xml:space="preserve"> </w:t>
            </w:r>
            <w:r w:rsidR="007D0852">
              <w:t>and CSIRO (2023)</w:t>
            </w:r>
          </w:p>
        </w:tc>
      </w:tr>
    </w:tbl>
    <w:p w14:paraId="2308BBEE" w14:textId="065AE95F" w:rsidR="00EC7EC7" w:rsidRDefault="00EC7EC7" w:rsidP="00790CDE">
      <w:pPr>
        <w:pStyle w:val="BodyText"/>
        <w:spacing w:before="240"/>
      </w:pPr>
      <w:r>
        <w:t>Processes require temperatures that range from above 200⁰C</w:t>
      </w:r>
      <w:r w:rsidRPr="00E0093B">
        <w:rPr>
          <w:rStyle w:val="FootnoteReference"/>
        </w:rPr>
        <w:footnoteReference w:id="9"/>
      </w:r>
      <w:r>
        <w:t xml:space="preserve"> to above 1600⁰C, which are difficult to achieve at manageable cost without gas or coal given current technology. This is in contrast to low</w:t>
      </w:r>
      <w:r w:rsidR="0077247A">
        <w:t>-</w:t>
      </w:r>
      <w:r>
        <w:t>heat applications, where electrification is a viable alternative, and processes needing combustion under 500</w:t>
      </w:r>
      <w:r>
        <w:rPr>
          <w:rFonts w:cstheme="majorHAnsi"/>
        </w:rPr>
        <w:t>°</w:t>
      </w:r>
      <w:r>
        <w:t>C, which can be accommodated by thermal energy storage.</w:t>
      </w:r>
      <w:r w:rsidRPr="00F14272">
        <w:t xml:space="preserve"> </w:t>
      </w:r>
      <w:r>
        <w:t xml:space="preserve">There are instances globally where electrification has been indicated as a potential solution already for high heat processes. </w:t>
      </w:r>
      <w:r w:rsidR="00E90C9F">
        <w:t xml:space="preserve">Biofuels are </w:t>
      </w:r>
      <w:r w:rsidR="00E852EA">
        <w:t>another</w:t>
      </w:r>
      <w:r w:rsidR="00E90C9F">
        <w:t xml:space="preserve"> promising option; for example, </w:t>
      </w:r>
      <w:r w:rsidR="006601A3">
        <w:t xml:space="preserve">Rio Tinto, </w:t>
      </w:r>
      <w:r w:rsidR="00E90C9F">
        <w:t>Brickworks and Ad</w:t>
      </w:r>
      <w:r w:rsidR="000C4281">
        <w:t>bri</w:t>
      </w:r>
      <w:r w:rsidR="00E90C9F">
        <w:t xml:space="preserve"> are currently incorporating greater use of biofuels into their operations.</w:t>
      </w:r>
    </w:p>
    <w:tbl>
      <w:tblPr>
        <w:tblStyle w:val="OCETable"/>
        <w:tblW w:w="6804" w:type="dxa"/>
        <w:shd w:val="clear" w:color="auto" w:fill="DEE8F1"/>
        <w:tblLayout w:type="fixed"/>
        <w:tblCellMar>
          <w:top w:w="57" w:type="dxa"/>
          <w:bottom w:w="57" w:type="dxa"/>
        </w:tblCellMar>
        <w:tblLook w:val="04A0" w:firstRow="1" w:lastRow="0" w:firstColumn="1" w:lastColumn="0" w:noHBand="0" w:noVBand="1"/>
      </w:tblPr>
      <w:tblGrid>
        <w:gridCol w:w="6804"/>
      </w:tblGrid>
      <w:tr w:rsidR="00EC7EC7" w14:paraId="3BE4101C" w14:textId="77777777" w:rsidTr="00AA38BB">
        <w:trPr>
          <w:cnfStyle w:val="100000000000" w:firstRow="1" w:lastRow="0" w:firstColumn="0" w:lastColumn="0" w:oddVBand="0" w:evenVBand="0" w:oddHBand="0" w:evenHBand="0" w:firstRowFirstColumn="0" w:firstRowLastColumn="0" w:lastRowFirstColumn="0" w:lastRowLastColumn="0"/>
          <w:trHeight w:val="709"/>
        </w:trPr>
        <w:tc>
          <w:tcPr>
            <w:tcW w:w="0" w:type="pct"/>
            <w:shd w:val="clear" w:color="auto" w:fill="DEE8F1"/>
          </w:tcPr>
          <w:p w14:paraId="211E6E22" w14:textId="4CC04C2E" w:rsidR="00EC7EC7" w:rsidRDefault="00EC7EC7" w:rsidP="00AA38BB">
            <w:pPr>
              <w:pStyle w:val="Boxtext"/>
              <w:spacing w:beforeLines="40" w:before="96" w:afterLines="60" w:after="144"/>
              <w:ind w:left="119" w:right="183"/>
              <w:jc w:val="both"/>
              <w:rPr>
                <w:color w:val="auto"/>
              </w:rPr>
            </w:pPr>
            <w:r>
              <w:br w:type="column"/>
            </w:r>
            <w:r>
              <w:br w:type="column"/>
            </w:r>
            <w:r>
              <w:br w:type="column"/>
            </w:r>
            <w:r w:rsidRPr="00D42D0E">
              <w:rPr>
                <w:b/>
                <w:bCs/>
                <w:color w:val="005CAF" w:themeColor="accent1"/>
              </w:rPr>
              <w:t>Box 3.</w:t>
            </w:r>
            <w:r w:rsidR="00D42D0E">
              <w:rPr>
                <w:b/>
                <w:color w:val="005CAF" w:themeColor="accent1"/>
              </w:rPr>
              <w:t>5</w:t>
            </w:r>
            <w:r>
              <w:rPr>
                <w:b/>
                <w:bCs/>
                <w:color w:val="005CAF" w:themeColor="accent1"/>
              </w:rPr>
              <w:t>: S</w:t>
            </w:r>
            <w:r w:rsidRPr="00F756F1">
              <w:rPr>
                <w:b/>
                <w:bCs/>
                <w:color w:val="005CAF" w:themeColor="accent1"/>
              </w:rPr>
              <w:t xml:space="preserve">teel Manufacturing </w:t>
            </w:r>
            <w:r w:rsidR="00DB0191">
              <w:rPr>
                <w:b/>
                <w:bCs/>
                <w:color w:val="005CAF" w:themeColor="accent1"/>
              </w:rPr>
              <w:t>–</w:t>
            </w:r>
            <w:r w:rsidRPr="00F756F1">
              <w:rPr>
                <w:b/>
                <w:bCs/>
                <w:color w:val="005CAF" w:themeColor="accent1"/>
              </w:rPr>
              <w:t xml:space="preserve"> the road to hydrogen</w:t>
            </w:r>
          </w:p>
          <w:p w14:paraId="2773CB92" w14:textId="5A1F0F08" w:rsidR="00EC7EC7" w:rsidRPr="00F756F1" w:rsidRDefault="00EC7EC7" w:rsidP="00AA38BB">
            <w:pPr>
              <w:pStyle w:val="Boxtext"/>
              <w:spacing w:beforeLines="60" w:before="144" w:afterLines="60" w:after="144"/>
              <w:ind w:left="113" w:right="183"/>
              <w:rPr>
                <w:color w:val="373737"/>
              </w:rPr>
            </w:pPr>
            <w:r w:rsidRPr="00F756F1">
              <w:rPr>
                <w:color w:val="373737"/>
              </w:rPr>
              <w:t xml:space="preserve">The steel industry illustrates that the pathway to decarbonisation is likely to involve increased demand for gas for some industries. </w:t>
            </w:r>
            <w:r>
              <w:rPr>
                <w:color w:val="373737"/>
              </w:rPr>
              <w:t>A</w:t>
            </w:r>
            <w:r w:rsidRPr="00F756F1">
              <w:rPr>
                <w:color w:val="373737"/>
              </w:rPr>
              <w:t xml:space="preserve">ccording to Climateworks’ Pathways to Industrial Decarbonisation </w:t>
            </w:r>
            <w:r w:rsidR="00765CDE" w:rsidRPr="00F756F1">
              <w:rPr>
                <w:color w:val="373737"/>
              </w:rPr>
              <w:t>report</w:t>
            </w:r>
            <w:r w:rsidR="00765CDE">
              <w:rPr>
                <w:color w:val="373737"/>
              </w:rPr>
              <w:t>,</w:t>
            </w:r>
            <w:r w:rsidR="00765CDE" w:rsidRPr="00F756F1">
              <w:rPr>
                <w:color w:val="373737"/>
              </w:rPr>
              <w:t xml:space="preserve"> </w:t>
            </w:r>
            <w:r w:rsidRPr="00F756F1">
              <w:rPr>
                <w:color w:val="373737"/>
              </w:rPr>
              <w:t>the pathway to zero emissions for steel involves adopting new processes that use gas in place of coal, before switching to hydrogen:</w:t>
            </w:r>
          </w:p>
          <w:p w14:paraId="205562E1" w14:textId="77777777" w:rsidR="00EC7EC7" w:rsidRPr="00F756F1" w:rsidRDefault="00EC7EC7" w:rsidP="00450026">
            <w:pPr>
              <w:pStyle w:val="ListBullet2"/>
              <w:numPr>
                <w:ilvl w:val="1"/>
                <w:numId w:val="4"/>
              </w:numPr>
              <w:ind w:left="568" w:right="183" w:hanging="284"/>
            </w:pPr>
            <w:r w:rsidRPr="00F756F1">
              <w:t>Today’s processes involve passing inputs of iron ore, coking (metallurgical) coal and limestone through a blast furnace and basic oxygen furnace (BF-BOF) to produce steel. Emissions per tonne of steel are 2.2t CO</w:t>
            </w:r>
            <w:r w:rsidRPr="00F756F1">
              <w:rPr>
                <w:vertAlign w:val="subscript"/>
              </w:rPr>
              <w:t>2</w:t>
            </w:r>
            <w:r w:rsidRPr="00F756F1">
              <w:t>.</w:t>
            </w:r>
          </w:p>
          <w:p w14:paraId="06BF061E" w14:textId="6648A77C" w:rsidR="00EC7EC7" w:rsidRPr="00F756F1" w:rsidRDefault="00EC7EC7" w:rsidP="00450026">
            <w:pPr>
              <w:pStyle w:val="ListBullet2"/>
              <w:numPr>
                <w:ilvl w:val="1"/>
                <w:numId w:val="4"/>
              </w:numPr>
              <w:ind w:left="568" w:right="183" w:hanging="284"/>
            </w:pPr>
            <w:r w:rsidRPr="00F756F1">
              <w:t>Direct reduced iron and electric arc furnaces (DRI-EAF) offer significant emissions savings and is a technology that is currently in early</w:t>
            </w:r>
            <w:r w:rsidR="00AB441C" w:rsidRPr="00F756F1">
              <w:t>-</w:t>
            </w:r>
            <w:r w:rsidRPr="00F756F1">
              <w:t>stage deployment. Emissions per tonne of steel using natural gas feedstock are 1.4t CO</w:t>
            </w:r>
            <w:r w:rsidRPr="00F756F1">
              <w:rPr>
                <w:vertAlign w:val="subscript"/>
              </w:rPr>
              <w:t>2</w:t>
            </w:r>
            <w:r w:rsidRPr="00F756F1">
              <w:t>. However, this process will need to be adjusted for Australian ore types.</w:t>
            </w:r>
          </w:p>
          <w:p w14:paraId="695A5F19" w14:textId="77777777" w:rsidR="00EC7EC7" w:rsidRDefault="00EC7EC7" w:rsidP="00450026">
            <w:pPr>
              <w:pStyle w:val="ListBullet2"/>
              <w:numPr>
                <w:ilvl w:val="1"/>
                <w:numId w:val="4"/>
              </w:numPr>
              <w:ind w:left="568" w:right="183" w:hanging="284"/>
            </w:pPr>
            <w:r w:rsidRPr="00F756F1">
              <w:t>DRI-EAF can also be operated with hydrogen in place of natural gas with zero emissions of CO</w:t>
            </w:r>
            <w:r w:rsidRPr="00F756F1">
              <w:rPr>
                <w:vertAlign w:val="subscript"/>
              </w:rPr>
              <w:t>2</w:t>
            </w:r>
            <w:r w:rsidRPr="00F756F1">
              <w:t>.</w:t>
            </w:r>
          </w:p>
          <w:p w14:paraId="4AFF36BF" w14:textId="354BE1A6" w:rsidR="00EC7EC7" w:rsidRPr="00F756F1" w:rsidRDefault="00CC4C7F" w:rsidP="00AA38BB">
            <w:pPr>
              <w:pStyle w:val="Source"/>
              <w:ind w:right="183"/>
              <w:rPr>
                <w:b/>
                <w:bCs/>
                <w:color w:val="373737"/>
              </w:rPr>
            </w:pPr>
            <w:r>
              <w:br/>
            </w:r>
            <w:r w:rsidR="00EC7EC7" w:rsidRPr="00DB57E9">
              <w:t>Source:</w:t>
            </w:r>
            <w:r w:rsidR="007D0852">
              <w:t xml:space="preserve"> C</w:t>
            </w:r>
            <w:r w:rsidR="007D0852" w:rsidRPr="00F756F1">
              <w:t>limateworks</w:t>
            </w:r>
            <w:r w:rsidR="007D0852">
              <w:t xml:space="preserve"> Centre</w:t>
            </w:r>
            <w:r w:rsidR="007D0852" w:rsidRPr="00116FEC">
              <w:t xml:space="preserve"> </w:t>
            </w:r>
            <w:r w:rsidR="007D0852">
              <w:t>and CSIRO (2023)</w:t>
            </w:r>
          </w:p>
        </w:tc>
      </w:tr>
    </w:tbl>
    <w:p w14:paraId="374ACA07" w14:textId="77777777" w:rsidR="00EC7EC7" w:rsidRDefault="00EC7EC7" w:rsidP="00EC7EC7">
      <w:pPr>
        <w:pStyle w:val="Heading3"/>
      </w:pPr>
      <w:r w:rsidRPr="00AF7B9F">
        <w:t>Feedstock</w:t>
      </w:r>
    </w:p>
    <w:p w14:paraId="4B354FCD" w14:textId="52DE9B0D" w:rsidR="00EC7EC7" w:rsidRDefault="00EC7EC7" w:rsidP="00EC7EC7">
      <w:pPr>
        <w:pStyle w:val="BodyText"/>
      </w:pPr>
      <w:r>
        <w:t xml:space="preserve">Natural gas is also used as a feedstock (i.e. to provide molecules) to </w:t>
      </w:r>
      <w:r w:rsidR="001227BE">
        <w:t>make</w:t>
      </w:r>
      <w:r>
        <w:t xml:space="preserve"> other products, such as plastics, fertilisers, packaging, clothing, tyres, detergents, insulators, rubber, propellants, pharmaceuticals refrigeration, adhesives, cosmetics and many others.</w:t>
      </w:r>
    </w:p>
    <w:p w14:paraId="1DF99E37" w14:textId="0B5A6BB5" w:rsidR="00D97898" w:rsidRDefault="00EC7EC7" w:rsidP="00EC7EC7">
      <w:pPr>
        <w:pStyle w:val="BodyText"/>
      </w:pPr>
      <w:r>
        <w:t>A range of manufacturing or refining processes are looking to hydrogen as a potential substitute. Hydrogen gas is a</w:t>
      </w:r>
      <w:r w:rsidR="00D176AA">
        <w:t>n</w:t>
      </w:r>
      <w:r>
        <w:t xml:space="preserve"> alternative for processes that convert methane gas to hydrogen, such as for fertiliser and explosive</w:t>
      </w:r>
      <w:r w:rsidR="00D9406A">
        <w:t>s</w:t>
      </w:r>
      <w:r>
        <w:t xml:space="preserve"> </w:t>
      </w:r>
    </w:p>
    <w:p w14:paraId="57433C78" w14:textId="55F5C6A8" w:rsidR="00EC7EC7" w:rsidRDefault="00EC7EC7" w:rsidP="00EC7EC7">
      <w:pPr>
        <w:pStyle w:val="BodyText"/>
      </w:pPr>
      <w:r>
        <w:t>production (see Box 3.</w:t>
      </w:r>
      <w:r w:rsidR="004C117A">
        <w:t>6</w:t>
      </w:r>
      <w:r>
        <w:t>). However, it should be noted that for some reactions, substituting hydrogen for natural gas may also require sourcing alternative sources of carbon (see Box 3.</w:t>
      </w:r>
      <w:r w:rsidR="004C117A">
        <w:t>7</w:t>
      </w:r>
      <w:r>
        <w:t xml:space="preserve">). </w:t>
      </w:r>
    </w:p>
    <w:p w14:paraId="7444CA63" w14:textId="6C94CE33" w:rsidR="00E90C9F" w:rsidRDefault="00EC7EC7" w:rsidP="00EC7EC7">
      <w:pPr>
        <w:pStyle w:val="BodyText"/>
      </w:pPr>
      <w:r>
        <w:t xml:space="preserve">An </w:t>
      </w:r>
      <w:r w:rsidR="00E90C9F">
        <w:t>e</w:t>
      </w:r>
      <w:r w:rsidR="00DB0191">
        <w:t>merg</w:t>
      </w:r>
      <w:r w:rsidR="00E90C9F">
        <w:t>i</w:t>
      </w:r>
      <w:r>
        <w:t xml:space="preserve">ng alternative to natural gas is green ammonia that is produced using renewable energy. Green ammonia can be used as a feedstock for both current applications (such as chemicals, fertilisers and explosives) and new applications (such as power generation, maritime transport and as a transport medium for hydrogen). Green ammonia production is </w:t>
      </w:r>
    </w:p>
    <w:tbl>
      <w:tblPr>
        <w:tblStyle w:val="OCETable"/>
        <w:tblpPr w:leftFromText="180" w:rightFromText="180" w:vertAnchor="text" w:horzAnchor="margin" w:tblpY="2597"/>
        <w:tblW w:w="6836" w:type="dxa"/>
        <w:shd w:val="clear" w:color="auto" w:fill="DEE8F1"/>
        <w:tblLayout w:type="fixed"/>
        <w:tblLook w:val="04A0" w:firstRow="1" w:lastRow="0" w:firstColumn="1" w:lastColumn="0" w:noHBand="0" w:noVBand="1"/>
      </w:tblPr>
      <w:tblGrid>
        <w:gridCol w:w="6836"/>
      </w:tblGrid>
      <w:tr w:rsidR="00E90C9F" w14:paraId="5E98F3C6" w14:textId="77777777" w:rsidTr="00D97898">
        <w:trPr>
          <w:cnfStyle w:val="100000000000" w:firstRow="1" w:lastRow="0" w:firstColumn="0" w:lastColumn="0" w:oddVBand="0" w:evenVBand="0" w:oddHBand="0" w:evenHBand="0" w:firstRowFirstColumn="0" w:firstRowLastColumn="0" w:lastRowFirstColumn="0" w:lastRowLastColumn="0"/>
          <w:trHeight w:val="877"/>
        </w:trPr>
        <w:tc>
          <w:tcPr>
            <w:tcW w:w="5000" w:type="pct"/>
            <w:shd w:val="clear" w:color="auto" w:fill="DEE8F1"/>
          </w:tcPr>
          <w:p w14:paraId="0E151CD2" w14:textId="1CBEC7DF" w:rsidR="00E90C9F" w:rsidRDefault="00E90C9F" w:rsidP="00E90C9F">
            <w:pPr>
              <w:pStyle w:val="Boxtext"/>
              <w:spacing w:beforeLines="60" w:before="144" w:afterLines="60" w:after="144"/>
              <w:ind w:left="119" w:right="113"/>
              <w:jc w:val="both"/>
              <w:rPr>
                <w:color w:val="auto"/>
              </w:rPr>
            </w:pPr>
            <w:r>
              <w:br w:type="column"/>
            </w:r>
            <w:r>
              <w:br w:type="column"/>
            </w:r>
            <w:r>
              <w:br w:type="column"/>
            </w:r>
            <w:r w:rsidRPr="00D42D0E">
              <w:rPr>
                <w:b/>
                <w:color w:val="005CAF" w:themeColor="accent1"/>
              </w:rPr>
              <w:t>Box 3.</w:t>
            </w:r>
            <w:r w:rsidR="00D42D0E" w:rsidRPr="00D42D0E">
              <w:rPr>
                <w:b/>
                <w:color w:val="005CAF" w:themeColor="accent1"/>
              </w:rPr>
              <w:t>6</w:t>
            </w:r>
            <w:r w:rsidRPr="00D42D0E">
              <w:rPr>
                <w:b/>
                <w:color w:val="005CAF" w:themeColor="accent1"/>
              </w:rPr>
              <w:t>:</w:t>
            </w:r>
            <w:r w:rsidRPr="00D42D0E">
              <w:rPr>
                <w:b/>
                <w:bCs/>
                <w:color w:val="005CAF" w:themeColor="accent1"/>
              </w:rPr>
              <w:t xml:space="preserve"> Natural gas as</w:t>
            </w:r>
            <w:r w:rsidRPr="00426C6E">
              <w:rPr>
                <w:b/>
                <w:bCs/>
                <w:color w:val="005CAF" w:themeColor="accent1"/>
              </w:rPr>
              <w:t xml:space="preserve"> a </w:t>
            </w:r>
            <w:r w:rsidR="00D362D1">
              <w:rPr>
                <w:b/>
                <w:bCs/>
                <w:color w:val="005CAF" w:themeColor="accent1"/>
              </w:rPr>
              <w:t>c</w:t>
            </w:r>
            <w:r w:rsidRPr="00426C6E">
              <w:rPr>
                <w:b/>
                <w:bCs/>
                <w:color w:val="005CAF" w:themeColor="accent1"/>
              </w:rPr>
              <w:t xml:space="preserve">hemical </w:t>
            </w:r>
            <w:r w:rsidR="00D362D1">
              <w:rPr>
                <w:b/>
                <w:bCs/>
                <w:color w:val="005CAF" w:themeColor="accent1"/>
              </w:rPr>
              <w:t>f</w:t>
            </w:r>
            <w:r w:rsidRPr="00426C6E">
              <w:rPr>
                <w:b/>
                <w:bCs/>
                <w:color w:val="005CAF" w:themeColor="accent1"/>
              </w:rPr>
              <w:t>eedstock</w:t>
            </w:r>
          </w:p>
          <w:p w14:paraId="5AFF6AA5" w14:textId="77777777" w:rsidR="00E90C9F" w:rsidRPr="00426C6E" w:rsidRDefault="00E90C9F" w:rsidP="00E90C9F">
            <w:pPr>
              <w:pStyle w:val="Boxtext"/>
              <w:spacing w:beforeLines="60" w:before="144" w:afterLines="60" w:after="144"/>
              <w:ind w:left="113" w:right="113"/>
              <w:rPr>
                <w:color w:val="373737"/>
                <w:u w:val="single"/>
              </w:rPr>
            </w:pPr>
            <w:r w:rsidRPr="00426C6E">
              <w:rPr>
                <w:color w:val="373737"/>
                <w:u w:val="single"/>
              </w:rPr>
              <w:t>Fertiliser and explosives</w:t>
            </w:r>
          </w:p>
          <w:p w14:paraId="13AB2B4A" w14:textId="77777777" w:rsidR="00E90C9F" w:rsidRPr="00426C6E" w:rsidRDefault="00E90C9F" w:rsidP="00E90C9F">
            <w:pPr>
              <w:pStyle w:val="Boxtext"/>
              <w:spacing w:beforeLines="60" w:before="144" w:afterLines="60" w:after="144"/>
              <w:ind w:left="113" w:right="113"/>
              <w:rPr>
                <w:color w:val="373737"/>
              </w:rPr>
            </w:pPr>
            <w:r w:rsidRPr="00426C6E">
              <w:rPr>
                <w:color w:val="373737"/>
              </w:rPr>
              <w:t>The Natural Gas/Methane molecule is comprised of one carbon atom and four hydrogen atoms (</w:t>
            </w:r>
            <w:r w:rsidRPr="00426C6E">
              <w:rPr>
                <w:rFonts w:ascii="Times New Roman" w:hAnsi="Times New Roman" w:cs="Times New Roman"/>
                <w:color w:val="373737"/>
              </w:rPr>
              <w:t>CH</w:t>
            </w:r>
            <w:r w:rsidRPr="00426C6E">
              <w:rPr>
                <w:rFonts w:ascii="Times New Roman" w:hAnsi="Times New Roman" w:cs="Times New Roman"/>
                <w:color w:val="373737"/>
                <w:vertAlign w:val="subscript"/>
              </w:rPr>
              <w:t>4</w:t>
            </w:r>
            <w:r w:rsidRPr="00426C6E">
              <w:rPr>
                <w:color w:val="373737"/>
              </w:rPr>
              <w:t>). Combi</w:t>
            </w:r>
            <w:r>
              <w:rPr>
                <w:color w:val="373737"/>
              </w:rPr>
              <w:t>ni</w:t>
            </w:r>
            <w:r w:rsidRPr="00426C6E">
              <w:rPr>
                <w:color w:val="373737"/>
              </w:rPr>
              <w:t>ng Natural Gas (</w:t>
            </w:r>
            <w:r w:rsidRPr="00426C6E">
              <w:rPr>
                <w:rFonts w:ascii="Times New Roman" w:hAnsi="Times New Roman" w:cs="Times New Roman"/>
                <w:color w:val="373737"/>
              </w:rPr>
              <w:t>CH</w:t>
            </w:r>
            <w:r w:rsidRPr="00426C6E">
              <w:rPr>
                <w:rFonts w:ascii="Times New Roman" w:hAnsi="Times New Roman" w:cs="Times New Roman"/>
                <w:color w:val="373737"/>
                <w:vertAlign w:val="subscript"/>
              </w:rPr>
              <w:t>4</w:t>
            </w:r>
            <w:r w:rsidRPr="00426C6E">
              <w:rPr>
                <w:color w:val="373737"/>
              </w:rPr>
              <w:t>) with water vapor (</w:t>
            </w:r>
            <w:r w:rsidRPr="00426C6E">
              <w:rPr>
                <w:rFonts w:ascii="Cambria Math" w:hAnsi="Cambria Math"/>
                <w:color w:val="373737"/>
              </w:rPr>
              <w:t>H</w:t>
            </w:r>
            <w:r w:rsidRPr="00426C6E">
              <w:rPr>
                <w:rFonts w:ascii="Cambria Math" w:hAnsi="Cambria Math"/>
                <w:color w:val="373737"/>
                <w:vertAlign w:val="subscript"/>
              </w:rPr>
              <w:t>2</w:t>
            </w:r>
            <w:r w:rsidRPr="00426C6E">
              <w:rPr>
                <w:rFonts w:ascii="Cambria Math" w:hAnsi="Cambria Math"/>
                <w:color w:val="373737"/>
              </w:rPr>
              <w:t>O</w:t>
            </w:r>
            <w:r w:rsidRPr="00426C6E">
              <w:rPr>
                <w:color w:val="373737"/>
              </w:rPr>
              <w:t>) via steam-methane reforming yields one molecule of carbon monoxide (</w:t>
            </w:r>
            <w:r w:rsidRPr="00426C6E">
              <w:rPr>
                <w:rFonts w:ascii="Cambria Math" w:hAnsi="Cambria Math"/>
                <w:color w:val="373737"/>
              </w:rPr>
              <w:t>CO</w:t>
            </w:r>
            <w:r w:rsidRPr="00426C6E">
              <w:rPr>
                <w:color w:val="373737"/>
              </w:rPr>
              <w:t>) and three molecules of Hydrogen atoms (</w:t>
            </w:r>
            <w:r w:rsidRPr="00426C6E">
              <w:rPr>
                <w:rFonts w:ascii="Times New Roman" w:hAnsi="Times New Roman" w:cs="Times New Roman"/>
                <w:color w:val="373737"/>
              </w:rPr>
              <w:t>3H</w:t>
            </w:r>
            <w:r w:rsidRPr="00426C6E">
              <w:rPr>
                <w:rFonts w:ascii="Times New Roman" w:hAnsi="Times New Roman" w:cs="Times New Roman"/>
                <w:color w:val="373737"/>
                <w:vertAlign w:val="subscript"/>
              </w:rPr>
              <w:t>2</w:t>
            </w:r>
            <w:r w:rsidRPr="00426C6E">
              <w:rPr>
                <w:color w:val="373737"/>
              </w:rPr>
              <w:t>).</w:t>
            </w:r>
          </w:p>
          <w:p w14:paraId="28A86637" w14:textId="77777777" w:rsidR="00E90C9F" w:rsidRPr="00426C6E" w:rsidRDefault="00E90C9F" w:rsidP="00E90C9F">
            <w:pPr>
              <w:pStyle w:val="Boxtext"/>
              <w:spacing w:beforeLines="60" w:before="144" w:afterLines="60" w:after="144"/>
              <w:ind w:left="113" w:right="113"/>
              <w:rPr>
                <w:b/>
                <w:bCs/>
                <w:color w:val="373737"/>
              </w:rPr>
            </w:pPr>
            <w:r w:rsidRPr="00426C6E">
              <w:rPr>
                <w:b/>
                <w:bCs/>
                <w:color w:val="373737"/>
              </w:rPr>
              <w:t>Steam methane reforming reaction:</w:t>
            </w:r>
          </w:p>
          <w:p w14:paraId="5F660586" w14:textId="77777777" w:rsidR="00E90C9F" w:rsidRPr="00426C6E" w:rsidRDefault="00E90C9F" w:rsidP="00E90C9F">
            <w:pPr>
              <w:pStyle w:val="Boxtext"/>
              <w:spacing w:beforeLines="60" w:before="144" w:afterLines="60" w:after="144"/>
              <w:ind w:left="113" w:right="113"/>
              <w:rPr>
                <w:rFonts w:ascii="Times New Roman" w:hAnsi="Times New Roman" w:cs="Times New Roman"/>
                <w:color w:val="373737"/>
              </w:rPr>
            </w:pPr>
            <w:r w:rsidRPr="00426C6E">
              <w:rPr>
                <w:rFonts w:ascii="Times New Roman" w:hAnsi="Times New Roman" w:cs="Times New Roman"/>
                <w:color w:val="373737"/>
              </w:rPr>
              <w:t>CH</w:t>
            </w:r>
            <w:r w:rsidRPr="00426C6E">
              <w:rPr>
                <w:rFonts w:ascii="Times New Roman" w:hAnsi="Times New Roman" w:cs="Times New Roman"/>
                <w:color w:val="373737"/>
                <w:vertAlign w:val="subscript"/>
              </w:rPr>
              <w:t>4</w:t>
            </w:r>
            <w:r w:rsidRPr="00426C6E">
              <w:rPr>
                <w:rFonts w:ascii="Times New Roman" w:hAnsi="Times New Roman" w:cs="Times New Roman"/>
                <w:color w:val="373737"/>
              </w:rPr>
              <w:t xml:space="preserve"> + H</w:t>
            </w:r>
            <w:r w:rsidRPr="00426C6E">
              <w:rPr>
                <w:rFonts w:ascii="Times New Roman" w:hAnsi="Times New Roman" w:cs="Times New Roman"/>
                <w:color w:val="373737"/>
                <w:vertAlign w:val="subscript"/>
              </w:rPr>
              <w:t>2</w:t>
            </w:r>
            <w:r w:rsidRPr="00426C6E">
              <w:rPr>
                <w:rFonts w:ascii="Times New Roman" w:hAnsi="Times New Roman" w:cs="Times New Roman"/>
                <w:color w:val="373737"/>
              </w:rPr>
              <w:t>0 + (</w:t>
            </w:r>
            <w:r w:rsidRPr="00426C6E">
              <w:rPr>
                <w:rFonts w:ascii="Times New Roman" w:hAnsi="Times New Roman" w:cs="Times New Roman"/>
                <w:i/>
                <w:iCs/>
                <w:color w:val="373737"/>
              </w:rPr>
              <w:t>heat</w:t>
            </w:r>
            <w:r w:rsidRPr="00426C6E">
              <w:rPr>
                <w:rFonts w:ascii="Times New Roman" w:hAnsi="Times New Roman" w:cs="Times New Roman"/>
                <w:color w:val="373737"/>
              </w:rPr>
              <w:t>) → CO + 3H</w:t>
            </w:r>
            <w:r w:rsidRPr="00426C6E">
              <w:rPr>
                <w:rFonts w:ascii="Times New Roman" w:hAnsi="Times New Roman" w:cs="Times New Roman"/>
                <w:color w:val="373737"/>
                <w:vertAlign w:val="subscript"/>
              </w:rPr>
              <w:t>2</w:t>
            </w:r>
          </w:p>
          <w:p w14:paraId="67EED2B3" w14:textId="77777777" w:rsidR="00E90C9F" w:rsidRPr="00426C6E" w:rsidRDefault="00E90C9F" w:rsidP="00E90C9F">
            <w:pPr>
              <w:pStyle w:val="Boxtext"/>
              <w:spacing w:beforeLines="60" w:before="144" w:afterLines="60" w:after="144"/>
              <w:ind w:left="113" w:right="113"/>
              <w:rPr>
                <w:color w:val="373737"/>
              </w:rPr>
            </w:pPr>
            <w:r w:rsidRPr="00426C6E">
              <w:rPr>
                <w:color w:val="373737"/>
              </w:rPr>
              <w:t>The residual carbon monoxide (</w:t>
            </w:r>
            <w:r w:rsidRPr="00426C6E">
              <w:rPr>
                <w:rFonts w:ascii="Times New Roman" w:hAnsi="Times New Roman" w:cs="Times New Roman"/>
                <w:color w:val="373737"/>
              </w:rPr>
              <w:t>CO</w:t>
            </w:r>
            <w:r w:rsidRPr="00426C6E">
              <w:rPr>
                <w:color w:val="373737"/>
              </w:rPr>
              <w:t>) is then combined with more water vapor (</w:t>
            </w:r>
            <w:r w:rsidRPr="00426C6E">
              <w:rPr>
                <w:rFonts w:ascii="Times New Roman" w:hAnsi="Times New Roman" w:cs="Times New Roman"/>
                <w:color w:val="373737"/>
              </w:rPr>
              <w:t>H</w:t>
            </w:r>
            <w:r w:rsidRPr="00426C6E">
              <w:rPr>
                <w:rFonts w:ascii="Times New Roman" w:hAnsi="Times New Roman" w:cs="Times New Roman"/>
                <w:color w:val="373737"/>
                <w:vertAlign w:val="subscript"/>
              </w:rPr>
              <w:t>2</w:t>
            </w:r>
            <w:r w:rsidRPr="00426C6E">
              <w:rPr>
                <w:rFonts w:ascii="Times New Roman" w:hAnsi="Times New Roman" w:cs="Times New Roman"/>
                <w:color w:val="373737"/>
              </w:rPr>
              <w:t>O</w:t>
            </w:r>
            <w:r w:rsidRPr="00426C6E">
              <w:rPr>
                <w:color w:val="373737"/>
              </w:rPr>
              <w:t>) to create carbon dioxide (</w:t>
            </w:r>
            <w:r w:rsidRPr="00426C6E">
              <w:rPr>
                <w:rFonts w:ascii="Times New Roman" w:hAnsi="Times New Roman" w:cs="Times New Roman"/>
                <w:color w:val="373737"/>
              </w:rPr>
              <w:t>CO</w:t>
            </w:r>
            <w:r w:rsidRPr="00426C6E">
              <w:rPr>
                <w:rFonts w:ascii="Times New Roman" w:hAnsi="Times New Roman" w:cs="Times New Roman"/>
                <w:color w:val="373737"/>
                <w:vertAlign w:val="subscript"/>
              </w:rPr>
              <w:t>2</w:t>
            </w:r>
            <w:r w:rsidRPr="00426C6E">
              <w:rPr>
                <w:color w:val="373737"/>
              </w:rPr>
              <w:t>) and an additional molecule of hydrogen (</w:t>
            </w:r>
            <w:r w:rsidRPr="00426C6E">
              <w:rPr>
                <w:rFonts w:ascii="Times New Roman" w:hAnsi="Times New Roman" w:cs="Times New Roman"/>
                <w:color w:val="373737"/>
              </w:rPr>
              <w:t>H</w:t>
            </w:r>
            <w:r w:rsidRPr="00426C6E">
              <w:rPr>
                <w:rFonts w:ascii="Times New Roman" w:hAnsi="Times New Roman" w:cs="Times New Roman"/>
                <w:color w:val="373737"/>
                <w:vertAlign w:val="subscript"/>
              </w:rPr>
              <w:t>2</w:t>
            </w:r>
            <w:r w:rsidRPr="00426C6E">
              <w:rPr>
                <w:color w:val="373737"/>
              </w:rPr>
              <w:t xml:space="preserve">) via a water-gas shift reaction. </w:t>
            </w:r>
          </w:p>
          <w:p w14:paraId="501601E1" w14:textId="77777777" w:rsidR="00E90C9F" w:rsidRPr="00426C6E" w:rsidRDefault="00E90C9F" w:rsidP="00E90C9F">
            <w:pPr>
              <w:pStyle w:val="Boxtext"/>
              <w:spacing w:beforeLines="60" w:before="144" w:afterLines="60" w:after="144"/>
              <w:ind w:left="113" w:right="113"/>
              <w:rPr>
                <w:b/>
                <w:bCs/>
                <w:color w:val="373737"/>
              </w:rPr>
            </w:pPr>
            <w:r w:rsidRPr="00426C6E">
              <w:rPr>
                <w:b/>
                <w:bCs/>
                <w:color w:val="373737"/>
              </w:rPr>
              <w:t>Water-gas shift reaction:</w:t>
            </w:r>
          </w:p>
          <w:p w14:paraId="7753014E" w14:textId="77777777" w:rsidR="00E90C9F" w:rsidRPr="00426C6E" w:rsidRDefault="00E90C9F" w:rsidP="00E90C9F">
            <w:pPr>
              <w:pStyle w:val="Boxtext"/>
              <w:spacing w:beforeLines="60" w:before="144" w:afterLines="60" w:after="144"/>
              <w:ind w:left="113" w:right="113"/>
              <w:rPr>
                <w:rFonts w:ascii="Times New Roman" w:hAnsi="Times New Roman" w:cs="Times New Roman"/>
                <w:color w:val="373737"/>
              </w:rPr>
            </w:pPr>
            <w:r w:rsidRPr="00426C6E">
              <w:rPr>
                <w:rFonts w:ascii="Times New Roman" w:hAnsi="Times New Roman" w:cs="Times New Roman"/>
                <w:color w:val="373737"/>
              </w:rPr>
              <w:t>CO + H</w:t>
            </w:r>
            <w:r w:rsidRPr="00426C6E">
              <w:rPr>
                <w:rFonts w:ascii="Times New Roman" w:hAnsi="Times New Roman" w:cs="Times New Roman"/>
                <w:color w:val="373737"/>
                <w:vertAlign w:val="subscript"/>
              </w:rPr>
              <w:t>2</w:t>
            </w:r>
            <w:r w:rsidRPr="00426C6E">
              <w:rPr>
                <w:rFonts w:ascii="Times New Roman" w:hAnsi="Times New Roman" w:cs="Times New Roman"/>
                <w:color w:val="373737"/>
              </w:rPr>
              <w:t>O → CO</w:t>
            </w:r>
            <w:r w:rsidRPr="00426C6E">
              <w:rPr>
                <w:rFonts w:ascii="Times New Roman" w:hAnsi="Times New Roman" w:cs="Times New Roman"/>
                <w:color w:val="373737"/>
                <w:vertAlign w:val="subscript"/>
              </w:rPr>
              <w:t>2</w:t>
            </w:r>
            <w:r w:rsidRPr="00426C6E">
              <w:rPr>
                <w:rFonts w:ascii="Times New Roman" w:hAnsi="Times New Roman" w:cs="Times New Roman"/>
                <w:color w:val="373737"/>
              </w:rPr>
              <w:t xml:space="preserve"> + H</w:t>
            </w:r>
            <w:r w:rsidRPr="00426C6E">
              <w:rPr>
                <w:rFonts w:ascii="Times New Roman" w:hAnsi="Times New Roman" w:cs="Times New Roman"/>
                <w:color w:val="373737"/>
                <w:vertAlign w:val="subscript"/>
              </w:rPr>
              <w:t>2</w:t>
            </w:r>
          </w:p>
          <w:p w14:paraId="4666151B" w14:textId="68F1AAAF" w:rsidR="00E90C9F" w:rsidRPr="00426C6E" w:rsidRDefault="00E90C9F" w:rsidP="00E90C9F">
            <w:pPr>
              <w:pStyle w:val="Boxtext"/>
              <w:spacing w:beforeLines="60" w:before="144" w:afterLines="60" w:after="144"/>
              <w:ind w:left="113" w:right="113"/>
              <w:rPr>
                <w:color w:val="373737"/>
              </w:rPr>
            </w:pPr>
            <w:r w:rsidRPr="00426C6E">
              <w:rPr>
                <w:color w:val="373737"/>
              </w:rPr>
              <w:t xml:space="preserve">After </w:t>
            </w:r>
            <w:r>
              <w:rPr>
                <w:color w:val="373737"/>
              </w:rPr>
              <w:t>H</w:t>
            </w:r>
            <w:r w:rsidRPr="00426C6E">
              <w:rPr>
                <w:color w:val="373737"/>
              </w:rPr>
              <w:t xml:space="preserve">ydrogen </w:t>
            </w:r>
            <w:r w:rsidRPr="00426C6E">
              <w:rPr>
                <w:rFonts w:ascii="Times New Roman" w:hAnsi="Times New Roman" w:cs="Times New Roman"/>
                <w:color w:val="373737"/>
              </w:rPr>
              <w:t>3H</w:t>
            </w:r>
            <w:r w:rsidRPr="00426C6E">
              <w:rPr>
                <w:rFonts w:ascii="Times New Roman" w:hAnsi="Times New Roman" w:cs="Times New Roman"/>
                <w:color w:val="373737"/>
                <w:vertAlign w:val="subscript"/>
              </w:rPr>
              <w:t>2</w:t>
            </w:r>
            <w:r w:rsidRPr="00426C6E">
              <w:rPr>
                <w:color w:val="373737"/>
              </w:rPr>
              <w:t xml:space="preserve"> has been separated from water and natural gas, it</w:t>
            </w:r>
            <w:r w:rsidR="00785932">
              <w:rPr>
                <w:color w:val="373737"/>
              </w:rPr>
              <w:t>’</w:t>
            </w:r>
            <w:r w:rsidRPr="00426C6E">
              <w:rPr>
                <w:color w:val="373737"/>
              </w:rPr>
              <w:t>s then combined with atmospheric nitrogen (</w:t>
            </w:r>
            <w:r w:rsidRPr="00426C6E">
              <w:rPr>
                <w:rFonts w:ascii="Times New Roman" w:hAnsi="Times New Roman" w:cs="Times New Roman"/>
                <w:color w:val="373737"/>
              </w:rPr>
              <w:t>N</w:t>
            </w:r>
            <w:r w:rsidRPr="00426C6E">
              <w:rPr>
                <w:rFonts w:ascii="Times New Roman" w:hAnsi="Times New Roman" w:cs="Times New Roman"/>
                <w:color w:val="373737"/>
                <w:vertAlign w:val="subscript"/>
              </w:rPr>
              <w:t>2</w:t>
            </w:r>
            <w:r w:rsidRPr="00426C6E">
              <w:rPr>
                <w:color w:val="373737"/>
              </w:rPr>
              <w:t>) via the Haber-Bosch process to create two ammonia molecules (</w:t>
            </w:r>
            <w:r w:rsidRPr="00426C6E">
              <w:rPr>
                <w:rFonts w:ascii="Times New Roman" w:hAnsi="Times New Roman" w:cs="Times New Roman"/>
                <w:color w:val="373737"/>
              </w:rPr>
              <w:t>2NH</w:t>
            </w:r>
            <w:r w:rsidRPr="00426C6E">
              <w:rPr>
                <w:rFonts w:ascii="Times New Roman" w:hAnsi="Times New Roman" w:cs="Times New Roman"/>
                <w:color w:val="373737"/>
                <w:vertAlign w:val="subscript"/>
              </w:rPr>
              <w:t>3</w:t>
            </w:r>
            <w:r w:rsidRPr="00426C6E">
              <w:rPr>
                <w:color w:val="373737"/>
              </w:rPr>
              <w:t>) which is the primary building block for fertilisers and explosives.</w:t>
            </w:r>
          </w:p>
          <w:p w14:paraId="55448BBE" w14:textId="77777777" w:rsidR="00E90C9F" w:rsidRPr="00426C6E" w:rsidRDefault="00E90C9F" w:rsidP="00E90C9F">
            <w:pPr>
              <w:pStyle w:val="Boxtext"/>
              <w:spacing w:beforeLines="60" w:before="144" w:afterLines="60" w:after="144"/>
              <w:ind w:left="113" w:right="113"/>
              <w:rPr>
                <w:b/>
                <w:bCs/>
              </w:rPr>
            </w:pPr>
            <w:r w:rsidRPr="00426C6E">
              <w:rPr>
                <w:b/>
                <w:bCs/>
                <w:color w:val="373737"/>
              </w:rPr>
              <w:t>Haber-Bosch Process:</w:t>
            </w:r>
          </w:p>
          <w:p w14:paraId="41B1D72F" w14:textId="77777777" w:rsidR="00E90C9F" w:rsidRPr="00426C6E" w:rsidRDefault="00E90C9F" w:rsidP="00E90C9F">
            <w:pPr>
              <w:pStyle w:val="Boxtext"/>
              <w:spacing w:beforeLines="60" w:before="144" w:afterLines="60" w:after="144"/>
              <w:ind w:left="113" w:right="113"/>
              <w:rPr>
                <w:rFonts w:ascii="Times New Roman" w:hAnsi="Times New Roman" w:cs="Times New Roman"/>
                <w:color w:val="373737"/>
              </w:rPr>
            </w:pPr>
            <w:r w:rsidRPr="00426C6E">
              <w:rPr>
                <w:rFonts w:ascii="Times New Roman" w:hAnsi="Times New Roman" w:cs="Times New Roman"/>
                <w:color w:val="373737"/>
              </w:rPr>
              <w:t>N</w:t>
            </w:r>
            <w:r w:rsidRPr="00426C6E">
              <w:rPr>
                <w:rFonts w:ascii="Times New Roman" w:hAnsi="Times New Roman" w:cs="Times New Roman"/>
                <w:color w:val="373737"/>
                <w:vertAlign w:val="subscript"/>
              </w:rPr>
              <w:t>2</w:t>
            </w:r>
            <w:r w:rsidRPr="00426C6E">
              <w:rPr>
                <w:rFonts w:ascii="Times New Roman" w:hAnsi="Times New Roman" w:cs="Times New Roman"/>
                <w:color w:val="373737"/>
              </w:rPr>
              <w:t xml:space="preserve"> + 3H</w:t>
            </w:r>
            <w:r w:rsidRPr="00426C6E">
              <w:rPr>
                <w:rFonts w:ascii="Times New Roman" w:hAnsi="Times New Roman" w:cs="Times New Roman"/>
                <w:color w:val="373737"/>
                <w:vertAlign w:val="subscript"/>
              </w:rPr>
              <w:t>2</w:t>
            </w:r>
            <w:r w:rsidRPr="00426C6E">
              <w:rPr>
                <w:rFonts w:ascii="Times New Roman" w:hAnsi="Times New Roman" w:cs="Times New Roman"/>
                <w:color w:val="373737"/>
              </w:rPr>
              <w:t xml:space="preserve"> → 2NH</w:t>
            </w:r>
            <w:r w:rsidRPr="00426C6E">
              <w:rPr>
                <w:rFonts w:ascii="Times New Roman" w:hAnsi="Times New Roman" w:cs="Times New Roman"/>
                <w:color w:val="373737"/>
                <w:vertAlign w:val="subscript"/>
              </w:rPr>
              <w:t>3</w:t>
            </w:r>
          </w:p>
        </w:tc>
      </w:tr>
    </w:tbl>
    <w:p w14:paraId="4973AEFF" w14:textId="6A3718BE" w:rsidR="00EC7EC7" w:rsidRDefault="00EC7EC7" w:rsidP="00EC7EC7">
      <w:pPr>
        <w:pStyle w:val="BodyText"/>
      </w:pPr>
      <w:r>
        <w:t>expected to increase over the coming decade, both in Australia and globally. E</w:t>
      </w:r>
      <w:r w:rsidRPr="005A071F">
        <w:t xml:space="preserve">xisting grey ammonia </w:t>
      </w:r>
      <w:r>
        <w:t xml:space="preserve">(fossil-fuel based) </w:t>
      </w:r>
      <w:r w:rsidRPr="005A071F">
        <w:t xml:space="preserve">firms in Australia </w:t>
      </w:r>
      <w:r w:rsidR="00765CDE">
        <w:rPr>
          <w:lang w:eastAsia="en-AU"/>
        </w:rPr>
        <w:t>—</w:t>
      </w:r>
      <w:r w:rsidRPr="005A071F">
        <w:t xml:space="preserve"> including Orica, Yara and Incitec Pivot </w:t>
      </w:r>
      <w:r w:rsidR="00765CDE">
        <w:rPr>
          <w:lang w:eastAsia="en-AU"/>
        </w:rPr>
        <w:t>—</w:t>
      </w:r>
      <w:r w:rsidRPr="005A071F">
        <w:t xml:space="preserve"> are actively engaged </w:t>
      </w:r>
      <w:r w:rsidR="00D9406A">
        <w:t>in</w:t>
      </w:r>
      <w:r w:rsidRPr="005A071F">
        <w:t xml:space="preserve"> developing pathways from grey to </w:t>
      </w:r>
      <w:r>
        <w:t>green</w:t>
      </w:r>
      <w:r w:rsidRPr="005A071F">
        <w:t xml:space="preserve"> ammonia in their operations</w:t>
      </w:r>
      <w:r>
        <w:t xml:space="preserve">. Globally, </w:t>
      </w:r>
      <w:r w:rsidR="00D9406A">
        <w:t xml:space="preserve">as of 2023, </w:t>
      </w:r>
      <w:r>
        <w:t xml:space="preserve">there </w:t>
      </w:r>
      <w:r w:rsidR="00D9406A">
        <w:t>were</w:t>
      </w:r>
      <w:r>
        <w:t xml:space="preserve"> over 185 planned projects that intend to make ammonia from hydrogen). Similar to green hydrogen, ammonia is expected to become more cost competitive against gas in future decades. </w:t>
      </w:r>
    </w:p>
    <w:p w14:paraId="26FA0DB3" w14:textId="2C72360B" w:rsidR="00BF60AF" w:rsidRDefault="003D4464" w:rsidP="004461D6">
      <w:pPr>
        <w:pStyle w:val="BodyText"/>
      </w:pPr>
      <w:r>
        <w:t>There are barriers to a</w:t>
      </w:r>
      <w:r w:rsidR="00EC7EC7">
        <w:t>ltering feedstock</w:t>
      </w:r>
      <w:r>
        <w:t>.</w:t>
      </w:r>
      <w:r w:rsidR="00EC7EC7">
        <w:t xml:space="preserve"> </w:t>
      </w:r>
      <w:r>
        <w:t>C</w:t>
      </w:r>
      <w:r w:rsidR="00EC7EC7">
        <w:t xml:space="preserve">hemical processes are typically fully integrated into </w:t>
      </w:r>
      <w:r>
        <w:t xml:space="preserve">a wider </w:t>
      </w:r>
      <w:r w:rsidR="00EC7EC7">
        <w:t>facility</w:t>
      </w:r>
      <w:r>
        <w:t xml:space="preserve"> structure, and significant upfront capital investment may be required to modify existing equipment </w:t>
      </w:r>
      <w:r w:rsidR="00EC7EC7">
        <w:t xml:space="preserve">or add a </w:t>
      </w:r>
      <w:r>
        <w:t xml:space="preserve">new </w:t>
      </w:r>
      <w:r w:rsidR="00EC7EC7">
        <w:t xml:space="preserve">stage to the process </w:t>
      </w:r>
      <w:r>
        <w:t>entirely</w:t>
      </w:r>
      <w:r w:rsidR="00EC7EC7">
        <w:t>. It is therefore likely to require a change to the whole operation rather than a gradual change.</w:t>
      </w:r>
      <w:r w:rsidR="00EC7EC7" w:rsidRPr="00745F7B">
        <w:t xml:space="preserve"> </w:t>
      </w:r>
      <w:r w:rsidR="00EC7EC7">
        <w:t xml:space="preserve">It may also require </w:t>
      </w:r>
      <w:r>
        <w:t>facility</w:t>
      </w:r>
      <w:r>
        <w:noBreakHyphen/>
        <w:t>specific development of</w:t>
      </w:r>
      <w:r w:rsidR="00EC7EC7" w:rsidDel="003D4464">
        <w:t xml:space="preserve"> </w:t>
      </w:r>
      <w:r w:rsidR="00EC7EC7">
        <w:t>new processes, technolog</w:t>
      </w:r>
      <w:r>
        <w:t>ies</w:t>
      </w:r>
      <w:r w:rsidR="00EC7EC7">
        <w:t xml:space="preserve"> and testing prior to </w:t>
      </w:r>
      <w:r>
        <w:t xml:space="preserve">commercial </w:t>
      </w:r>
      <w:r w:rsidR="00EC7EC7">
        <w:t>deployment.</w:t>
      </w:r>
    </w:p>
    <w:p w14:paraId="2B103C76" w14:textId="77777777" w:rsidR="00AB441C" w:rsidRDefault="00AB441C" w:rsidP="004461D6">
      <w:pPr>
        <w:pStyle w:val="BodyText"/>
      </w:pPr>
    </w:p>
    <w:p w14:paraId="7A9214C5" w14:textId="77777777" w:rsidR="00AB441C" w:rsidRDefault="00AB441C" w:rsidP="004461D6">
      <w:pPr>
        <w:pStyle w:val="BodyText"/>
      </w:pPr>
    </w:p>
    <w:p w14:paraId="3F46503C" w14:textId="77777777" w:rsidR="00AB441C" w:rsidRDefault="00AB441C" w:rsidP="004461D6">
      <w:pPr>
        <w:pStyle w:val="BodyText"/>
      </w:pPr>
    </w:p>
    <w:p w14:paraId="6745DDAE" w14:textId="77777777" w:rsidR="00AB441C" w:rsidRDefault="00AB441C" w:rsidP="004461D6">
      <w:pPr>
        <w:pStyle w:val="BodyText"/>
      </w:pPr>
    </w:p>
    <w:p w14:paraId="485F80CC" w14:textId="77777777" w:rsidR="00AB441C" w:rsidRDefault="00AB441C" w:rsidP="004461D6">
      <w:pPr>
        <w:pStyle w:val="BodyText"/>
      </w:pPr>
    </w:p>
    <w:p w14:paraId="766B3A7B" w14:textId="77777777" w:rsidR="00AB441C" w:rsidRDefault="00AB441C" w:rsidP="004461D6">
      <w:pPr>
        <w:pStyle w:val="BodyText"/>
      </w:pPr>
    </w:p>
    <w:p w14:paraId="718FA68D" w14:textId="77777777" w:rsidR="00AB441C" w:rsidRDefault="00AB441C" w:rsidP="004461D6">
      <w:pPr>
        <w:pStyle w:val="BodyText"/>
      </w:pPr>
    </w:p>
    <w:p w14:paraId="640F5E85" w14:textId="135D73A2" w:rsidR="00EC7EC7" w:rsidRDefault="00EC7EC7" w:rsidP="00295601">
      <w:pPr>
        <w:pStyle w:val="Heading2"/>
        <w:numPr>
          <w:ilvl w:val="1"/>
          <w:numId w:val="3"/>
        </w:numPr>
        <w:spacing w:before="180"/>
        <w:ind w:left="0" w:firstLine="0"/>
      </w:pPr>
      <w:bookmarkStart w:id="101" w:name="_Toc172794513"/>
      <w:r>
        <w:t xml:space="preserve">West </w:t>
      </w:r>
      <w:r w:rsidR="003D4464">
        <w:t>c</w:t>
      </w:r>
      <w:r>
        <w:t xml:space="preserve">oast </w:t>
      </w:r>
      <w:r w:rsidR="00006846">
        <w:t>d</w:t>
      </w:r>
      <w:r>
        <w:t xml:space="preserve">emand projections by </w:t>
      </w:r>
      <w:r w:rsidR="00006846">
        <w:t>s</w:t>
      </w:r>
      <w:r>
        <w:t>ector</w:t>
      </w:r>
      <w:bookmarkEnd w:id="101"/>
    </w:p>
    <w:p w14:paraId="0D1A9339" w14:textId="6305C23B" w:rsidR="00E90C9F" w:rsidRDefault="00EC7EC7" w:rsidP="00E90C9F">
      <w:pPr>
        <w:pStyle w:val="BodyText"/>
      </w:pPr>
      <w:r>
        <w:t xml:space="preserve">The factors driving demand from </w:t>
      </w:r>
      <w:r w:rsidR="00162B2E">
        <w:t>east coast</w:t>
      </w:r>
      <w:r>
        <w:t xml:space="preserve"> gas consumers are also relevant to </w:t>
      </w:r>
      <w:r w:rsidR="00162B2E">
        <w:t>the west co</w:t>
      </w:r>
      <w:r>
        <w:t>ast, despite differences in sectoral composition in each market (Figure 3.1</w:t>
      </w:r>
      <w:r w:rsidR="00FA158B">
        <w:t>3</w:t>
      </w:r>
      <w:r>
        <w:t>). Western Australia has a high concentration of industries which use high heat and a large mining and minerals processing sector, and gas-powered generation demand is increasing by 2033 as part of a coal-to-gas switch. The W</w:t>
      </w:r>
      <w:r w:rsidR="00F200DA">
        <w:t xml:space="preserve">estern </w:t>
      </w:r>
      <w:r>
        <w:t>A</w:t>
      </w:r>
      <w:r w:rsidR="00F200DA">
        <w:t>ustralia</w:t>
      </w:r>
      <w:r>
        <w:t xml:space="preserve"> </w:t>
      </w:r>
      <w:r w:rsidR="00F200DA">
        <w:t>g</w:t>
      </w:r>
      <w:r>
        <w:t>overnment in its Energy Transformation Strategy sees gas-fired generation remaining important beyond this outlook period, despite a move to increase the proportion of clean energy sources into the energy mix.</w:t>
      </w:r>
      <w:r w:rsidR="00295601">
        <w:t xml:space="preserve"> </w:t>
      </w:r>
      <w:r w:rsidR="00F200DA">
        <w:t>There</w:t>
      </w:r>
      <w:r w:rsidR="00E90C9F">
        <w:t xml:space="preserve"> is a lack of modelling available for the west coast beyond the next decade. Given the more concentrated structure of the west coast market, detailed sector analyses are </w:t>
      </w:r>
      <w:r w:rsidR="00C52C59">
        <w:t>considered commercial in confidence and</w:t>
      </w:r>
      <w:r w:rsidR="00E90C9F">
        <w:t xml:space="preserve"> unavailable </w:t>
      </w:r>
      <w:r w:rsidR="00C52C59">
        <w:t>for publication.</w:t>
      </w:r>
      <w:r w:rsidR="00E90C9F">
        <w:t xml:space="preserve"> </w:t>
      </w:r>
    </w:p>
    <w:p w14:paraId="5F13BB57" w14:textId="0E3D54B3" w:rsidR="00EC7EC7" w:rsidRDefault="00EC7EC7" w:rsidP="00C97679">
      <w:pPr>
        <w:pStyle w:val="Caption"/>
      </w:pPr>
      <w:r w:rsidRPr="006E2A42">
        <w:t xml:space="preserve">Figure </w:t>
      </w:r>
      <w:r w:rsidRPr="006E2A42">
        <w:rPr>
          <w:noProof/>
        </w:rPr>
        <w:fldChar w:fldCharType="begin"/>
      </w:r>
      <w:r w:rsidRPr="006E2A42">
        <w:rPr>
          <w:noProof/>
        </w:rPr>
        <w:instrText xml:space="preserve"> STYLEREF 1 \s </w:instrText>
      </w:r>
      <w:r w:rsidRPr="006E2A42">
        <w:rPr>
          <w:noProof/>
        </w:rPr>
        <w:fldChar w:fldCharType="separate"/>
      </w:r>
      <w:r w:rsidR="00BF178A">
        <w:rPr>
          <w:noProof/>
        </w:rPr>
        <w:t>3</w:t>
      </w:r>
      <w:r w:rsidRPr="006E2A42">
        <w:rPr>
          <w:noProof/>
        </w:rPr>
        <w:fldChar w:fldCharType="end"/>
      </w:r>
      <w:r w:rsidR="00FA158B">
        <w:rPr>
          <w:noProof/>
        </w:rPr>
        <w:t>.</w:t>
      </w:r>
      <w:r w:rsidR="00FA158B">
        <w:rPr>
          <w:noProof/>
        </w:rPr>
        <w:fldChar w:fldCharType="begin"/>
      </w:r>
      <w:r w:rsidR="00FA158B">
        <w:rPr>
          <w:noProof/>
        </w:rPr>
        <w:instrText xml:space="preserve"> SEQ Figure \* ARABIC \s 1 </w:instrText>
      </w:r>
      <w:r w:rsidR="00FA158B">
        <w:rPr>
          <w:noProof/>
        </w:rPr>
        <w:fldChar w:fldCharType="separate"/>
      </w:r>
      <w:r w:rsidR="00BF178A">
        <w:rPr>
          <w:noProof/>
        </w:rPr>
        <w:t>13</w:t>
      </w:r>
      <w:r w:rsidR="00FA158B">
        <w:rPr>
          <w:noProof/>
        </w:rPr>
        <w:fldChar w:fldCharType="end"/>
      </w:r>
      <w:r>
        <w:t xml:space="preserve">: </w:t>
      </w:r>
      <w:r w:rsidRPr="001F57CD">
        <w:t xml:space="preserve">West </w:t>
      </w:r>
      <w:r w:rsidR="00006846">
        <w:t>c</w:t>
      </w:r>
      <w:r w:rsidRPr="001F57CD">
        <w:t>oast gas demand by sector, 20</w:t>
      </w:r>
      <w:r w:rsidR="00854422">
        <w:t>23</w:t>
      </w:r>
      <w:r w:rsidRPr="001F57CD">
        <w:t xml:space="preserve"> </w:t>
      </w:r>
      <w:r w:rsidR="00C52C59">
        <w:t>to</w:t>
      </w:r>
      <w:r w:rsidRPr="001F57CD">
        <w:t xml:space="preserve"> 203</w:t>
      </w:r>
      <w:r>
        <w:t>3</w:t>
      </w:r>
    </w:p>
    <w:p w14:paraId="1306D119" w14:textId="6B2B7D66" w:rsidR="00EC7EC7" w:rsidRDefault="00E165D4" w:rsidP="00EC7EC7">
      <w:pPr>
        <w:pStyle w:val="Note"/>
      </w:pPr>
      <w:r>
        <w:rPr>
          <w:noProof/>
        </w:rPr>
        <w:drawing>
          <wp:inline distT="0" distB="0" distL="0" distR="0" wp14:anchorId="621FE7E8" wp14:editId="535510B1">
            <wp:extent cx="4206875" cy="2100580"/>
            <wp:effectExtent l="0" t="0" r="3175" b="0"/>
            <wp:docPr id="699518987" name="Chart 699518987" descr="This figure shows the demand on the west coast for gas by sector from 2023 to 2033. Mineral processing is the highest segment in 2023 and increases between 2023 and 2025. Mining is next highest in 2023, and increases in 2024, but decreases marginally between 2024 and 2033. GPG demand declines out to 2027 but increases strongly in 2030 and 2032 to become the largest sector. Industrial demand is flat between 2023 and 2027, before increasing significantly in 2027 and remaining at these levels out to 2033. Distribution demand has the lowest value in 2023 that is shown on the graph, it remains steady between 2023 and 2033. ">
              <a:extLst xmlns:a="http://schemas.openxmlformats.org/drawingml/2006/main">
                <a:ext uri="{FF2B5EF4-FFF2-40B4-BE49-F238E27FC236}">
                  <a16:creationId xmlns:a16="http://schemas.microsoft.com/office/drawing/2014/main" id="{0315BC5C-96EA-4449-AE4F-D65D970E2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E631ABF" w14:textId="77777777" w:rsidR="008602E7" w:rsidRDefault="00EC7EC7" w:rsidP="008F40F4">
      <w:pPr>
        <w:pStyle w:val="Source"/>
        <w:rPr>
          <w:color w:val="373737"/>
          <w:sz w:val="20"/>
        </w:rPr>
      </w:pPr>
      <w:r w:rsidRPr="003200DC">
        <w:t xml:space="preserve">Notes: </w:t>
      </w:r>
      <w:r>
        <w:t xml:space="preserve">Projections </w:t>
      </w:r>
      <w:r w:rsidRPr="003200DC">
        <w:t xml:space="preserve">are derived from WA’s </w:t>
      </w:r>
      <w:r w:rsidR="00265ED9">
        <w:t>base</w:t>
      </w:r>
      <w:r w:rsidRPr="003200DC">
        <w:t xml:space="preserve"> case scenario</w:t>
      </w:r>
      <w:r w:rsidRPr="00813E4E">
        <w:rPr>
          <w:color w:val="373737"/>
          <w:sz w:val="20"/>
        </w:rPr>
        <w:t>.</w:t>
      </w:r>
    </w:p>
    <w:p w14:paraId="550934EB" w14:textId="31A26756" w:rsidR="007015DF" w:rsidRDefault="00EC7EC7" w:rsidP="008F40F4">
      <w:pPr>
        <w:pStyle w:val="Source"/>
      </w:pPr>
      <w:r w:rsidRPr="003200DC">
        <w:t>Source: AEMO (2023</w:t>
      </w:r>
      <w:r w:rsidR="007D0852">
        <w:t>c</w:t>
      </w:r>
      <w:r w:rsidRPr="003200DC">
        <w:t>)</w:t>
      </w:r>
    </w:p>
    <w:p w14:paraId="47D616E6" w14:textId="522E8ECD" w:rsidR="00D97898" w:rsidRPr="00113CAE" w:rsidRDefault="00D97898"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3</w:t>
      </w:r>
      <w:r>
        <w:rPr>
          <w:noProof/>
        </w:rPr>
        <w:fldChar w:fldCharType="end"/>
      </w:r>
      <w:r w:rsidR="00FA158B">
        <w:rPr>
          <w:noProof/>
        </w:rPr>
        <w:t>.</w:t>
      </w:r>
      <w:r w:rsidR="00FA158B">
        <w:rPr>
          <w:noProof/>
        </w:rPr>
        <w:fldChar w:fldCharType="begin"/>
      </w:r>
      <w:r w:rsidR="00FA158B">
        <w:rPr>
          <w:noProof/>
        </w:rPr>
        <w:instrText xml:space="preserve"> SEQ Figure \* ARABIC \s 1 </w:instrText>
      </w:r>
      <w:r w:rsidR="00FA158B">
        <w:rPr>
          <w:noProof/>
        </w:rPr>
        <w:fldChar w:fldCharType="separate"/>
      </w:r>
      <w:r w:rsidR="00BF178A">
        <w:rPr>
          <w:noProof/>
        </w:rPr>
        <w:t>14</w:t>
      </w:r>
      <w:r w:rsidR="00FA158B">
        <w:rPr>
          <w:noProof/>
        </w:rPr>
        <w:fldChar w:fldCharType="end"/>
      </w:r>
      <w:r>
        <w:t xml:space="preserve">: </w:t>
      </w:r>
      <w:r w:rsidRPr="00D242A5">
        <w:t>Forecast reduction in gas consumption due to biomethane and hydrogen uptake by scenario, 2023</w:t>
      </w:r>
      <w:r w:rsidR="00C52C59">
        <w:t xml:space="preserve"> to</w:t>
      </w:r>
      <w:r w:rsidR="00427D59">
        <w:t xml:space="preserve"> </w:t>
      </w:r>
      <w:r w:rsidR="008624CE">
        <w:t>20</w:t>
      </w:r>
      <w:r w:rsidRPr="00D242A5">
        <w:t>42</w:t>
      </w:r>
    </w:p>
    <w:p w14:paraId="7B395CA7" w14:textId="5A6EEF8A" w:rsidR="00D97898" w:rsidRDefault="00C1020C" w:rsidP="00D97898">
      <w:pPr>
        <w:pStyle w:val="Note"/>
      </w:pPr>
      <w:r>
        <w:rPr>
          <w:noProof/>
        </w:rPr>
        <w:drawing>
          <wp:inline distT="0" distB="0" distL="0" distR="0" wp14:anchorId="3D7CF1C4" wp14:editId="1F84541C">
            <wp:extent cx="4206875" cy="2152650"/>
            <wp:effectExtent l="0" t="0" r="3175" b="0"/>
            <wp:docPr id="42" name="Chart 42" descr="This figure shows the forecast reduction in gas consumption on the east coast due to biomethane and hydrogen uptake. Green Energy Exports forecasts the biggest reduction, dropping rapidly after 2025 and then following a continuing trend to result in a reduction of over 140 PJ by 2042. The diverse step change and progressive change scenarios do not decline as rapidly and have a smoother line out to 2042, with the diverse step change seeing a reduction of about 60 PJ and the progressive change line seeing a forecast of approximately 30 PJ in 2042. ">
              <a:extLst xmlns:a="http://schemas.openxmlformats.org/drawingml/2006/main">
                <a:ext uri="{FF2B5EF4-FFF2-40B4-BE49-F238E27FC236}">
                  <a16:creationId xmlns:a16="http://schemas.microsoft.com/office/drawing/2014/main" id="{6D200D5E-D05B-41F1-82DD-420657622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2A47079" w14:textId="77777777" w:rsidR="00D97898" w:rsidRDefault="00D97898" w:rsidP="008F40F4">
      <w:pPr>
        <w:pStyle w:val="Source"/>
      </w:pPr>
      <w:r>
        <w:t>Notes: The hydrogen and biomethane forecast was not updated in the 2024 GSOO as there were no material additional commitments since the 2023 GSOO. Forecast is from the 2023 GSOO.</w:t>
      </w:r>
    </w:p>
    <w:p w14:paraId="597BAAE5" w14:textId="6725FAF1" w:rsidR="00D97898" w:rsidRDefault="00D97898" w:rsidP="008F40F4">
      <w:pPr>
        <w:pStyle w:val="Source"/>
      </w:pPr>
      <w:r>
        <w:t>Source:</w:t>
      </w:r>
      <w:r w:rsidRPr="00D242A5">
        <w:t xml:space="preserve"> AEMO (2023</w:t>
      </w:r>
      <w:r w:rsidR="007D0852">
        <w:t>b</w:t>
      </w:r>
      <w:r w:rsidRPr="00D242A5">
        <w:t>)</w:t>
      </w:r>
    </w:p>
    <w:p w14:paraId="78580454" w14:textId="58C0699C" w:rsidR="00D97898" w:rsidRDefault="00D97898"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3</w:t>
      </w:r>
      <w:r>
        <w:rPr>
          <w:noProof/>
        </w:rPr>
        <w:fldChar w:fldCharType="end"/>
      </w:r>
      <w:r w:rsidR="00FA158B">
        <w:rPr>
          <w:noProof/>
        </w:rPr>
        <w:t>.</w:t>
      </w:r>
      <w:r w:rsidR="00FA158B">
        <w:rPr>
          <w:noProof/>
        </w:rPr>
        <w:fldChar w:fldCharType="begin"/>
      </w:r>
      <w:r w:rsidR="00FA158B">
        <w:rPr>
          <w:noProof/>
        </w:rPr>
        <w:instrText xml:space="preserve"> SEQ Figure \* ARABIC \s 1 </w:instrText>
      </w:r>
      <w:r w:rsidR="00FA158B">
        <w:rPr>
          <w:noProof/>
        </w:rPr>
        <w:fldChar w:fldCharType="separate"/>
      </w:r>
      <w:r w:rsidR="00BF178A">
        <w:rPr>
          <w:noProof/>
        </w:rPr>
        <w:t>15</w:t>
      </w:r>
      <w:r w:rsidR="00FA158B">
        <w:rPr>
          <w:noProof/>
        </w:rPr>
        <w:fldChar w:fldCharType="end"/>
      </w:r>
      <w:r>
        <w:t>: Levelised cost of hydrogen</w:t>
      </w:r>
      <w:r w:rsidR="00AB441C">
        <w:t xml:space="preserve"> in </w:t>
      </w:r>
      <w:r>
        <w:t xml:space="preserve">NEM </w:t>
      </w:r>
      <w:r w:rsidR="00AB441C">
        <w:t>regions, 2020 to 2050</w:t>
      </w:r>
    </w:p>
    <w:p w14:paraId="63AB155B" w14:textId="6CE87592" w:rsidR="00D97898" w:rsidRDefault="00C1020C" w:rsidP="00D97898">
      <w:pPr>
        <w:pStyle w:val="Note"/>
      </w:pPr>
      <w:r>
        <w:rPr>
          <w:noProof/>
        </w:rPr>
        <w:drawing>
          <wp:inline distT="0" distB="0" distL="0" distR="0" wp14:anchorId="46DF37FC" wp14:editId="09318B38">
            <wp:extent cx="4206875" cy="2143125"/>
            <wp:effectExtent l="0" t="0" r="3175" b="9525"/>
            <wp:docPr id="47" name="Picture 47" descr="This figure shows the levelized cost of hydrogen for the states included in the NEM between 2020 and 2050. Green hydrogen is initially much more expensive than grey hydrogen, but it is expected to become cheaper around 2030, and remain cheaper between 2030 and 2050. ">
              <a:extLst xmlns:a="http://schemas.openxmlformats.org/drawingml/2006/main">
                <a:ext uri="{FF2B5EF4-FFF2-40B4-BE49-F238E27FC236}">
                  <a16:creationId xmlns:a16="http://schemas.microsoft.com/office/drawing/2014/main" id="{00A94EA6-6F2E-4787-9B46-0CA4AD63D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figure shows the levelized cost of hydrogen for the states included in the NEM between 2020 and 2050. Green hydrogen is initially much more expensive than grey hydrogen, but it is expected to become cheaper around 2030, and remain cheaper between 2030 and 2050. ">
                      <a:extLst>
                        <a:ext uri="{FF2B5EF4-FFF2-40B4-BE49-F238E27FC236}">
                          <a16:creationId xmlns:a16="http://schemas.microsoft.com/office/drawing/2014/main" id="{00A94EA6-6F2E-4787-9B46-0CA4AD63DC68}"/>
                        </a:ext>
                      </a:extLst>
                    </pic:cNvPr>
                    <pic:cNvPicPr>
                      <a:picLocks noChangeAspect="1"/>
                    </pic:cNvPicPr>
                  </pic:nvPicPr>
                  <pic:blipFill>
                    <a:blip r:embed="rId69"/>
                    <a:stretch>
                      <a:fillRect/>
                    </a:stretch>
                  </pic:blipFill>
                  <pic:spPr>
                    <a:xfrm>
                      <a:off x="0" y="0"/>
                      <a:ext cx="4206875" cy="2143125"/>
                    </a:xfrm>
                    <a:prstGeom prst="rect">
                      <a:avLst/>
                    </a:prstGeom>
                  </pic:spPr>
                </pic:pic>
              </a:graphicData>
            </a:graphic>
          </wp:inline>
        </w:drawing>
      </w:r>
    </w:p>
    <w:p w14:paraId="355F343A" w14:textId="6BDE51F3" w:rsidR="00D97898" w:rsidRPr="00C62F3A" w:rsidRDefault="00D97898" w:rsidP="008F40F4">
      <w:pPr>
        <w:pStyle w:val="Source"/>
      </w:pPr>
      <w:r>
        <w:t xml:space="preserve">Notes: </w:t>
      </w:r>
      <w:r w:rsidR="009F6B6A">
        <w:t>PEM = Proton Exchange Membrane, AE = Alkaline Electrolysers, SMR = Steam Methane Reforming.</w:t>
      </w:r>
      <w:r>
        <w:t xml:space="preserve"> Analysis by CSIRO and Australian Industry Energy Transitions Initiative</w:t>
      </w:r>
      <w:r w:rsidR="008602E7">
        <w:t>.</w:t>
      </w:r>
    </w:p>
    <w:p w14:paraId="20636BB1" w14:textId="09AB57C8" w:rsidR="00D97898" w:rsidRDefault="00D97898" w:rsidP="008F40F4">
      <w:pPr>
        <w:pStyle w:val="Source"/>
      </w:pPr>
      <w:r>
        <w:t xml:space="preserve">Source: </w:t>
      </w:r>
      <w:r w:rsidR="007D0852">
        <w:t>Climateworks Centre and CSIRO (2023)</w:t>
      </w:r>
    </w:p>
    <w:p w14:paraId="212717E1" w14:textId="77777777" w:rsidR="00D42D0E" w:rsidRDefault="00D42D0E">
      <w:pPr>
        <w:spacing w:after="200" w:line="276" w:lineRule="auto"/>
        <w:rPr>
          <w:color w:val="373737"/>
          <w:sz w:val="20"/>
        </w:rPr>
      </w:pPr>
      <w:r>
        <w:rPr>
          <w:color w:val="373737"/>
          <w:sz w:val="20"/>
        </w:rPr>
        <w:br w:type="page"/>
      </w:r>
    </w:p>
    <w:tbl>
      <w:tblPr>
        <w:tblStyle w:val="OCETable"/>
        <w:tblW w:w="6804" w:type="dxa"/>
        <w:shd w:val="clear" w:color="auto" w:fill="DEE8F1"/>
        <w:tblLayout w:type="fixed"/>
        <w:tblCellMar>
          <w:top w:w="85" w:type="dxa"/>
          <w:bottom w:w="85" w:type="dxa"/>
        </w:tblCellMar>
        <w:tblLook w:val="04A0" w:firstRow="1" w:lastRow="0" w:firstColumn="1" w:lastColumn="0" w:noHBand="0" w:noVBand="1"/>
      </w:tblPr>
      <w:tblGrid>
        <w:gridCol w:w="6804"/>
      </w:tblGrid>
      <w:tr w:rsidR="00EC7EC7" w14:paraId="66EC3EF2" w14:textId="77777777" w:rsidTr="00AA38BB">
        <w:trPr>
          <w:cnfStyle w:val="100000000000" w:firstRow="1" w:lastRow="0" w:firstColumn="0" w:lastColumn="0" w:oddVBand="0" w:evenVBand="0" w:oddHBand="0" w:evenHBand="0" w:firstRowFirstColumn="0" w:firstRowLastColumn="0" w:lastRowFirstColumn="0" w:lastRowLastColumn="0"/>
          <w:trHeight w:val="2835"/>
        </w:trPr>
        <w:tc>
          <w:tcPr>
            <w:tcW w:w="0" w:type="pct"/>
            <w:shd w:val="clear" w:color="auto" w:fill="DEE8F1"/>
          </w:tcPr>
          <w:p w14:paraId="1A50C42E" w14:textId="1E5D4607" w:rsidR="00EC7EC7" w:rsidRDefault="00EC7EC7" w:rsidP="00AA38BB">
            <w:pPr>
              <w:pStyle w:val="Boxtext"/>
              <w:spacing w:beforeLines="40" w:before="96" w:afterLines="60" w:after="144"/>
              <w:ind w:left="119" w:right="113"/>
              <w:jc w:val="both"/>
              <w:rPr>
                <w:color w:val="auto"/>
              </w:rPr>
            </w:pPr>
            <w:r>
              <w:br w:type="column"/>
            </w:r>
            <w:r>
              <w:br w:type="column"/>
            </w:r>
            <w:r>
              <w:br w:type="column"/>
            </w:r>
            <w:r w:rsidRPr="00D42D0E">
              <w:rPr>
                <w:b/>
                <w:bCs/>
                <w:color w:val="005CAF" w:themeColor="accent1"/>
              </w:rPr>
              <w:t>Box 3.</w:t>
            </w:r>
            <w:r w:rsidR="00D42D0E" w:rsidRPr="00D42D0E">
              <w:rPr>
                <w:b/>
                <w:bCs/>
                <w:color w:val="005CAF" w:themeColor="accent1"/>
              </w:rPr>
              <w:t>7</w:t>
            </w:r>
            <w:r w:rsidRPr="00D42D0E">
              <w:rPr>
                <w:b/>
                <w:bCs/>
                <w:color w:val="005CAF" w:themeColor="accent1"/>
              </w:rPr>
              <w:t>:</w:t>
            </w:r>
            <w:r w:rsidRPr="00426C6E">
              <w:rPr>
                <w:b/>
                <w:bCs/>
                <w:color w:val="005CAF" w:themeColor="accent1"/>
              </w:rPr>
              <w:t xml:space="preserve"> The potential of hydrogen to reduce gas demand</w:t>
            </w:r>
          </w:p>
          <w:p w14:paraId="2782D721" w14:textId="54E0A623" w:rsidR="00EC7EC7" w:rsidRPr="00426C6E" w:rsidRDefault="00EC7EC7" w:rsidP="00C50D71">
            <w:pPr>
              <w:pStyle w:val="Boxtext"/>
              <w:spacing w:beforeLines="60" w:before="144" w:afterLines="60" w:after="144"/>
              <w:ind w:left="113" w:right="113"/>
              <w:rPr>
                <w:color w:val="373737"/>
              </w:rPr>
            </w:pPr>
            <w:r w:rsidRPr="00426C6E">
              <w:rPr>
                <w:color w:val="373737"/>
              </w:rPr>
              <w:t>Hydrogen is a high potential fuel for producing high temperature heat and is a useful source of molecules for industrial processes such as ammonia. According to the scenarios modelled by AEMO</w:t>
            </w:r>
            <w:r w:rsidR="00203D63">
              <w:rPr>
                <w:rStyle w:val="FootnoteReference"/>
                <w:color w:val="373737"/>
              </w:rPr>
              <w:footnoteReference w:id="10"/>
            </w:r>
            <w:r w:rsidRPr="00426C6E">
              <w:rPr>
                <w:color w:val="373737"/>
              </w:rPr>
              <w:t xml:space="preserve">, hydrogen and biomethane uptake could reduce </w:t>
            </w:r>
            <w:r w:rsidR="00006846">
              <w:rPr>
                <w:color w:val="373737"/>
              </w:rPr>
              <w:t>east c</w:t>
            </w:r>
            <w:r w:rsidRPr="00426C6E">
              <w:rPr>
                <w:color w:val="373737"/>
              </w:rPr>
              <w:t>oast domestic gas consumption somewhere between 30 to 150 PJ by 204</w:t>
            </w:r>
            <w:r w:rsidR="007B50FB">
              <w:rPr>
                <w:color w:val="373737"/>
              </w:rPr>
              <w:t>2</w:t>
            </w:r>
            <w:r w:rsidRPr="00426C6E">
              <w:rPr>
                <w:color w:val="373737"/>
              </w:rPr>
              <w:t xml:space="preserve"> (Figure 3.1</w:t>
            </w:r>
            <w:r w:rsidR="00FA158B">
              <w:rPr>
                <w:color w:val="373737"/>
              </w:rPr>
              <w:t>4</w:t>
            </w:r>
            <w:r w:rsidRPr="00426C6E">
              <w:rPr>
                <w:color w:val="373737"/>
              </w:rPr>
              <w:t>). This accounts for more than half of the total reduction in gas demand in the high ambition scenario (‘</w:t>
            </w:r>
            <w:r w:rsidR="00707DE0">
              <w:rPr>
                <w:color w:val="373737"/>
              </w:rPr>
              <w:t>G</w:t>
            </w:r>
            <w:r w:rsidRPr="00426C6E">
              <w:rPr>
                <w:color w:val="373737"/>
              </w:rPr>
              <w:t xml:space="preserve">reen </w:t>
            </w:r>
            <w:r w:rsidR="00707DE0">
              <w:rPr>
                <w:color w:val="373737"/>
              </w:rPr>
              <w:t>E</w:t>
            </w:r>
            <w:r w:rsidRPr="00426C6E">
              <w:rPr>
                <w:color w:val="373737"/>
              </w:rPr>
              <w:t xml:space="preserve">nergy </w:t>
            </w:r>
            <w:r w:rsidR="00707DE0">
              <w:rPr>
                <w:color w:val="373737"/>
              </w:rPr>
              <w:t>E</w:t>
            </w:r>
            <w:r w:rsidRPr="00426C6E">
              <w:rPr>
                <w:color w:val="373737"/>
              </w:rPr>
              <w:t>xports’, 66%), medium-ambition scenario (‘</w:t>
            </w:r>
            <w:r w:rsidR="00707DE0">
              <w:rPr>
                <w:color w:val="373737"/>
              </w:rPr>
              <w:t>S</w:t>
            </w:r>
            <w:r w:rsidRPr="00426C6E">
              <w:rPr>
                <w:color w:val="373737"/>
              </w:rPr>
              <w:t xml:space="preserve">tep </w:t>
            </w:r>
            <w:r w:rsidR="00707DE0">
              <w:rPr>
                <w:color w:val="373737"/>
              </w:rPr>
              <w:t>C</w:t>
            </w:r>
            <w:r w:rsidRPr="00426C6E">
              <w:rPr>
                <w:color w:val="373737"/>
              </w:rPr>
              <w:t>hange’, 68%) and low-ambition scenario (‘</w:t>
            </w:r>
            <w:r w:rsidR="00707DE0">
              <w:rPr>
                <w:color w:val="373737"/>
              </w:rPr>
              <w:t>P</w:t>
            </w:r>
            <w:r w:rsidRPr="00426C6E">
              <w:rPr>
                <w:color w:val="373737"/>
              </w:rPr>
              <w:t xml:space="preserve">rogressive </w:t>
            </w:r>
            <w:r w:rsidR="00707DE0">
              <w:rPr>
                <w:color w:val="373737"/>
              </w:rPr>
              <w:t>C</w:t>
            </w:r>
            <w:r w:rsidRPr="00426C6E">
              <w:rPr>
                <w:color w:val="373737"/>
              </w:rPr>
              <w:t xml:space="preserve">hange’, 60%), respectively. </w:t>
            </w:r>
          </w:p>
          <w:p w14:paraId="6183CC3A" w14:textId="6C7BA716" w:rsidR="00EC7EC7" w:rsidRPr="00426C6E" w:rsidRDefault="00EC7EC7" w:rsidP="00C50D71">
            <w:pPr>
              <w:pStyle w:val="Boxtext"/>
              <w:spacing w:beforeLines="60" w:before="144" w:afterLines="60" w:after="144"/>
              <w:ind w:left="113" w:right="113"/>
              <w:rPr>
                <w:color w:val="373737"/>
              </w:rPr>
            </w:pPr>
            <w:r w:rsidRPr="00426C6E">
              <w:rPr>
                <w:color w:val="373737"/>
              </w:rPr>
              <w:t xml:space="preserve">This change primarily comes about due to gas-to-hydrogen switching by industrial/mining and power generation sectors (in this box, gas refers to natural gas rather than hydrogen gas). Opportunities for household and commercial use are limited. The </w:t>
            </w:r>
            <w:r w:rsidR="0083776F">
              <w:rPr>
                <w:color w:val="373737"/>
              </w:rPr>
              <w:t>IEA</w:t>
            </w:r>
            <w:r w:rsidRPr="00426C6E">
              <w:rPr>
                <w:color w:val="373737"/>
              </w:rPr>
              <w:t xml:space="preserve"> estimates that burning green hydrogen in boilers would require three-to-five times more renewable energy than highly efficient heat pumps to deliver the same amount of heat in a home. Further, most gas appliances currently tolerate a maximum of 13</w:t>
            </w:r>
            <w:r w:rsidR="00B10F42">
              <w:rPr>
                <w:color w:val="373737"/>
              </w:rPr>
              <w:t>%</w:t>
            </w:r>
            <w:r w:rsidRPr="00426C6E">
              <w:rPr>
                <w:color w:val="373737"/>
              </w:rPr>
              <w:t xml:space="preserve"> of hydrogen blended with natural gas. </w:t>
            </w:r>
          </w:p>
          <w:p w14:paraId="183EB29A" w14:textId="4E57F1B3" w:rsidR="00EC7EC7" w:rsidRPr="00426C6E" w:rsidRDefault="00EC7EC7" w:rsidP="00C50D71">
            <w:pPr>
              <w:pStyle w:val="Boxtext"/>
              <w:spacing w:beforeLines="60" w:before="144" w:afterLines="60" w:after="144"/>
              <w:ind w:left="113" w:right="113"/>
              <w:rPr>
                <w:color w:val="373737"/>
              </w:rPr>
            </w:pPr>
            <w:r w:rsidRPr="00426C6E">
              <w:rPr>
                <w:color w:val="373737"/>
              </w:rPr>
              <w:t xml:space="preserve">Increasing the blend further would require households to invest in hydrogen-compatible appliances </w:t>
            </w:r>
            <w:r w:rsidR="00130921" w:rsidRPr="00C17545">
              <w:rPr>
                <w:color w:val="auto"/>
                <w:lang w:eastAsia="en-AU"/>
              </w:rPr>
              <w:t>—</w:t>
            </w:r>
            <w:r w:rsidRPr="00426C6E">
              <w:rPr>
                <w:color w:val="373737"/>
              </w:rPr>
              <w:t xml:space="preserve"> which appears unlikely to be cost competitive relative to electrification that works with current appliances. For households and low-heat commercial activities, electrification and renewable energy are the strongest alternatives to natural gas.</w:t>
            </w:r>
          </w:p>
          <w:p w14:paraId="38567624" w14:textId="77777777" w:rsidR="00EC7EC7" w:rsidRPr="00426C6E" w:rsidRDefault="00EC7EC7" w:rsidP="00C50D71">
            <w:pPr>
              <w:pStyle w:val="Boxtext"/>
              <w:spacing w:beforeLines="60" w:before="144" w:afterLines="60" w:after="144"/>
              <w:ind w:left="113" w:right="113"/>
              <w:rPr>
                <w:color w:val="373737"/>
              </w:rPr>
            </w:pPr>
            <w:r w:rsidRPr="00426C6E">
              <w:rPr>
                <w:color w:val="373737"/>
              </w:rPr>
              <w:t xml:space="preserve">Hydrogen is not currently viable for industry. There are significant challenges in delivering hydrogen economically at the scale needed by industry and power generation. The challenges include: </w:t>
            </w:r>
          </w:p>
          <w:p w14:paraId="67FF25C2" w14:textId="77777777" w:rsidR="00EC7EC7" w:rsidRPr="00426C6E" w:rsidRDefault="00EC7EC7" w:rsidP="00EC7EC7">
            <w:pPr>
              <w:pStyle w:val="ListBullet2"/>
              <w:numPr>
                <w:ilvl w:val="1"/>
                <w:numId w:val="4"/>
              </w:numPr>
              <w:ind w:left="568" w:hanging="284"/>
            </w:pPr>
            <w:r w:rsidRPr="00426C6E">
              <w:t>The cost of gas to industrial users</w:t>
            </w:r>
          </w:p>
          <w:p w14:paraId="425865C8" w14:textId="77777777" w:rsidR="00EC7EC7" w:rsidRPr="00426C6E" w:rsidRDefault="00EC7EC7" w:rsidP="00EC7EC7">
            <w:pPr>
              <w:pStyle w:val="ListBullet2"/>
              <w:numPr>
                <w:ilvl w:val="1"/>
                <w:numId w:val="4"/>
              </w:numPr>
              <w:ind w:left="568" w:hanging="284"/>
            </w:pPr>
            <w:r w:rsidRPr="00426C6E">
              <w:t>The</w:t>
            </w:r>
            <w:r>
              <w:t xml:space="preserve"> </w:t>
            </w:r>
            <w:r w:rsidRPr="00426C6E">
              <w:t>cost of producing hydrogen, whether powered by gas or renewables, and</w:t>
            </w:r>
          </w:p>
          <w:p w14:paraId="54458F7C" w14:textId="77777777" w:rsidR="00EC7EC7" w:rsidRPr="00426C6E" w:rsidRDefault="00EC7EC7" w:rsidP="00EC7EC7">
            <w:pPr>
              <w:pStyle w:val="ListBullet2"/>
              <w:numPr>
                <w:ilvl w:val="1"/>
                <w:numId w:val="4"/>
              </w:numPr>
              <w:ind w:left="568" w:hanging="284"/>
            </w:pPr>
            <w:r w:rsidRPr="00426C6E">
              <w:t>The viability and cost of transporting hydrogen from point of manufacture to the user.</w:t>
            </w:r>
          </w:p>
          <w:p w14:paraId="0B9E5C1F" w14:textId="5DE6C54F" w:rsidR="00EC7EC7" w:rsidRPr="00426C6E" w:rsidRDefault="00EC7EC7" w:rsidP="00C50D71">
            <w:pPr>
              <w:pStyle w:val="Boxtext"/>
              <w:spacing w:beforeLines="60" w:before="144" w:afterLines="60" w:after="144"/>
              <w:ind w:left="113" w:right="113"/>
              <w:rPr>
                <w:color w:val="373737"/>
              </w:rPr>
            </w:pPr>
            <w:r w:rsidRPr="00426C6E">
              <w:rPr>
                <w:color w:val="373737"/>
              </w:rPr>
              <w:t>As the cost of gas increases, there is greater incentive for industries to substitute to green hydrogen production. Both grey (using gas) and blue (using gas and CCS) hydrogen are currently cheaper than green hydrogen in Australia and overseas. High gas prices in the wholesale market can increase the cost of blue and grey hydrogen by increasing prices paid by industrial users under long</w:t>
            </w:r>
            <w:r w:rsidRPr="00426C6E" w:rsidDel="00536289">
              <w:rPr>
                <w:color w:val="373737"/>
              </w:rPr>
              <w:t>-</w:t>
            </w:r>
            <w:r w:rsidRPr="00426C6E">
              <w:rPr>
                <w:color w:val="373737"/>
              </w:rPr>
              <w:t xml:space="preserve">term contracts. </w:t>
            </w:r>
          </w:p>
          <w:p w14:paraId="5540BD18" w14:textId="77777777" w:rsidR="00EC7EC7" w:rsidRPr="00426C6E" w:rsidRDefault="00EC7EC7" w:rsidP="00C50D71">
            <w:pPr>
              <w:pStyle w:val="Boxtext"/>
              <w:spacing w:beforeLines="60" w:before="144" w:afterLines="60" w:after="144"/>
              <w:ind w:left="113" w:right="113"/>
              <w:rPr>
                <w:color w:val="373737"/>
              </w:rPr>
            </w:pPr>
            <w:r w:rsidRPr="00426C6E">
              <w:rPr>
                <w:color w:val="373737"/>
              </w:rPr>
              <w:t xml:space="preserve">While the relatively high cost of green hydrogen currently hinders widespread adoption, costs are expected to decline substantially over the coming decades. This will be driven by falling costs in hydrogen production, with solar and electrolyser costs forecast to fall between 2023 and 2050 by around 60% and 90%, respectively. Water is expected to account for around 10% of hydrogen production costs in 2050, but costs will vary by location and access to water pipelines.  </w:t>
            </w:r>
          </w:p>
          <w:p w14:paraId="7BA49AB3" w14:textId="67BAF82C" w:rsidR="00BF60AF" w:rsidRDefault="00EC7EC7" w:rsidP="00C50D71">
            <w:pPr>
              <w:pStyle w:val="Boxtext"/>
              <w:spacing w:beforeLines="60" w:before="144" w:afterLines="60" w:after="144"/>
              <w:ind w:left="113" w:right="113"/>
            </w:pPr>
            <w:r w:rsidRPr="00426C6E">
              <w:rPr>
                <w:color w:val="373737"/>
              </w:rPr>
              <w:t xml:space="preserve">Industry stakeholders have reported that their current production costs sit between </w:t>
            </w:r>
            <w:r w:rsidR="00F732C2">
              <w:rPr>
                <w:color w:val="373737"/>
              </w:rPr>
              <w:t>AUD</w:t>
            </w:r>
            <w:r w:rsidRPr="00426C6E">
              <w:rPr>
                <w:color w:val="373737"/>
              </w:rPr>
              <w:t>4</w:t>
            </w:r>
            <w:r w:rsidR="00D25FEA">
              <w:rPr>
                <w:color w:val="373737"/>
              </w:rPr>
              <w:t>/kg</w:t>
            </w:r>
            <w:r w:rsidRPr="00426C6E">
              <w:rPr>
                <w:color w:val="373737"/>
              </w:rPr>
              <w:t xml:space="preserve"> and </w:t>
            </w:r>
            <w:r w:rsidR="00F732C2">
              <w:rPr>
                <w:color w:val="373737"/>
              </w:rPr>
              <w:t>AUD</w:t>
            </w:r>
            <w:r w:rsidRPr="00426C6E">
              <w:rPr>
                <w:color w:val="373737"/>
              </w:rPr>
              <w:t>8</w:t>
            </w:r>
            <w:r w:rsidR="00D25FEA">
              <w:rPr>
                <w:color w:val="373737"/>
              </w:rPr>
              <w:t>/kg</w:t>
            </w:r>
            <w:r w:rsidRPr="00426C6E">
              <w:rPr>
                <w:color w:val="373737"/>
              </w:rPr>
              <w:t xml:space="preserve">, well above levels considered </w:t>
            </w:r>
            <w:r w:rsidR="00BD393C">
              <w:rPr>
                <w:color w:val="373737"/>
              </w:rPr>
              <w:t>‘</w:t>
            </w:r>
            <w:r w:rsidRPr="00426C6E">
              <w:rPr>
                <w:color w:val="373737"/>
              </w:rPr>
              <w:t>economically viable</w:t>
            </w:r>
            <w:r w:rsidR="00BD393C">
              <w:rPr>
                <w:color w:val="373737"/>
              </w:rPr>
              <w:t>’</w:t>
            </w:r>
            <w:r w:rsidRPr="00426C6E">
              <w:rPr>
                <w:color w:val="373737"/>
              </w:rPr>
              <w:t>. Nonetheless, modelling by the CSIRO suggests green hydrogen could be cost competitive with grey hydrogen (using unabated gas) and blue hydrogen (using gas and CCUS) in the 2030s (Figure 3.1</w:t>
            </w:r>
            <w:r w:rsidR="00FA158B">
              <w:rPr>
                <w:color w:val="373737"/>
              </w:rPr>
              <w:t>5</w:t>
            </w:r>
            <w:r w:rsidRPr="00426C6E">
              <w:rPr>
                <w:color w:val="373737"/>
              </w:rPr>
              <w:t xml:space="preserve">). By 2050, the levelised cost of hydrogen production in Australia is expected to fall to between </w:t>
            </w:r>
            <w:r w:rsidR="00102F74">
              <w:rPr>
                <w:color w:val="373737"/>
              </w:rPr>
              <w:t>AUD</w:t>
            </w:r>
            <w:r w:rsidRPr="00426C6E">
              <w:rPr>
                <w:color w:val="373737"/>
              </w:rPr>
              <w:t xml:space="preserve">2.24/kg and </w:t>
            </w:r>
            <w:r w:rsidR="00102F74">
              <w:rPr>
                <w:color w:val="373737"/>
              </w:rPr>
              <w:t>AUD</w:t>
            </w:r>
            <w:r w:rsidRPr="00426C6E">
              <w:rPr>
                <w:color w:val="373737"/>
              </w:rPr>
              <w:t xml:space="preserve">3.63/kg </w:t>
            </w:r>
            <w:r w:rsidR="00116C8E">
              <w:rPr>
                <w:color w:val="373737"/>
              </w:rPr>
              <w:t>(or USD1</w:t>
            </w:r>
            <w:r w:rsidR="00F9288F">
              <w:rPr>
                <w:color w:val="373737"/>
              </w:rPr>
              <w:t>.</w:t>
            </w:r>
            <w:r w:rsidR="00116C8E">
              <w:rPr>
                <w:color w:val="373737"/>
              </w:rPr>
              <w:t>46 to USD2.36</w:t>
            </w:r>
            <w:r w:rsidR="00B52150">
              <w:rPr>
                <w:color w:val="373737"/>
              </w:rPr>
              <w:t>)</w:t>
            </w:r>
            <w:r w:rsidRPr="00426C6E">
              <w:rPr>
                <w:color w:val="373737"/>
              </w:rPr>
              <w:t xml:space="preserve"> depending on location (the national average is expected to be </w:t>
            </w:r>
            <w:r w:rsidR="00116C8E">
              <w:rPr>
                <w:color w:val="373737"/>
              </w:rPr>
              <w:t>AUD</w:t>
            </w:r>
            <w:r w:rsidRPr="00426C6E">
              <w:rPr>
                <w:color w:val="373737"/>
              </w:rPr>
              <w:t xml:space="preserve">2.89/kg or </w:t>
            </w:r>
            <w:r w:rsidR="00E44C85">
              <w:rPr>
                <w:color w:val="373737"/>
              </w:rPr>
              <w:t>USD</w:t>
            </w:r>
            <w:r w:rsidRPr="00426C6E">
              <w:rPr>
                <w:color w:val="373737"/>
              </w:rPr>
              <w:t>1.88/kg). Australian project production costs for 2050 fall within the range of USD1</w:t>
            </w:r>
            <w:r w:rsidR="00DB5745">
              <w:rPr>
                <w:color w:val="373737"/>
              </w:rPr>
              <w:t>–</w:t>
            </w:r>
            <w:r w:rsidRPr="00426C6E">
              <w:rPr>
                <w:color w:val="373737"/>
              </w:rPr>
              <w:t>2/kg expected to be globally competitive.</w:t>
            </w:r>
          </w:p>
          <w:p w14:paraId="20E35D6C" w14:textId="4C8937B6" w:rsidR="00EC7EC7" w:rsidRPr="00426C6E" w:rsidRDefault="00EC7EC7" w:rsidP="00C50D71">
            <w:pPr>
              <w:pStyle w:val="Boxtext"/>
              <w:spacing w:beforeLines="60" w:before="144" w:afterLines="60" w:after="144"/>
              <w:ind w:left="113" w:right="113"/>
              <w:rPr>
                <w:color w:val="373737"/>
              </w:rPr>
            </w:pPr>
            <w:r w:rsidRPr="00426C6E">
              <w:rPr>
                <w:color w:val="373737"/>
              </w:rPr>
              <w:t xml:space="preserve">In line with price declines and other incentives, Australian hydrogen </w:t>
            </w:r>
            <w:r w:rsidR="008C5F90">
              <w:rPr>
                <w:color w:val="373737"/>
              </w:rPr>
              <w:t>production</w:t>
            </w:r>
            <w:r w:rsidRPr="00426C6E">
              <w:rPr>
                <w:color w:val="373737"/>
              </w:rPr>
              <w:t xml:space="preserve"> is expected </w:t>
            </w:r>
            <w:r w:rsidR="00582188">
              <w:rPr>
                <w:color w:val="373737"/>
              </w:rPr>
              <w:t xml:space="preserve">to </w:t>
            </w:r>
            <w:r w:rsidRPr="00426C6E">
              <w:rPr>
                <w:color w:val="373737"/>
              </w:rPr>
              <w:t>increase significantly between 2025 and 2050.</w:t>
            </w:r>
          </w:p>
          <w:p w14:paraId="4D83C69C" w14:textId="77777777" w:rsidR="00EC7EC7" w:rsidRPr="00426C6E" w:rsidRDefault="00EC7EC7" w:rsidP="00C50D71">
            <w:pPr>
              <w:pStyle w:val="Boxtext"/>
              <w:spacing w:beforeLines="60" w:before="144" w:afterLines="60" w:after="144"/>
              <w:ind w:left="113" w:right="113"/>
              <w:rPr>
                <w:color w:val="373737"/>
              </w:rPr>
            </w:pPr>
            <w:r w:rsidRPr="00426C6E">
              <w:rPr>
                <w:color w:val="373737"/>
              </w:rPr>
              <w:t>The degree of uncertainty around when and at what price hydrogen will be available at scale should not be underplayed. Future widespread production of green hydrogen will be dependent on sufficient renewable energy availability, particularly solar and wind generation. Insufficient renewable energy production or high renewable energy costs would likely limit green hydrogen production or increase costs.</w:t>
            </w:r>
          </w:p>
          <w:p w14:paraId="5367285C" w14:textId="017AE9F6" w:rsidR="00EC7EC7" w:rsidRPr="00426C6E" w:rsidRDefault="00EC7EC7" w:rsidP="00C50D71">
            <w:pPr>
              <w:pStyle w:val="Boxtext"/>
              <w:spacing w:beforeLines="60" w:before="144" w:afterLines="60" w:after="144"/>
              <w:ind w:left="113" w:right="113"/>
              <w:rPr>
                <w:color w:val="373737"/>
              </w:rPr>
            </w:pPr>
            <w:r w:rsidRPr="00426C6E">
              <w:rPr>
                <w:color w:val="373737"/>
              </w:rPr>
              <w:t>In addition to low-cost hydrogen becoming widespread, industrial processes will also need to be significantly altered to allow for hydrogen-based energy production. This will require significant R&amp;D over a sustained period to enable this transition. The manufacturing process itself may need to be altered to accommodate the change from a carbon-based feedstock to hydrogen (for example see Box 3.</w:t>
            </w:r>
            <w:r w:rsidR="00496764">
              <w:rPr>
                <w:color w:val="373737"/>
              </w:rPr>
              <w:t>6</w:t>
            </w:r>
            <w:r w:rsidRPr="00426C6E">
              <w:rPr>
                <w:color w:val="373737"/>
              </w:rPr>
              <w:t xml:space="preserve">). Even if a direct replacement, different engineering optimisation will be required due to the different chemical properties of hydrogen and gas. Extensive testing and new safety protocols will also be needed. </w:t>
            </w:r>
          </w:p>
          <w:p w14:paraId="37843B85" w14:textId="77777777" w:rsidR="00EC7EC7" w:rsidRPr="00426C6E" w:rsidRDefault="00EC7EC7" w:rsidP="00C50D71">
            <w:pPr>
              <w:pStyle w:val="Boxtext"/>
              <w:spacing w:beforeLines="60" w:before="144" w:afterLines="60" w:after="144"/>
              <w:ind w:left="113" w:right="113"/>
              <w:rPr>
                <w:rFonts w:ascii="Times New Roman" w:hAnsi="Times New Roman" w:cs="Times New Roman"/>
                <w:color w:val="373737"/>
              </w:rPr>
            </w:pPr>
            <w:r w:rsidRPr="00426C6E">
              <w:rPr>
                <w:color w:val="373737"/>
              </w:rPr>
              <w:t>Furthermore, hydrogen can damage (embrittle) most ferrous metals. The extent of this damage is influenced by factors such as hydrogen concentration, pressure, temperature, and material composition. Therefore, a switch to hydrogen from natural gas would necessitate upgrades to various components of current infrastructure and industrial facilities, as well as potential changes to processes. Upgrades and changes may include using materials that are more resistant to hydrogen embrittlement and blending hydrogen with natural gas for transport via existing gas pipelines. Some pipelines in Australia are already hydrogen-ready, particularly distribution pipelines.</w:t>
            </w:r>
          </w:p>
        </w:tc>
      </w:tr>
    </w:tbl>
    <w:p w14:paraId="1037BDC2" w14:textId="77777777" w:rsidR="00EC7EC7" w:rsidRDefault="00EC7EC7" w:rsidP="00EC7EC7">
      <w:pPr>
        <w:pStyle w:val="BodyText"/>
      </w:pPr>
    </w:p>
    <w:p w14:paraId="457767E9" w14:textId="77777777" w:rsidR="00EC7EC7" w:rsidRPr="00813E4E" w:rsidRDefault="00EC7EC7" w:rsidP="00EC7EC7">
      <w:pPr>
        <w:pStyle w:val="BodyText"/>
      </w:pPr>
    </w:p>
    <w:p w14:paraId="55D00C81" w14:textId="6E60451D" w:rsidR="00EC7EC7" w:rsidRDefault="00EC7EC7">
      <w:pPr>
        <w:spacing w:after="200" w:line="276" w:lineRule="auto"/>
        <w:rPr>
          <w:color w:val="373737"/>
          <w:sz w:val="20"/>
        </w:rPr>
      </w:pPr>
      <w:r>
        <w:rPr>
          <w:color w:val="373737"/>
          <w:sz w:val="20"/>
        </w:rPr>
        <w:br w:type="page"/>
      </w:r>
    </w:p>
    <w:p w14:paraId="171BEBB4" w14:textId="1D506F77" w:rsidR="00EC7EC7" w:rsidRPr="00CA6638" w:rsidRDefault="00EC7EC7" w:rsidP="00BE43F2">
      <w:pPr>
        <w:pStyle w:val="Heading1"/>
        <w:pageBreakBefore/>
        <w:numPr>
          <w:ilvl w:val="0"/>
          <w:numId w:val="3"/>
        </w:numPr>
      </w:pPr>
      <w:bookmarkStart w:id="102" w:name="_Toc172794514"/>
      <w:r>
        <w:t>International demand outlook</w:t>
      </w:r>
      <w:bookmarkEnd w:id="102"/>
    </w:p>
    <w:p w14:paraId="252E1649" w14:textId="1DA0A7C1" w:rsidR="00EC7EC7" w:rsidRPr="00A62FE8" w:rsidRDefault="00EC7EC7" w:rsidP="006E005E">
      <w:pPr>
        <w:pStyle w:val="Heading2"/>
        <w:numPr>
          <w:ilvl w:val="0"/>
          <w:numId w:val="0"/>
        </w:numPr>
        <w:rPr>
          <w:b w:val="0"/>
          <w:iCs w:val="0"/>
        </w:rPr>
      </w:pPr>
      <w:bookmarkStart w:id="103" w:name="_Toc172794515"/>
      <w:r w:rsidRPr="00A62FE8">
        <w:t>Summary</w:t>
      </w:r>
      <w:bookmarkEnd w:id="103"/>
    </w:p>
    <w:p w14:paraId="7419A357" w14:textId="52715FCF" w:rsidR="00EC7EC7" w:rsidRPr="00A62FE8" w:rsidRDefault="00EC7EC7" w:rsidP="00EC7EC7">
      <w:pPr>
        <w:spacing w:after="120"/>
        <w:rPr>
          <w:color w:val="373737"/>
          <w:sz w:val="20"/>
        </w:rPr>
      </w:pPr>
      <w:r w:rsidRPr="00A62FE8">
        <w:rPr>
          <w:color w:val="373737"/>
          <w:sz w:val="20"/>
        </w:rPr>
        <w:t xml:space="preserve">The role </w:t>
      </w:r>
      <w:r w:rsidR="004658F4">
        <w:rPr>
          <w:color w:val="373737"/>
          <w:sz w:val="20"/>
        </w:rPr>
        <w:t>of</w:t>
      </w:r>
      <w:r w:rsidRPr="00A62FE8">
        <w:rPr>
          <w:color w:val="373737"/>
          <w:sz w:val="20"/>
        </w:rPr>
        <w:t xml:space="preserve"> Australian gas in the regional energy transition is within scope for this inquiry. Australia is currently one of the world’s largest LNG exporters, providing </w:t>
      </w:r>
      <w:r w:rsidR="009B0602">
        <w:rPr>
          <w:color w:val="373737"/>
          <w:sz w:val="20"/>
        </w:rPr>
        <w:t xml:space="preserve">an </w:t>
      </w:r>
      <w:r w:rsidRPr="00A62FE8">
        <w:rPr>
          <w:color w:val="373737"/>
          <w:sz w:val="20"/>
        </w:rPr>
        <w:t>essential energy contribution to Asia in particular. This supports regional economic prosperity and regional energy security, while Australia receives economic and strategic benefits from strong bilateral relationships.</w:t>
      </w:r>
      <w:r w:rsidR="00CC4ED8">
        <w:rPr>
          <w:color w:val="373737"/>
          <w:sz w:val="20"/>
        </w:rPr>
        <w:t xml:space="preserve"> Foreign direct investment from key energy trading partners may also assist Australia to innovate in the supply of lower-emissions fuels, such as hydrogen. </w:t>
      </w:r>
    </w:p>
    <w:p w14:paraId="7D62DE27" w14:textId="20538D55" w:rsidR="00CC4ED8" w:rsidRPr="0035261C" w:rsidRDefault="00CC4ED8" w:rsidP="00EC7EC7">
      <w:pPr>
        <w:spacing w:after="120"/>
        <w:rPr>
          <w:rStyle w:val="BodyTextChar"/>
        </w:rPr>
      </w:pPr>
      <w:r>
        <w:rPr>
          <w:color w:val="373737"/>
          <w:sz w:val="20"/>
        </w:rPr>
        <w:t>Nonetheless, e</w:t>
      </w:r>
      <w:r w:rsidRPr="00A62FE8">
        <w:rPr>
          <w:color w:val="373737"/>
          <w:sz w:val="20"/>
        </w:rPr>
        <w:t xml:space="preserve">missions from </w:t>
      </w:r>
      <w:r>
        <w:rPr>
          <w:color w:val="373737"/>
          <w:sz w:val="20"/>
        </w:rPr>
        <w:t>Australian</w:t>
      </w:r>
      <w:r w:rsidRPr="00A62FE8">
        <w:rPr>
          <w:color w:val="373737"/>
          <w:sz w:val="20"/>
        </w:rPr>
        <w:t xml:space="preserve"> LNG contribute significantly to Australia’s emissions reduction </w:t>
      </w:r>
      <w:r w:rsidRPr="0035261C">
        <w:rPr>
          <w:rStyle w:val="BodyTextChar"/>
        </w:rPr>
        <w:t>challenge and to global greenhouse gas emissions (see Chapter 2)</w:t>
      </w:r>
      <w:r w:rsidR="004658F4">
        <w:rPr>
          <w:rStyle w:val="BodyTextChar"/>
        </w:rPr>
        <w:t>. R</w:t>
      </w:r>
      <w:r w:rsidRPr="0035261C">
        <w:rPr>
          <w:rStyle w:val="BodyTextChar"/>
        </w:rPr>
        <w:t xml:space="preserve">educing emissions from the production </w:t>
      </w:r>
      <w:r w:rsidR="001B1AA7">
        <w:rPr>
          <w:rStyle w:val="BodyTextChar"/>
        </w:rPr>
        <w:t xml:space="preserve">and use </w:t>
      </w:r>
      <w:r w:rsidRPr="0035261C">
        <w:rPr>
          <w:rStyle w:val="BodyTextChar"/>
        </w:rPr>
        <w:t xml:space="preserve">of LNG is critical to achieving Paris-aligned targets. There are concerns raised by climate-vulnerable countries in the Asia-Pacific, particularly Pacific Island countries, and other partners regarding the climate impacts of Australia’s continued gas production and export. </w:t>
      </w:r>
    </w:p>
    <w:p w14:paraId="169C42FC" w14:textId="2A772E68" w:rsidR="00EC7EC7" w:rsidRPr="00A62FE8" w:rsidRDefault="00EC7EC7" w:rsidP="00EC7EC7">
      <w:pPr>
        <w:spacing w:after="120"/>
        <w:rPr>
          <w:color w:val="373737"/>
          <w:sz w:val="20"/>
        </w:rPr>
      </w:pPr>
      <w:r w:rsidRPr="00A62FE8">
        <w:rPr>
          <w:color w:val="373737"/>
          <w:sz w:val="20"/>
        </w:rPr>
        <w:t>This chapter provides analytical evidence of demand for Australian LNG over the transition period</w:t>
      </w:r>
      <w:r w:rsidR="005C256A">
        <w:rPr>
          <w:color w:val="373737"/>
          <w:sz w:val="20"/>
        </w:rPr>
        <w:t>, drawing on IEA projections of demand under different scenarios, consultation and modelling by DISR using the Nexant</w:t>
      </w:r>
      <w:r w:rsidR="001B1AA7">
        <w:rPr>
          <w:color w:val="373737"/>
          <w:sz w:val="20"/>
        </w:rPr>
        <w:t>EC</w:t>
      </w:r>
      <w:r w:rsidR="00236614">
        <w:rPr>
          <w:color w:val="373737"/>
          <w:sz w:val="20"/>
        </w:rPr>
        <w:t>A</w:t>
      </w:r>
      <w:r w:rsidR="005C256A">
        <w:rPr>
          <w:color w:val="373737"/>
          <w:sz w:val="20"/>
        </w:rPr>
        <w:t xml:space="preserve"> World Gas Model</w:t>
      </w:r>
      <w:r w:rsidRPr="00A62FE8">
        <w:rPr>
          <w:color w:val="373737"/>
          <w:sz w:val="20"/>
        </w:rPr>
        <w:t>.</w:t>
      </w:r>
    </w:p>
    <w:p w14:paraId="297A4D72" w14:textId="7643CBD9" w:rsidR="005C256A" w:rsidRPr="00A62FE8" w:rsidRDefault="005C256A" w:rsidP="00EC7EC7">
      <w:pPr>
        <w:spacing w:after="120"/>
        <w:rPr>
          <w:color w:val="373737"/>
          <w:sz w:val="20"/>
        </w:rPr>
      </w:pPr>
      <w:r>
        <w:rPr>
          <w:color w:val="373737"/>
          <w:sz w:val="20"/>
        </w:rPr>
        <w:t>Under IEA</w:t>
      </w:r>
      <w:r w:rsidR="00D33314">
        <w:rPr>
          <w:color w:val="373737"/>
          <w:sz w:val="20"/>
        </w:rPr>
        <w:t xml:space="preserve"> (2023)</w:t>
      </w:r>
      <w:r>
        <w:rPr>
          <w:color w:val="373737"/>
          <w:sz w:val="20"/>
        </w:rPr>
        <w:t xml:space="preserve"> scenarios, </w:t>
      </w:r>
      <w:r w:rsidR="001B1AA7">
        <w:rPr>
          <w:color w:val="373737"/>
          <w:sz w:val="20"/>
        </w:rPr>
        <w:t xml:space="preserve">global </w:t>
      </w:r>
      <w:r>
        <w:rPr>
          <w:color w:val="373737"/>
          <w:sz w:val="20"/>
        </w:rPr>
        <w:t xml:space="preserve">gas use </w:t>
      </w:r>
      <w:r w:rsidR="004658F4">
        <w:rPr>
          <w:color w:val="373737"/>
          <w:sz w:val="20"/>
        </w:rPr>
        <w:t>continues</w:t>
      </w:r>
      <w:r>
        <w:rPr>
          <w:color w:val="373737"/>
          <w:sz w:val="20"/>
        </w:rPr>
        <w:t xml:space="preserve"> until 2050 and beyond, although </w:t>
      </w:r>
      <w:r w:rsidR="0038068F">
        <w:rPr>
          <w:color w:val="373737"/>
          <w:sz w:val="20"/>
        </w:rPr>
        <w:t>the ability to abate</w:t>
      </w:r>
      <w:r>
        <w:rPr>
          <w:color w:val="373737"/>
          <w:sz w:val="20"/>
        </w:rPr>
        <w:t xml:space="preserve"> gas use </w:t>
      </w:r>
      <w:r w:rsidR="0038068F">
        <w:rPr>
          <w:color w:val="373737"/>
          <w:sz w:val="20"/>
        </w:rPr>
        <w:t xml:space="preserve">through CCS </w:t>
      </w:r>
      <w:r>
        <w:rPr>
          <w:color w:val="373737"/>
          <w:sz w:val="20"/>
        </w:rPr>
        <w:t xml:space="preserve">is </w:t>
      </w:r>
      <w:r w:rsidR="0038068F">
        <w:rPr>
          <w:color w:val="373737"/>
          <w:sz w:val="20"/>
        </w:rPr>
        <w:t xml:space="preserve">also </w:t>
      </w:r>
      <w:r>
        <w:rPr>
          <w:color w:val="373737"/>
          <w:sz w:val="20"/>
        </w:rPr>
        <w:t>assumed</w:t>
      </w:r>
      <w:r w:rsidR="0038068F">
        <w:rPr>
          <w:color w:val="373737"/>
          <w:sz w:val="20"/>
        </w:rPr>
        <w:t>.</w:t>
      </w:r>
      <w:r>
        <w:rPr>
          <w:color w:val="373737"/>
          <w:sz w:val="20"/>
        </w:rPr>
        <w:t xml:space="preserve"> </w:t>
      </w:r>
      <w:r w:rsidR="001B1AA7">
        <w:rPr>
          <w:color w:val="373737"/>
          <w:sz w:val="20"/>
        </w:rPr>
        <w:t>Significant reductions in demand are implied under the IEA’s APS (announced pledges) and NZE (net zero emissions by 2050) scenarios.</w:t>
      </w:r>
      <w:r w:rsidR="001B1AA7" w:rsidRPr="00A62FE8">
        <w:rPr>
          <w:color w:val="373737"/>
          <w:sz w:val="20"/>
        </w:rPr>
        <w:t xml:space="preserve"> </w:t>
      </w:r>
      <w:r w:rsidR="001B1AA7">
        <w:rPr>
          <w:color w:val="373737"/>
          <w:sz w:val="20"/>
        </w:rPr>
        <w:t>However, c</w:t>
      </w:r>
      <w:r w:rsidR="0038068F" w:rsidRPr="00A62FE8">
        <w:rPr>
          <w:color w:val="373737"/>
          <w:sz w:val="20"/>
        </w:rPr>
        <w:t>onsultation</w:t>
      </w:r>
      <w:r w:rsidR="00EC7EC7" w:rsidRPr="00A62FE8">
        <w:rPr>
          <w:color w:val="373737"/>
          <w:sz w:val="20"/>
        </w:rPr>
        <w:t xml:space="preserve"> suggests gas </w:t>
      </w:r>
      <w:r w:rsidR="001B1AA7">
        <w:rPr>
          <w:color w:val="373737"/>
          <w:sz w:val="20"/>
        </w:rPr>
        <w:t>may</w:t>
      </w:r>
      <w:r w:rsidR="0038068F">
        <w:rPr>
          <w:color w:val="373737"/>
          <w:sz w:val="20"/>
        </w:rPr>
        <w:t xml:space="preserve"> play</w:t>
      </w:r>
      <w:r w:rsidR="00EC7EC7" w:rsidRPr="00A62FE8">
        <w:rPr>
          <w:color w:val="373737"/>
          <w:sz w:val="20"/>
        </w:rPr>
        <w:t xml:space="preserve"> a </w:t>
      </w:r>
      <w:r w:rsidR="00A16863">
        <w:rPr>
          <w:color w:val="373737"/>
          <w:sz w:val="20"/>
        </w:rPr>
        <w:t>more significant</w:t>
      </w:r>
      <w:r w:rsidR="00EC7EC7" w:rsidRPr="00A62FE8">
        <w:rPr>
          <w:color w:val="373737"/>
          <w:sz w:val="20"/>
        </w:rPr>
        <w:t xml:space="preserve"> role in the world </w:t>
      </w:r>
      <w:r w:rsidR="001B1AA7">
        <w:rPr>
          <w:color w:val="373737"/>
          <w:sz w:val="20"/>
        </w:rPr>
        <w:t>during the transition</w:t>
      </w:r>
      <w:r w:rsidR="0038068F" w:rsidRPr="00A62FE8">
        <w:rPr>
          <w:color w:val="373737"/>
          <w:sz w:val="20"/>
        </w:rPr>
        <w:t xml:space="preserve"> </w:t>
      </w:r>
      <w:r w:rsidR="00EC7EC7" w:rsidRPr="00A62FE8">
        <w:rPr>
          <w:color w:val="373737"/>
          <w:sz w:val="20"/>
        </w:rPr>
        <w:t xml:space="preserve">(and beyond) than what is </w:t>
      </w:r>
      <w:r w:rsidR="00F75595">
        <w:rPr>
          <w:color w:val="373737"/>
          <w:sz w:val="20"/>
        </w:rPr>
        <w:t xml:space="preserve">currently </w:t>
      </w:r>
      <w:r w:rsidR="00EC7EC7" w:rsidRPr="00A62FE8">
        <w:rPr>
          <w:color w:val="373737"/>
          <w:sz w:val="20"/>
        </w:rPr>
        <w:t xml:space="preserve">built into the IEA’s </w:t>
      </w:r>
      <w:r w:rsidR="0038068F">
        <w:rPr>
          <w:color w:val="373737"/>
          <w:sz w:val="20"/>
        </w:rPr>
        <w:t>forecasts</w:t>
      </w:r>
      <w:r w:rsidR="0038068F" w:rsidRPr="00A62FE8">
        <w:rPr>
          <w:color w:val="373737"/>
          <w:sz w:val="20"/>
        </w:rPr>
        <w:t>.</w:t>
      </w:r>
      <w:r w:rsidR="0038068F">
        <w:rPr>
          <w:color w:val="373737"/>
          <w:sz w:val="20"/>
        </w:rPr>
        <w:t xml:space="preserve"> Indeed, there are risks in the short term that gas use will exceed even the IEA’s </w:t>
      </w:r>
      <w:r w:rsidR="0015552C">
        <w:rPr>
          <w:color w:val="373737"/>
          <w:sz w:val="20"/>
        </w:rPr>
        <w:t>(2023)</w:t>
      </w:r>
      <w:r w:rsidR="0038068F">
        <w:rPr>
          <w:color w:val="373737"/>
          <w:sz w:val="20"/>
        </w:rPr>
        <w:t xml:space="preserve"> </w:t>
      </w:r>
      <w:r w:rsidR="00CC4ED8">
        <w:rPr>
          <w:color w:val="373737"/>
          <w:sz w:val="20"/>
        </w:rPr>
        <w:t>W</w:t>
      </w:r>
      <w:r w:rsidR="0015552C">
        <w:rPr>
          <w:color w:val="373737"/>
          <w:sz w:val="20"/>
        </w:rPr>
        <w:t xml:space="preserve">orld </w:t>
      </w:r>
      <w:r w:rsidR="00CC4ED8">
        <w:rPr>
          <w:color w:val="373737"/>
          <w:sz w:val="20"/>
        </w:rPr>
        <w:t>E</w:t>
      </w:r>
      <w:r w:rsidR="0015552C">
        <w:rPr>
          <w:color w:val="373737"/>
          <w:sz w:val="20"/>
        </w:rPr>
        <w:t xml:space="preserve">nergy </w:t>
      </w:r>
      <w:r w:rsidR="00CC4ED8">
        <w:rPr>
          <w:color w:val="373737"/>
          <w:sz w:val="20"/>
        </w:rPr>
        <w:t>O</w:t>
      </w:r>
      <w:r w:rsidR="0015552C">
        <w:rPr>
          <w:color w:val="373737"/>
          <w:sz w:val="20"/>
        </w:rPr>
        <w:t>utlook</w:t>
      </w:r>
      <w:r w:rsidR="00CC4ED8">
        <w:rPr>
          <w:color w:val="373737"/>
          <w:sz w:val="20"/>
        </w:rPr>
        <w:t xml:space="preserve"> </w:t>
      </w:r>
      <w:r w:rsidR="0038068F">
        <w:rPr>
          <w:color w:val="373737"/>
          <w:sz w:val="20"/>
        </w:rPr>
        <w:t xml:space="preserve">STEPS </w:t>
      </w:r>
      <w:r w:rsidR="00CC4ED8">
        <w:rPr>
          <w:color w:val="373737"/>
          <w:sz w:val="20"/>
        </w:rPr>
        <w:t xml:space="preserve">(current policies) </w:t>
      </w:r>
      <w:r w:rsidR="0038068F">
        <w:rPr>
          <w:color w:val="373737"/>
          <w:sz w:val="20"/>
        </w:rPr>
        <w:t>scenario forecasts.</w:t>
      </w:r>
    </w:p>
    <w:p w14:paraId="03C27320" w14:textId="1AE684C5" w:rsidR="00EC7EC7" w:rsidRPr="00A62FE8" w:rsidRDefault="00CC4ED8" w:rsidP="00EC7EC7">
      <w:pPr>
        <w:spacing w:after="120"/>
        <w:rPr>
          <w:color w:val="373737"/>
          <w:sz w:val="20"/>
        </w:rPr>
      </w:pPr>
      <w:r>
        <w:rPr>
          <w:color w:val="373737"/>
          <w:sz w:val="20"/>
        </w:rPr>
        <w:t xml:space="preserve">Today, </w:t>
      </w:r>
      <w:r w:rsidR="0038068F">
        <w:rPr>
          <w:color w:val="373737"/>
          <w:sz w:val="20"/>
        </w:rPr>
        <w:t>Australia exports to the Asia region</w:t>
      </w:r>
      <w:r>
        <w:rPr>
          <w:color w:val="373737"/>
          <w:sz w:val="20"/>
        </w:rPr>
        <w:t xml:space="preserve">, </w:t>
      </w:r>
      <w:r w:rsidR="00664DA5">
        <w:rPr>
          <w:color w:val="373737"/>
          <w:sz w:val="20"/>
        </w:rPr>
        <w:t>building on its</w:t>
      </w:r>
      <w:r>
        <w:rPr>
          <w:color w:val="373737"/>
          <w:sz w:val="20"/>
        </w:rPr>
        <w:t xml:space="preserve"> long trading and investment relationship</w:t>
      </w:r>
      <w:r w:rsidR="0038068F">
        <w:rPr>
          <w:color w:val="373737"/>
          <w:sz w:val="20"/>
        </w:rPr>
        <w:t>. R</w:t>
      </w:r>
      <w:r w:rsidR="00EC7EC7" w:rsidRPr="00A62FE8">
        <w:rPr>
          <w:color w:val="373737"/>
          <w:sz w:val="20"/>
        </w:rPr>
        <w:t xml:space="preserve">egional demand for Australian gas is expected to </w:t>
      </w:r>
      <w:r w:rsidR="00664DA5">
        <w:rPr>
          <w:color w:val="373737"/>
          <w:sz w:val="20"/>
        </w:rPr>
        <w:t>sustain</w:t>
      </w:r>
      <w:r w:rsidR="00664DA5" w:rsidRPr="00A62FE8">
        <w:rPr>
          <w:color w:val="373737"/>
          <w:sz w:val="20"/>
        </w:rPr>
        <w:t xml:space="preserve"> </w:t>
      </w:r>
      <w:r w:rsidR="00EC7EC7" w:rsidRPr="00A62FE8">
        <w:rPr>
          <w:color w:val="373737"/>
          <w:sz w:val="20"/>
        </w:rPr>
        <w:t>throughout the transition</w:t>
      </w:r>
      <w:r>
        <w:rPr>
          <w:color w:val="373737"/>
          <w:sz w:val="20"/>
        </w:rPr>
        <w:t xml:space="preserve">, </w:t>
      </w:r>
      <w:r w:rsidR="00664DA5">
        <w:rPr>
          <w:color w:val="373737"/>
          <w:sz w:val="20"/>
        </w:rPr>
        <w:t>albeit with</w:t>
      </w:r>
      <w:r>
        <w:rPr>
          <w:color w:val="373737"/>
          <w:sz w:val="20"/>
        </w:rPr>
        <w:t xml:space="preserve"> declin</w:t>
      </w:r>
      <w:r w:rsidR="00664DA5">
        <w:rPr>
          <w:color w:val="373737"/>
          <w:sz w:val="20"/>
        </w:rPr>
        <w:t>es</w:t>
      </w:r>
      <w:r>
        <w:rPr>
          <w:color w:val="373737"/>
          <w:sz w:val="20"/>
        </w:rPr>
        <w:t xml:space="preserve"> from current levels under the APS and NZE scenarios</w:t>
      </w:r>
      <w:r w:rsidR="00EC7EC7" w:rsidRPr="00A62FE8">
        <w:rPr>
          <w:color w:val="373737"/>
          <w:sz w:val="20"/>
        </w:rPr>
        <w:t xml:space="preserve">. While Australia’s direct cost base for gas production is high relative to </w:t>
      </w:r>
      <w:r w:rsidR="00F75595">
        <w:rPr>
          <w:color w:val="373737"/>
          <w:sz w:val="20"/>
        </w:rPr>
        <w:t xml:space="preserve">our </w:t>
      </w:r>
      <w:r w:rsidR="00EC7EC7" w:rsidRPr="00A62FE8">
        <w:rPr>
          <w:color w:val="373737"/>
          <w:sz w:val="20"/>
        </w:rPr>
        <w:t>export</w:t>
      </w:r>
      <w:r w:rsidR="00F75595">
        <w:rPr>
          <w:color w:val="373737"/>
          <w:sz w:val="20"/>
        </w:rPr>
        <w:t>ing</w:t>
      </w:r>
      <w:r w:rsidR="00EC7EC7" w:rsidRPr="00A62FE8">
        <w:rPr>
          <w:color w:val="373737"/>
          <w:sz w:val="20"/>
        </w:rPr>
        <w:t xml:space="preserve"> peers, our institutional settings make us an attractive partner for those seeking energy security at affordable prices.</w:t>
      </w:r>
    </w:p>
    <w:p w14:paraId="099C8B30" w14:textId="12A662D9" w:rsidR="00CC4ED8" w:rsidRPr="00A62FE8" w:rsidRDefault="00CC4ED8" w:rsidP="00CC4ED8">
      <w:pPr>
        <w:spacing w:after="120"/>
        <w:rPr>
          <w:color w:val="373737"/>
          <w:sz w:val="20"/>
        </w:rPr>
      </w:pPr>
      <w:r w:rsidRPr="00A62FE8">
        <w:rPr>
          <w:color w:val="373737"/>
          <w:sz w:val="20"/>
        </w:rPr>
        <w:t xml:space="preserve">A balancing consideration is that </w:t>
      </w:r>
      <w:r w:rsidR="001B1AA7">
        <w:rPr>
          <w:color w:val="373737"/>
          <w:sz w:val="20"/>
        </w:rPr>
        <w:t>alternative sources of supply are emerging in the Asia region</w:t>
      </w:r>
      <w:r w:rsidRPr="00A62FE8">
        <w:rPr>
          <w:color w:val="373737"/>
          <w:sz w:val="20"/>
        </w:rPr>
        <w:t>. While Australia might be a preferred trading partner, our Asian neighbours could instead (or also) source gas from alternative partners</w:t>
      </w:r>
      <w:r w:rsidR="00664DA5">
        <w:rPr>
          <w:color w:val="373737"/>
          <w:sz w:val="20"/>
        </w:rPr>
        <w:t xml:space="preserve"> including </w:t>
      </w:r>
      <w:r w:rsidRPr="00A62FE8">
        <w:rPr>
          <w:color w:val="373737"/>
          <w:sz w:val="20"/>
        </w:rPr>
        <w:t xml:space="preserve">the US and Qatar, but potentially </w:t>
      </w:r>
      <w:r w:rsidR="00664DA5">
        <w:rPr>
          <w:color w:val="373737"/>
          <w:sz w:val="20"/>
        </w:rPr>
        <w:t>also</w:t>
      </w:r>
      <w:r w:rsidRPr="00A62FE8">
        <w:rPr>
          <w:color w:val="373737"/>
          <w:sz w:val="20"/>
        </w:rPr>
        <w:t xml:space="preserve"> Papua New Guinea, Canada, or Russia.</w:t>
      </w:r>
    </w:p>
    <w:p w14:paraId="154128CB" w14:textId="4B32C250" w:rsidR="001B1AA7" w:rsidRPr="00A62FE8" w:rsidRDefault="001B1AA7" w:rsidP="001B1AA7">
      <w:pPr>
        <w:spacing w:after="120"/>
        <w:rPr>
          <w:color w:val="373737"/>
          <w:sz w:val="20"/>
        </w:rPr>
      </w:pPr>
      <w:r>
        <w:rPr>
          <w:color w:val="373737"/>
          <w:sz w:val="20"/>
        </w:rPr>
        <w:t>Relative emissions intensity will likely prove an important consideration for export demand in the future. Currently Australian LNG has an average emissions intensity relative to peers</w:t>
      </w:r>
      <w:r w:rsidR="00A379E0">
        <w:rPr>
          <w:color w:val="373737"/>
          <w:sz w:val="20"/>
        </w:rPr>
        <w:t>.</w:t>
      </w:r>
      <w:r>
        <w:rPr>
          <w:color w:val="373737"/>
          <w:sz w:val="20"/>
        </w:rPr>
        <w:t xml:space="preserve"> </w:t>
      </w:r>
      <w:r w:rsidR="00A379E0">
        <w:rPr>
          <w:color w:val="373737"/>
          <w:sz w:val="20"/>
        </w:rPr>
        <w:t>R</w:t>
      </w:r>
      <w:r w:rsidRPr="00A62FE8">
        <w:rPr>
          <w:color w:val="373737"/>
          <w:sz w:val="20"/>
        </w:rPr>
        <w:t xml:space="preserve">eductions in venting </w:t>
      </w:r>
      <w:r>
        <w:rPr>
          <w:color w:val="373737"/>
          <w:sz w:val="20"/>
        </w:rPr>
        <w:t xml:space="preserve">and flaring </w:t>
      </w:r>
      <w:r w:rsidRPr="00A62FE8">
        <w:rPr>
          <w:color w:val="373737"/>
          <w:sz w:val="20"/>
        </w:rPr>
        <w:t xml:space="preserve">and </w:t>
      </w:r>
      <w:r>
        <w:rPr>
          <w:color w:val="373737"/>
          <w:sz w:val="20"/>
        </w:rPr>
        <w:t>action to reduce LNG train emissions</w:t>
      </w:r>
      <w:r w:rsidRPr="00A62FE8">
        <w:rPr>
          <w:color w:val="373737"/>
          <w:sz w:val="20"/>
        </w:rPr>
        <w:t xml:space="preserve"> could see Australian LNG become </w:t>
      </w:r>
      <w:r>
        <w:rPr>
          <w:color w:val="373737"/>
          <w:sz w:val="20"/>
        </w:rPr>
        <w:t>more attractive to trading partners as they undertake their respective transitions to clean energy</w:t>
      </w:r>
      <w:r w:rsidRPr="00A62FE8">
        <w:rPr>
          <w:color w:val="373737"/>
          <w:sz w:val="20"/>
        </w:rPr>
        <w:t xml:space="preserve">. </w:t>
      </w:r>
      <w:r w:rsidRPr="00A379C7">
        <w:rPr>
          <w:color w:val="373737"/>
          <w:sz w:val="20"/>
        </w:rPr>
        <w:t xml:space="preserve">With Asian trading partners looking for abatement through </w:t>
      </w:r>
      <w:r>
        <w:rPr>
          <w:color w:val="373737"/>
          <w:sz w:val="20"/>
        </w:rPr>
        <w:t>CCUS</w:t>
      </w:r>
      <w:r w:rsidRPr="00A379C7">
        <w:rPr>
          <w:color w:val="373737"/>
          <w:sz w:val="20"/>
        </w:rPr>
        <w:t xml:space="preserve">, demand may become </w:t>
      </w:r>
      <w:r>
        <w:rPr>
          <w:color w:val="373737"/>
          <w:sz w:val="20"/>
        </w:rPr>
        <w:t>increasingly shift</w:t>
      </w:r>
      <w:r w:rsidRPr="00A379C7">
        <w:rPr>
          <w:color w:val="373737"/>
          <w:sz w:val="20"/>
        </w:rPr>
        <w:t xml:space="preserve"> to gas exporters who offer lifecycle emissions management.</w:t>
      </w:r>
    </w:p>
    <w:p w14:paraId="7A1E09DF" w14:textId="11F73141" w:rsidR="00FA1C89" w:rsidRDefault="00EC7EC7" w:rsidP="002214A5">
      <w:pPr>
        <w:spacing w:after="120"/>
        <w:rPr>
          <w:color w:val="373737"/>
          <w:sz w:val="20"/>
        </w:rPr>
      </w:pPr>
      <w:r w:rsidRPr="00A62FE8">
        <w:rPr>
          <w:color w:val="373737"/>
          <w:sz w:val="20"/>
        </w:rPr>
        <w:t xml:space="preserve">The availability of Australian gas </w:t>
      </w:r>
      <w:r w:rsidR="00F75595">
        <w:rPr>
          <w:color w:val="373737"/>
          <w:sz w:val="20"/>
        </w:rPr>
        <w:t xml:space="preserve">to service </w:t>
      </w:r>
      <w:r w:rsidR="00CC4ED8">
        <w:rPr>
          <w:color w:val="373737"/>
          <w:sz w:val="20"/>
        </w:rPr>
        <w:t>Asian</w:t>
      </w:r>
      <w:r w:rsidR="00F75595">
        <w:rPr>
          <w:color w:val="373737"/>
          <w:sz w:val="20"/>
        </w:rPr>
        <w:t xml:space="preserve"> demand</w:t>
      </w:r>
      <w:r w:rsidRPr="00A62FE8">
        <w:rPr>
          <w:color w:val="373737"/>
          <w:sz w:val="20"/>
        </w:rPr>
        <w:t xml:space="preserve"> is unlikely to prove a binding limit on the level of ambition that Australia might wish to achieve (domestic supply considerations will be discussed further in </w:t>
      </w:r>
      <w:r w:rsidRPr="00A379C7">
        <w:rPr>
          <w:color w:val="373737"/>
          <w:sz w:val="20"/>
        </w:rPr>
        <w:t>Chapter 5</w:t>
      </w:r>
      <w:r w:rsidRPr="00A62FE8">
        <w:rPr>
          <w:color w:val="373737"/>
          <w:sz w:val="20"/>
        </w:rPr>
        <w:t>). However, significant investment in exploration and development would be needed to prove up new gas resources on an export scale (see Chapter </w:t>
      </w:r>
      <w:r w:rsidR="008875A3">
        <w:rPr>
          <w:color w:val="373737"/>
          <w:sz w:val="20"/>
        </w:rPr>
        <w:t>7</w:t>
      </w:r>
      <w:r w:rsidRPr="00A62FE8">
        <w:rPr>
          <w:color w:val="373737"/>
          <w:sz w:val="20"/>
        </w:rPr>
        <w:t>).</w:t>
      </w:r>
    </w:p>
    <w:p w14:paraId="7EA0E2D8" w14:textId="77777777" w:rsidR="00FA1C89" w:rsidRPr="00DB3003" w:rsidRDefault="00EC7EC7" w:rsidP="002214A5">
      <w:pPr>
        <w:pStyle w:val="Heading2"/>
      </w:pPr>
      <w:r w:rsidRPr="00A62FE8">
        <w:br w:type="column"/>
      </w:r>
      <w:bookmarkStart w:id="104" w:name="_Toc172794516"/>
      <w:r w:rsidR="00FA1C89" w:rsidRPr="00DB3003">
        <w:t>Developments in global gas supply and LNG trade volumes</w:t>
      </w:r>
      <w:bookmarkEnd w:id="104"/>
    </w:p>
    <w:p w14:paraId="09B234C2" w14:textId="77777777" w:rsidR="00C05F99" w:rsidRPr="00E165D4" w:rsidRDefault="00C05F99" w:rsidP="00C05F99">
      <w:pPr>
        <w:spacing w:after="120"/>
        <w:rPr>
          <w:sz w:val="20"/>
          <w:szCs w:val="20"/>
        </w:rPr>
      </w:pPr>
      <w:r w:rsidRPr="00E165D4">
        <w:rPr>
          <w:color w:val="373737"/>
          <w:sz w:val="20"/>
        </w:rPr>
        <w:t>Australian LNG is likely to play an important role in supporting the energy needs of partners. However, there are concerns raised by climate-vulnerable countries in the Asia-Pacific, particularly Pacific Island countries, and other partners regarding the climate impacts of Australia’s continued gas production.</w:t>
      </w:r>
    </w:p>
    <w:p w14:paraId="587B36BE" w14:textId="63DBAF94" w:rsidR="00EC7EC7" w:rsidRPr="00A62FE8" w:rsidRDefault="00EC7EC7" w:rsidP="00EC7EC7">
      <w:pPr>
        <w:spacing w:after="120"/>
        <w:rPr>
          <w:color w:val="373737"/>
          <w:sz w:val="20"/>
        </w:rPr>
      </w:pPr>
      <w:r w:rsidRPr="00A62FE8">
        <w:rPr>
          <w:color w:val="373737"/>
          <w:sz w:val="20"/>
        </w:rPr>
        <w:t xml:space="preserve">This chapter first presents the bilateral trading relationship between Australia and gas export destination (and investor) </w:t>
      </w:r>
      <w:r w:rsidR="00E871F3">
        <w:rPr>
          <w:color w:val="373737"/>
          <w:sz w:val="20"/>
        </w:rPr>
        <w:t>economies</w:t>
      </w:r>
      <w:r w:rsidRPr="00A62FE8">
        <w:rPr>
          <w:color w:val="373737"/>
          <w:sz w:val="20"/>
        </w:rPr>
        <w:t>. We then examine how Australia’s trading relationships might change under different pathways</w:t>
      </w:r>
      <w:r w:rsidR="006A3163">
        <w:rPr>
          <w:color w:val="373737"/>
          <w:sz w:val="20"/>
        </w:rPr>
        <w:t xml:space="preserve"> of </w:t>
      </w:r>
      <w:r w:rsidR="006A3163" w:rsidRPr="00A62FE8">
        <w:rPr>
          <w:color w:val="373737"/>
          <w:sz w:val="20"/>
        </w:rPr>
        <w:t>climate ambition</w:t>
      </w:r>
      <w:r w:rsidRPr="00A62FE8">
        <w:rPr>
          <w:color w:val="373737"/>
          <w:sz w:val="20"/>
        </w:rPr>
        <w:t>, and then turn to</w:t>
      </w:r>
      <w:r w:rsidRPr="00A62FE8" w:rsidDel="00544CE3">
        <w:rPr>
          <w:color w:val="373737"/>
          <w:sz w:val="20"/>
        </w:rPr>
        <w:t xml:space="preserve"> </w:t>
      </w:r>
      <w:r w:rsidRPr="00A62FE8">
        <w:rPr>
          <w:color w:val="373737"/>
          <w:sz w:val="20"/>
        </w:rPr>
        <w:t>the role that Australian gas plays in underpinning regional energy security.</w:t>
      </w:r>
    </w:p>
    <w:p w14:paraId="09F00B8A" w14:textId="2338BA12" w:rsidR="00EC7EC7" w:rsidRPr="00A62FE8" w:rsidRDefault="00EC7EC7" w:rsidP="00EC7EC7">
      <w:pPr>
        <w:spacing w:after="120"/>
        <w:rPr>
          <w:color w:val="373737"/>
          <w:sz w:val="20"/>
        </w:rPr>
      </w:pPr>
      <w:r w:rsidRPr="00A62FE8">
        <w:rPr>
          <w:color w:val="373737"/>
          <w:sz w:val="20"/>
        </w:rPr>
        <w:t>Underpinning the narrative of global gas demand are the three different levels of climate ambition based on the scenarios from IEA’s World Energy Outlook (WEO) 2023. Here</w:t>
      </w:r>
      <w:r w:rsidR="00130921">
        <w:rPr>
          <w:color w:val="373737"/>
          <w:sz w:val="20"/>
        </w:rPr>
        <w:t>,</w:t>
      </w:r>
      <w:r w:rsidRPr="00A62FE8">
        <w:rPr>
          <w:color w:val="373737"/>
          <w:sz w:val="20"/>
        </w:rPr>
        <w:t xml:space="preserve"> we complement WEO projections with the Nexant World Gas Model and examine LNG (and Australian LNG) demand by key trading partners in the region.</w:t>
      </w:r>
    </w:p>
    <w:p w14:paraId="58F771EA" w14:textId="1569D99D" w:rsidR="00EC7EC7" w:rsidRPr="00A62FE8" w:rsidRDefault="00EC7EC7" w:rsidP="00EC7EC7">
      <w:pPr>
        <w:spacing w:after="120"/>
        <w:rPr>
          <w:color w:val="373737"/>
          <w:sz w:val="20"/>
        </w:rPr>
      </w:pPr>
      <w:r w:rsidRPr="00A62FE8">
        <w:rPr>
          <w:color w:val="373737"/>
          <w:sz w:val="20"/>
        </w:rPr>
        <w:t xml:space="preserve">We note that these models are based on price signals alone, and that there are additional factors (such as energy </w:t>
      </w:r>
      <w:r w:rsidR="006A3163">
        <w:rPr>
          <w:color w:val="373737"/>
          <w:sz w:val="20"/>
        </w:rPr>
        <w:t xml:space="preserve">and supply </w:t>
      </w:r>
      <w:r w:rsidRPr="00A62FE8">
        <w:rPr>
          <w:color w:val="373737"/>
          <w:sz w:val="20"/>
        </w:rPr>
        <w:t xml:space="preserve">diversification needs) that </w:t>
      </w:r>
      <w:r w:rsidR="00EF4AFB">
        <w:rPr>
          <w:color w:val="373737"/>
          <w:sz w:val="20"/>
        </w:rPr>
        <w:t>could encourage the</w:t>
      </w:r>
      <w:r w:rsidRPr="00A62FE8">
        <w:rPr>
          <w:color w:val="373737"/>
          <w:sz w:val="20"/>
        </w:rPr>
        <w:t xml:space="preserve"> purchase </w:t>
      </w:r>
      <w:r w:rsidR="00EF4AFB">
        <w:rPr>
          <w:color w:val="373737"/>
          <w:sz w:val="20"/>
        </w:rPr>
        <w:t xml:space="preserve">of </w:t>
      </w:r>
      <w:r w:rsidRPr="00A62FE8">
        <w:rPr>
          <w:color w:val="373737"/>
          <w:sz w:val="20"/>
        </w:rPr>
        <w:t>Australian LNG.</w:t>
      </w:r>
    </w:p>
    <w:p w14:paraId="74502019" w14:textId="77777777" w:rsidR="00EC7EC7" w:rsidRPr="00A62FE8" w:rsidRDefault="00EC7EC7" w:rsidP="00EC7EC7">
      <w:pPr>
        <w:pStyle w:val="Heading3"/>
        <w:rPr>
          <w:lang w:val="en"/>
        </w:rPr>
      </w:pPr>
      <w:r w:rsidRPr="00A62FE8">
        <w:rPr>
          <w:lang w:val="en"/>
        </w:rPr>
        <w:t xml:space="preserve">Australia’s LNG exports underpinned by investment relationships </w:t>
      </w:r>
    </w:p>
    <w:p w14:paraId="40EC5D7D" w14:textId="17747ECB" w:rsidR="00EC7EC7" w:rsidRPr="00A62FE8" w:rsidRDefault="00EC7EC7" w:rsidP="00292A5C">
      <w:pPr>
        <w:spacing w:after="120"/>
        <w:rPr>
          <w:color w:val="373737"/>
          <w:sz w:val="20"/>
          <w:lang w:eastAsia="en-AU"/>
        </w:rPr>
      </w:pPr>
      <w:r w:rsidRPr="00A62FE8">
        <w:rPr>
          <w:color w:val="373737"/>
          <w:sz w:val="20"/>
          <w:lang w:eastAsia="en-AU"/>
        </w:rPr>
        <w:t xml:space="preserve">Australia currently accounts for a fifth of global LNG trade and 4% of the global gas trade. In 2022–23, Australia exported 81 </w:t>
      </w:r>
      <w:r w:rsidR="00FD0049">
        <w:rPr>
          <w:color w:val="373737"/>
          <w:sz w:val="20"/>
          <w:lang w:eastAsia="en-AU"/>
        </w:rPr>
        <w:t xml:space="preserve">million </w:t>
      </w:r>
      <w:r w:rsidRPr="00A62FE8">
        <w:rPr>
          <w:color w:val="373737"/>
          <w:sz w:val="20"/>
          <w:lang w:eastAsia="en-AU"/>
        </w:rPr>
        <w:t>tonnes (Mt</w:t>
      </w:r>
      <w:r w:rsidR="009735A9">
        <w:rPr>
          <w:color w:val="373737"/>
          <w:sz w:val="20"/>
          <w:lang w:eastAsia="en-AU"/>
        </w:rPr>
        <w:t xml:space="preserve">, </w:t>
      </w:r>
      <w:r w:rsidR="00FD0049">
        <w:rPr>
          <w:color w:val="373737"/>
          <w:sz w:val="20"/>
          <w:lang w:eastAsia="en-AU"/>
        </w:rPr>
        <w:t>or megatonnes</w:t>
      </w:r>
      <w:r w:rsidRPr="00A62FE8">
        <w:rPr>
          <w:color w:val="373737"/>
          <w:sz w:val="20"/>
          <w:lang w:eastAsia="en-AU"/>
        </w:rPr>
        <w:t xml:space="preserve">) of LNG, which is comparable to the LNG volumes exported by the US and Qatar and among the largest exporters in the world (Figure </w:t>
      </w:r>
      <w:r>
        <w:rPr>
          <w:color w:val="373737"/>
          <w:sz w:val="20"/>
          <w:lang w:eastAsia="en-AU"/>
        </w:rPr>
        <w:t>4</w:t>
      </w:r>
      <w:r w:rsidRPr="00A62FE8">
        <w:rPr>
          <w:color w:val="373737"/>
          <w:sz w:val="20"/>
          <w:lang w:eastAsia="en-AU"/>
        </w:rPr>
        <w:t xml:space="preserve">.1). Australian natural gas is solely exported </w:t>
      </w:r>
      <w:r w:rsidR="00EF4AFB">
        <w:rPr>
          <w:color w:val="373737"/>
          <w:sz w:val="20"/>
          <w:lang w:eastAsia="en-AU"/>
        </w:rPr>
        <w:t>as</w:t>
      </w:r>
      <w:r w:rsidRPr="00A62FE8">
        <w:rPr>
          <w:color w:val="373737"/>
          <w:sz w:val="20"/>
          <w:lang w:eastAsia="en-AU"/>
        </w:rPr>
        <w:t xml:space="preserve"> </w:t>
      </w:r>
      <w:r w:rsidR="00EF4AFB">
        <w:rPr>
          <w:color w:val="373737"/>
          <w:sz w:val="20"/>
          <w:lang w:eastAsia="en-AU"/>
        </w:rPr>
        <w:t>seaborne</w:t>
      </w:r>
      <w:r w:rsidRPr="00A62FE8">
        <w:rPr>
          <w:color w:val="373737"/>
          <w:sz w:val="20"/>
          <w:lang w:eastAsia="en-AU"/>
        </w:rPr>
        <w:t xml:space="preserve"> LNG, whereas other countries include varying degrees of pipeline exports in their trade mix.</w:t>
      </w:r>
    </w:p>
    <w:p w14:paraId="39F327EF" w14:textId="7CA25153" w:rsidR="001F316D" w:rsidRPr="00A62FE8" w:rsidRDefault="001F316D" w:rsidP="00292A5C">
      <w:pPr>
        <w:spacing w:after="120"/>
        <w:rPr>
          <w:color w:val="373737"/>
          <w:sz w:val="20"/>
          <w:lang w:eastAsia="en-AU"/>
        </w:rPr>
      </w:pPr>
      <w:r w:rsidRPr="00A62FE8">
        <w:rPr>
          <w:color w:val="373737"/>
          <w:sz w:val="20"/>
          <w:lang w:eastAsia="en-AU"/>
        </w:rPr>
        <w:t xml:space="preserve">Australia’s LNG investment and </w:t>
      </w:r>
      <w:r>
        <w:rPr>
          <w:color w:val="373737"/>
          <w:sz w:val="20"/>
          <w:lang w:eastAsia="en-AU"/>
        </w:rPr>
        <w:t xml:space="preserve">stable supply </w:t>
      </w:r>
      <w:r w:rsidRPr="00A62FE8">
        <w:rPr>
          <w:color w:val="373737"/>
          <w:sz w:val="20"/>
          <w:lang w:eastAsia="en-AU"/>
        </w:rPr>
        <w:t>have been fundamental to our regional bilateral relationships, with Australia receiving economic and strategic benefits beyond LNG</w:t>
      </w:r>
      <w:r w:rsidR="00EF4AFB">
        <w:rPr>
          <w:color w:val="373737"/>
          <w:sz w:val="20"/>
          <w:lang w:eastAsia="en-AU"/>
        </w:rPr>
        <w:t xml:space="preserve"> sales</w:t>
      </w:r>
      <w:r w:rsidRPr="00A62FE8">
        <w:rPr>
          <w:color w:val="373737"/>
          <w:sz w:val="20"/>
          <w:lang w:eastAsia="en-AU"/>
        </w:rPr>
        <w:t>.</w:t>
      </w:r>
      <w:r w:rsidRPr="009E5B18">
        <w:rPr>
          <w:color w:val="373737"/>
          <w:sz w:val="20"/>
          <w:lang w:eastAsia="en-AU"/>
        </w:rPr>
        <w:t xml:space="preserve"> </w:t>
      </w:r>
      <w:r>
        <w:rPr>
          <w:color w:val="373737"/>
          <w:sz w:val="20"/>
          <w:lang w:eastAsia="en-AU"/>
        </w:rPr>
        <w:t>Significant foreign direct investment in Australian gas production from these regional energy partners has also made an important contribution to Australia’s own domestic energy security and affordability.</w:t>
      </w:r>
      <w:r w:rsidR="009A3569">
        <w:rPr>
          <w:color w:val="373737"/>
          <w:sz w:val="20"/>
          <w:lang w:eastAsia="en-AU"/>
        </w:rPr>
        <w:t xml:space="preserve"> Foreign direct investment by these </w:t>
      </w:r>
      <w:r w:rsidR="00E871F3">
        <w:rPr>
          <w:color w:val="373737"/>
          <w:sz w:val="20"/>
          <w:lang w:eastAsia="en-AU"/>
        </w:rPr>
        <w:t>partners</w:t>
      </w:r>
      <w:r w:rsidR="009A3569">
        <w:rPr>
          <w:color w:val="373737"/>
          <w:sz w:val="20"/>
          <w:lang w:eastAsia="en-AU"/>
        </w:rPr>
        <w:t xml:space="preserve"> is also assisting Australia to innovate solutions needed as part of the energy transition, with countries such as Japan investing in early</w:t>
      </w:r>
      <w:r w:rsidR="00355D51">
        <w:rPr>
          <w:color w:val="373737"/>
          <w:sz w:val="20"/>
          <w:lang w:eastAsia="en-AU"/>
        </w:rPr>
        <w:t>-</w:t>
      </w:r>
      <w:r w:rsidR="009A3569">
        <w:rPr>
          <w:color w:val="373737"/>
          <w:sz w:val="20"/>
          <w:lang w:eastAsia="en-AU"/>
        </w:rPr>
        <w:t>stage develop</w:t>
      </w:r>
      <w:r w:rsidR="00EF4AFB">
        <w:rPr>
          <w:color w:val="373737"/>
          <w:sz w:val="20"/>
          <w:lang w:eastAsia="en-AU"/>
        </w:rPr>
        <w:t>ment</w:t>
      </w:r>
      <w:r w:rsidR="009A3569">
        <w:rPr>
          <w:color w:val="373737"/>
          <w:sz w:val="20"/>
          <w:lang w:eastAsia="en-AU"/>
        </w:rPr>
        <w:t xml:space="preserve"> of new technologies such as hydrogen manufacture and transport.</w:t>
      </w:r>
    </w:p>
    <w:p w14:paraId="46CB485F" w14:textId="67E88BA8" w:rsidR="00EC7EC7" w:rsidRPr="00A62FE8" w:rsidRDefault="00EC7EC7" w:rsidP="00EC7EC7">
      <w:pPr>
        <w:spacing w:after="40"/>
        <w:rPr>
          <w:color w:val="373737"/>
          <w:sz w:val="20"/>
          <w:lang w:eastAsia="en-AU"/>
        </w:rPr>
      </w:pPr>
      <w:r w:rsidRPr="00A62FE8">
        <w:rPr>
          <w:color w:val="373737"/>
          <w:sz w:val="20"/>
          <w:lang w:eastAsia="en-AU"/>
        </w:rPr>
        <w:t xml:space="preserve">In 2022–23, over a third of Australian LNG was exported to Japan (accounting for 36% or 29 Mt), followed by China (28% or 23 Mt) and </w:t>
      </w:r>
      <w:r>
        <w:rPr>
          <w:color w:val="373737"/>
          <w:sz w:val="20"/>
          <w:lang w:eastAsia="en-AU"/>
        </w:rPr>
        <w:t>ROK</w:t>
      </w:r>
      <w:r w:rsidRPr="00A62FE8">
        <w:rPr>
          <w:color w:val="373737"/>
          <w:sz w:val="20"/>
          <w:lang w:eastAsia="en-AU"/>
        </w:rPr>
        <w:t xml:space="preserve"> (15% or 11 Mt) (Figure </w:t>
      </w:r>
      <w:r>
        <w:rPr>
          <w:color w:val="373737"/>
          <w:sz w:val="20"/>
          <w:lang w:eastAsia="en-AU"/>
        </w:rPr>
        <w:t>4</w:t>
      </w:r>
      <w:r w:rsidRPr="00A62FE8">
        <w:rPr>
          <w:color w:val="373737"/>
          <w:sz w:val="20"/>
          <w:lang w:eastAsia="en-AU"/>
        </w:rPr>
        <w:t>.2). All three of these countries are long</w:t>
      </w:r>
      <w:r w:rsidR="009F6064">
        <w:rPr>
          <w:color w:val="373737"/>
          <w:sz w:val="20"/>
          <w:lang w:eastAsia="en-AU"/>
        </w:rPr>
        <w:t>-</w:t>
      </w:r>
      <w:r w:rsidRPr="00A62FE8">
        <w:rPr>
          <w:color w:val="373737"/>
          <w:sz w:val="20"/>
          <w:lang w:eastAsia="en-AU"/>
        </w:rPr>
        <w:t xml:space="preserve">term export destinations </w:t>
      </w:r>
      <w:r w:rsidR="00130921">
        <w:rPr>
          <w:lang w:eastAsia="en-AU"/>
        </w:rPr>
        <w:t>—</w:t>
      </w:r>
      <w:r w:rsidRPr="00A62FE8">
        <w:rPr>
          <w:color w:val="373737"/>
          <w:sz w:val="20"/>
          <w:lang w:eastAsia="en-AU"/>
        </w:rPr>
        <w:t xml:space="preserve"> with Japan receiving its first Australian LNG shipment in 1989, </w:t>
      </w:r>
      <w:r>
        <w:rPr>
          <w:color w:val="373737"/>
          <w:sz w:val="20"/>
          <w:lang w:eastAsia="en-AU"/>
        </w:rPr>
        <w:t>ROK</w:t>
      </w:r>
      <w:r w:rsidRPr="00A62FE8">
        <w:rPr>
          <w:color w:val="373737"/>
          <w:sz w:val="20"/>
          <w:lang w:eastAsia="en-AU"/>
        </w:rPr>
        <w:t xml:space="preserve"> in 2003, and China in 2006. </w:t>
      </w:r>
      <w:r w:rsidR="009735A9">
        <w:rPr>
          <w:color w:val="373737"/>
          <w:sz w:val="20"/>
          <w:lang w:eastAsia="en-AU"/>
        </w:rPr>
        <w:t>Members of the Association of Southeast Asian Nations (</w:t>
      </w:r>
      <w:r w:rsidRPr="00A62FE8">
        <w:rPr>
          <w:color w:val="373737"/>
          <w:sz w:val="20"/>
          <w:lang w:eastAsia="en-AU"/>
        </w:rPr>
        <w:t>ASEAN</w:t>
      </w:r>
      <w:r w:rsidR="009735A9">
        <w:rPr>
          <w:color w:val="373737"/>
          <w:sz w:val="20"/>
          <w:lang w:eastAsia="en-AU"/>
        </w:rPr>
        <w:t>)</w:t>
      </w:r>
      <w:r w:rsidRPr="00A62FE8">
        <w:rPr>
          <w:color w:val="373737"/>
          <w:sz w:val="20"/>
          <w:lang w:eastAsia="en-AU"/>
        </w:rPr>
        <w:t xml:space="preserve"> accounts for another 10% (or 8 Mt), with the main importers in the bloc </w:t>
      </w:r>
      <w:r w:rsidR="006A3163">
        <w:rPr>
          <w:color w:val="373737"/>
          <w:sz w:val="20"/>
          <w:lang w:eastAsia="en-AU"/>
        </w:rPr>
        <w:t>being</w:t>
      </w:r>
      <w:r w:rsidRPr="00A62FE8">
        <w:rPr>
          <w:color w:val="373737"/>
          <w:sz w:val="20"/>
          <w:lang w:eastAsia="en-AU"/>
        </w:rPr>
        <w:t xml:space="preserve"> Singapore, Thailand and Malaysia.</w:t>
      </w:r>
    </w:p>
    <w:p w14:paraId="7FA434AE" w14:textId="32D46584" w:rsidR="00EC7EC7" w:rsidRPr="00A62FE8" w:rsidRDefault="00EC7EC7" w:rsidP="00C97679">
      <w:pPr>
        <w:pStyle w:val="Caption"/>
        <w:rPr>
          <w:lang w:val="en"/>
        </w:rPr>
      </w:pPr>
      <w:r w:rsidRPr="00A62FE8">
        <w:rPr>
          <w:lang w:val="en"/>
        </w:rPr>
        <w:t>Figure</w:t>
      </w:r>
      <w:r>
        <w:rPr>
          <w:lang w:val="en"/>
        </w:rPr>
        <w:t xml:space="preserve"> </w:t>
      </w:r>
      <w:r w:rsidR="006877E8">
        <w:rPr>
          <w:noProof/>
          <w:lang w:val="en"/>
        </w:rPr>
        <w:fldChar w:fldCharType="begin"/>
      </w:r>
      <w:r w:rsidR="006877E8">
        <w:rPr>
          <w:noProof/>
          <w:lang w:val="en"/>
        </w:rPr>
        <w:instrText xml:space="preserve"> STYLEREF 1 \s </w:instrText>
      </w:r>
      <w:r w:rsidR="006877E8">
        <w:rPr>
          <w:noProof/>
          <w:lang w:val="en"/>
        </w:rPr>
        <w:fldChar w:fldCharType="separate"/>
      </w:r>
      <w:r w:rsidR="00BF178A">
        <w:rPr>
          <w:noProof/>
          <w:lang w:val="en"/>
        </w:rPr>
        <w:t>4</w:t>
      </w:r>
      <w:r w:rsidR="006877E8">
        <w:rPr>
          <w:noProof/>
          <w:lang w:val="en"/>
        </w:rPr>
        <w:fldChar w:fldCharType="end"/>
      </w:r>
      <w:r w:rsidR="006877E8">
        <w:rPr>
          <w:noProof/>
          <w:lang w:val="en"/>
        </w:rPr>
        <w:t>.</w:t>
      </w:r>
      <w:r w:rsidR="006877E8">
        <w:rPr>
          <w:noProof/>
          <w:lang w:val="en"/>
        </w:rPr>
        <w:fldChar w:fldCharType="begin"/>
      </w:r>
      <w:r w:rsidR="006877E8">
        <w:rPr>
          <w:noProof/>
          <w:lang w:val="en"/>
        </w:rPr>
        <w:instrText xml:space="preserve"> SEQ Figure \* ARABIC \s 1 </w:instrText>
      </w:r>
      <w:r w:rsidR="006877E8">
        <w:rPr>
          <w:noProof/>
          <w:lang w:val="en"/>
        </w:rPr>
        <w:fldChar w:fldCharType="separate"/>
      </w:r>
      <w:r w:rsidR="00BF178A">
        <w:rPr>
          <w:noProof/>
          <w:lang w:val="en"/>
        </w:rPr>
        <w:t>1</w:t>
      </w:r>
      <w:r w:rsidR="006877E8">
        <w:rPr>
          <w:noProof/>
          <w:lang w:val="en"/>
        </w:rPr>
        <w:fldChar w:fldCharType="end"/>
      </w:r>
      <w:r w:rsidRPr="00A62FE8">
        <w:rPr>
          <w:lang w:val="en"/>
        </w:rPr>
        <w:t>: Major LNG exporter volumes in 2022–23</w:t>
      </w:r>
    </w:p>
    <w:p w14:paraId="5986050D" w14:textId="7603FA92" w:rsidR="00EC7EC7" w:rsidRPr="00A62FE8" w:rsidRDefault="00524897" w:rsidP="00EC7EC7">
      <w:pPr>
        <w:keepNext/>
        <w:spacing w:after="60" w:line="240" w:lineRule="auto"/>
        <w:rPr>
          <w:rFonts w:eastAsia="Times New Roman" w:cs="Arial"/>
          <w:color w:val="005CAF"/>
          <w:sz w:val="16"/>
          <w:szCs w:val="20"/>
          <w:lang w:val="en"/>
        </w:rPr>
      </w:pPr>
      <w:r>
        <w:rPr>
          <w:noProof/>
        </w:rPr>
        <w:drawing>
          <wp:inline distT="0" distB="0" distL="0" distR="0" wp14:anchorId="6CAF781C" wp14:editId="5CA15F2C">
            <wp:extent cx="4206875" cy="2019300"/>
            <wp:effectExtent l="0" t="0" r="3175" b="0"/>
            <wp:docPr id="699518991" name="Chart 699518991" descr="This figure shows the top 7 major LNG exporter volumes in Mt for the 2022-23 financial year. Qatar, Australia and the United States all exported much more than any other country, each exporting around 80 Mt. Export volumes for Russia and Malaysia were less than half of volumes in Qatar, Australia and the United States, while Nigeria and Indonesia exported about an eighth of LNG volumes in these three economies. ">
              <a:extLst xmlns:a="http://schemas.openxmlformats.org/drawingml/2006/main">
                <a:ext uri="{FF2B5EF4-FFF2-40B4-BE49-F238E27FC236}">
                  <a16:creationId xmlns:a16="http://schemas.microsoft.com/office/drawing/2014/main" id="{5FCB6082-AA52-466C-9AB3-0E6D14D7C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57C97B9" w14:textId="6DE2B82F" w:rsidR="00EC7EC7" w:rsidRPr="00A62FE8" w:rsidRDefault="00EC7EC7" w:rsidP="000275CF">
      <w:pPr>
        <w:pStyle w:val="Source"/>
      </w:pPr>
      <w:r w:rsidRPr="00A62FE8">
        <w:t xml:space="preserve">Notes: Inclusive of top </w:t>
      </w:r>
      <w:r w:rsidR="00961575">
        <w:t>seven</w:t>
      </w:r>
      <w:r w:rsidRPr="00A62FE8">
        <w:t xml:space="preserve"> export volumes based on shipping data.</w:t>
      </w:r>
    </w:p>
    <w:p w14:paraId="69FB4F76" w14:textId="67958F64" w:rsidR="00EC7EC7" w:rsidRPr="00A62FE8" w:rsidRDefault="00EC7EC7" w:rsidP="009735A9">
      <w:pPr>
        <w:pStyle w:val="Source"/>
      </w:pPr>
      <w:r w:rsidRPr="00A62FE8">
        <w:t>Source: Kpler (2023</w:t>
      </w:r>
      <w:r w:rsidR="007D0852">
        <w:t>b</w:t>
      </w:r>
      <w:r w:rsidRPr="00A62FE8">
        <w:t>)</w:t>
      </w:r>
      <w:bookmarkStart w:id="105" w:name="_Hlk158372645"/>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C7EC7" w:rsidRPr="00A62FE8" w14:paraId="3374427B" w14:textId="77777777" w:rsidTr="009735A9">
        <w:trPr>
          <w:cnfStyle w:val="100000000000" w:firstRow="1" w:lastRow="0" w:firstColumn="0" w:lastColumn="0" w:oddVBand="0" w:evenVBand="0" w:oddHBand="0" w:evenHBand="0" w:firstRowFirstColumn="0" w:firstRowLastColumn="0" w:lastRowFirstColumn="0" w:lastRowLastColumn="0"/>
          <w:cantSplit/>
        </w:trPr>
        <w:tc>
          <w:tcPr>
            <w:tcW w:w="0" w:type="pct"/>
            <w:shd w:val="clear" w:color="auto" w:fill="F1CFCF"/>
          </w:tcPr>
          <w:p w14:paraId="69245F98" w14:textId="732CE712" w:rsidR="00EC7EC7" w:rsidRPr="00A62FE8" w:rsidRDefault="00EC7EC7" w:rsidP="00C50D71">
            <w:pPr>
              <w:widowControl w:val="0"/>
              <w:spacing w:beforeLines="60" w:before="144" w:afterLines="60" w:after="144"/>
              <w:ind w:left="113" w:right="113"/>
              <w:jc w:val="both"/>
              <w:rPr>
                <w:rFonts w:eastAsia="Times New Roman" w:cs="Arial"/>
                <w:color w:val="auto"/>
                <w:sz w:val="20"/>
                <w:szCs w:val="18"/>
                <w:lang w:val="en"/>
              </w:rPr>
            </w:pPr>
            <w:r w:rsidRPr="00A62FE8">
              <w:rPr>
                <w:rFonts w:eastAsia="Times New Roman" w:cs="Arial"/>
                <w:b/>
                <w:bCs/>
                <w:color w:val="auto"/>
                <w:sz w:val="20"/>
                <w:szCs w:val="18"/>
                <w:lang w:val="en"/>
              </w:rPr>
              <w:t xml:space="preserve">Insight: </w:t>
            </w:r>
            <w:r w:rsidRPr="00A62FE8">
              <w:rPr>
                <w:rFonts w:eastAsia="Times New Roman" w:cs="Arial"/>
                <w:color w:val="auto"/>
                <w:sz w:val="20"/>
                <w:szCs w:val="18"/>
                <w:lang w:val="en"/>
              </w:rPr>
              <w:t>About 90% of Australia’s 2022</w:t>
            </w:r>
            <w:r w:rsidR="00DB5745">
              <w:rPr>
                <w:rFonts w:eastAsia="Times New Roman" w:cs="Arial"/>
                <w:color w:val="auto"/>
                <w:sz w:val="20"/>
                <w:szCs w:val="18"/>
                <w:lang w:val="en"/>
              </w:rPr>
              <w:t>–</w:t>
            </w:r>
            <w:r w:rsidRPr="00A62FE8">
              <w:rPr>
                <w:rFonts w:eastAsia="Times New Roman" w:cs="Arial"/>
                <w:color w:val="auto"/>
                <w:sz w:val="20"/>
                <w:szCs w:val="18"/>
                <w:lang w:val="en"/>
              </w:rPr>
              <w:t xml:space="preserve">23 LNG exports went to Japan, China, </w:t>
            </w:r>
            <w:r>
              <w:rPr>
                <w:rFonts w:eastAsia="Times New Roman" w:cs="Arial"/>
                <w:color w:val="auto"/>
                <w:sz w:val="20"/>
                <w:szCs w:val="18"/>
                <w:lang w:val="en"/>
              </w:rPr>
              <w:t>ROK</w:t>
            </w:r>
            <w:r w:rsidRPr="00A62FE8">
              <w:rPr>
                <w:rFonts w:eastAsia="Times New Roman" w:cs="Arial"/>
                <w:color w:val="auto"/>
                <w:sz w:val="20"/>
                <w:szCs w:val="18"/>
                <w:lang w:val="en"/>
              </w:rPr>
              <w:t xml:space="preserve"> and Taiwan. </w:t>
            </w:r>
            <w:r w:rsidR="006A3163">
              <w:rPr>
                <w:rFonts w:eastAsia="Times New Roman" w:cs="Arial"/>
                <w:color w:val="auto"/>
                <w:sz w:val="20"/>
                <w:szCs w:val="18"/>
                <w:lang w:val="en"/>
              </w:rPr>
              <w:t>The Australian LNG sector has long been a beneficiary of investment funds from th</w:t>
            </w:r>
            <w:r w:rsidRPr="00A62FE8">
              <w:rPr>
                <w:rFonts w:eastAsia="Times New Roman" w:cs="Arial"/>
                <w:color w:val="auto"/>
                <w:sz w:val="20"/>
                <w:szCs w:val="18"/>
                <w:lang w:val="en"/>
              </w:rPr>
              <w:t xml:space="preserve">ese </w:t>
            </w:r>
            <w:r w:rsidR="00E664BD">
              <w:rPr>
                <w:rFonts w:eastAsia="Times New Roman" w:cs="Arial"/>
                <w:color w:val="auto"/>
                <w:sz w:val="20"/>
                <w:szCs w:val="18"/>
                <w:lang w:val="en"/>
              </w:rPr>
              <w:t>trading partners</w:t>
            </w:r>
            <w:r w:rsidRPr="00A62FE8">
              <w:rPr>
                <w:rFonts w:eastAsia="Times New Roman" w:cs="Arial"/>
                <w:color w:val="auto"/>
                <w:sz w:val="20"/>
                <w:szCs w:val="18"/>
                <w:lang w:val="en"/>
              </w:rPr>
              <w:t xml:space="preserve">; Japan since the late 1980s and others since the 2010s. </w:t>
            </w:r>
            <w:r w:rsidRPr="00FE49A7">
              <w:rPr>
                <w:rFonts w:eastAsia="Times New Roman" w:cs="Arial"/>
                <w:color w:val="auto"/>
                <w:sz w:val="20"/>
                <w:szCs w:val="18"/>
                <w:lang w:val="en"/>
              </w:rPr>
              <w:t xml:space="preserve">Japan, ROK and Taiwan </w:t>
            </w:r>
            <w:r w:rsidR="00236614" w:rsidRPr="00FE49A7">
              <w:rPr>
                <w:rFonts w:eastAsia="Times New Roman" w:cs="Arial"/>
                <w:color w:val="auto"/>
                <w:sz w:val="20"/>
                <w:szCs w:val="18"/>
                <w:lang w:val="en"/>
              </w:rPr>
              <w:t>heavily rely</w:t>
            </w:r>
            <w:r w:rsidRPr="00FE49A7">
              <w:rPr>
                <w:rFonts w:eastAsia="Times New Roman" w:cs="Arial"/>
                <w:color w:val="auto"/>
                <w:sz w:val="20"/>
                <w:szCs w:val="18"/>
                <w:lang w:val="en"/>
              </w:rPr>
              <w:t xml:space="preserve"> on Australia’s LNG</w:t>
            </w:r>
            <w:r w:rsidR="00236614" w:rsidRPr="00FE49A7">
              <w:rPr>
                <w:rFonts w:eastAsia="Times New Roman" w:cs="Arial"/>
                <w:color w:val="auto"/>
                <w:sz w:val="20"/>
                <w:szCs w:val="18"/>
                <w:lang w:val="en"/>
              </w:rPr>
              <w:t xml:space="preserve">, meeting </w:t>
            </w:r>
            <w:r w:rsidRPr="00FE49A7">
              <w:rPr>
                <w:rFonts w:eastAsia="Times New Roman" w:cs="Arial"/>
                <w:color w:val="auto"/>
                <w:sz w:val="20"/>
                <w:szCs w:val="18"/>
                <w:lang w:val="en"/>
              </w:rPr>
              <w:t>36%</w:t>
            </w:r>
            <w:r w:rsidR="00236614" w:rsidRPr="00FE49A7">
              <w:rPr>
                <w:rFonts w:eastAsia="Times New Roman" w:cs="Arial"/>
                <w:color w:val="auto"/>
                <w:sz w:val="20"/>
                <w:szCs w:val="18"/>
                <w:lang w:val="en"/>
              </w:rPr>
              <w:t xml:space="preserve"> of their</w:t>
            </w:r>
            <w:r w:rsidRPr="00FE49A7">
              <w:rPr>
                <w:rFonts w:eastAsia="Times New Roman" w:cs="Arial"/>
                <w:color w:val="auto"/>
                <w:sz w:val="20"/>
                <w:szCs w:val="18"/>
                <w:lang w:val="en"/>
              </w:rPr>
              <w:t xml:space="preserve"> </w:t>
            </w:r>
            <w:r w:rsidR="00236614" w:rsidRPr="00FE49A7">
              <w:rPr>
                <w:rFonts w:eastAsia="Times New Roman" w:cs="Arial"/>
                <w:color w:val="auto"/>
                <w:sz w:val="20"/>
                <w:szCs w:val="18"/>
                <w:lang w:val="en"/>
              </w:rPr>
              <w:t>combined</w:t>
            </w:r>
            <w:r w:rsidRPr="00FE49A7">
              <w:rPr>
                <w:rFonts w:eastAsia="Times New Roman" w:cs="Arial"/>
                <w:color w:val="auto"/>
                <w:sz w:val="20"/>
                <w:szCs w:val="18"/>
                <w:lang w:val="en"/>
              </w:rPr>
              <w:t xml:space="preserve"> gas </w:t>
            </w:r>
            <w:r w:rsidR="00236614" w:rsidRPr="00FE49A7">
              <w:rPr>
                <w:rFonts w:eastAsia="Times New Roman" w:cs="Arial"/>
                <w:color w:val="auto"/>
                <w:sz w:val="20"/>
                <w:szCs w:val="18"/>
                <w:lang w:val="en"/>
              </w:rPr>
              <w:t>demand</w:t>
            </w:r>
            <w:r w:rsidRPr="00A62FE8">
              <w:rPr>
                <w:rFonts w:eastAsia="Times New Roman" w:cs="Arial"/>
                <w:color w:val="auto"/>
                <w:sz w:val="20"/>
                <w:szCs w:val="18"/>
                <w:lang w:val="en"/>
              </w:rPr>
              <w:t xml:space="preserve">. These economies </w:t>
            </w:r>
            <w:r w:rsidR="00326C52">
              <w:rPr>
                <w:rFonts w:eastAsia="Times New Roman" w:cs="Arial"/>
                <w:color w:val="auto"/>
                <w:sz w:val="20"/>
                <w:szCs w:val="18"/>
                <w:lang w:val="en"/>
              </w:rPr>
              <w:t>have</w:t>
            </w:r>
            <w:r w:rsidRPr="00A62FE8">
              <w:rPr>
                <w:rFonts w:eastAsia="Times New Roman" w:cs="Arial"/>
                <w:color w:val="auto"/>
                <w:sz w:val="20"/>
                <w:szCs w:val="18"/>
                <w:lang w:val="en"/>
              </w:rPr>
              <w:t xml:space="preserve"> hard-to-abate emissions profiles </w:t>
            </w:r>
            <w:r w:rsidR="00326C52">
              <w:rPr>
                <w:rFonts w:eastAsia="Times New Roman" w:cs="Arial"/>
                <w:color w:val="auto"/>
                <w:sz w:val="20"/>
                <w:szCs w:val="18"/>
                <w:lang w:val="en"/>
              </w:rPr>
              <w:t xml:space="preserve">and </w:t>
            </w:r>
            <w:r w:rsidRPr="00A62FE8">
              <w:rPr>
                <w:rFonts w:eastAsia="Times New Roman" w:cs="Arial"/>
                <w:color w:val="auto"/>
                <w:sz w:val="20"/>
                <w:szCs w:val="18"/>
                <w:lang w:val="en"/>
              </w:rPr>
              <w:t xml:space="preserve">have indicated a need for Australian LNG </w:t>
            </w:r>
            <w:r>
              <w:rPr>
                <w:rFonts w:eastAsia="Times New Roman" w:cs="Arial"/>
                <w:color w:val="auto"/>
                <w:sz w:val="20"/>
                <w:szCs w:val="18"/>
                <w:lang w:val="en"/>
              </w:rPr>
              <w:t>as they strive to</w:t>
            </w:r>
            <w:r w:rsidRPr="00A62FE8">
              <w:rPr>
                <w:rFonts w:eastAsia="Times New Roman" w:cs="Arial"/>
                <w:color w:val="auto"/>
                <w:sz w:val="20"/>
                <w:szCs w:val="18"/>
                <w:lang w:val="en"/>
              </w:rPr>
              <w:t xml:space="preserve"> meet </w:t>
            </w:r>
            <w:r w:rsidR="00CF3358">
              <w:rPr>
                <w:rFonts w:eastAsia="Times New Roman" w:cs="Arial"/>
                <w:color w:val="auto"/>
                <w:sz w:val="20"/>
                <w:szCs w:val="18"/>
                <w:lang w:val="en"/>
              </w:rPr>
              <w:t>n</w:t>
            </w:r>
            <w:r w:rsidRPr="00A62FE8">
              <w:rPr>
                <w:rFonts w:eastAsia="Times New Roman" w:cs="Arial"/>
                <w:color w:val="auto"/>
                <w:sz w:val="20"/>
                <w:szCs w:val="18"/>
                <w:lang w:val="en"/>
              </w:rPr>
              <w:t xml:space="preserve">et </w:t>
            </w:r>
            <w:r w:rsidR="00716E21">
              <w:rPr>
                <w:rFonts w:eastAsia="Times New Roman" w:cs="Arial"/>
                <w:color w:val="auto"/>
                <w:sz w:val="20"/>
                <w:szCs w:val="18"/>
                <w:lang w:val="en"/>
              </w:rPr>
              <w:t>z</w:t>
            </w:r>
            <w:r w:rsidRPr="00A62FE8">
              <w:rPr>
                <w:rFonts w:eastAsia="Times New Roman" w:cs="Arial"/>
                <w:color w:val="auto"/>
                <w:sz w:val="20"/>
                <w:szCs w:val="18"/>
                <w:lang w:val="en"/>
              </w:rPr>
              <w:t xml:space="preserve">ero </w:t>
            </w:r>
            <w:r w:rsidR="00087731">
              <w:rPr>
                <w:rFonts w:eastAsia="Times New Roman" w:cs="Arial"/>
                <w:color w:val="auto"/>
                <w:sz w:val="20"/>
                <w:szCs w:val="18"/>
                <w:lang w:val="en"/>
              </w:rPr>
              <w:t>goals and targets</w:t>
            </w:r>
            <w:r w:rsidRPr="00A62FE8">
              <w:rPr>
                <w:rFonts w:eastAsia="Times New Roman" w:cs="Arial"/>
                <w:color w:val="auto"/>
                <w:sz w:val="20"/>
                <w:szCs w:val="18"/>
                <w:lang w:val="en"/>
              </w:rPr>
              <w:t>.</w:t>
            </w:r>
          </w:p>
        </w:tc>
      </w:tr>
    </w:tbl>
    <w:bookmarkEnd w:id="105"/>
    <w:p w14:paraId="1080DF43" w14:textId="382CC358" w:rsidR="00EC7EC7" w:rsidRPr="00A62FE8" w:rsidRDefault="00EC7EC7" w:rsidP="00C97679">
      <w:pPr>
        <w:pStyle w:val="Caption"/>
        <w:rPr>
          <w:lang w:val="en"/>
        </w:rPr>
      </w:pPr>
      <w:r w:rsidRPr="00A62FE8">
        <w:rPr>
          <w:lang w:val="en"/>
        </w:rPr>
        <w:t>Figure</w:t>
      </w:r>
      <w:r>
        <w:rPr>
          <w:lang w:val="en"/>
        </w:rPr>
        <w:t xml:space="preserve"> </w:t>
      </w:r>
      <w:r w:rsidR="006877E8">
        <w:rPr>
          <w:noProof/>
          <w:lang w:val="en"/>
        </w:rPr>
        <w:fldChar w:fldCharType="begin"/>
      </w:r>
      <w:r w:rsidR="006877E8">
        <w:rPr>
          <w:noProof/>
          <w:lang w:val="en"/>
        </w:rPr>
        <w:instrText xml:space="preserve"> STYLEREF 1 \s </w:instrText>
      </w:r>
      <w:r w:rsidR="006877E8">
        <w:rPr>
          <w:noProof/>
          <w:lang w:val="en"/>
        </w:rPr>
        <w:fldChar w:fldCharType="separate"/>
      </w:r>
      <w:r w:rsidR="00BF178A">
        <w:rPr>
          <w:noProof/>
          <w:lang w:val="en"/>
        </w:rPr>
        <w:t>4</w:t>
      </w:r>
      <w:r w:rsidR="006877E8">
        <w:rPr>
          <w:noProof/>
          <w:lang w:val="en"/>
        </w:rPr>
        <w:fldChar w:fldCharType="end"/>
      </w:r>
      <w:r w:rsidR="006877E8">
        <w:rPr>
          <w:noProof/>
          <w:lang w:val="en"/>
        </w:rPr>
        <w:t>.</w:t>
      </w:r>
      <w:r w:rsidR="006877E8">
        <w:rPr>
          <w:noProof/>
          <w:lang w:val="en"/>
        </w:rPr>
        <w:fldChar w:fldCharType="begin"/>
      </w:r>
      <w:r w:rsidR="006877E8">
        <w:rPr>
          <w:noProof/>
          <w:lang w:val="en"/>
        </w:rPr>
        <w:instrText xml:space="preserve"> SEQ Figure \* ARABIC \s 1 </w:instrText>
      </w:r>
      <w:r w:rsidR="006877E8">
        <w:rPr>
          <w:noProof/>
          <w:lang w:val="en"/>
        </w:rPr>
        <w:fldChar w:fldCharType="separate"/>
      </w:r>
      <w:r w:rsidR="00BF178A">
        <w:rPr>
          <w:noProof/>
          <w:lang w:val="en"/>
        </w:rPr>
        <w:t>2</w:t>
      </w:r>
      <w:r w:rsidR="006877E8">
        <w:rPr>
          <w:noProof/>
          <w:lang w:val="en"/>
        </w:rPr>
        <w:fldChar w:fldCharType="end"/>
      </w:r>
      <w:r w:rsidRPr="00A62FE8">
        <w:rPr>
          <w:lang w:val="en"/>
        </w:rPr>
        <w:t>: Export destinations for Australian LNG in 2022</w:t>
      </w:r>
      <w:r w:rsidRPr="00A62FE8">
        <w:rPr>
          <w:lang w:val="en" w:eastAsia="en-AU"/>
        </w:rPr>
        <w:t>–23</w:t>
      </w:r>
      <w:r w:rsidRPr="00A62FE8">
        <w:rPr>
          <w:lang w:val="en"/>
        </w:rPr>
        <w:t xml:space="preserve"> </w:t>
      </w:r>
    </w:p>
    <w:p w14:paraId="3B01DA38" w14:textId="5991D4DE" w:rsidR="00EC7EC7" w:rsidRPr="00A62FE8" w:rsidRDefault="00C1020C" w:rsidP="00EC7EC7">
      <w:pPr>
        <w:keepNext/>
        <w:spacing w:after="60" w:line="240" w:lineRule="auto"/>
        <w:rPr>
          <w:rFonts w:eastAsia="Times New Roman" w:cs="Arial"/>
          <w:color w:val="005CAF"/>
          <w:sz w:val="16"/>
          <w:szCs w:val="20"/>
          <w:lang w:val="en"/>
        </w:rPr>
      </w:pPr>
      <w:r>
        <w:rPr>
          <w:noProof/>
        </w:rPr>
        <w:drawing>
          <wp:inline distT="0" distB="0" distL="0" distR="0" wp14:anchorId="1F252FA8" wp14:editId="5EA0FE3A">
            <wp:extent cx="4206875" cy="1113790"/>
            <wp:effectExtent l="0" t="0" r="3175" b="0"/>
            <wp:docPr id="49" name="Chart 49" descr="This figure shows the export destinations for Australian LNG in the 2022-23 financial year.  Over a third of Australian LNG was exported to Japan (36%), followed by China (28%), ROK (14%), Taiwan (11%) and ASEAN (10%). The remaining 1% of exports were spread across a multitude of countries.">
              <a:extLst xmlns:a="http://schemas.openxmlformats.org/drawingml/2006/main">
                <a:ext uri="{FF2B5EF4-FFF2-40B4-BE49-F238E27FC236}">
                  <a16:creationId xmlns:a16="http://schemas.microsoft.com/office/drawing/2014/main" id="{7326814D-8FCB-4184-ADD9-9FF47FBB1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11D57C1" w14:textId="3A69D2C5" w:rsidR="00EC7EC7" w:rsidRPr="00A62FE8" w:rsidRDefault="00EC7EC7" w:rsidP="000275CF">
      <w:pPr>
        <w:pStyle w:val="Source"/>
      </w:pPr>
      <w:r w:rsidRPr="00A62FE8">
        <w:t xml:space="preserve">Notes: ASEAN includes Indonesia, Malaysia, Philippines, Singapore and Thailand. </w:t>
      </w:r>
      <w:r w:rsidR="00E165D4" w:rsidRPr="00E165D4">
        <w:t>Other is less than 1%.</w:t>
      </w:r>
    </w:p>
    <w:p w14:paraId="6DBC76E7" w14:textId="7BF20F38" w:rsidR="00EC7EC7" w:rsidRPr="00A62FE8" w:rsidRDefault="00EC7EC7" w:rsidP="000275CF">
      <w:pPr>
        <w:pStyle w:val="Source"/>
      </w:pPr>
      <w:r w:rsidRPr="00A62FE8">
        <w:t>Source: Kpler (2023</w:t>
      </w:r>
      <w:r w:rsidR="007D0852">
        <w:t>a</w:t>
      </w:r>
      <w:r w:rsidRPr="00A62FE8">
        <w:t>)</w:t>
      </w:r>
    </w:p>
    <w:p w14:paraId="722A7C6B" w14:textId="2EC31FBB" w:rsidR="00EC7EC7" w:rsidRPr="00A62FE8" w:rsidRDefault="00EC7EC7" w:rsidP="0026528F">
      <w:pPr>
        <w:spacing w:before="240" w:after="120"/>
        <w:rPr>
          <w:color w:val="373737"/>
          <w:sz w:val="20"/>
          <w:lang w:val="en"/>
        </w:rPr>
      </w:pPr>
      <w:r w:rsidRPr="00A62FE8">
        <w:rPr>
          <w:color w:val="373737"/>
          <w:sz w:val="20"/>
          <w:lang w:eastAsia="en-AU"/>
        </w:rPr>
        <w:t xml:space="preserve">Japan </w:t>
      </w:r>
      <w:r w:rsidR="00713624">
        <w:rPr>
          <w:color w:val="373737"/>
          <w:sz w:val="20"/>
          <w:lang w:eastAsia="en-AU"/>
        </w:rPr>
        <w:t>was</w:t>
      </w:r>
      <w:r w:rsidRPr="00A62FE8">
        <w:rPr>
          <w:color w:val="373737"/>
          <w:sz w:val="20"/>
          <w:lang w:eastAsia="en-AU"/>
        </w:rPr>
        <w:t xml:space="preserve"> a key early investor in the Australian LNG </w:t>
      </w:r>
      <w:r w:rsidR="00713624">
        <w:rPr>
          <w:color w:val="373737"/>
          <w:sz w:val="20"/>
          <w:lang w:eastAsia="en-AU"/>
        </w:rPr>
        <w:t>sector</w:t>
      </w:r>
      <w:r w:rsidRPr="00A62FE8">
        <w:rPr>
          <w:color w:val="373737"/>
          <w:sz w:val="20"/>
          <w:lang w:eastAsia="en-AU"/>
        </w:rPr>
        <w:t>, as a sponsor of Australia’s first export project (the North</w:t>
      </w:r>
      <w:r w:rsidR="005D4E87">
        <w:rPr>
          <w:color w:val="373737"/>
          <w:sz w:val="20"/>
          <w:lang w:eastAsia="en-AU"/>
        </w:rPr>
        <w:t xml:space="preserve"> W</w:t>
      </w:r>
      <w:r w:rsidRPr="00A62FE8">
        <w:rPr>
          <w:color w:val="373737"/>
          <w:sz w:val="20"/>
          <w:lang w:eastAsia="en-AU"/>
        </w:rPr>
        <w:t xml:space="preserve">est Shelf Joint Venture Project) in the late 1980s. Contracts with other Asian </w:t>
      </w:r>
      <w:r w:rsidR="00E664BD">
        <w:rPr>
          <w:color w:val="373737"/>
          <w:sz w:val="20"/>
          <w:lang w:eastAsia="en-AU"/>
        </w:rPr>
        <w:t>trading partners</w:t>
      </w:r>
      <w:r w:rsidRPr="00A62FE8">
        <w:rPr>
          <w:color w:val="373737"/>
          <w:sz w:val="20"/>
          <w:lang w:eastAsia="en-AU"/>
        </w:rPr>
        <w:t xml:space="preserve"> were signed in the </w:t>
      </w:r>
      <w:r w:rsidR="00713624">
        <w:rPr>
          <w:color w:val="373737"/>
          <w:sz w:val="20"/>
          <w:lang w:eastAsia="en-AU"/>
        </w:rPr>
        <w:t xml:space="preserve">1990’s (China) and </w:t>
      </w:r>
      <w:r w:rsidRPr="00A62FE8">
        <w:rPr>
          <w:color w:val="373737"/>
          <w:sz w:val="20"/>
          <w:lang w:eastAsia="en-AU"/>
        </w:rPr>
        <w:t xml:space="preserve">early 2010s </w:t>
      </w:r>
      <w:r w:rsidR="00713624">
        <w:rPr>
          <w:color w:val="373737"/>
          <w:sz w:val="20"/>
          <w:lang w:eastAsia="en-AU"/>
        </w:rPr>
        <w:t>(R</w:t>
      </w:r>
      <w:r w:rsidR="006550A1">
        <w:rPr>
          <w:color w:val="373737"/>
          <w:sz w:val="20"/>
          <w:lang w:eastAsia="en-AU"/>
        </w:rPr>
        <w:t>O</w:t>
      </w:r>
      <w:r w:rsidR="00713624">
        <w:rPr>
          <w:color w:val="373737"/>
          <w:sz w:val="20"/>
          <w:lang w:eastAsia="en-AU"/>
        </w:rPr>
        <w:t xml:space="preserve">K and Taiwan) </w:t>
      </w:r>
      <w:r w:rsidRPr="00A62FE8">
        <w:rPr>
          <w:color w:val="373737"/>
          <w:sz w:val="20"/>
          <w:lang w:eastAsia="en-AU"/>
        </w:rPr>
        <w:t xml:space="preserve">(Figure </w:t>
      </w:r>
      <w:r>
        <w:rPr>
          <w:color w:val="373737"/>
          <w:sz w:val="20"/>
          <w:lang w:eastAsia="en-AU"/>
        </w:rPr>
        <w:t>4</w:t>
      </w:r>
      <w:r w:rsidRPr="00A62FE8">
        <w:rPr>
          <w:color w:val="373737"/>
          <w:sz w:val="20"/>
          <w:lang w:eastAsia="en-AU"/>
        </w:rPr>
        <w:t xml:space="preserve">.3). Figure </w:t>
      </w:r>
      <w:r>
        <w:rPr>
          <w:color w:val="373737"/>
          <w:sz w:val="20"/>
          <w:lang w:eastAsia="en-AU"/>
        </w:rPr>
        <w:t>4</w:t>
      </w:r>
      <w:r w:rsidRPr="00A62FE8">
        <w:rPr>
          <w:color w:val="373737"/>
          <w:sz w:val="20"/>
          <w:lang w:eastAsia="en-AU"/>
        </w:rPr>
        <w:t xml:space="preserve">.3 </w:t>
      </w:r>
      <w:r w:rsidR="00713624">
        <w:rPr>
          <w:color w:val="373737"/>
          <w:sz w:val="20"/>
          <w:lang w:eastAsia="en-AU"/>
        </w:rPr>
        <w:t>s</w:t>
      </w:r>
      <w:r w:rsidRPr="00A62FE8">
        <w:rPr>
          <w:color w:val="373737"/>
          <w:sz w:val="20"/>
          <w:lang w:eastAsia="en-AU"/>
        </w:rPr>
        <w:t>hows how Australian LNG export volumes have grown rapidly in the past decade.</w:t>
      </w:r>
    </w:p>
    <w:p w14:paraId="62F4027D" w14:textId="7EEF87CC" w:rsidR="00EC7EC7" w:rsidRPr="00A62FE8" w:rsidRDefault="00EC7EC7" w:rsidP="00C97679">
      <w:pPr>
        <w:pStyle w:val="Caption"/>
        <w:rPr>
          <w:lang w:val="en"/>
        </w:rPr>
      </w:pPr>
      <w:r w:rsidRPr="00A62FE8">
        <w:rPr>
          <w:lang w:val="en"/>
        </w:rPr>
        <w:t>Figure</w:t>
      </w:r>
      <w:r>
        <w:rPr>
          <w:lang w:val="en"/>
        </w:rPr>
        <w:t xml:space="preserve"> </w:t>
      </w:r>
      <w:r w:rsidR="006877E8">
        <w:rPr>
          <w:noProof/>
          <w:lang w:val="en"/>
        </w:rPr>
        <w:fldChar w:fldCharType="begin"/>
      </w:r>
      <w:r w:rsidR="006877E8">
        <w:rPr>
          <w:noProof/>
          <w:lang w:val="en"/>
        </w:rPr>
        <w:instrText xml:space="preserve"> STYLEREF 1 \s </w:instrText>
      </w:r>
      <w:r w:rsidR="006877E8">
        <w:rPr>
          <w:noProof/>
          <w:lang w:val="en"/>
        </w:rPr>
        <w:fldChar w:fldCharType="separate"/>
      </w:r>
      <w:r w:rsidR="00BF178A">
        <w:rPr>
          <w:noProof/>
          <w:lang w:val="en"/>
        </w:rPr>
        <w:t>4</w:t>
      </w:r>
      <w:r w:rsidR="006877E8">
        <w:rPr>
          <w:noProof/>
          <w:lang w:val="en"/>
        </w:rPr>
        <w:fldChar w:fldCharType="end"/>
      </w:r>
      <w:r w:rsidR="006877E8">
        <w:rPr>
          <w:noProof/>
          <w:lang w:val="en"/>
        </w:rPr>
        <w:t>.</w:t>
      </w:r>
      <w:r w:rsidR="006877E8">
        <w:rPr>
          <w:noProof/>
          <w:lang w:val="en"/>
        </w:rPr>
        <w:fldChar w:fldCharType="begin"/>
      </w:r>
      <w:r w:rsidR="006877E8">
        <w:rPr>
          <w:noProof/>
          <w:lang w:val="en"/>
        </w:rPr>
        <w:instrText xml:space="preserve"> SEQ Figure \* ARABIC \s 1 </w:instrText>
      </w:r>
      <w:r w:rsidR="006877E8">
        <w:rPr>
          <w:noProof/>
          <w:lang w:val="en"/>
        </w:rPr>
        <w:fldChar w:fldCharType="separate"/>
      </w:r>
      <w:r w:rsidR="00BF178A">
        <w:rPr>
          <w:noProof/>
          <w:lang w:val="en"/>
        </w:rPr>
        <w:t>3</w:t>
      </w:r>
      <w:r w:rsidR="006877E8">
        <w:rPr>
          <w:noProof/>
          <w:lang w:val="en"/>
        </w:rPr>
        <w:fldChar w:fldCharType="end"/>
      </w:r>
      <w:r w:rsidRPr="00A62FE8">
        <w:rPr>
          <w:lang w:val="en"/>
        </w:rPr>
        <w:t>: Australian LNG exports, by destination</w:t>
      </w:r>
      <w:r w:rsidR="004C117A">
        <w:rPr>
          <w:lang w:val="en"/>
        </w:rPr>
        <w:t>, 2012 to 2023</w:t>
      </w:r>
    </w:p>
    <w:p w14:paraId="46106BB9" w14:textId="11B0BC16" w:rsidR="00EC7EC7" w:rsidRPr="00A62FE8" w:rsidRDefault="00524897" w:rsidP="00EC7EC7">
      <w:pPr>
        <w:keepNext/>
        <w:spacing w:after="60" w:line="240" w:lineRule="auto"/>
        <w:rPr>
          <w:rFonts w:eastAsia="Times New Roman" w:cs="Arial"/>
          <w:color w:val="005CAF"/>
          <w:sz w:val="16"/>
          <w:szCs w:val="20"/>
          <w:lang w:val="en"/>
        </w:rPr>
      </w:pPr>
      <w:r>
        <w:rPr>
          <w:noProof/>
        </w:rPr>
        <w:drawing>
          <wp:inline distT="0" distB="0" distL="0" distR="0" wp14:anchorId="278342D3" wp14:editId="1E8BAA88">
            <wp:extent cx="4206875" cy="2276475"/>
            <wp:effectExtent l="0" t="0" r="3175" b="0"/>
            <wp:docPr id="699518992" name="Chart 699518992" descr="This figure shows the export destinations for Australian LNG from financial year 2012 to 2023. Australian LNG exports have quadrupled in the past decade, with rapid growth seen in exports to China. Similar growth rates are seen for ROK, Taiwan and other trading partners but on a smaller scale. Australian LNG exports to Japan grew slightly but remained stable over the period. ">
              <a:extLst xmlns:a="http://schemas.openxmlformats.org/drawingml/2006/main">
                <a:ext uri="{FF2B5EF4-FFF2-40B4-BE49-F238E27FC236}">
                  <a16:creationId xmlns:a16="http://schemas.microsoft.com/office/drawing/2014/main" id="{B8430E83-312C-4E23-A1BB-1E55DB316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F016AC6" w14:textId="49C212CF" w:rsidR="00EC7EC7" w:rsidRPr="00A62FE8" w:rsidRDefault="00EC7EC7" w:rsidP="000275CF">
      <w:pPr>
        <w:pStyle w:val="Source"/>
      </w:pPr>
      <w:r w:rsidRPr="00A62FE8">
        <w:t xml:space="preserve">Notes: Export </w:t>
      </w:r>
      <w:r w:rsidR="00754F2A">
        <w:t xml:space="preserve">figures </w:t>
      </w:r>
      <w:r w:rsidRPr="00A62FE8">
        <w:t>cannot be disaggregated prior to 2011–12 and were omitted.</w:t>
      </w:r>
    </w:p>
    <w:p w14:paraId="746A3493" w14:textId="1599186C" w:rsidR="00EC7EC7" w:rsidRPr="00A62FE8" w:rsidRDefault="00EC7EC7" w:rsidP="000275CF">
      <w:pPr>
        <w:pStyle w:val="Source"/>
      </w:pPr>
      <w:r w:rsidRPr="00A62FE8">
        <w:t xml:space="preserve">Source: </w:t>
      </w:r>
      <w:r w:rsidR="00E165D4">
        <w:t>EnergyQuest</w:t>
      </w:r>
      <w:r w:rsidRPr="00A62FE8">
        <w:t xml:space="preserve"> (2023</w:t>
      </w:r>
      <w:r w:rsidR="005F542E">
        <w:t>c</w:t>
      </w:r>
      <w:r w:rsidRPr="00A62FE8">
        <w:t>)</w:t>
      </w:r>
    </w:p>
    <w:p w14:paraId="296FD4FA" w14:textId="7EE29C54" w:rsidR="00EC7EC7" w:rsidRPr="00A62FE8" w:rsidRDefault="00EC7EC7" w:rsidP="00EC7EC7">
      <w:pPr>
        <w:spacing w:before="120" w:after="120"/>
        <w:rPr>
          <w:color w:val="373737"/>
          <w:sz w:val="20"/>
          <w:lang w:val="en"/>
        </w:rPr>
      </w:pPr>
      <w:r w:rsidRPr="00A62FE8">
        <w:rPr>
          <w:color w:val="373737"/>
          <w:sz w:val="20"/>
          <w:lang w:val="en"/>
        </w:rPr>
        <w:t xml:space="preserve">In terms of </w:t>
      </w:r>
      <w:r w:rsidR="00716E21">
        <w:rPr>
          <w:color w:val="373737"/>
          <w:sz w:val="20"/>
          <w:lang w:val="en"/>
        </w:rPr>
        <w:t>uses</w:t>
      </w:r>
      <w:r w:rsidRPr="00A62FE8">
        <w:rPr>
          <w:color w:val="373737"/>
          <w:sz w:val="20"/>
          <w:lang w:val="en"/>
        </w:rPr>
        <w:t xml:space="preserve">, Japan, </w:t>
      </w:r>
      <w:r>
        <w:rPr>
          <w:color w:val="373737"/>
          <w:sz w:val="20"/>
          <w:lang w:val="en"/>
        </w:rPr>
        <w:t>ROK</w:t>
      </w:r>
      <w:r w:rsidRPr="00A62FE8">
        <w:rPr>
          <w:color w:val="373737"/>
          <w:sz w:val="20"/>
          <w:lang w:val="en"/>
        </w:rPr>
        <w:t>, Taiwan and Singapore use natural gas to fuel substantial shares of their power sectors and have significant shares of Australian LNG in their total gas supply (Figure</w:t>
      </w:r>
      <w:r w:rsidR="00A379C7">
        <w:rPr>
          <w:color w:val="373737"/>
          <w:sz w:val="20"/>
          <w:lang w:val="en"/>
        </w:rPr>
        <w:t>s 4</w:t>
      </w:r>
      <w:r w:rsidR="00A379C7" w:rsidRPr="00A62FE8">
        <w:rPr>
          <w:color w:val="373737"/>
          <w:sz w:val="20"/>
          <w:lang w:val="en"/>
        </w:rPr>
        <w:t>.4</w:t>
      </w:r>
      <w:r w:rsidR="00A379C7">
        <w:rPr>
          <w:color w:val="373737"/>
          <w:sz w:val="20"/>
          <w:lang w:val="en"/>
        </w:rPr>
        <w:t xml:space="preserve"> &amp;</w:t>
      </w:r>
      <w:r w:rsidRPr="00A62FE8">
        <w:rPr>
          <w:color w:val="373737"/>
          <w:sz w:val="20"/>
          <w:lang w:val="en"/>
        </w:rPr>
        <w:t xml:space="preserve"> </w:t>
      </w:r>
      <w:r>
        <w:rPr>
          <w:color w:val="373737"/>
          <w:sz w:val="20"/>
          <w:lang w:val="en"/>
        </w:rPr>
        <w:t>4</w:t>
      </w:r>
      <w:r w:rsidRPr="00A62FE8">
        <w:rPr>
          <w:color w:val="373737"/>
          <w:sz w:val="20"/>
          <w:lang w:val="en"/>
        </w:rPr>
        <w:t>.5).</w:t>
      </w:r>
    </w:p>
    <w:p w14:paraId="424A521D" w14:textId="6BEDC068" w:rsidR="00EC7EC7" w:rsidRPr="00A62FE8" w:rsidRDefault="00EC7EC7" w:rsidP="00C97679">
      <w:pPr>
        <w:pStyle w:val="Caption"/>
        <w:rPr>
          <w:lang w:val="en"/>
        </w:rPr>
      </w:pPr>
      <w:r w:rsidRPr="00A62FE8">
        <w:rPr>
          <w:lang w:val="en"/>
        </w:rPr>
        <w:t xml:space="preserve">Figure </w:t>
      </w:r>
      <w:r w:rsidR="006877E8">
        <w:rPr>
          <w:noProof/>
          <w:lang w:val="en"/>
        </w:rPr>
        <w:fldChar w:fldCharType="begin"/>
      </w:r>
      <w:r w:rsidR="006877E8">
        <w:rPr>
          <w:noProof/>
          <w:lang w:val="en"/>
        </w:rPr>
        <w:instrText xml:space="preserve"> STYLEREF 1 \s </w:instrText>
      </w:r>
      <w:r w:rsidR="006877E8">
        <w:rPr>
          <w:noProof/>
          <w:lang w:val="en"/>
        </w:rPr>
        <w:fldChar w:fldCharType="separate"/>
      </w:r>
      <w:r w:rsidR="00BF178A">
        <w:rPr>
          <w:noProof/>
          <w:lang w:val="en"/>
        </w:rPr>
        <w:t>4</w:t>
      </w:r>
      <w:r w:rsidR="006877E8">
        <w:rPr>
          <w:noProof/>
          <w:lang w:val="en"/>
        </w:rPr>
        <w:fldChar w:fldCharType="end"/>
      </w:r>
      <w:r w:rsidR="006877E8">
        <w:rPr>
          <w:noProof/>
          <w:lang w:val="en"/>
        </w:rPr>
        <w:t>.</w:t>
      </w:r>
      <w:r w:rsidR="006877E8">
        <w:rPr>
          <w:noProof/>
          <w:lang w:val="en"/>
        </w:rPr>
        <w:fldChar w:fldCharType="begin"/>
      </w:r>
      <w:r w:rsidR="006877E8">
        <w:rPr>
          <w:noProof/>
          <w:lang w:val="en"/>
        </w:rPr>
        <w:instrText xml:space="preserve"> SEQ Figure \* ARABIC \s 1 </w:instrText>
      </w:r>
      <w:r w:rsidR="006877E8">
        <w:rPr>
          <w:noProof/>
          <w:lang w:val="en"/>
        </w:rPr>
        <w:fldChar w:fldCharType="separate"/>
      </w:r>
      <w:r w:rsidR="00BF178A">
        <w:rPr>
          <w:noProof/>
          <w:lang w:val="en"/>
        </w:rPr>
        <w:t>4</w:t>
      </w:r>
      <w:r w:rsidR="006877E8">
        <w:rPr>
          <w:noProof/>
          <w:lang w:val="en"/>
        </w:rPr>
        <w:fldChar w:fldCharType="end"/>
      </w:r>
      <w:r w:rsidRPr="00A62FE8">
        <w:rPr>
          <w:lang w:val="en"/>
        </w:rPr>
        <w:t>: Share of natural gas used as a fuel for electricity generation in 2022, selected economies</w:t>
      </w:r>
    </w:p>
    <w:p w14:paraId="383CED77" w14:textId="77777777" w:rsidR="00EC7EC7" w:rsidRPr="00A62FE8" w:rsidRDefault="00EC7EC7" w:rsidP="00EC7EC7">
      <w:pPr>
        <w:keepNext/>
        <w:spacing w:after="60" w:line="240" w:lineRule="auto"/>
        <w:rPr>
          <w:rFonts w:eastAsia="Times New Roman" w:cs="Arial"/>
          <w:color w:val="005CAF"/>
          <w:sz w:val="16"/>
          <w:szCs w:val="20"/>
          <w:lang w:val="en"/>
        </w:rPr>
      </w:pPr>
      <w:r>
        <w:rPr>
          <w:noProof/>
        </w:rPr>
        <w:drawing>
          <wp:inline distT="0" distB="0" distL="0" distR="0" wp14:anchorId="583CB86B" wp14:editId="566E59A8">
            <wp:extent cx="4206875" cy="2219325"/>
            <wp:effectExtent l="0" t="0" r="3175" b="0"/>
            <wp:docPr id="55" name="Chart 55" descr="This figure shows the percentage share of natural gas used as a fuel for electricity generation in 2022 for selected economies. Singapore used natural gas to fuel nearly all of their power sectors (92%), while Thailand also uses a substantial share of natural gas (64%). Other countries such as Taiwan, Malaysia, Japan and ROK are less reliant on natural gas for electricity generation.">
              <a:extLst xmlns:a="http://schemas.openxmlformats.org/drawingml/2006/main">
                <a:ext uri="{FF2B5EF4-FFF2-40B4-BE49-F238E27FC236}">
                  <a16:creationId xmlns:a16="http://schemas.microsoft.com/office/drawing/2014/main" id="{B346A949-A682-3F3F-6235-6BFE7BCE3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46EBA49" w14:textId="763E4622" w:rsidR="00EC7EC7" w:rsidRPr="00A62FE8" w:rsidRDefault="00EC7EC7" w:rsidP="000275CF">
      <w:pPr>
        <w:pStyle w:val="Source"/>
      </w:pPr>
      <w:r w:rsidRPr="00A62FE8">
        <w:t xml:space="preserve">Source: Energy Institute (2023) </w:t>
      </w:r>
    </w:p>
    <w:p w14:paraId="76ED4401" w14:textId="40FF28AA" w:rsidR="00EC7EC7" w:rsidRPr="00A62FE8" w:rsidRDefault="00EC7EC7" w:rsidP="00C97679">
      <w:pPr>
        <w:pStyle w:val="Caption"/>
        <w:rPr>
          <w:lang w:val="en"/>
        </w:rPr>
      </w:pPr>
      <w:r w:rsidRPr="00A62FE8">
        <w:rPr>
          <w:lang w:val="en"/>
        </w:rPr>
        <w:t>Figure</w:t>
      </w:r>
      <w:r>
        <w:rPr>
          <w:lang w:val="en"/>
        </w:rPr>
        <w:t xml:space="preserve"> </w:t>
      </w:r>
      <w:r w:rsidR="006877E8">
        <w:rPr>
          <w:noProof/>
          <w:lang w:val="en"/>
        </w:rPr>
        <w:fldChar w:fldCharType="begin"/>
      </w:r>
      <w:r w:rsidR="006877E8">
        <w:rPr>
          <w:noProof/>
          <w:lang w:val="en"/>
        </w:rPr>
        <w:instrText xml:space="preserve"> STYLEREF 1 \s </w:instrText>
      </w:r>
      <w:r w:rsidR="006877E8">
        <w:rPr>
          <w:noProof/>
          <w:lang w:val="en"/>
        </w:rPr>
        <w:fldChar w:fldCharType="separate"/>
      </w:r>
      <w:r w:rsidR="00BF178A">
        <w:rPr>
          <w:noProof/>
          <w:lang w:val="en"/>
        </w:rPr>
        <w:t>4</w:t>
      </w:r>
      <w:r w:rsidR="006877E8">
        <w:rPr>
          <w:noProof/>
          <w:lang w:val="en"/>
        </w:rPr>
        <w:fldChar w:fldCharType="end"/>
      </w:r>
      <w:r w:rsidR="006877E8">
        <w:rPr>
          <w:noProof/>
          <w:lang w:val="en"/>
        </w:rPr>
        <w:t>.</w:t>
      </w:r>
      <w:r w:rsidR="006877E8">
        <w:rPr>
          <w:noProof/>
          <w:lang w:val="en"/>
        </w:rPr>
        <w:fldChar w:fldCharType="begin"/>
      </w:r>
      <w:r w:rsidR="006877E8">
        <w:rPr>
          <w:noProof/>
          <w:lang w:val="en"/>
        </w:rPr>
        <w:instrText xml:space="preserve"> SEQ Figure \* ARABIC \s 1 </w:instrText>
      </w:r>
      <w:r w:rsidR="006877E8">
        <w:rPr>
          <w:noProof/>
          <w:lang w:val="en"/>
        </w:rPr>
        <w:fldChar w:fldCharType="separate"/>
      </w:r>
      <w:r w:rsidR="00BF178A">
        <w:rPr>
          <w:noProof/>
          <w:lang w:val="en"/>
        </w:rPr>
        <w:t>5</w:t>
      </w:r>
      <w:r w:rsidR="006877E8">
        <w:rPr>
          <w:noProof/>
          <w:lang w:val="en"/>
        </w:rPr>
        <w:fldChar w:fldCharType="end"/>
      </w:r>
      <w:r w:rsidRPr="00A62FE8">
        <w:rPr>
          <w:lang w:val="en"/>
        </w:rPr>
        <w:t>: Australian LNG as a share of total gas supply, selected economies, 2022</w:t>
      </w:r>
    </w:p>
    <w:p w14:paraId="0756D121" w14:textId="77777777" w:rsidR="00EC7EC7" w:rsidRPr="00A62FE8" w:rsidRDefault="00EC7EC7" w:rsidP="00EC7EC7">
      <w:pPr>
        <w:keepNext/>
        <w:spacing w:after="60" w:line="240" w:lineRule="auto"/>
        <w:rPr>
          <w:rFonts w:eastAsia="Times New Roman" w:cs="Arial"/>
          <w:color w:val="005CAF"/>
          <w:sz w:val="16"/>
          <w:szCs w:val="20"/>
          <w:lang w:val="en"/>
        </w:rPr>
      </w:pPr>
      <w:r>
        <w:rPr>
          <w:noProof/>
        </w:rPr>
        <w:drawing>
          <wp:inline distT="0" distB="0" distL="0" distR="0" wp14:anchorId="24266DBA" wp14:editId="4A2E95C9">
            <wp:extent cx="4206875" cy="2066925"/>
            <wp:effectExtent l="0" t="0" r="3175" b="0"/>
            <wp:docPr id="56" name="Chart 56" descr="This figure shows Australian LNG as a share of total gas supply for selected economies in 2022. Australian LNG constitutes just under 40% of Japan and Taiwan’s total gas supply, while the gas supply in Singapore and ROK is comprised just under 30% of Australian LNG. Total gas supply in other countries like China, Thailand and Malaysia is far less dependent on Australian LNG (less than 10%).">
              <a:extLst xmlns:a="http://schemas.openxmlformats.org/drawingml/2006/main">
                <a:ext uri="{FF2B5EF4-FFF2-40B4-BE49-F238E27FC236}">
                  <a16:creationId xmlns:a16="http://schemas.microsoft.com/office/drawing/2014/main" id="{B1167AEE-6CD6-F4DB-84D3-1FE1A9421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8A18EB8" w14:textId="7DCF56C6" w:rsidR="00EC7EC7" w:rsidRPr="00A62FE8" w:rsidRDefault="00EC7EC7" w:rsidP="000275CF">
      <w:pPr>
        <w:pStyle w:val="Source"/>
      </w:pPr>
      <w:r w:rsidRPr="00A62FE8">
        <w:t xml:space="preserve">Source: </w:t>
      </w:r>
      <w:r w:rsidR="00B62521" w:rsidRPr="00A62FE8">
        <w:t>Energy Institute (2023)</w:t>
      </w:r>
      <w:r w:rsidR="00D87E73">
        <w:t>; EnergyQuest</w:t>
      </w:r>
      <w:r w:rsidR="00D87E73" w:rsidRPr="00A62FE8">
        <w:t xml:space="preserve"> (2023</w:t>
      </w:r>
      <w:r w:rsidR="00D87E73">
        <w:t>c</w:t>
      </w:r>
      <w:r w:rsidR="00B62521" w:rsidRPr="00A62FE8">
        <w:t>)</w:t>
      </w:r>
    </w:p>
    <w:p w14:paraId="15DAB8C7" w14:textId="7CED6319" w:rsidR="00EC7EC7" w:rsidRPr="00A62FE8" w:rsidRDefault="00EC7EC7" w:rsidP="00EC7EC7">
      <w:pPr>
        <w:spacing w:after="120"/>
        <w:rPr>
          <w:color w:val="373737"/>
          <w:sz w:val="20"/>
          <w:lang w:eastAsia="en-AU"/>
        </w:rPr>
      </w:pPr>
      <w:r w:rsidRPr="00A62FE8">
        <w:rPr>
          <w:color w:val="373737"/>
          <w:sz w:val="20"/>
          <w:lang w:eastAsia="en-AU"/>
        </w:rPr>
        <w:t>There are 51 medium</w:t>
      </w:r>
      <w:r w:rsidR="00A379C7">
        <w:rPr>
          <w:color w:val="373737"/>
          <w:sz w:val="20"/>
          <w:lang w:eastAsia="en-AU"/>
        </w:rPr>
        <w:t>-</w:t>
      </w:r>
      <w:r w:rsidRPr="00A62FE8">
        <w:rPr>
          <w:color w:val="373737"/>
          <w:sz w:val="20"/>
          <w:lang w:eastAsia="en-AU"/>
        </w:rPr>
        <w:t xml:space="preserve"> to long</w:t>
      </w:r>
      <w:r w:rsidRPr="00A62FE8" w:rsidDel="00536289">
        <w:rPr>
          <w:color w:val="373737"/>
          <w:sz w:val="20"/>
          <w:lang w:eastAsia="en-AU"/>
        </w:rPr>
        <w:t>-</w:t>
      </w:r>
      <w:r w:rsidRPr="00A62FE8">
        <w:rPr>
          <w:color w:val="373737"/>
          <w:sz w:val="20"/>
          <w:lang w:eastAsia="en-AU"/>
        </w:rPr>
        <w:t xml:space="preserve">term contracts (five years or longer) in force </w:t>
      </w:r>
      <w:r w:rsidR="00EC7BD7">
        <w:rPr>
          <w:color w:val="373737"/>
          <w:sz w:val="20"/>
          <w:lang w:eastAsia="en-AU"/>
        </w:rPr>
        <w:t>which underpin</w:t>
      </w:r>
      <w:r w:rsidR="00EC7BD7" w:rsidRPr="00A62FE8">
        <w:rPr>
          <w:color w:val="373737"/>
          <w:sz w:val="20"/>
          <w:lang w:eastAsia="en-AU"/>
        </w:rPr>
        <w:t xml:space="preserve"> </w:t>
      </w:r>
      <w:r w:rsidRPr="00A62FE8">
        <w:rPr>
          <w:color w:val="373737"/>
          <w:sz w:val="20"/>
          <w:lang w:eastAsia="en-AU"/>
        </w:rPr>
        <w:t xml:space="preserve">Australian LNG exports. The volumes of gas exported under these contracts will decline </w:t>
      </w:r>
      <w:r w:rsidR="00716E21">
        <w:rPr>
          <w:color w:val="373737"/>
          <w:sz w:val="20"/>
          <w:lang w:eastAsia="en-AU"/>
        </w:rPr>
        <w:t>out to</w:t>
      </w:r>
      <w:r w:rsidR="00716E21" w:rsidRPr="00A62FE8">
        <w:rPr>
          <w:color w:val="373737"/>
          <w:sz w:val="20"/>
          <w:lang w:eastAsia="en-AU"/>
        </w:rPr>
        <w:t xml:space="preserve"> </w:t>
      </w:r>
      <w:r w:rsidRPr="00A62FE8">
        <w:rPr>
          <w:color w:val="373737"/>
          <w:sz w:val="20"/>
          <w:lang w:eastAsia="en-AU"/>
        </w:rPr>
        <w:t>2040</w:t>
      </w:r>
      <w:r w:rsidR="00EC7BD7">
        <w:rPr>
          <w:color w:val="373737"/>
          <w:sz w:val="20"/>
          <w:lang w:eastAsia="en-AU"/>
        </w:rPr>
        <w:t xml:space="preserve"> </w:t>
      </w:r>
      <w:r w:rsidRPr="00A62FE8">
        <w:rPr>
          <w:color w:val="373737"/>
          <w:sz w:val="20"/>
          <w:lang w:eastAsia="en-AU"/>
        </w:rPr>
        <w:t>as contracts expire.</w:t>
      </w:r>
      <w:r w:rsidR="00716E21">
        <w:rPr>
          <w:color w:val="373737"/>
          <w:sz w:val="20"/>
          <w:lang w:eastAsia="en-AU"/>
        </w:rPr>
        <w:t xml:space="preserve"> </w:t>
      </w:r>
      <w:r w:rsidRPr="00A62FE8">
        <w:rPr>
          <w:color w:val="373737"/>
          <w:sz w:val="20"/>
          <w:lang w:eastAsia="en-AU"/>
        </w:rPr>
        <w:t xml:space="preserve">The extent of decline projected will be less if contracts are extended to take advantage of existing infrastructure. This is likely to be desirable to investors who have made significant recent investments on new, large-scale projects with high capital costs, and that seek gas supply beyond </w:t>
      </w:r>
      <w:r w:rsidR="00716E21">
        <w:rPr>
          <w:color w:val="373737"/>
          <w:sz w:val="20"/>
          <w:lang w:eastAsia="en-AU"/>
        </w:rPr>
        <w:t>the</w:t>
      </w:r>
      <w:r w:rsidRPr="00A62FE8">
        <w:rPr>
          <w:color w:val="373737"/>
          <w:sz w:val="20"/>
          <w:lang w:eastAsia="en-AU"/>
        </w:rPr>
        <w:t xml:space="preserve"> foundation contract period. Figure </w:t>
      </w:r>
      <w:r>
        <w:rPr>
          <w:color w:val="373737"/>
          <w:sz w:val="20"/>
          <w:lang w:eastAsia="en-AU"/>
        </w:rPr>
        <w:t>4</w:t>
      </w:r>
      <w:r w:rsidRPr="00A62FE8">
        <w:rPr>
          <w:color w:val="373737"/>
          <w:sz w:val="20"/>
          <w:lang w:eastAsia="en-AU"/>
        </w:rPr>
        <w:t>.6 shows the volumes of gas exported under contracts</w:t>
      </w:r>
      <w:r w:rsidR="00716E21">
        <w:rPr>
          <w:color w:val="373737"/>
          <w:sz w:val="20"/>
          <w:lang w:eastAsia="en-AU"/>
        </w:rPr>
        <w:t xml:space="preserve"> today</w:t>
      </w:r>
      <w:r w:rsidRPr="00A62FE8">
        <w:rPr>
          <w:color w:val="373737"/>
          <w:sz w:val="20"/>
          <w:lang w:eastAsia="en-AU"/>
        </w:rPr>
        <w:t xml:space="preserve">, </w:t>
      </w:r>
      <w:r w:rsidR="00716E21">
        <w:rPr>
          <w:color w:val="373737"/>
          <w:sz w:val="20"/>
          <w:lang w:eastAsia="en-AU"/>
        </w:rPr>
        <w:t>and</w:t>
      </w:r>
      <w:r w:rsidRPr="00A62FE8">
        <w:rPr>
          <w:color w:val="373737"/>
          <w:sz w:val="20"/>
          <w:lang w:eastAsia="en-AU"/>
        </w:rPr>
        <w:t xml:space="preserve"> an illustrative situation in which 19 contracts are extended to 2050, resulting in close to 30 Mt of Australian LNG exported to the Asian region in 2050.</w:t>
      </w:r>
      <w:bookmarkStart w:id="106" w:name="_Hlk155180334"/>
    </w:p>
    <w:bookmarkEnd w:id="106"/>
    <w:p w14:paraId="02EF65CA" w14:textId="0FE4DAF3" w:rsidR="00EC7EC7" w:rsidRPr="004C1FCB" w:rsidRDefault="00EC7EC7" w:rsidP="00EC7EC7">
      <w:pPr>
        <w:pStyle w:val="Heading3"/>
        <w:rPr>
          <w:lang w:val="en"/>
        </w:rPr>
      </w:pPr>
      <w:r w:rsidRPr="004C1FCB">
        <w:rPr>
          <w:lang w:val="en"/>
        </w:rPr>
        <w:t xml:space="preserve">Other major </w:t>
      </w:r>
      <w:r w:rsidR="00716E21" w:rsidRPr="004C1FCB">
        <w:rPr>
          <w:lang w:val="en"/>
        </w:rPr>
        <w:t>gas producing nations</w:t>
      </w:r>
      <w:r w:rsidRPr="004C1FCB">
        <w:rPr>
          <w:lang w:val="en"/>
        </w:rPr>
        <w:t xml:space="preserve"> are investing in significant additional capacity</w:t>
      </w:r>
    </w:p>
    <w:p w14:paraId="64276815" w14:textId="5910592C" w:rsidR="003D7A41" w:rsidRDefault="00EC7EC7" w:rsidP="00EC7EC7">
      <w:pPr>
        <w:spacing w:after="120"/>
        <w:rPr>
          <w:color w:val="373737"/>
          <w:sz w:val="20"/>
          <w:lang w:eastAsia="en-AU"/>
        </w:rPr>
      </w:pPr>
      <w:r w:rsidRPr="00A62FE8">
        <w:rPr>
          <w:color w:val="373737"/>
          <w:sz w:val="20"/>
          <w:lang w:eastAsia="en-AU"/>
        </w:rPr>
        <w:t xml:space="preserve">Australia’s relative market share in global LNG is projected to fall during the </w:t>
      </w:r>
      <w:r w:rsidR="004473A4">
        <w:rPr>
          <w:color w:val="373737"/>
          <w:sz w:val="20"/>
          <w:lang w:eastAsia="en-AU"/>
        </w:rPr>
        <w:t>energy</w:t>
      </w:r>
      <w:r w:rsidRPr="00A62FE8">
        <w:rPr>
          <w:color w:val="373737"/>
          <w:sz w:val="20"/>
          <w:lang w:eastAsia="en-AU"/>
        </w:rPr>
        <w:t xml:space="preserve"> transition</w:t>
      </w:r>
      <w:r w:rsidR="00716E21" w:rsidRPr="00716E21">
        <w:rPr>
          <w:color w:val="373737"/>
          <w:sz w:val="20"/>
          <w:lang w:eastAsia="en-AU"/>
        </w:rPr>
        <w:t xml:space="preserve"> </w:t>
      </w:r>
      <w:r w:rsidR="004C1FCB">
        <w:rPr>
          <w:color w:val="373737"/>
          <w:sz w:val="20"/>
          <w:lang w:eastAsia="en-AU"/>
        </w:rPr>
        <w:t>under all</w:t>
      </w:r>
      <w:r w:rsidR="00716E21" w:rsidRPr="00A62FE8">
        <w:rPr>
          <w:color w:val="373737"/>
          <w:sz w:val="20"/>
          <w:lang w:eastAsia="en-AU"/>
        </w:rPr>
        <w:t xml:space="preserve"> climate ambition scenario</w:t>
      </w:r>
      <w:r w:rsidR="004C1FCB">
        <w:rPr>
          <w:color w:val="373737"/>
          <w:sz w:val="20"/>
          <w:lang w:eastAsia="en-AU"/>
        </w:rPr>
        <w:t xml:space="preserve">s </w:t>
      </w:r>
      <w:r w:rsidR="00716E21" w:rsidRPr="00A62FE8">
        <w:rPr>
          <w:color w:val="373737"/>
          <w:sz w:val="20"/>
          <w:lang w:eastAsia="en-AU"/>
        </w:rPr>
        <w:t>(Table</w:t>
      </w:r>
      <w:r w:rsidR="00616C9E">
        <w:rPr>
          <w:color w:val="373737"/>
          <w:sz w:val="20"/>
          <w:lang w:eastAsia="en-AU"/>
        </w:rPr>
        <w:t>s</w:t>
      </w:r>
      <w:r w:rsidR="00716E21" w:rsidRPr="00A62FE8">
        <w:rPr>
          <w:color w:val="373737"/>
          <w:sz w:val="20"/>
          <w:lang w:eastAsia="en-AU"/>
        </w:rPr>
        <w:t xml:space="preserve"> </w:t>
      </w:r>
      <w:r w:rsidR="00716E21">
        <w:rPr>
          <w:color w:val="373737"/>
          <w:sz w:val="20"/>
          <w:lang w:eastAsia="en-AU"/>
        </w:rPr>
        <w:t>4</w:t>
      </w:r>
      <w:r w:rsidR="00716E21" w:rsidRPr="00A62FE8">
        <w:rPr>
          <w:color w:val="373737"/>
          <w:sz w:val="20"/>
          <w:lang w:eastAsia="en-AU"/>
        </w:rPr>
        <w:t>.</w:t>
      </w:r>
      <w:r w:rsidR="00616C9E">
        <w:rPr>
          <w:color w:val="373737"/>
          <w:sz w:val="20"/>
          <w:lang w:eastAsia="en-AU"/>
        </w:rPr>
        <w:t xml:space="preserve">1 and </w:t>
      </w:r>
      <w:r w:rsidR="00716E21">
        <w:rPr>
          <w:color w:val="373737"/>
          <w:sz w:val="20"/>
          <w:lang w:eastAsia="en-AU"/>
        </w:rPr>
        <w:t>4</w:t>
      </w:r>
      <w:r w:rsidR="00716E21" w:rsidRPr="00A62FE8">
        <w:rPr>
          <w:color w:val="373737"/>
          <w:sz w:val="20"/>
          <w:lang w:eastAsia="en-AU"/>
        </w:rPr>
        <w:t>.2).</w:t>
      </w:r>
      <w:r w:rsidRPr="00A62FE8">
        <w:rPr>
          <w:color w:val="373737"/>
          <w:sz w:val="20"/>
          <w:lang w:eastAsia="en-AU"/>
        </w:rPr>
        <w:t xml:space="preserve"> This reflects a significant near-term expansion in global LNG</w:t>
      </w:r>
      <w:r w:rsidR="003D7A41">
        <w:rPr>
          <w:color w:val="373737"/>
          <w:sz w:val="20"/>
          <w:lang w:eastAsia="en-AU"/>
        </w:rPr>
        <w:t xml:space="preserve">. </w:t>
      </w:r>
      <w:r w:rsidR="003D7A41" w:rsidRPr="00A62FE8">
        <w:rPr>
          <w:color w:val="373737"/>
          <w:sz w:val="20"/>
        </w:rPr>
        <w:t xml:space="preserve">The IEA WEO 2023 notes that </w:t>
      </w:r>
      <w:r w:rsidR="003D7A41">
        <w:rPr>
          <w:color w:val="373737"/>
          <w:sz w:val="20"/>
        </w:rPr>
        <w:t>‘</w:t>
      </w:r>
      <w:r w:rsidR="003D7A41" w:rsidRPr="00A62FE8">
        <w:rPr>
          <w:color w:val="373737"/>
          <w:sz w:val="20"/>
        </w:rPr>
        <w:t>starting in 2025, an unprecedented surge in new LNG liquefaction projects that have started construction or taken FID are set to add 250 bcm per year of liquefaction capacity by 2030, equal to almost half of today’s global LNG supply</w:t>
      </w:r>
      <w:r w:rsidR="003D7A41">
        <w:rPr>
          <w:color w:val="373737"/>
          <w:sz w:val="20"/>
        </w:rPr>
        <w:t>’</w:t>
      </w:r>
      <w:r w:rsidR="003D7A41" w:rsidRPr="00A62FE8">
        <w:rPr>
          <w:color w:val="373737"/>
          <w:sz w:val="20"/>
        </w:rPr>
        <w:t>.</w:t>
      </w:r>
      <w:r w:rsidR="003D7A41">
        <w:rPr>
          <w:color w:val="373737"/>
          <w:sz w:val="20"/>
          <w:lang w:eastAsia="en-AU"/>
        </w:rPr>
        <w:t xml:space="preserve"> New LNG export capacity is also being installed along the Pacific Rim</w:t>
      </w:r>
      <w:r w:rsidR="000E4092">
        <w:rPr>
          <w:color w:val="373737"/>
          <w:sz w:val="20"/>
          <w:lang w:eastAsia="en-AU"/>
        </w:rPr>
        <w:t xml:space="preserve">, </w:t>
      </w:r>
      <w:r w:rsidR="003D7A41">
        <w:rPr>
          <w:color w:val="373737"/>
          <w:sz w:val="20"/>
          <w:lang w:eastAsia="en-AU"/>
        </w:rPr>
        <w:t>with committed projects in Canada and Mexico</w:t>
      </w:r>
      <w:r w:rsidR="000E4092">
        <w:rPr>
          <w:color w:val="373737"/>
          <w:sz w:val="20"/>
          <w:lang w:eastAsia="en-AU"/>
        </w:rPr>
        <w:t>.</w:t>
      </w:r>
      <w:r w:rsidR="003D7A41">
        <w:rPr>
          <w:color w:val="373737"/>
          <w:sz w:val="20"/>
          <w:lang w:eastAsia="en-AU"/>
        </w:rPr>
        <w:t xml:space="preserve"> </w:t>
      </w:r>
    </w:p>
    <w:p w14:paraId="4268DFDA" w14:textId="0ACFA746" w:rsidR="00EC7EC7" w:rsidRPr="00A62FE8" w:rsidRDefault="003D7A41" w:rsidP="00EC7EC7">
      <w:pPr>
        <w:spacing w:after="120"/>
        <w:rPr>
          <w:color w:val="373737"/>
          <w:sz w:val="20"/>
          <w:lang w:eastAsia="en-AU"/>
        </w:rPr>
      </w:pPr>
      <w:r>
        <w:rPr>
          <w:color w:val="373737"/>
          <w:sz w:val="20"/>
          <w:lang w:eastAsia="en-AU"/>
        </w:rPr>
        <w:t>Additional</w:t>
      </w:r>
      <w:r w:rsidR="00EC7EC7" w:rsidRPr="00A62FE8">
        <w:rPr>
          <w:color w:val="373737"/>
          <w:sz w:val="20"/>
          <w:lang w:eastAsia="en-AU"/>
        </w:rPr>
        <w:t xml:space="preserve"> supply </w:t>
      </w:r>
      <w:r>
        <w:rPr>
          <w:color w:val="373737"/>
          <w:sz w:val="20"/>
          <w:lang w:eastAsia="en-AU"/>
        </w:rPr>
        <w:t xml:space="preserve">is being </w:t>
      </w:r>
      <w:r w:rsidR="00EC7EC7" w:rsidRPr="00A62FE8">
        <w:rPr>
          <w:color w:val="373737"/>
          <w:sz w:val="20"/>
          <w:lang w:eastAsia="en-AU"/>
        </w:rPr>
        <w:t xml:space="preserve">driven by significant investment in both Qatar and the US. Qatar is projected </w:t>
      </w:r>
      <w:r w:rsidR="004C1FCB">
        <w:rPr>
          <w:color w:val="373737"/>
          <w:sz w:val="20"/>
          <w:lang w:eastAsia="en-AU"/>
        </w:rPr>
        <w:t xml:space="preserve">to increase its output from </w:t>
      </w:r>
      <w:r w:rsidR="004C1FCB" w:rsidRPr="00A62FE8">
        <w:rPr>
          <w:color w:val="373737"/>
          <w:sz w:val="20"/>
          <w:lang w:eastAsia="en-AU"/>
        </w:rPr>
        <w:t xml:space="preserve">81 Mt in 2023, </w:t>
      </w:r>
      <w:r w:rsidR="00EC7EC7" w:rsidRPr="00A62FE8">
        <w:rPr>
          <w:color w:val="373737"/>
          <w:sz w:val="20"/>
          <w:lang w:eastAsia="en-AU"/>
        </w:rPr>
        <w:t>to 147 Mt of LNG in 2030</w:t>
      </w:r>
      <w:r w:rsidR="004C1FCB">
        <w:rPr>
          <w:color w:val="373737"/>
          <w:sz w:val="20"/>
          <w:lang w:eastAsia="en-AU"/>
        </w:rPr>
        <w:t xml:space="preserve">. This would result in a </w:t>
      </w:r>
      <w:r w:rsidR="00EC7EC7" w:rsidRPr="00A62FE8">
        <w:rPr>
          <w:color w:val="373737"/>
          <w:sz w:val="20"/>
          <w:lang w:eastAsia="en-AU"/>
        </w:rPr>
        <w:t>21% market share in 2030</w:t>
      </w:r>
      <w:r w:rsidR="004473A4">
        <w:rPr>
          <w:color w:val="373737"/>
          <w:sz w:val="20"/>
          <w:lang w:eastAsia="en-AU"/>
        </w:rPr>
        <w:t>,</w:t>
      </w:r>
      <w:r w:rsidR="00EC7EC7" w:rsidRPr="00A62FE8">
        <w:rPr>
          <w:color w:val="373737"/>
          <w:sz w:val="20"/>
          <w:lang w:eastAsia="en-AU"/>
        </w:rPr>
        <w:t xml:space="preserve"> and an 81% increase in volumes on 2023 levels. </w:t>
      </w:r>
      <w:r w:rsidR="000E4092" w:rsidRPr="005C5515">
        <w:rPr>
          <w:color w:val="373737"/>
          <w:sz w:val="20"/>
          <w:lang w:eastAsia="en-AU"/>
        </w:rPr>
        <w:t xml:space="preserve">Qatar </w:t>
      </w:r>
      <w:r w:rsidR="004C1FCB">
        <w:rPr>
          <w:color w:val="373737"/>
          <w:sz w:val="20"/>
          <w:lang w:eastAsia="en-AU"/>
        </w:rPr>
        <w:t xml:space="preserve">has </w:t>
      </w:r>
      <w:r w:rsidR="000E4092" w:rsidRPr="005C5515">
        <w:rPr>
          <w:color w:val="373737"/>
          <w:sz w:val="20"/>
          <w:lang w:eastAsia="en-AU"/>
        </w:rPr>
        <w:t>indicat</w:t>
      </w:r>
      <w:r w:rsidR="004C1FCB">
        <w:rPr>
          <w:color w:val="373737"/>
          <w:sz w:val="20"/>
          <w:lang w:eastAsia="en-AU"/>
        </w:rPr>
        <w:t>ed</w:t>
      </w:r>
      <w:r w:rsidR="000E4092" w:rsidRPr="005C5515">
        <w:rPr>
          <w:color w:val="373737"/>
          <w:sz w:val="20"/>
          <w:lang w:eastAsia="en-AU"/>
        </w:rPr>
        <w:t xml:space="preserve"> that it views gas as </w:t>
      </w:r>
      <w:r w:rsidR="004C1FCB">
        <w:rPr>
          <w:color w:val="373737"/>
          <w:sz w:val="20"/>
          <w:lang w:eastAsia="en-AU"/>
        </w:rPr>
        <w:t xml:space="preserve">a commodity likely to be </w:t>
      </w:r>
      <w:r w:rsidR="000E4092" w:rsidRPr="005C5515">
        <w:rPr>
          <w:color w:val="373737"/>
          <w:sz w:val="20"/>
          <w:lang w:eastAsia="en-AU"/>
        </w:rPr>
        <w:t>needed in significant quantities for at least the next 50 years</w:t>
      </w:r>
      <w:r w:rsidR="000E4092">
        <w:rPr>
          <w:color w:val="373737"/>
          <w:sz w:val="20"/>
          <w:lang w:eastAsia="en-AU"/>
        </w:rPr>
        <w:t>.</w:t>
      </w:r>
      <w:r w:rsidR="00EC7EC7" w:rsidRPr="00A62FE8">
        <w:rPr>
          <w:color w:val="373737"/>
          <w:sz w:val="20"/>
          <w:lang w:eastAsia="en-AU"/>
        </w:rPr>
        <w:t xml:space="preserve"> </w:t>
      </w:r>
      <w:r w:rsidR="00F6655F">
        <w:rPr>
          <w:color w:val="373737"/>
          <w:sz w:val="20"/>
          <w:lang w:eastAsia="en-AU"/>
        </w:rPr>
        <w:t>The</w:t>
      </w:r>
      <w:r w:rsidR="00EC7EC7" w:rsidRPr="00A62FE8">
        <w:rPr>
          <w:color w:val="373737"/>
          <w:sz w:val="20"/>
          <w:lang w:eastAsia="en-AU"/>
        </w:rPr>
        <w:t xml:space="preserve"> US is expected to export 191 Mt of LNG in 2030</w:t>
      </w:r>
      <w:r w:rsidR="004C1FCB">
        <w:rPr>
          <w:color w:val="373737"/>
          <w:sz w:val="20"/>
          <w:lang w:eastAsia="en-AU"/>
        </w:rPr>
        <w:t xml:space="preserve">, representing a </w:t>
      </w:r>
      <w:r w:rsidR="00EC7EC7" w:rsidRPr="00A62FE8">
        <w:rPr>
          <w:color w:val="373737"/>
          <w:sz w:val="20"/>
          <w:lang w:eastAsia="en-AU"/>
        </w:rPr>
        <w:t>28% market share in 2030</w:t>
      </w:r>
      <w:r w:rsidR="004473A4">
        <w:rPr>
          <w:color w:val="373737"/>
          <w:sz w:val="20"/>
          <w:lang w:eastAsia="en-AU"/>
        </w:rPr>
        <w:t>,</w:t>
      </w:r>
      <w:r w:rsidR="00EC7EC7" w:rsidRPr="00A62FE8">
        <w:rPr>
          <w:color w:val="373737"/>
          <w:sz w:val="20"/>
          <w:lang w:eastAsia="en-AU"/>
        </w:rPr>
        <w:t xml:space="preserve"> and an 145% increase in export volumes on 2023 levels</w:t>
      </w:r>
      <w:r w:rsidR="00716E21">
        <w:rPr>
          <w:color w:val="373737"/>
          <w:sz w:val="20"/>
          <w:lang w:eastAsia="en-AU"/>
        </w:rPr>
        <w:t xml:space="preserve">. </w:t>
      </w:r>
      <w:r w:rsidR="00716E21" w:rsidRPr="005C5515">
        <w:rPr>
          <w:color w:val="373737"/>
          <w:sz w:val="20"/>
          <w:lang w:eastAsia="en-AU"/>
        </w:rPr>
        <w:t xml:space="preserve">The US has recently announced a pause on new export licences for LNG while the </w:t>
      </w:r>
      <w:r w:rsidR="0020044E">
        <w:rPr>
          <w:color w:val="373737"/>
          <w:sz w:val="20"/>
          <w:lang w:eastAsia="en-AU"/>
        </w:rPr>
        <w:t>g</w:t>
      </w:r>
      <w:r w:rsidR="00716E21" w:rsidRPr="005C5515">
        <w:rPr>
          <w:color w:val="373737"/>
          <w:sz w:val="20"/>
          <w:lang w:eastAsia="en-AU"/>
        </w:rPr>
        <w:t xml:space="preserve">overnment assesses its posture with regard to gas going forward. </w:t>
      </w:r>
      <w:r w:rsidR="000E4092" w:rsidRPr="005C5515">
        <w:rPr>
          <w:color w:val="373737"/>
          <w:sz w:val="20"/>
          <w:lang w:eastAsia="en-AU"/>
        </w:rPr>
        <w:t>This pause may</w:t>
      </w:r>
      <w:r w:rsidR="00716E21" w:rsidRPr="005C5515">
        <w:rPr>
          <w:color w:val="373737"/>
          <w:sz w:val="20"/>
          <w:lang w:eastAsia="en-AU"/>
        </w:rPr>
        <w:t xml:space="preserve"> </w:t>
      </w:r>
      <w:r w:rsidR="000E4092" w:rsidRPr="005C5515">
        <w:rPr>
          <w:color w:val="373737"/>
          <w:sz w:val="20"/>
          <w:lang w:eastAsia="en-AU"/>
        </w:rPr>
        <w:t>delay or</w:t>
      </w:r>
      <w:r w:rsidR="00716E21" w:rsidRPr="005C5515">
        <w:rPr>
          <w:color w:val="373737"/>
          <w:sz w:val="20"/>
          <w:lang w:eastAsia="en-AU"/>
        </w:rPr>
        <w:t xml:space="preserve"> reduce </w:t>
      </w:r>
      <w:r w:rsidR="000E4092" w:rsidRPr="005C5515">
        <w:rPr>
          <w:color w:val="373737"/>
          <w:sz w:val="20"/>
          <w:lang w:eastAsia="en-AU"/>
        </w:rPr>
        <w:t>any future</w:t>
      </w:r>
      <w:r w:rsidR="00716E21" w:rsidRPr="005C5515">
        <w:rPr>
          <w:color w:val="373737"/>
          <w:sz w:val="20"/>
          <w:lang w:eastAsia="en-AU"/>
        </w:rPr>
        <w:t xml:space="preserve"> supply coming into the market in the next few years</w:t>
      </w:r>
      <w:r w:rsidR="000E4092" w:rsidRPr="005C5515">
        <w:rPr>
          <w:color w:val="373737"/>
          <w:sz w:val="20"/>
          <w:lang w:eastAsia="en-AU"/>
        </w:rPr>
        <w:t>, depending on</w:t>
      </w:r>
      <w:r w:rsidR="001F316D" w:rsidRPr="005C5515">
        <w:rPr>
          <w:color w:val="373737"/>
          <w:sz w:val="20"/>
          <w:lang w:eastAsia="en-AU"/>
        </w:rPr>
        <w:t xml:space="preserve"> its </w:t>
      </w:r>
      <w:r w:rsidR="000E4092" w:rsidRPr="005C5515">
        <w:rPr>
          <w:color w:val="373737"/>
          <w:sz w:val="20"/>
          <w:lang w:eastAsia="en-AU"/>
        </w:rPr>
        <w:t>duration</w:t>
      </w:r>
      <w:r w:rsidR="00716E21">
        <w:rPr>
          <w:color w:val="373737"/>
          <w:sz w:val="20"/>
          <w:lang w:eastAsia="en-AU"/>
        </w:rPr>
        <w:t>.</w:t>
      </w:r>
      <w:r w:rsidR="004C1FCB">
        <w:rPr>
          <w:color w:val="373737"/>
          <w:sz w:val="20"/>
          <w:lang w:eastAsia="en-AU"/>
        </w:rPr>
        <w:t xml:space="preserve"> However, the expected growth trajectory out to 2030 will not be affected, since the projects that make it up are already approved,</w:t>
      </w:r>
    </w:p>
    <w:p w14:paraId="4C609525" w14:textId="1E93CCDB" w:rsidR="00EC7EC7" w:rsidRPr="00A62FE8" w:rsidRDefault="00EC7EC7" w:rsidP="00C97679">
      <w:pPr>
        <w:pStyle w:val="Caption"/>
        <w:rPr>
          <w:lang w:val="en"/>
        </w:rPr>
      </w:pPr>
      <w:r w:rsidRPr="00A62FE8">
        <w:rPr>
          <w:lang w:val="en"/>
        </w:rPr>
        <w:t>Figure</w:t>
      </w:r>
      <w:r>
        <w:rPr>
          <w:lang w:val="en"/>
        </w:rPr>
        <w:t xml:space="preserve"> </w:t>
      </w:r>
      <w:r w:rsidR="006877E8">
        <w:rPr>
          <w:noProof/>
          <w:lang w:val="en"/>
        </w:rPr>
        <w:fldChar w:fldCharType="begin"/>
      </w:r>
      <w:r w:rsidR="006877E8">
        <w:rPr>
          <w:noProof/>
          <w:lang w:val="en"/>
        </w:rPr>
        <w:instrText xml:space="preserve"> STYLEREF 1 \s </w:instrText>
      </w:r>
      <w:r w:rsidR="006877E8">
        <w:rPr>
          <w:noProof/>
          <w:lang w:val="en"/>
        </w:rPr>
        <w:fldChar w:fldCharType="separate"/>
      </w:r>
      <w:r w:rsidR="00BF178A">
        <w:rPr>
          <w:noProof/>
          <w:lang w:val="en"/>
        </w:rPr>
        <w:t>4</w:t>
      </w:r>
      <w:r w:rsidR="006877E8">
        <w:rPr>
          <w:noProof/>
          <w:lang w:val="en"/>
        </w:rPr>
        <w:fldChar w:fldCharType="end"/>
      </w:r>
      <w:r w:rsidR="006877E8">
        <w:rPr>
          <w:noProof/>
          <w:lang w:val="en"/>
        </w:rPr>
        <w:t>.</w:t>
      </w:r>
      <w:r w:rsidR="006877E8">
        <w:rPr>
          <w:noProof/>
          <w:lang w:val="en"/>
        </w:rPr>
        <w:fldChar w:fldCharType="begin"/>
      </w:r>
      <w:r w:rsidR="006877E8">
        <w:rPr>
          <w:noProof/>
          <w:lang w:val="en"/>
        </w:rPr>
        <w:instrText xml:space="preserve"> SEQ Figure \* ARABIC \s 1 </w:instrText>
      </w:r>
      <w:r w:rsidR="006877E8">
        <w:rPr>
          <w:noProof/>
          <w:lang w:val="en"/>
        </w:rPr>
        <w:fldChar w:fldCharType="separate"/>
      </w:r>
      <w:r w:rsidR="00BF178A">
        <w:rPr>
          <w:noProof/>
          <w:lang w:val="en"/>
        </w:rPr>
        <w:t>6</w:t>
      </w:r>
      <w:r w:rsidR="006877E8">
        <w:rPr>
          <w:noProof/>
          <w:lang w:val="en"/>
        </w:rPr>
        <w:fldChar w:fldCharType="end"/>
      </w:r>
      <w:r w:rsidRPr="00A62FE8">
        <w:rPr>
          <w:lang w:val="en"/>
        </w:rPr>
        <w:t>: Australian LNG medium and long</w:t>
      </w:r>
      <w:r w:rsidRPr="00A62FE8" w:rsidDel="00536289">
        <w:rPr>
          <w:lang w:val="en"/>
        </w:rPr>
        <w:t>-</w:t>
      </w:r>
      <w:r w:rsidRPr="00A62FE8">
        <w:rPr>
          <w:lang w:val="en"/>
        </w:rPr>
        <w:t>term contract volumes in force, with assumed contract extensions, by buyer</w:t>
      </w:r>
      <w:r w:rsidR="004C117A">
        <w:rPr>
          <w:lang w:val="en"/>
        </w:rPr>
        <w:t>, 2022 to 2050</w:t>
      </w:r>
    </w:p>
    <w:p w14:paraId="30469C50" w14:textId="350AA79F" w:rsidR="00EC7EC7" w:rsidRPr="00A62FE8" w:rsidRDefault="00466660" w:rsidP="00EC7EC7">
      <w:pPr>
        <w:keepNext/>
        <w:spacing w:after="60" w:line="240" w:lineRule="auto"/>
        <w:rPr>
          <w:rFonts w:eastAsia="Times New Roman" w:cs="Arial"/>
          <w:color w:val="005CAF"/>
          <w:sz w:val="16"/>
          <w:szCs w:val="20"/>
          <w:lang w:val="en"/>
        </w:rPr>
      </w:pPr>
      <w:r>
        <w:rPr>
          <w:noProof/>
        </w:rPr>
        <w:drawing>
          <wp:inline distT="0" distB="0" distL="0" distR="0" wp14:anchorId="2EAC9D64" wp14:editId="632CA8E7">
            <wp:extent cx="4206875" cy="2276475"/>
            <wp:effectExtent l="0" t="0" r="3175" b="0"/>
            <wp:docPr id="52" name="Chart 52" descr="This figure shows the volume of Australian LNG medium and long-term contracts in force and assumed contract extensions by buyer from 2022 to 2050. The figure assumes 19 contracts are extended to 2050, resulting in a forecast of nearly 30 Mt of Australian LNG exported to the Asia region each year from 2040 to 2050. There is a notable decline in contracts to 2036, with the most substantial decrease occurring in the 5 years prior to 2036. ">
              <a:extLst xmlns:a="http://schemas.openxmlformats.org/drawingml/2006/main">
                <a:ext uri="{FF2B5EF4-FFF2-40B4-BE49-F238E27FC236}">
                  <a16:creationId xmlns:a16="http://schemas.microsoft.com/office/drawing/2014/main" id="{A524E297-E049-4029-A7E9-E736062DF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FE763CF" w14:textId="77777777" w:rsidR="00EC7EC7" w:rsidRPr="00A62FE8" w:rsidRDefault="00EC7EC7" w:rsidP="000275CF">
      <w:pPr>
        <w:pStyle w:val="Source"/>
      </w:pPr>
      <w:r w:rsidRPr="00A62FE8">
        <w:t xml:space="preserve">Notes: Contract extensions are modelled on the following basis: that Australia maintains a gas trading relationship with Japan, China, </w:t>
      </w:r>
      <w:r>
        <w:t>ROK</w:t>
      </w:r>
      <w:r w:rsidRPr="00A62FE8">
        <w:t>, Taiwan, and India, subject to remaining reserves in key fields, with field and contract choice informed by future gas consultation processes.</w:t>
      </w:r>
    </w:p>
    <w:p w14:paraId="0AECBF43" w14:textId="52EA5DBB" w:rsidR="00EC7EC7" w:rsidRPr="00A62FE8" w:rsidRDefault="00EC7EC7" w:rsidP="000275CF">
      <w:pPr>
        <w:pStyle w:val="Source"/>
      </w:pPr>
      <w:r w:rsidRPr="00A62FE8">
        <w:t xml:space="preserve">Source: GIIGNL </w:t>
      </w:r>
      <w:r w:rsidR="00E165D4">
        <w:t>(</w:t>
      </w:r>
      <w:r w:rsidRPr="00A62FE8">
        <w:t>2023)</w:t>
      </w:r>
      <w:r w:rsidRPr="00A62FE8">
        <w:br/>
      </w:r>
    </w:p>
    <w:tbl>
      <w:tblPr>
        <w:tblStyle w:val="OCETable"/>
        <w:tblW w:w="6804" w:type="dxa"/>
        <w:shd w:val="clear" w:color="auto" w:fill="F1CFCF"/>
        <w:tblLayout w:type="fixed"/>
        <w:tblLook w:val="04A0" w:firstRow="1" w:lastRow="0" w:firstColumn="1" w:lastColumn="0" w:noHBand="0" w:noVBand="1"/>
      </w:tblPr>
      <w:tblGrid>
        <w:gridCol w:w="6804"/>
      </w:tblGrid>
      <w:tr w:rsidR="00EC7EC7" w:rsidRPr="00A62FE8" w14:paraId="33A63DF7" w14:textId="77777777" w:rsidTr="00CE4D4A">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3772369F" w14:textId="7BF1F620" w:rsidR="00EC7EC7" w:rsidRPr="00A62FE8" w:rsidRDefault="00EC7EC7" w:rsidP="00C50D71">
            <w:pPr>
              <w:widowControl w:val="0"/>
              <w:spacing w:beforeLines="60" w:before="144" w:afterLines="60" w:after="144"/>
              <w:ind w:left="113" w:right="113"/>
              <w:jc w:val="both"/>
              <w:rPr>
                <w:rFonts w:eastAsia="Times New Roman" w:cs="Arial"/>
                <w:sz w:val="20"/>
                <w:szCs w:val="18"/>
                <w:lang w:val="en"/>
              </w:rPr>
            </w:pPr>
            <w:bookmarkStart w:id="107" w:name="_Hlk155180417"/>
            <w:r w:rsidRPr="00A62FE8">
              <w:rPr>
                <w:rFonts w:eastAsia="Times New Roman" w:cs="Arial"/>
                <w:b/>
                <w:bCs/>
                <w:color w:val="auto"/>
                <w:sz w:val="20"/>
                <w:szCs w:val="18"/>
                <w:lang w:val="en"/>
              </w:rPr>
              <w:t xml:space="preserve">Insight: </w:t>
            </w:r>
            <w:r w:rsidR="00070B87" w:rsidRPr="00825EC2">
              <w:rPr>
                <w:rFonts w:eastAsia="Times New Roman" w:cs="Arial"/>
                <w:color w:val="auto"/>
                <w:sz w:val="20"/>
                <w:szCs w:val="18"/>
                <w:lang w:val="en"/>
              </w:rPr>
              <w:t xml:space="preserve">Supply options </w:t>
            </w:r>
            <w:r w:rsidR="00070B87">
              <w:rPr>
                <w:rFonts w:eastAsia="Times New Roman" w:cs="Arial"/>
                <w:color w:val="auto"/>
                <w:sz w:val="20"/>
                <w:szCs w:val="18"/>
                <w:lang w:val="en"/>
              </w:rPr>
              <w:t xml:space="preserve">for </w:t>
            </w:r>
            <w:r w:rsidR="00070B87" w:rsidRPr="00825EC2">
              <w:rPr>
                <w:rFonts w:eastAsia="Times New Roman" w:cs="Arial"/>
                <w:color w:val="auto"/>
                <w:sz w:val="20"/>
                <w:szCs w:val="18"/>
                <w:lang w:val="en"/>
              </w:rPr>
              <w:t xml:space="preserve">the Asia Pacific are increasing. </w:t>
            </w:r>
            <w:r w:rsidR="00070B87">
              <w:rPr>
                <w:rFonts w:eastAsia="Times New Roman" w:cs="Arial"/>
                <w:color w:val="auto"/>
                <w:sz w:val="20"/>
                <w:szCs w:val="18"/>
                <w:lang w:val="en"/>
              </w:rPr>
              <w:t>Global LNG supply is expected to increase over the next 5 years, with new supply coming in particular from the US and from Qatar</w:t>
            </w:r>
            <w:r w:rsidR="00087731" w:rsidRPr="00087731">
              <w:rPr>
                <w:rFonts w:eastAsia="Times New Roman" w:cs="Arial"/>
                <w:color w:val="auto"/>
                <w:sz w:val="20"/>
                <w:szCs w:val="18"/>
                <w:lang w:val="en"/>
              </w:rPr>
              <w:t>.</w:t>
            </w:r>
            <w:r w:rsidR="00070B87">
              <w:rPr>
                <w:rFonts w:eastAsia="Times New Roman" w:cs="Arial"/>
                <w:color w:val="auto"/>
                <w:sz w:val="20"/>
                <w:szCs w:val="18"/>
                <w:lang w:val="en"/>
              </w:rPr>
              <w:t xml:space="preserve"> New export terminals </w:t>
            </w:r>
            <w:r w:rsidR="003D7A41">
              <w:rPr>
                <w:rFonts w:eastAsia="Times New Roman" w:cs="Arial"/>
                <w:color w:val="auto"/>
                <w:sz w:val="20"/>
                <w:szCs w:val="18"/>
                <w:lang w:val="en"/>
              </w:rPr>
              <w:t>are also being built in Northern America that will more easily service Asia</w:t>
            </w:r>
            <w:r w:rsidR="00070B87">
              <w:rPr>
                <w:rFonts w:eastAsia="Times New Roman" w:cs="Arial"/>
                <w:color w:val="auto"/>
                <w:sz w:val="20"/>
                <w:szCs w:val="18"/>
                <w:lang w:val="en"/>
              </w:rPr>
              <w:t xml:space="preserve"> Pacific.</w:t>
            </w:r>
            <w:r w:rsidR="001F316D">
              <w:rPr>
                <w:rFonts w:eastAsia="Times New Roman" w:cs="Arial"/>
                <w:color w:val="auto"/>
                <w:sz w:val="20"/>
                <w:szCs w:val="18"/>
                <w:lang w:val="en"/>
              </w:rPr>
              <w:t xml:space="preserve"> Nonetheless, demand for Australian gas will remain.</w:t>
            </w:r>
          </w:p>
        </w:tc>
      </w:tr>
    </w:tbl>
    <w:bookmarkEnd w:id="107"/>
    <w:p w14:paraId="1A5A6E8E" w14:textId="76AD94DA" w:rsidR="000565F6" w:rsidRDefault="000565F6" w:rsidP="00C97679">
      <w:pPr>
        <w:pStyle w:val="Caption"/>
      </w:pPr>
      <w:r>
        <w:t xml:space="preserve">Table </w:t>
      </w:r>
      <w:r w:rsidR="00341B3B">
        <w:fldChar w:fldCharType="begin"/>
      </w:r>
      <w:r w:rsidR="00341B3B">
        <w:instrText xml:space="preserve"> STYLEREF 1 \s </w:instrText>
      </w:r>
      <w:r w:rsidR="00341B3B">
        <w:fldChar w:fldCharType="separate"/>
      </w:r>
      <w:r w:rsidR="00BF178A">
        <w:rPr>
          <w:noProof/>
        </w:rPr>
        <w:t>4</w:t>
      </w:r>
      <w:r w:rsidR="00341B3B">
        <w:rPr>
          <w:noProof/>
        </w:rPr>
        <w:fldChar w:fldCharType="end"/>
      </w:r>
      <w:r>
        <w:t>.</w:t>
      </w:r>
      <w:r w:rsidR="00341B3B">
        <w:fldChar w:fldCharType="begin"/>
      </w:r>
      <w:r w:rsidR="00341B3B">
        <w:instrText xml:space="preserve"> SEQ Table \* ARABIC \s 1 </w:instrText>
      </w:r>
      <w:r w:rsidR="00341B3B">
        <w:fldChar w:fldCharType="separate"/>
      </w:r>
      <w:r w:rsidR="00BF178A">
        <w:rPr>
          <w:noProof/>
        </w:rPr>
        <w:t>1</w:t>
      </w:r>
      <w:r w:rsidR="00341B3B">
        <w:rPr>
          <w:noProof/>
        </w:rPr>
        <w:fldChar w:fldCharType="end"/>
      </w:r>
      <w:r>
        <w:t xml:space="preserve">: </w:t>
      </w:r>
      <w:r w:rsidRPr="00B432E6">
        <w:t>Historical LNG market share, percent, 2012 to 2022</w:t>
      </w:r>
    </w:p>
    <w:tbl>
      <w:tblPr>
        <w:tblStyle w:val="OCETable"/>
        <w:tblW w:w="5000" w:type="pct"/>
        <w:tblLayout w:type="fixed"/>
        <w:tblLook w:val="04A0" w:firstRow="1" w:lastRow="0" w:firstColumn="1" w:lastColumn="0" w:noHBand="0" w:noVBand="1"/>
      </w:tblPr>
      <w:tblGrid>
        <w:gridCol w:w="1363"/>
        <w:gridCol w:w="1314"/>
        <w:gridCol w:w="1316"/>
        <w:gridCol w:w="1316"/>
        <w:gridCol w:w="1316"/>
      </w:tblGrid>
      <w:tr w:rsidR="00EC7EC7" w:rsidRPr="00A62FE8" w14:paraId="59353146" w14:textId="77777777" w:rsidTr="0000320E">
        <w:trPr>
          <w:cnfStyle w:val="100000000000" w:firstRow="1" w:lastRow="0" w:firstColumn="0" w:lastColumn="0" w:oddVBand="0" w:evenVBand="0" w:oddHBand="0" w:evenHBand="0" w:firstRowFirstColumn="0" w:firstRowLastColumn="0" w:lastRowFirstColumn="0" w:lastRowLastColumn="0"/>
        </w:trPr>
        <w:tc>
          <w:tcPr>
            <w:tcW w:w="1029" w:type="pct"/>
          </w:tcPr>
          <w:p w14:paraId="732A00B4" w14:textId="77777777" w:rsidR="00EC7EC7" w:rsidRPr="00A62FE8" w:rsidRDefault="00EC7EC7" w:rsidP="00C50D71">
            <w:pPr>
              <w:keepNext/>
              <w:spacing w:before="120" w:after="120" w:line="240" w:lineRule="auto"/>
              <w:rPr>
                <w:rFonts w:cs="Arial"/>
                <w:b/>
                <w:szCs w:val="18"/>
                <w:lang w:eastAsia="en-AU"/>
              </w:rPr>
            </w:pPr>
            <w:r w:rsidRPr="00A62FE8">
              <w:rPr>
                <w:rFonts w:cs="Arial"/>
                <w:b/>
                <w:szCs w:val="18"/>
                <w:lang w:eastAsia="en-AU"/>
              </w:rPr>
              <w:t>Country</w:t>
            </w:r>
          </w:p>
        </w:tc>
        <w:tc>
          <w:tcPr>
            <w:tcW w:w="992" w:type="pct"/>
          </w:tcPr>
          <w:p w14:paraId="2D69E045" w14:textId="77777777" w:rsidR="00EC7EC7" w:rsidRPr="00A62FE8" w:rsidRDefault="00EC7EC7" w:rsidP="00C50D71">
            <w:pPr>
              <w:keepNext/>
              <w:spacing w:before="120" w:after="120" w:line="240" w:lineRule="auto"/>
              <w:jc w:val="right"/>
              <w:rPr>
                <w:rFonts w:cs="Arial"/>
                <w:b/>
                <w:szCs w:val="18"/>
                <w:lang w:eastAsia="en-AU"/>
              </w:rPr>
            </w:pPr>
            <w:r w:rsidRPr="00A62FE8">
              <w:rPr>
                <w:rFonts w:cs="Arial"/>
                <w:b/>
                <w:szCs w:val="18"/>
                <w:lang w:eastAsia="en-AU"/>
              </w:rPr>
              <w:t>2012</w:t>
            </w:r>
          </w:p>
        </w:tc>
        <w:tc>
          <w:tcPr>
            <w:tcW w:w="993" w:type="pct"/>
          </w:tcPr>
          <w:p w14:paraId="51CD79AD" w14:textId="77777777" w:rsidR="00EC7EC7" w:rsidRPr="00A62FE8" w:rsidRDefault="00EC7EC7" w:rsidP="00C50D71">
            <w:pPr>
              <w:keepNext/>
              <w:spacing w:before="120" w:after="120" w:line="240" w:lineRule="auto"/>
              <w:jc w:val="right"/>
              <w:rPr>
                <w:rFonts w:cs="Arial"/>
                <w:b/>
                <w:szCs w:val="18"/>
                <w:lang w:eastAsia="en-AU"/>
              </w:rPr>
            </w:pPr>
            <w:r w:rsidRPr="00A62FE8">
              <w:rPr>
                <w:rFonts w:cs="Arial"/>
                <w:b/>
                <w:szCs w:val="18"/>
                <w:lang w:eastAsia="en-AU"/>
              </w:rPr>
              <w:t>2015</w:t>
            </w:r>
          </w:p>
        </w:tc>
        <w:tc>
          <w:tcPr>
            <w:tcW w:w="993" w:type="pct"/>
          </w:tcPr>
          <w:p w14:paraId="52C1CE0B" w14:textId="77777777" w:rsidR="00EC7EC7" w:rsidRPr="00A62FE8" w:rsidRDefault="00EC7EC7" w:rsidP="00C50D71">
            <w:pPr>
              <w:keepNext/>
              <w:spacing w:before="120" w:after="120" w:line="240" w:lineRule="auto"/>
              <w:jc w:val="right"/>
              <w:rPr>
                <w:rFonts w:cs="Arial"/>
                <w:b/>
                <w:szCs w:val="18"/>
                <w:lang w:eastAsia="en-AU"/>
              </w:rPr>
            </w:pPr>
            <w:r w:rsidRPr="00A62FE8">
              <w:rPr>
                <w:rFonts w:cs="Arial"/>
                <w:b/>
                <w:szCs w:val="18"/>
                <w:lang w:eastAsia="en-AU"/>
              </w:rPr>
              <w:t>2018</w:t>
            </w:r>
          </w:p>
        </w:tc>
        <w:tc>
          <w:tcPr>
            <w:tcW w:w="993" w:type="pct"/>
          </w:tcPr>
          <w:p w14:paraId="700A60EC" w14:textId="77777777" w:rsidR="00EC7EC7" w:rsidRPr="00A62FE8" w:rsidRDefault="00EC7EC7" w:rsidP="00C50D71">
            <w:pPr>
              <w:keepNext/>
              <w:spacing w:before="120" w:after="120" w:line="240" w:lineRule="auto"/>
              <w:jc w:val="right"/>
              <w:rPr>
                <w:rFonts w:cs="Arial"/>
                <w:b/>
                <w:szCs w:val="18"/>
                <w:lang w:eastAsia="en-AU"/>
              </w:rPr>
            </w:pPr>
            <w:r w:rsidRPr="00A62FE8">
              <w:rPr>
                <w:rFonts w:cs="Arial"/>
                <w:b/>
                <w:szCs w:val="18"/>
                <w:lang w:eastAsia="en-AU"/>
              </w:rPr>
              <w:t>2022</w:t>
            </w:r>
          </w:p>
        </w:tc>
      </w:tr>
      <w:tr w:rsidR="00EC7EC7" w:rsidRPr="00A62FE8" w14:paraId="6222C064" w14:textId="77777777" w:rsidTr="0000320E">
        <w:trPr>
          <w:cnfStyle w:val="000000100000" w:firstRow="0" w:lastRow="0" w:firstColumn="0" w:lastColumn="0" w:oddVBand="0" w:evenVBand="0" w:oddHBand="1" w:evenHBand="0" w:firstRowFirstColumn="0" w:firstRowLastColumn="0" w:lastRowFirstColumn="0" w:lastRowLastColumn="0"/>
        </w:trPr>
        <w:tc>
          <w:tcPr>
            <w:tcW w:w="1029" w:type="pct"/>
          </w:tcPr>
          <w:p w14:paraId="68B027DD"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Australia</w:t>
            </w:r>
          </w:p>
        </w:tc>
        <w:tc>
          <w:tcPr>
            <w:tcW w:w="992" w:type="pct"/>
          </w:tcPr>
          <w:p w14:paraId="48F63688"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10.1</w:t>
            </w:r>
          </w:p>
        </w:tc>
        <w:tc>
          <w:tcPr>
            <w:tcW w:w="993" w:type="pct"/>
          </w:tcPr>
          <w:p w14:paraId="2896D2CE"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11.5</w:t>
            </w:r>
          </w:p>
        </w:tc>
        <w:tc>
          <w:tcPr>
            <w:tcW w:w="993" w:type="pct"/>
          </w:tcPr>
          <w:p w14:paraId="3D21E2AE"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21.4</w:t>
            </w:r>
          </w:p>
        </w:tc>
        <w:tc>
          <w:tcPr>
            <w:tcW w:w="993" w:type="pct"/>
          </w:tcPr>
          <w:p w14:paraId="58020FBE"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19.6</w:t>
            </w:r>
          </w:p>
        </w:tc>
      </w:tr>
      <w:tr w:rsidR="00EC7EC7" w:rsidRPr="00A62FE8" w14:paraId="50E7DF4B" w14:textId="77777777" w:rsidTr="0000320E">
        <w:trPr>
          <w:cnfStyle w:val="000000010000" w:firstRow="0" w:lastRow="0" w:firstColumn="0" w:lastColumn="0" w:oddVBand="0" w:evenVBand="0" w:oddHBand="0" w:evenHBand="1" w:firstRowFirstColumn="0" w:firstRowLastColumn="0" w:lastRowFirstColumn="0" w:lastRowLastColumn="0"/>
        </w:trPr>
        <w:tc>
          <w:tcPr>
            <w:tcW w:w="1029" w:type="pct"/>
          </w:tcPr>
          <w:p w14:paraId="6A3BAA65"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Qatar</w:t>
            </w:r>
          </w:p>
        </w:tc>
        <w:tc>
          <w:tcPr>
            <w:tcW w:w="992" w:type="pct"/>
          </w:tcPr>
          <w:p w14:paraId="0E04DE61"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32.3</w:t>
            </w:r>
          </w:p>
        </w:tc>
        <w:tc>
          <w:tcPr>
            <w:tcW w:w="993" w:type="pct"/>
          </w:tcPr>
          <w:p w14:paraId="6BD3E21D"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33.1</w:t>
            </w:r>
          </w:p>
        </w:tc>
        <w:tc>
          <w:tcPr>
            <w:tcW w:w="993" w:type="pct"/>
          </w:tcPr>
          <w:p w14:paraId="3A965930"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24</w:t>
            </w:r>
          </w:p>
        </w:tc>
        <w:tc>
          <w:tcPr>
            <w:tcW w:w="993" w:type="pct"/>
          </w:tcPr>
          <w:p w14:paraId="34E85A95"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20.2</w:t>
            </w:r>
          </w:p>
        </w:tc>
      </w:tr>
      <w:tr w:rsidR="00EC7EC7" w:rsidRPr="00A62FE8" w14:paraId="208EA627" w14:textId="77777777" w:rsidTr="0000320E">
        <w:trPr>
          <w:cnfStyle w:val="000000100000" w:firstRow="0" w:lastRow="0" w:firstColumn="0" w:lastColumn="0" w:oddVBand="0" w:evenVBand="0" w:oddHBand="1" w:evenHBand="0" w:firstRowFirstColumn="0" w:firstRowLastColumn="0" w:lastRowFirstColumn="0" w:lastRowLastColumn="0"/>
        </w:trPr>
        <w:tc>
          <w:tcPr>
            <w:tcW w:w="1029" w:type="pct"/>
          </w:tcPr>
          <w:p w14:paraId="6A6E1FED"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USA</w:t>
            </w:r>
          </w:p>
        </w:tc>
        <w:tc>
          <w:tcPr>
            <w:tcW w:w="992" w:type="pct"/>
          </w:tcPr>
          <w:p w14:paraId="1DCBC594"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0.1</w:t>
            </w:r>
          </w:p>
        </w:tc>
        <w:tc>
          <w:tcPr>
            <w:tcW w:w="993" w:type="pct"/>
          </w:tcPr>
          <w:p w14:paraId="2D67899F"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0.1</w:t>
            </w:r>
          </w:p>
        </w:tc>
        <w:tc>
          <w:tcPr>
            <w:tcW w:w="993" w:type="pct"/>
          </w:tcPr>
          <w:p w14:paraId="78175DD8"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9.1</w:t>
            </w:r>
          </w:p>
        </w:tc>
        <w:tc>
          <w:tcPr>
            <w:tcW w:w="993" w:type="pct"/>
          </w:tcPr>
          <w:p w14:paraId="33781371"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19.5</w:t>
            </w:r>
          </w:p>
        </w:tc>
      </w:tr>
      <w:tr w:rsidR="00EC7EC7" w:rsidRPr="00A62FE8" w14:paraId="36259516" w14:textId="77777777" w:rsidTr="0000320E">
        <w:trPr>
          <w:cnfStyle w:val="000000010000" w:firstRow="0" w:lastRow="0" w:firstColumn="0" w:lastColumn="0" w:oddVBand="0" w:evenVBand="0" w:oddHBand="0" w:evenHBand="1" w:firstRowFirstColumn="0" w:firstRowLastColumn="0" w:lastRowFirstColumn="0" w:lastRowLastColumn="0"/>
        </w:trPr>
        <w:tc>
          <w:tcPr>
            <w:tcW w:w="1029" w:type="pct"/>
          </w:tcPr>
          <w:p w14:paraId="1B88E051"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Other</w:t>
            </w:r>
          </w:p>
        </w:tc>
        <w:tc>
          <w:tcPr>
            <w:tcW w:w="992" w:type="pct"/>
          </w:tcPr>
          <w:p w14:paraId="6D12351A"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57.5</w:t>
            </w:r>
          </w:p>
        </w:tc>
        <w:tc>
          <w:tcPr>
            <w:tcW w:w="993" w:type="pct"/>
          </w:tcPr>
          <w:p w14:paraId="6E8C10B1"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55.4</w:t>
            </w:r>
          </w:p>
        </w:tc>
        <w:tc>
          <w:tcPr>
            <w:tcW w:w="993" w:type="pct"/>
          </w:tcPr>
          <w:p w14:paraId="75496D28" w14:textId="77777777" w:rsidR="00EC7EC7" w:rsidRDefault="00EC7EC7" w:rsidP="00C50D71">
            <w:pPr>
              <w:keepNext/>
              <w:keepLines/>
              <w:spacing w:before="60" w:after="60" w:line="240" w:lineRule="auto"/>
              <w:jc w:val="right"/>
              <w:rPr>
                <w:rFonts w:cs="Arial"/>
                <w:szCs w:val="18"/>
                <w:lang w:eastAsia="en-AU"/>
              </w:rPr>
            </w:pPr>
            <w:r w:rsidRPr="00A62FE8">
              <w:rPr>
                <w:rFonts w:cs="Arial"/>
                <w:szCs w:val="18"/>
                <w:lang w:eastAsia="en-AU"/>
              </w:rPr>
              <w:t>45.4</w:t>
            </w:r>
          </w:p>
          <w:p w14:paraId="0E694606" w14:textId="77777777" w:rsidR="00EC7EC7" w:rsidRPr="00A62FE8" w:rsidRDefault="00EC7EC7" w:rsidP="00C50D71">
            <w:pPr>
              <w:keepNext/>
              <w:keepLines/>
              <w:spacing w:before="60" w:after="60" w:line="240" w:lineRule="auto"/>
              <w:jc w:val="right"/>
              <w:rPr>
                <w:rFonts w:cs="Arial"/>
                <w:szCs w:val="18"/>
                <w:lang w:eastAsia="en-AU"/>
              </w:rPr>
            </w:pPr>
          </w:p>
        </w:tc>
        <w:tc>
          <w:tcPr>
            <w:tcW w:w="993" w:type="pct"/>
          </w:tcPr>
          <w:p w14:paraId="77B0010F" w14:textId="77777777" w:rsidR="00EC7EC7" w:rsidRPr="00A62FE8" w:rsidRDefault="00EC7EC7" w:rsidP="00C50D71">
            <w:pPr>
              <w:keepNext/>
              <w:keepLines/>
              <w:spacing w:before="60" w:after="60" w:line="240" w:lineRule="auto"/>
              <w:jc w:val="right"/>
              <w:rPr>
                <w:rFonts w:cs="Arial"/>
                <w:szCs w:val="18"/>
                <w:lang w:eastAsia="en-AU"/>
              </w:rPr>
            </w:pPr>
            <w:r w:rsidRPr="00A62FE8">
              <w:rPr>
                <w:rFonts w:cs="Arial"/>
                <w:szCs w:val="18"/>
                <w:lang w:eastAsia="en-AU"/>
              </w:rPr>
              <w:t>40.6</w:t>
            </w:r>
          </w:p>
        </w:tc>
      </w:tr>
    </w:tbl>
    <w:p w14:paraId="5AD5318D" w14:textId="5FFA9462" w:rsidR="00EC7EC7" w:rsidRPr="00A62FE8" w:rsidRDefault="00EC7EC7" w:rsidP="000275CF">
      <w:pPr>
        <w:pStyle w:val="Source"/>
        <w:rPr>
          <w:lang w:eastAsia="en-AU"/>
        </w:rPr>
      </w:pPr>
      <w:r w:rsidRPr="00A62FE8">
        <w:rPr>
          <w:lang w:eastAsia="en-AU"/>
        </w:rPr>
        <w:t xml:space="preserve">Source: NexantECA (2023) </w:t>
      </w:r>
      <w:bookmarkStart w:id="108" w:name="_Hlk155180423"/>
    </w:p>
    <w:bookmarkEnd w:id="108"/>
    <w:p w14:paraId="3FDACFC8" w14:textId="401FE3CE" w:rsidR="00EC7EC7" w:rsidRPr="00A62FE8" w:rsidRDefault="001F316D" w:rsidP="0051029B">
      <w:pPr>
        <w:spacing w:after="120"/>
        <w:rPr>
          <w:color w:val="373737"/>
          <w:sz w:val="20"/>
          <w:lang w:eastAsia="en-AU"/>
        </w:rPr>
      </w:pPr>
      <w:r>
        <w:rPr>
          <w:color w:val="373737"/>
          <w:sz w:val="20"/>
          <w:lang w:eastAsia="en-AU"/>
        </w:rPr>
        <w:t xml:space="preserve">Additional supply </w:t>
      </w:r>
      <w:r w:rsidR="00E157E0">
        <w:rPr>
          <w:color w:val="373737"/>
          <w:sz w:val="20"/>
          <w:lang w:eastAsia="en-AU"/>
        </w:rPr>
        <w:t xml:space="preserve">is </w:t>
      </w:r>
      <w:r>
        <w:rPr>
          <w:color w:val="373737"/>
          <w:sz w:val="20"/>
          <w:lang w:eastAsia="en-AU"/>
        </w:rPr>
        <w:t>being directed both into the long-term contract market and into the spot market.</w:t>
      </w:r>
      <w:r w:rsidR="00EC7EC7" w:rsidRPr="00A62FE8">
        <w:rPr>
          <w:color w:val="373737"/>
          <w:sz w:val="20"/>
          <w:lang w:eastAsia="en-AU"/>
        </w:rPr>
        <w:t xml:space="preserve"> In 2022, a large number of contracts (with an average duration of 20 years) were signed by large exporters, including the </w:t>
      </w:r>
      <w:r w:rsidR="007978AE">
        <w:rPr>
          <w:color w:val="373737"/>
          <w:sz w:val="20"/>
          <w:lang w:eastAsia="en-AU"/>
        </w:rPr>
        <w:t>US</w:t>
      </w:r>
      <w:r w:rsidR="00EC7EC7" w:rsidRPr="00A62FE8">
        <w:rPr>
          <w:color w:val="373737"/>
          <w:sz w:val="20"/>
          <w:lang w:eastAsia="en-AU"/>
        </w:rPr>
        <w:t xml:space="preserve"> (39 contracts with annual contract quantities of 64 Mt), Qatar (three contracts) and Russia (two contracts) (Figure </w:t>
      </w:r>
      <w:r w:rsidR="00EC7EC7">
        <w:rPr>
          <w:color w:val="373737"/>
          <w:sz w:val="20"/>
          <w:lang w:eastAsia="en-AU"/>
        </w:rPr>
        <w:t>4</w:t>
      </w:r>
      <w:r w:rsidR="00EC7EC7" w:rsidRPr="00A62FE8">
        <w:rPr>
          <w:color w:val="373737"/>
          <w:sz w:val="20"/>
          <w:lang w:eastAsia="en-AU"/>
        </w:rPr>
        <w:t xml:space="preserve">.7). </w:t>
      </w:r>
      <w:r>
        <w:rPr>
          <w:color w:val="373737"/>
          <w:sz w:val="20"/>
          <w:lang w:eastAsia="en-AU"/>
        </w:rPr>
        <w:t xml:space="preserve">US supply has to date been directly largely to </w:t>
      </w:r>
      <w:r w:rsidRPr="00A62FE8">
        <w:rPr>
          <w:color w:val="373737"/>
          <w:sz w:val="20"/>
          <w:lang w:eastAsia="en-AU"/>
        </w:rPr>
        <w:t xml:space="preserve">spot markets for cargo optimisation, </w:t>
      </w:r>
      <w:r>
        <w:rPr>
          <w:color w:val="373737"/>
          <w:sz w:val="20"/>
          <w:lang w:eastAsia="en-AU"/>
        </w:rPr>
        <w:t xml:space="preserve">made possible because </w:t>
      </w:r>
      <w:r w:rsidRPr="00A62FE8">
        <w:rPr>
          <w:color w:val="373737"/>
          <w:sz w:val="20"/>
          <w:lang w:eastAsia="en-AU"/>
        </w:rPr>
        <w:t xml:space="preserve">LNG exports </w:t>
      </w:r>
      <w:r>
        <w:rPr>
          <w:color w:val="373737"/>
          <w:sz w:val="20"/>
          <w:lang w:eastAsia="en-AU"/>
        </w:rPr>
        <w:t>have developed as</w:t>
      </w:r>
      <w:r w:rsidRPr="00A62FE8">
        <w:rPr>
          <w:color w:val="373737"/>
          <w:sz w:val="20"/>
          <w:lang w:eastAsia="en-AU"/>
        </w:rPr>
        <w:t xml:space="preserve"> a by-product of developing additional gas fields to feed the large domestic market.</w:t>
      </w:r>
      <w:r>
        <w:rPr>
          <w:color w:val="373737"/>
          <w:sz w:val="20"/>
          <w:lang w:eastAsia="en-AU"/>
        </w:rPr>
        <w:t xml:space="preserve"> This has had the effect of</w:t>
      </w:r>
      <w:r w:rsidRPr="00A62FE8">
        <w:rPr>
          <w:color w:val="373737"/>
          <w:sz w:val="20"/>
          <w:lang w:eastAsia="en-AU"/>
        </w:rPr>
        <w:t xml:space="preserve"> increasing </w:t>
      </w:r>
      <w:r>
        <w:rPr>
          <w:color w:val="373737"/>
          <w:sz w:val="20"/>
          <w:lang w:eastAsia="en-AU"/>
        </w:rPr>
        <w:t xml:space="preserve">the </w:t>
      </w:r>
      <w:r w:rsidRPr="00A62FE8">
        <w:rPr>
          <w:color w:val="373737"/>
          <w:sz w:val="20"/>
          <w:lang w:eastAsia="en-AU"/>
        </w:rPr>
        <w:t>depth of global spot markets</w:t>
      </w:r>
      <w:r w:rsidRPr="0062674F">
        <w:rPr>
          <w:color w:val="373737"/>
          <w:sz w:val="20"/>
          <w:lang w:eastAsia="en-AU"/>
        </w:rPr>
        <w:t>, one reason the global market was able to pivot quickly to address European gas shortfalls in 2022.</w:t>
      </w:r>
    </w:p>
    <w:p w14:paraId="4861F22A" w14:textId="490E1992" w:rsidR="00EC7EC7" w:rsidRPr="00A62FE8" w:rsidRDefault="00EC7EC7" w:rsidP="00EC7EC7">
      <w:pPr>
        <w:spacing w:after="120"/>
        <w:rPr>
          <w:color w:val="373737"/>
          <w:sz w:val="20"/>
          <w:lang w:eastAsia="en-AU"/>
        </w:rPr>
      </w:pPr>
      <w:r w:rsidRPr="00A62FE8">
        <w:rPr>
          <w:color w:val="373737"/>
          <w:sz w:val="20"/>
          <w:lang w:eastAsia="en-AU"/>
        </w:rPr>
        <w:t xml:space="preserve">Other suppliers are joining the market as well. </w:t>
      </w:r>
      <w:r w:rsidR="00503F0C">
        <w:rPr>
          <w:color w:val="373737"/>
          <w:sz w:val="20"/>
          <w:lang w:eastAsia="en-AU"/>
        </w:rPr>
        <w:t>T</w:t>
      </w:r>
      <w:r w:rsidR="00503F0C" w:rsidRPr="00A62FE8">
        <w:rPr>
          <w:color w:val="373737"/>
          <w:sz w:val="20"/>
          <w:lang w:eastAsia="en-AU"/>
        </w:rPr>
        <w:t>he Kitimat project</w:t>
      </w:r>
      <w:r w:rsidRPr="00A62FE8">
        <w:rPr>
          <w:color w:val="373737"/>
          <w:sz w:val="20"/>
          <w:lang w:eastAsia="en-AU"/>
        </w:rPr>
        <w:t xml:space="preserve">, described by Canadian Prime Minister Justin Trudeau as </w:t>
      </w:r>
      <w:r w:rsidR="00BD393C">
        <w:rPr>
          <w:color w:val="373737"/>
          <w:sz w:val="20"/>
          <w:lang w:eastAsia="en-AU"/>
        </w:rPr>
        <w:t>‘</w:t>
      </w:r>
      <w:r w:rsidRPr="00A62FE8">
        <w:rPr>
          <w:color w:val="373737"/>
          <w:sz w:val="20"/>
          <w:lang w:eastAsia="en-AU"/>
        </w:rPr>
        <w:t>the single largest private-sector investment project in Canadian history</w:t>
      </w:r>
      <w:r w:rsidR="00BD393C">
        <w:rPr>
          <w:color w:val="373737"/>
          <w:sz w:val="20"/>
          <w:lang w:eastAsia="en-AU"/>
        </w:rPr>
        <w:t>’</w:t>
      </w:r>
      <w:r w:rsidRPr="00A62FE8">
        <w:rPr>
          <w:color w:val="373737"/>
          <w:sz w:val="20"/>
          <w:lang w:eastAsia="en-AU"/>
        </w:rPr>
        <w:t xml:space="preserve">, will commence in 2025 and is expected to provide Canada with an annual LNG export capacity of 26 Mt </w:t>
      </w:r>
      <w:r w:rsidR="00503F0C">
        <w:rPr>
          <w:color w:val="373737"/>
          <w:sz w:val="20"/>
          <w:lang w:eastAsia="en-AU"/>
        </w:rPr>
        <w:t>once</w:t>
      </w:r>
      <w:r w:rsidR="00503F0C" w:rsidRPr="00A62FE8">
        <w:rPr>
          <w:color w:val="373737"/>
          <w:sz w:val="20"/>
          <w:lang w:eastAsia="en-AU"/>
        </w:rPr>
        <w:t xml:space="preserve"> </w:t>
      </w:r>
      <w:r w:rsidRPr="00A62FE8">
        <w:rPr>
          <w:color w:val="373737"/>
          <w:sz w:val="20"/>
          <w:lang w:eastAsia="en-AU"/>
        </w:rPr>
        <w:t>its second stage is completed.</w:t>
      </w:r>
      <w:r w:rsidR="000E4092">
        <w:rPr>
          <w:color w:val="373737"/>
          <w:sz w:val="20"/>
          <w:lang w:eastAsia="en-AU"/>
        </w:rPr>
        <w:t xml:space="preserve"> </w:t>
      </w:r>
      <w:r w:rsidR="000E4092" w:rsidRPr="005C5515">
        <w:rPr>
          <w:color w:val="373737"/>
          <w:sz w:val="20"/>
          <w:lang w:eastAsia="en-AU"/>
        </w:rPr>
        <w:t>Mexico is also expected to complete the Saguaro Energía (Mexico Pacific) LNG project by 2025. Both projects will take advantage of being on the west coast of North America, providing ease of access to Asian markets and avoiding bottlenecks through the Panama Canal</w:t>
      </w:r>
      <w:r w:rsidR="000E4092">
        <w:rPr>
          <w:color w:val="373737"/>
          <w:sz w:val="20"/>
          <w:lang w:eastAsia="en-AU"/>
        </w:rPr>
        <w:t>.</w:t>
      </w:r>
    </w:p>
    <w:p w14:paraId="70940C2C" w14:textId="70BCBE2D" w:rsidR="00EC7EC7" w:rsidRPr="00A62FE8" w:rsidRDefault="00EC7EC7" w:rsidP="00EC7EC7">
      <w:pPr>
        <w:spacing w:after="120"/>
        <w:rPr>
          <w:color w:val="373737"/>
          <w:sz w:val="20"/>
          <w:lang w:eastAsia="en-AU"/>
        </w:rPr>
      </w:pPr>
      <w:r w:rsidRPr="00A62FE8">
        <w:rPr>
          <w:color w:val="373737"/>
          <w:sz w:val="20"/>
          <w:lang w:eastAsia="en-AU"/>
        </w:rPr>
        <w:t xml:space="preserve">There is a stark contrast between recent contract behaviour in Australia and these other LNG exporters. Only one Australian contract was signed in 2022, continuing a trend in the past five years in which few new contracts have been entered into. While this reflects exporters operating at close to nameplate capacity, it is also consistent with general low levels of domestic exploration and investment in recent years (which are explored further in </w:t>
      </w:r>
      <w:r w:rsidRPr="00A62FE8">
        <w:rPr>
          <w:i/>
          <w:iCs/>
          <w:color w:val="373737"/>
          <w:sz w:val="20"/>
          <w:lang w:eastAsia="en-AU"/>
        </w:rPr>
        <w:t xml:space="preserve">Chapter </w:t>
      </w:r>
      <w:r>
        <w:rPr>
          <w:i/>
          <w:iCs/>
          <w:color w:val="373737"/>
          <w:sz w:val="20"/>
          <w:lang w:eastAsia="en-AU"/>
        </w:rPr>
        <w:t>5</w:t>
      </w:r>
      <w:r w:rsidRPr="00A62FE8">
        <w:rPr>
          <w:color w:val="373737"/>
          <w:sz w:val="20"/>
          <w:lang w:eastAsia="en-AU"/>
        </w:rPr>
        <w:t>).</w:t>
      </w:r>
    </w:p>
    <w:p w14:paraId="18611A35" w14:textId="7179D710" w:rsidR="000565F6" w:rsidRDefault="000565F6" w:rsidP="00C97679">
      <w:pPr>
        <w:pStyle w:val="Caption"/>
      </w:pPr>
      <w:r>
        <w:t xml:space="preserve">Table </w:t>
      </w:r>
      <w:r w:rsidR="00341B3B">
        <w:fldChar w:fldCharType="begin"/>
      </w:r>
      <w:r w:rsidR="00341B3B">
        <w:instrText xml:space="preserve"> STYLEREF 1 \s </w:instrText>
      </w:r>
      <w:r w:rsidR="00341B3B">
        <w:fldChar w:fldCharType="separate"/>
      </w:r>
      <w:r w:rsidR="00BF178A">
        <w:rPr>
          <w:noProof/>
        </w:rPr>
        <w:t>4</w:t>
      </w:r>
      <w:r w:rsidR="00341B3B">
        <w:rPr>
          <w:noProof/>
        </w:rPr>
        <w:fldChar w:fldCharType="end"/>
      </w:r>
      <w:r>
        <w:t>.</w:t>
      </w:r>
      <w:r w:rsidR="00341B3B">
        <w:fldChar w:fldCharType="begin"/>
      </w:r>
      <w:r w:rsidR="00341B3B">
        <w:instrText xml:space="preserve"> SEQ Table \* ARABIC \s 1 </w:instrText>
      </w:r>
      <w:r w:rsidR="00341B3B">
        <w:fldChar w:fldCharType="separate"/>
      </w:r>
      <w:r w:rsidR="00BF178A">
        <w:rPr>
          <w:noProof/>
        </w:rPr>
        <w:t>2</w:t>
      </w:r>
      <w:r w:rsidR="00341B3B">
        <w:rPr>
          <w:noProof/>
        </w:rPr>
        <w:fldChar w:fldCharType="end"/>
      </w:r>
      <w:r>
        <w:t xml:space="preserve">: </w:t>
      </w:r>
      <w:r w:rsidRPr="009967F6">
        <w:t>Projected LNG market share, percent, 2022 to 2050</w:t>
      </w:r>
    </w:p>
    <w:tbl>
      <w:tblPr>
        <w:tblStyle w:val="OCETable"/>
        <w:tblW w:w="5000" w:type="pct"/>
        <w:tblLayout w:type="fixed"/>
        <w:tblLook w:val="04A0" w:firstRow="1" w:lastRow="0" w:firstColumn="1" w:lastColumn="0" w:noHBand="0" w:noVBand="1"/>
      </w:tblPr>
      <w:tblGrid>
        <w:gridCol w:w="1363"/>
        <w:gridCol w:w="1314"/>
        <w:gridCol w:w="1316"/>
        <w:gridCol w:w="1316"/>
        <w:gridCol w:w="1316"/>
      </w:tblGrid>
      <w:tr w:rsidR="00CA2D31" w:rsidRPr="00A62FE8" w14:paraId="5783B3C3" w14:textId="77777777" w:rsidTr="00CA2D31">
        <w:trPr>
          <w:cnfStyle w:val="100000000000" w:firstRow="1" w:lastRow="0" w:firstColumn="0" w:lastColumn="0" w:oddVBand="0" w:evenVBand="0" w:oddHBand="0" w:evenHBand="0" w:firstRowFirstColumn="0" w:firstRowLastColumn="0" w:lastRowFirstColumn="0" w:lastRowLastColumn="0"/>
          <w:trHeight w:val="380"/>
        </w:trPr>
        <w:tc>
          <w:tcPr>
            <w:tcW w:w="1029" w:type="pct"/>
          </w:tcPr>
          <w:p w14:paraId="7D26BAD7" w14:textId="77777777" w:rsidR="00CA2D31" w:rsidRPr="00A62FE8" w:rsidRDefault="00CA2D31" w:rsidP="00CA2D31">
            <w:pPr>
              <w:keepNext/>
              <w:spacing w:before="120" w:after="120" w:line="240" w:lineRule="auto"/>
              <w:rPr>
                <w:rFonts w:cs="Arial"/>
                <w:b/>
                <w:szCs w:val="18"/>
                <w:lang w:eastAsia="en-AU"/>
              </w:rPr>
            </w:pPr>
          </w:p>
        </w:tc>
        <w:tc>
          <w:tcPr>
            <w:tcW w:w="992" w:type="pct"/>
          </w:tcPr>
          <w:p w14:paraId="51DAB720" w14:textId="77777777" w:rsidR="00CA2D31" w:rsidRPr="00A62FE8" w:rsidRDefault="00CA2D31" w:rsidP="00CA2D31">
            <w:pPr>
              <w:keepNext/>
              <w:spacing w:before="120" w:after="120" w:line="240" w:lineRule="auto"/>
              <w:jc w:val="right"/>
              <w:rPr>
                <w:rFonts w:cs="Arial"/>
                <w:b/>
                <w:szCs w:val="18"/>
                <w:lang w:eastAsia="en-AU"/>
              </w:rPr>
            </w:pPr>
          </w:p>
        </w:tc>
        <w:tc>
          <w:tcPr>
            <w:tcW w:w="993" w:type="pct"/>
          </w:tcPr>
          <w:p w14:paraId="178C3575" w14:textId="4C0EC076" w:rsidR="00CA2D31" w:rsidRPr="00A62FE8" w:rsidRDefault="00CA2D31" w:rsidP="00CA2D31">
            <w:pPr>
              <w:keepNext/>
              <w:spacing w:before="120" w:after="120" w:line="240" w:lineRule="auto"/>
              <w:jc w:val="right"/>
              <w:rPr>
                <w:rFonts w:cs="Arial"/>
                <w:b/>
                <w:szCs w:val="18"/>
                <w:lang w:eastAsia="en-AU"/>
              </w:rPr>
            </w:pPr>
          </w:p>
        </w:tc>
        <w:tc>
          <w:tcPr>
            <w:tcW w:w="993" w:type="pct"/>
          </w:tcPr>
          <w:p w14:paraId="78EB8AEA" w14:textId="77777777" w:rsidR="00CA2D31" w:rsidRPr="00A62FE8" w:rsidRDefault="00CA2D31" w:rsidP="00CA2D31">
            <w:pPr>
              <w:keepNext/>
              <w:spacing w:before="120" w:after="120" w:line="240" w:lineRule="auto"/>
              <w:jc w:val="right"/>
              <w:rPr>
                <w:rFonts w:cs="Arial"/>
                <w:b/>
                <w:szCs w:val="18"/>
                <w:lang w:eastAsia="en-AU"/>
              </w:rPr>
            </w:pPr>
          </w:p>
        </w:tc>
        <w:tc>
          <w:tcPr>
            <w:tcW w:w="993" w:type="pct"/>
          </w:tcPr>
          <w:p w14:paraId="4EB02B8E" w14:textId="77777777" w:rsidR="00CA2D31" w:rsidRPr="00A62FE8" w:rsidRDefault="00CA2D31" w:rsidP="00CA2D31">
            <w:pPr>
              <w:keepNext/>
              <w:spacing w:before="120" w:after="120" w:line="240" w:lineRule="auto"/>
              <w:jc w:val="right"/>
              <w:rPr>
                <w:rFonts w:cs="Arial"/>
                <w:b/>
                <w:szCs w:val="18"/>
                <w:lang w:eastAsia="en-AU"/>
              </w:rPr>
            </w:pPr>
            <w:r w:rsidRPr="00A62FE8">
              <w:rPr>
                <w:rFonts w:cs="Arial"/>
                <w:b/>
                <w:szCs w:val="18"/>
                <w:lang w:eastAsia="en-AU"/>
              </w:rPr>
              <w:t>STEPS</w:t>
            </w:r>
          </w:p>
        </w:tc>
      </w:tr>
      <w:tr w:rsidR="00CA2D31" w:rsidRPr="00A62FE8" w14:paraId="57F79FCA" w14:textId="77777777" w:rsidTr="0000320E">
        <w:trPr>
          <w:cnfStyle w:val="000000100000" w:firstRow="0" w:lastRow="0" w:firstColumn="0" w:lastColumn="0" w:oddVBand="0" w:evenVBand="0" w:oddHBand="1" w:evenHBand="0" w:firstRowFirstColumn="0" w:firstRowLastColumn="0" w:lastRowFirstColumn="0" w:lastRowLastColumn="0"/>
          <w:trHeight w:val="380"/>
        </w:trPr>
        <w:tc>
          <w:tcPr>
            <w:tcW w:w="1029" w:type="pct"/>
            <w:shd w:val="clear" w:color="auto" w:fill="005CAF"/>
          </w:tcPr>
          <w:p w14:paraId="72941D1F" w14:textId="77777777" w:rsidR="00CA2D31" w:rsidRPr="00A62FE8" w:rsidRDefault="00CA2D31" w:rsidP="00CA2D31">
            <w:pPr>
              <w:keepNext/>
              <w:spacing w:before="120" w:after="120" w:line="240" w:lineRule="auto"/>
              <w:rPr>
                <w:rFonts w:cs="Arial"/>
                <w:b/>
                <w:color w:val="FFFFFF"/>
                <w:szCs w:val="18"/>
                <w:lang w:eastAsia="en-AU"/>
              </w:rPr>
            </w:pPr>
            <w:r w:rsidRPr="00A62FE8">
              <w:rPr>
                <w:rFonts w:cs="Arial"/>
                <w:b/>
                <w:color w:val="FFFFFF"/>
                <w:szCs w:val="18"/>
                <w:lang w:eastAsia="en-AU"/>
              </w:rPr>
              <w:t>Country</w:t>
            </w:r>
          </w:p>
        </w:tc>
        <w:tc>
          <w:tcPr>
            <w:tcW w:w="992" w:type="pct"/>
            <w:shd w:val="clear" w:color="auto" w:fill="005CAF"/>
          </w:tcPr>
          <w:p w14:paraId="372E33EF" w14:textId="77777777" w:rsidR="00CA2D31" w:rsidRPr="00A62FE8" w:rsidRDefault="00CA2D31" w:rsidP="00CA2D31">
            <w:pPr>
              <w:keepNext/>
              <w:spacing w:before="120" w:after="120" w:line="240" w:lineRule="auto"/>
              <w:jc w:val="right"/>
              <w:rPr>
                <w:rFonts w:cs="Arial"/>
                <w:b/>
                <w:color w:val="FFFFFF"/>
                <w:szCs w:val="18"/>
                <w:lang w:eastAsia="en-AU"/>
              </w:rPr>
            </w:pPr>
            <w:r w:rsidRPr="00A62FE8">
              <w:rPr>
                <w:rFonts w:cs="Arial"/>
                <w:b/>
                <w:color w:val="FFFFFF"/>
                <w:szCs w:val="18"/>
                <w:lang w:eastAsia="en-AU"/>
              </w:rPr>
              <w:t>2022</w:t>
            </w:r>
          </w:p>
        </w:tc>
        <w:tc>
          <w:tcPr>
            <w:tcW w:w="993" w:type="pct"/>
            <w:shd w:val="clear" w:color="auto" w:fill="005CAF"/>
          </w:tcPr>
          <w:p w14:paraId="028B3377" w14:textId="77777777" w:rsidR="00CA2D31" w:rsidRPr="00A62FE8" w:rsidRDefault="00CA2D31" w:rsidP="00CA2D31">
            <w:pPr>
              <w:keepNext/>
              <w:spacing w:before="120" w:after="120" w:line="240" w:lineRule="auto"/>
              <w:jc w:val="right"/>
              <w:rPr>
                <w:rFonts w:cs="Arial"/>
                <w:b/>
                <w:color w:val="FFFFFF"/>
                <w:szCs w:val="18"/>
                <w:lang w:eastAsia="en-AU"/>
              </w:rPr>
            </w:pPr>
            <w:r w:rsidRPr="00A62FE8">
              <w:rPr>
                <w:rFonts w:cs="Arial"/>
                <w:b/>
                <w:color w:val="FFFFFF"/>
                <w:szCs w:val="18"/>
                <w:lang w:eastAsia="en-AU"/>
              </w:rPr>
              <w:t>2030</w:t>
            </w:r>
          </w:p>
        </w:tc>
        <w:tc>
          <w:tcPr>
            <w:tcW w:w="993" w:type="pct"/>
            <w:shd w:val="clear" w:color="auto" w:fill="005CAF"/>
          </w:tcPr>
          <w:p w14:paraId="31421554" w14:textId="77777777" w:rsidR="00CA2D31" w:rsidRPr="00A62FE8" w:rsidRDefault="00CA2D31" w:rsidP="00CA2D31">
            <w:pPr>
              <w:keepNext/>
              <w:spacing w:before="120" w:after="120" w:line="240" w:lineRule="auto"/>
              <w:jc w:val="right"/>
              <w:rPr>
                <w:rFonts w:cs="Arial"/>
                <w:b/>
                <w:color w:val="FFFFFF"/>
                <w:szCs w:val="18"/>
                <w:lang w:eastAsia="en-AU"/>
              </w:rPr>
            </w:pPr>
            <w:r w:rsidRPr="00A62FE8">
              <w:rPr>
                <w:rFonts w:cs="Arial"/>
                <w:b/>
                <w:color w:val="FFFFFF"/>
                <w:szCs w:val="18"/>
                <w:lang w:eastAsia="en-AU"/>
              </w:rPr>
              <w:t>2040</w:t>
            </w:r>
          </w:p>
        </w:tc>
        <w:tc>
          <w:tcPr>
            <w:tcW w:w="993" w:type="pct"/>
            <w:shd w:val="clear" w:color="auto" w:fill="005CAF"/>
          </w:tcPr>
          <w:p w14:paraId="4F38FABA" w14:textId="77777777" w:rsidR="00CA2D31" w:rsidRPr="00A62FE8" w:rsidRDefault="00CA2D31" w:rsidP="00CA2D31">
            <w:pPr>
              <w:keepNext/>
              <w:spacing w:before="120" w:after="120" w:line="240" w:lineRule="auto"/>
              <w:jc w:val="right"/>
              <w:rPr>
                <w:rFonts w:cs="Arial"/>
                <w:b/>
                <w:color w:val="FFFFFF"/>
                <w:szCs w:val="18"/>
                <w:lang w:eastAsia="en-AU"/>
              </w:rPr>
            </w:pPr>
            <w:r w:rsidRPr="00A62FE8">
              <w:rPr>
                <w:rFonts w:cs="Arial"/>
                <w:b/>
                <w:color w:val="FFFFFF"/>
                <w:szCs w:val="18"/>
                <w:lang w:eastAsia="en-AU"/>
              </w:rPr>
              <w:t>2050</w:t>
            </w:r>
          </w:p>
        </w:tc>
      </w:tr>
      <w:tr w:rsidR="00CA2D31" w:rsidRPr="00A62FE8" w14:paraId="43DE1F83" w14:textId="77777777" w:rsidTr="0000320E">
        <w:trPr>
          <w:cnfStyle w:val="000000010000" w:firstRow="0" w:lastRow="0" w:firstColumn="0" w:lastColumn="0" w:oddVBand="0" w:evenVBand="0" w:oddHBand="0" w:evenHBand="1" w:firstRowFirstColumn="0" w:firstRowLastColumn="0" w:lastRowFirstColumn="0" w:lastRowLastColumn="0"/>
        </w:trPr>
        <w:tc>
          <w:tcPr>
            <w:tcW w:w="1029" w:type="pct"/>
            <w:shd w:val="clear" w:color="auto" w:fill="DEE8F1"/>
          </w:tcPr>
          <w:p w14:paraId="51B9E9A4"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Australia</w:t>
            </w:r>
          </w:p>
        </w:tc>
        <w:tc>
          <w:tcPr>
            <w:tcW w:w="992" w:type="pct"/>
            <w:shd w:val="clear" w:color="auto" w:fill="DEE8F1"/>
          </w:tcPr>
          <w:p w14:paraId="64450993"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19.6</w:t>
            </w:r>
          </w:p>
        </w:tc>
        <w:tc>
          <w:tcPr>
            <w:tcW w:w="993" w:type="pct"/>
            <w:shd w:val="clear" w:color="auto" w:fill="DEE8F1"/>
          </w:tcPr>
          <w:p w14:paraId="478D33CE"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14.6</w:t>
            </w:r>
          </w:p>
        </w:tc>
        <w:tc>
          <w:tcPr>
            <w:tcW w:w="993" w:type="pct"/>
            <w:shd w:val="clear" w:color="auto" w:fill="DEE8F1"/>
          </w:tcPr>
          <w:p w14:paraId="0F0932CA"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13.1</w:t>
            </w:r>
          </w:p>
        </w:tc>
        <w:tc>
          <w:tcPr>
            <w:tcW w:w="993" w:type="pct"/>
            <w:shd w:val="clear" w:color="auto" w:fill="DEE8F1"/>
          </w:tcPr>
          <w:p w14:paraId="6EEE37C3"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11.4</w:t>
            </w:r>
          </w:p>
        </w:tc>
      </w:tr>
      <w:tr w:rsidR="00CA2D31" w:rsidRPr="00A62FE8" w14:paraId="30B6A5E8" w14:textId="77777777" w:rsidTr="0000320E">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FFFFFF" w:themeFill="background1"/>
          </w:tcPr>
          <w:p w14:paraId="3B6BBF2E"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Qatar</w:t>
            </w:r>
          </w:p>
        </w:tc>
        <w:tc>
          <w:tcPr>
            <w:tcW w:w="992" w:type="pct"/>
            <w:shd w:val="clear" w:color="auto" w:fill="FFFFFF" w:themeFill="background1"/>
          </w:tcPr>
          <w:p w14:paraId="2F921257"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20.2</w:t>
            </w:r>
          </w:p>
        </w:tc>
        <w:tc>
          <w:tcPr>
            <w:tcW w:w="993" w:type="pct"/>
            <w:shd w:val="clear" w:color="auto" w:fill="FFFFFF" w:themeFill="background1"/>
          </w:tcPr>
          <w:p w14:paraId="11D66A27"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21.5</w:t>
            </w:r>
          </w:p>
        </w:tc>
        <w:tc>
          <w:tcPr>
            <w:tcW w:w="993" w:type="pct"/>
            <w:shd w:val="clear" w:color="auto" w:fill="FFFFFF" w:themeFill="background1"/>
          </w:tcPr>
          <w:p w14:paraId="69B305C6"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21.1</w:t>
            </w:r>
          </w:p>
        </w:tc>
        <w:tc>
          <w:tcPr>
            <w:tcW w:w="993" w:type="pct"/>
            <w:shd w:val="clear" w:color="auto" w:fill="FFFFFF" w:themeFill="background1"/>
          </w:tcPr>
          <w:p w14:paraId="13F17232"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21.6</w:t>
            </w:r>
          </w:p>
        </w:tc>
      </w:tr>
      <w:tr w:rsidR="00CA2D31" w:rsidRPr="00A62FE8" w14:paraId="366C506C" w14:textId="77777777" w:rsidTr="0000320E">
        <w:trPr>
          <w:cnfStyle w:val="000000010000" w:firstRow="0" w:lastRow="0" w:firstColumn="0" w:lastColumn="0" w:oddVBand="0" w:evenVBand="0" w:oddHBand="0" w:evenHBand="1" w:firstRowFirstColumn="0" w:firstRowLastColumn="0" w:lastRowFirstColumn="0" w:lastRowLastColumn="0"/>
        </w:trPr>
        <w:tc>
          <w:tcPr>
            <w:tcW w:w="1029" w:type="pct"/>
            <w:shd w:val="clear" w:color="auto" w:fill="DEE8F1"/>
          </w:tcPr>
          <w:p w14:paraId="6A078288"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USA</w:t>
            </w:r>
          </w:p>
        </w:tc>
        <w:tc>
          <w:tcPr>
            <w:tcW w:w="992" w:type="pct"/>
            <w:shd w:val="clear" w:color="auto" w:fill="DEE8F1"/>
          </w:tcPr>
          <w:p w14:paraId="3D277FA9"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19.5</w:t>
            </w:r>
          </w:p>
        </w:tc>
        <w:tc>
          <w:tcPr>
            <w:tcW w:w="993" w:type="pct"/>
            <w:shd w:val="clear" w:color="auto" w:fill="DEE8F1"/>
          </w:tcPr>
          <w:p w14:paraId="2F595195"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28</w:t>
            </w:r>
          </w:p>
        </w:tc>
        <w:tc>
          <w:tcPr>
            <w:tcW w:w="993" w:type="pct"/>
            <w:shd w:val="clear" w:color="auto" w:fill="DEE8F1"/>
          </w:tcPr>
          <w:p w14:paraId="109B9D25"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31</w:t>
            </w:r>
          </w:p>
        </w:tc>
        <w:tc>
          <w:tcPr>
            <w:tcW w:w="993" w:type="pct"/>
            <w:shd w:val="clear" w:color="auto" w:fill="DEE8F1"/>
          </w:tcPr>
          <w:p w14:paraId="3CE84A04"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31.7</w:t>
            </w:r>
          </w:p>
        </w:tc>
      </w:tr>
      <w:tr w:rsidR="00CA2D31" w:rsidRPr="00A62FE8" w14:paraId="55668287" w14:textId="77777777" w:rsidTr="0000320E">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FFFFFF" w:themeFill="background1"/>
          </w:tcPr>
          <w:p w14:paraId="74561852"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Other</w:t>
            </w:r>
          </w:p>
        </w:tc>
        <w:tc>
          <w:tcPr>
            <w:tcW w:w="992" w:type="pct"/>
            <w:shd w:val="clear" w:color="auto" w:fill="FFFFFF" w:themeFill="background1"/>
          </w:tcPr>
          <w:p w14:paraId="25F000DF"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40.6</w:t>
            </w:r>
          </w:p>
        </w:tc>
        <w:tc>
          <w:tcPr>
            <w:tcW w:w="993" w:type="pct"/>
            <w:shd w:val="clear" w:color="auto" w:fill="FFFFFF" w:themeFill="background1"/>
          </w:tcPr>
          <w:p w14:paraId="035E20E4"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36</w:t>
            </w:r>
          </w:p>
        </w:tc>
        <w:tc>
          <w:tcPr>
            <w:tcW w:w="993" w:type="pct"/>
            <w:shd w:val="clear" w:color="auto" w:fill="FFFFFF" w:themeFill="background1"/>
          </w:tcPr>
          <w:p w14:paraId="4D206EF1"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34.8</w:t>
            </w:r>
          </w:p>
        </w:tc>
        <w:tc>
          <w:tcPr>
            <w:tcW w:w="993" w:type="pct"/>
            <w:shd w:val="clear" w:color="auto" w:fill="FFFFFF" w:themeFill="background1"/>
          </w:tcPr>
          <w:p w14:paraId="704D0284"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35.3</w:t>
            </w:r>
          </w:p>
        </w:tc>
      </w:tr>
      <w:tr w:rsidR="00CA2D31" w:rsidRPr="00A62FE8" w14:paraId="5186DE33" w14:textId="77777777" w:rsidTr="00CA2D31">
        <w:trPr>
          <w:cnfStyle w:val="000000010000" w:firstRow="0" w:lastRow="0" w:firstColumn="0" w:lastColumn="0" w:oddVBand="0" w:evenVBand="0" w:oddHBand="0" w:evenHBand="1" w:firstRowFirstColumn="0" w:firstRowLastColumn="0" w:lastRowFirstColumn="0" w:lastRowLastColumn="0"/>
          <w:trHeight w:val="380"/>
        </w:trPr>
        <w:tc>
          <w:tcPr>
            <w:tcW w:w="1029" w:type="pct"/>
            <w:shd w:val="clear" w:color="auto" w:fill="005CAF"/>
          </w:tcPr>
          <w:p w14:paraId="58AA698E" w14:textId="77777777" w:rsidR="00CA2D31" w:rsidRPr="00A62FE8" w:rsidRDefault="00CA2D31" w:rsidP="00CA2D31">
            <w:pPr>
              <w:keepNext/>
              <w:spacing w:before="120" w:after="120" w:line="240" w:lineRule="auto"/>
              <w:rPr>
                <w:rFonts w:cs="Arial"/>
                <w:b/>
                <w:color w:val="FFFFFF"/>
                <w:szCs w:val="18"/>
                <w:lang w:eastAsia="en-AU"/>
              </w:rPr>
            </w:pPr>
          </w:p>
        </w:tc>
        <w:tc>
          <w:tcPr>
            <w:tcW w:w="992" w:type="pct"/>
            <w:shd w:val="clear" w:color="auto" w:fill="005CAF"/>
          </w:tcPr>
          <w:p w14:paraId="1CA057BC" w14:textId="77777777" w:rsidR="00CA2D31" w:rsidRPr="00A62FE8" w:rsidRDefault="00CA2D31" w:rsidP="00CA2D31">
            <w:pPr>
              <w:keepNext/>
              <w:spacing w:before="120" w:after="120" w:line="240" w:lineRule="auto"/>
              <w:jc w:val="right"/>
              <w:rPr>
                <w:rFonts w:cs="Arial"/>
                <w:b/>
                <w:color w:val="FFFFFF"/>
                <w:szCs w:val="18"/>
                <w:lang w:eastAsia="en-AU"/>
              </w:rPr>
            </w:pPr>
          </w:p>
        </w:tc>
        <w:tc>
          <w:tcPr>
            <w:tcW w:w="993" w:type="pct"/>
            <w:shd w:val="clear" w:color="auto" w:fill="005CAF"/>
          </w:tcPr>
          <w:p w14:paraId="6E867284" w14:textId="056AE7D6" w:rsidR="00CA2D31" w:rsidRPr="00A62FE8" w:rsidRDefault="00CA2D31" w:rsidP="00CA2D31">
            <w:pPr>
              <w:keepNext/>
              <w:spacing w:before="120" w:after="120" w:line="240" w:lineRule="auto"/>
              <w:jc w:val="right"/>
              <w:rPr>
                <w:rFonts w:cs="Arial"/>
                <w:b/>
                <w:color w:val="FFFFFF"/>
                <w:szCs w:val="18"/>
                <w:lang w:eastAsia="en-AU"/>
              </w:rPr>
            </w:pPr>
          </w:p>
        </w:tc>
        <w:tc>
          <w:tcPr>
            <w:tcW w:w="993" w:type="pct"/>
            <w:shd w:val="clear" w:color="auto" w:fill="005CAF"/>
          </w:tcPr>
          <w:p w14:paraId="36E426C4" w14:textId="77777777" w:rsidR="00CA2D31" w:rsidRPr="00A62FE8" w:rsidRDefault="00CA2D31" w:rsidP="00CA2D31">
            <w:pPr>
              <w:keepNext/>
              <w:spacing w:before="120" w:after="120" w:line="240" w:lineRule="auto"/>
              <w:jc w:val="right"/>
              <w:rPr>
                <w:rFonts w:cs="Arial"/>
                <w:b/>
                <w:color w:val="FFFFFF"/>
                <w:szCs w:val="18"/>
                <w:lang w:eastAsia="en-AU"/>
              </w:rPr>
            </w:pPr>
          </w:p>
        </w:tc>
        <w:tc>
          <w:tcPr>
            <w:tcW w:w="993" w:type="pct"/>
            <w:shd w:val="clear" w:color="auto" w:fill="005CAF"/>
          </w:tcPr>
          <w:p w14:paraId="4E529765" w14:textId="77777777" w:rsidR="00CA2D31" w:rsidRPr="00A62FE8" w:rsidRDefault="00CA2D31" w:rsidP="00CA2D31">
            <w:pPr>
              <w:keepNext/>
              <w:spacing w:before="120" w:after="120" w:line="240" w:lineRule="auto"/>
              <w:jc w:val="right"/>
              <w:rPr>
                <w:rFonts w:cs="Arial"/>
                <w:b/>
                <w:color w:val="FFFFFF"/>
                <w:szCs w:val="18"/>
                <w:lang w:eastAsia="en-AU"/>
              </w:rPr>
            </w:pPr>
            <w:r w:rsidRPr="00A62FE8">
              <w:rPr>
                <w:rFonts w:cs="Arial"/>
                <w:b/>
                <w:color w:val="FFFFFF"/>
                <w:szCs w:val="18"/>
                <w:lang w:eastAsia="en-AU"/>
              </w:rPr>
              <w:t>APS</w:t>
            </w:r>
          </w:p>
        </w:tc>
      </w:tr>
      <w:tr w:rsidR="00CA2D31" w:rsidRPr="00A62FE8" w14:paraId="54FB6246" w14:textId="77777777" w:rsidTr="0000320E">
        <w:trPr>
          <w:cnfStyle w:val="000000100000" w:firstRow="0" w:lastRow="0" w:firstColumn="0" w:lastColumn="0" w:oddVBand="0" w:evenVBand="0" w:oddHBand="1" w:evenHBand="0" w:firstRowFirstColumn="0" w:firstRowLastColumn="0" w:lastRowFirstColumn="0" w:lastRowLastColumn="0"/>
        </w:trPr>
        <w:tc>
          <w:tcPr>
            <w:tcW w:w="1029" w:type="pct"/>
          </w:tcPr>
          <w:p w14:paraId="3E072292"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Australia</w:t>
            </w:r>
          </w:p>
        </w:tc>
        <w:tc>
          <w:tcPr>
            <w:tcW w:w="992" w:type="pct"/>
          </w:tcPr>
          <w:p w14:paraId="32C5FEED"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19.6</w:t>
            </w:r>
          </w:p>
        </w:tc>
        <w:tc>
          <w:tcPr>
            <w:tcW w:w="993" w:type="pct"/>
          </w:tcPr>
          <w:p w14:paraId="70D1934D"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13.8</w:t>
            </w:r>
          </w:p>
        </w:tc>
        <w:tc>
          <w:tcPr>
            <w:tcW w:w="993" w:type="pct"/>
          </w:tcPr>
          <w:p w14:paraId="330CDC92"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7.7</w:t>
            </w:r>
          </w:p>
        </w:tc>
        <w:tc>
          <w:tcPr>
            <w:tcW w:w="993" w:type="pct"/>
          </w:tcPr>
          <w:p w14:paraId="0F76A096"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6.1</w:t>
            </w:r>
          </w:p>
        </w:tc>
      </w:tr>
      <w:tr w:rsidR="00CA2D31" w:rsidRPr="00A62FE8" w14:paraId="14868F53" w14:textId="77777777" w:rsidTr="0000320E">
        <w:trPr>
          <w:cnfStyle w:val="000000010000" w:firstRow="0" w:lastRow="0" w:firstColumn="0" w:lastColumn="0" w:oddVBand="0" w:evenVBand="0" w:oddHBand="0" w:evenHBand="1" w:firstRowFirstColumn="0" w:firstRowLastColumn="0" w:lastRowFirstColumn="0" w:lastRowLastColumn="0"/>
        </w:trPr>
        <w:tc>
          <w:tcPr>
            <w:tcW w:w="1029" w:type="pct"/>
          </w:tcPr>
          <w:p w14:paraId="4AF5F1B8"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Qatar</w:t>
            </w:r>
          </w:p>
        </w:tc>
        <w:tc>
          <w:tcPr>
            <w:tcW w:w="992" w:type="pct"/>
          </w:tcPr>
          <w:p w14:paraId="5846F4F6"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20.2</w:t>
            </w:r>
          </w:p>
        </w:tc>
        <w:tc>
          <w:tcPr>
            <w:tcW w:w="993" w:type="pct"/>
          </w:tcPr>
          <w:p w14:paraId="35306865"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24.6</w:t>
            </w:r>
          </w:p>
        </w:tc>
        <w:tc>
          <w:tcPr>
            <w:tcW w:w="993" w:type="pct"/>
          </w:tcPr>
          <w:p w14:paraId="1D21BB2B"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30.4</w:t>
            </w:r>
          </w:p>
        </w:tc>
        <w:tc>
          <w:tcPr>
            <w:tcW w:w="993" w:type="pct"/>
          </w:tcPr>
          <w:p w14:paraId="3216173F"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38.2</w:t>
            </w:r>
          </w:p>
        </w:tc>
      </w:tr>
      <w:tr w:rsidR="00CA2D31" w:rsidRPr="00A62FE8" w14:paraId="2405E93B" w14:textId="77777777" w:rsidTr="0000320E">
        <w:trPr>
          <w:cnfStyle w:val="000000100000" w:firstRow="0" w:lastRow="0" w:firstColumn="0" w:lastColumn="0" w:oddVBand="0" w:evenVBand="0" w:oddHBand="1" w:evenHBand="0" w:firstRowFirstColumn="0" w:firstRowLastColumn="0" w:lastRowFirstColumn="0" w:lastRowLastColumn="0"/>
        </w:trPr>
        <w:tc>
          <w:tcPr>
            <w:tcW w:w="1029" w:type="pct"/>
          </w:tcPr>
          <w:p w14:paraId="093528EA"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USA</w:t>
            </w:r>
          </w:p>
        </w:tc>
        <w:tc>
          <w:tcPr>
            <w:tcW w:w="992" w:type="pct"/>
          </w:tcPr>
          <w:p w14:paraId="576F509A"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19.5</w:t>
            </w:r>
          </w:p>
        </w:tc>
        <w:tc>
          <w:tcPr>
            <w:tcW w:w="993" w:type="pct"/>
          </w:tcPr>
          <w:p w14:paraId="64741B9B"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28.6</w:t>
            </w:r>
          </w:p>
        </w:tc>
        <w:tc>
          <w:tcPr>
            <w:tcW w:w="993" w:type="pct"/>
          </w:tcPr>
          <w:p w14:paraId="5553E638"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29.8</w:t>
            </w:r>
          </w:p>
        </w:tc>
        <w:tc>
          <w:tcPr>
            <w:tcW w:w="993" w:type="pct"/>
          </w:tcPr>
          <w:p w14:paraId="0EB3D52D"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35.3</w:t>
            </w:r>
          </w:p>
        </w:tc>
      </w:tr>
      <w:tr w:rsidR="00CA2D31" w:rsidRPr="00A62FE8" w14:paraId="588B7D08" w14:textId="77777777" w:rsidTr="0000320E">
        <w:trPr>
          <w:cnfStyle w:val="000000010000" w:firstRow="0" w:lastRow="0" w:firstColumn="0" w:lastColumn="0" w:oddVBand="0" w:evenVBand="0" w:oddHBand="0" w:evenHBand="1" w:firstRowFirstColumn="0" w:firstRowLastColumn="0" w:lastRowFirstColumn="0" w:lastRowLastColumn="0"/>
        </w:trPr>
        <w:tc>
          <w:tcPr>
            <w:tcW w:w="1029" w:type="pct"/>
          </w:tcPr>
          <w:p w14:paraId="11D133A9"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Other</w:t>
            </w:r>
          </w:p>
        </w:tc>
        <w:tc>
          <w:tcPr>
            <w:tcW w:w="992" w:type="pct"/>
          </w:tcPr>
          <w:p w14:paraId="21B788DA"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40.6</w:t>
            </w:r>
          </w:p>
        </w:tc>
        <w:tc>
          <w:tcPr>
            <w:tcW w:w="993" w:type="pct"/>
          </w:tcPr>
          <w:p w14:paraId="1909DE5A"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33</w:t>
            </w:r>
          </w:p>
        </w:tc>
        <w:tc>
          <w:tcPr>
            <w:tcW w:w="993" w:type="pct"/>
          </w:tcPr>
          <w:p w14:paraId="2AA3DD4A"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32.1</w:t>
            </w:r>
          </w:p>
        </w:tc>
        <w:tc>
          <w:tcPr>
            <w:tcW w:w="993" w:type="pct"/>
          </w:tcPr>
          <w:p w14:paraId="6B6D3B5E"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20.4</w:t>
            </w:r>
          </w:p>
        </w:tc>
      </w:tr>
      <w:tr w:rsidR="00CA2D31" w:rsidRPr="00A62FE8" w14:paraId="756BC0F4" w14:textId="77777777" w:rsidTr="00CA2D31">
        <w:trPr>
          <w:cnfStyle w:val="000000100000" w:firstRow="0" w:lastRow="0" w:firstColumn="0" w:lastColumn="0" w:oddVBand="0" w:evenVBand="0" w:oddHBand="1" w:evenHBand="0" w:firstRowFirstColumn="0" w:firstRowLastColumn="0" w:lastRowFirstColumn="0" w:lastRowLastColumn="0"/>
          <w:trHeight w:val="380"/>
        </w:trPr>
        <w:tc>
          <w:tcPr>
            <w:tcW w:w="1029" w:type="pct"/>
            <w:shd w:val="clear" w:color="auto" w:fill="005CAF"/>
          </w:tcPr>
          <w:p w14:paraId="7A488DB8" w14:textId="77777777" w:rsidR="00CA2D31" w:rsidRPr="00A62FE8" w:rsidRDefault="00CA2D31" w:rsidP="00CA2D31">
            <w:pPr>
              <w:keepNext/>
              <w:spacing w:before="120" w:after="120" w:line="240" w:lineRule="auto"/>
              <w:rPr>
                <w:rFonts w:cs="Arial"/>
                <w:b/>
                <w:color w:val="FFFFFF"/>
                <w:szCs w:val="18"/>
                <w:lang w:eastAsia="en-AU"/>
              </w:rPr>
            </w:pPr>
          </w:p>
        </w:tc>
        <w:tc>
          <w:tcPr>
            <w:tcW w:w="992" w:type="pct"/>
            <w:shd w:val="clear" w:color="auto" w:fill="005CAF"/>
          </w:tcPr>
          <w:p w14:paraId="4C71C8AD" w14:textId="77777777" w:rsidR="00CA2D31" w:rsidRPr="00A62FE8" w:rsidRDefault="00CA2D31" w:rsidP="00CA2D31">
            <w:pPr>
              <w:keepNext/>
              <w:spacing w:before="120" w:after="120" w:line="240" w:lineRule="auto"/>
              <w:jc w:val="right"/>
              <w:rPr>
                <w:rFonts w:cs="Arial"/>
                <w:b/>
                <w:color w:val="FFFFFF"/>
                <w:szCs w:val="18"/>
                <w:lang w:eastAsia="en-AU"/>
              </w:rPr>
            </w:pPr>
          </w:p>
        </w:tc>
        <w:tc>
          <w:tcPr>
            <w:tcW w:w="993" w:type="pct"/>
            <w:shd w:val="clear" w:color="auto" w:fill="005CAF"/>
          </w:tcPr>
          <w:p w14:paraId="2C8D81EA" w14:textId="22C39E78" w:rsidR="00CA2D31" w:rsidRPr="00A62FE8" w:rsidRDefault="00CA2D31" w:rsidP="00CA2D31">
            <w:pPr>
              <w:keepNext/>
              <w:spacing w:before="120" w:after="120" w:line="240" w:lineRule="auto"/>
              <w:jc w:val="right"/>
              <w:rPr>
                <w:rFonts w:cs="Arial"/>
                <w:b/>
                <w:color w:val="FFFFFF"/>
                <w:szCs w:val="18"/>
                <w:lang w:eastAsia="en-AU"/>
              </w:rPr>
            </w:pPr>
          </w:p>
        </w:tc>
        <w:tc>
          <w:tcPr>
            <w:tcW w:w="993" w:type="pct"/>
            <w:shd w:val="clear" w:color="auto" w:fill="005CAF"/>
          </w:tcPr>
          <w:p w14:paraId="4BBDC8A2" w14:textId="77777777" w:rsidR="00CA2D31" w:rsidRPr="00A62FE8" w:rsidRDefault="00CA2D31" w:rsidP="00CA2D31">
            <w:pPr>
              <w:keepNext/>
              <w:spacing w:before="120" w:after="120" w:line="240" w:lineRule="auto"/>
              <w:jc w:val="right"/>
              <w:rPr>
                <w:rFonts w:cs="Arial"/>
                <w:b/>
                <w:color w:val="FFFFFF"/>
                <w:szCs w:val="18"/>
                <w:lang w:eastAsia="en-AU"/>
              </w:rPr>
            </w:pPr>
          </w:p>
        </w:tc>
        <w:tc>
          <w:tcPr>
            <w:tcW w:w="993" w:type="pct"/>
            <w:shd w:val="clear" w:color="auto" w:fill="005CAF"/>
          </w:tcPr>
          <w:p w14:paraId="442C6000" w14:textId="77777777" w:rsidR="00CA2D31" w:rsidRPr="00A62FE8" w:rsidRDefault="00CA2D31" w:rsidP="00CA2D31">
            <w:pPr>
              <w:keepNext/>
              <w:spacing w:before="120" w:after="120" w:line="240" w:lineRule="auto"/>
              <w:jc w:val="right"/>
              <w:rPr>
                <w:rFonts w:cs="Arial"/>
                <w:b/>
                <w:color w:val="FFFFFF"/>
                <w:szCs w:val="18"/>
                <w:lang w:eastAsia="en-AU"/>
              </w:rPr>
            </w:pPr>
            <w:r w:rsidRPr="00A62FE8">
              <w:rPr>
                <w:rFonts w:cs="Arial"/>
                <w:b/>
                <w:color w:val="FFFFFF"/>
                <w:szCs w:val="18"/>
                <w:lang w:eastAsia="en-AU"/>
              </w:rPr>
              <w:t>NZE</w:t>
            </w:r>
          </w:p>
        </w:tc>
      </w:tr>
      <w:tr w:rsidR="00CA2D31" w:rsidRPr="00A62FE8" w14:paraId="3E5E0449" w14:textId="77777777" w:rsidTr="0000320E">
        <w:trPr>
          <w:cnfStyle w:val="000000010000" w:firstRow="0" w:lastRow="0" w:firstColumn="0" w:lastColumn="0" w:oddVBand="0" w:evenVBand="0" w:oddHBand="0" w:evenHBand="1" w:firstRowFirstColumn="0" w:firstRowLastColumn="0" w:lastRowFirstColumn="0" w:lastRowLastColumn="0"/>
        </w:trPr>
        <w:tc>
          <w:tcPr>
            <w:tcW w:w="1029" w:type="pct"/>
            <w:shd w:val="clear" w:color="auto" w:fill="DEE8F1"/>
          </w:tcPr>
          <w:p w14:paraId="41D6527E"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Australia</w:t>
            </w:r>
          </w:p>
        </w:tc>
        <w:tc>
          <w:tcPr>
            <w:tcW w:w="992" w:type="pct"/>
            <w:shd w:val="clear" w:color="auto" w:fill="DEE8F1"/>
          </w:tcPr>
          <w:p w14:paraId="56277D5F"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19.6</w:t>
            </w:r>
          </w:p>
        </w:tc>
        <w:tc>
          <w:tcPr>
            <w:tcW w:w="993" w:type="pct"/>
            <w:shd w:val="clear" w:color="auto" w:fill="DEE8F1"/>
          </w:tcPr>
          <w:p w14:paraId="440177EF"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15.5</w:t>
            </w:r>
          </w:p>
        </w:tc>
        <w:tc>
          <w:tcPr>
            <w:tcW w:w="993" w:type="pct"/>
            <w:shd w:val="clear" w:color="auto" w:fill="DEE8F1"/>
          </w:tcPr>
          <w:p w14:paraId="0762DE2D"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5.4</w:t>
            </w:r>
          </w:p>
        </w:tc>
        <w:tc>
          <w:tcPr>
            <w:tcW w:w="993" w:type="pct"/>
            <w:shd w:val="clear" w:color="auto" w:fill="DEE8F1"/>
          </w:tcPr>
          <w:p w14:paraId="76F2095C"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9.4</w:t>
            </w:r>
          </w:p>
        </w:tc>
      </w:tr>
      <w:tr w:rsidR="00CA2D31" w:rsidRPr="00A62FE8" w14:paraId="373B238A" w14:textId="77777777" w:rsidTr="0000320E">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FFFFFF" w:themeFill="background1"/>
          </w:tcPr>
          <w:p w14:paraId="37D733B8"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Qatar</w:t>
            </w:r>
          </w:p>
        </w:tc>
        <w:tc>
          <w:tcPr>
            <w:tcW w:w="992" w:type="pct"/>
            <w:shd w:val="clear" w:color="auto" w:fill="FFFFFF" w:themeFill="background1"/>
          </w:tcPr>
          <w:p w14:paraId="55E7F375"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20.2</w:t>
            </w:r>
          </w:p>
        </w:tc>
        <w:tc>
          <w:tcPr>
            <w:tcW w:w="993" w:type="pct"/>
            <w:shd w:val="clear" w:color="auto" w:fill="FFFFFF" w:themeFill="background1"/>
          </w:tcPr>
          <w:p w14:paraId="3E73B2A2"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19</w:t>
            </w:r>
          </w:p>
        </w:tc>
        <w:tc>
          <w:tcPr>
            <w:tcW w:w="993" w:type="pct"/>
            <w:shd w:val="clear" w:color="auto" w:fill="FFFFFF" w:themeFill="background1"/>
          </w:tcPr>
          <w:p w14:paraId="7798D69A"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17.1</w:t>
            </w:r>
          </w:p>
        </w:tc>
        <w:tc>
          <w:tcPr>
            <w:tcW w:w="993" w:type="pct"/>
            <w:shd w:val="clear" w:color="auto" w:fill="FFFFFF" w:themeFill="background1"/>
          </w:tcPr>
          <w:p w14:paraId="3D6DC569"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44.4</w:t>
            </w:r>
          </w:p>
        </w:tc>
      </w:tr>
      <w:tr w:rsidR="00CA2D31" w:rsidRPr="00A62FE8" w14:paraId="16CA1FB2" w14:textId="77777777" w:rsidTr="0000320E">
        <w:trPr>
          <w:cnfStyle w:val="000000010000" w:firstRow="0" w:lastRow="0" w:firstColumn="0" w:lastColumn="0" w:oddVBand="0" w:evenVBand="0" w:oddHBand="0" w:evenHBand="1" w:firstRowFirstColumn="0" w:firstRowLastColumn="0" w:lastRowFirstColumn="0" w:lastRowLastColumn="0"/>
        </w:trPr>
        <w:tc>
          <w:tcPr>
            <w:tcW w:w="1029" w:type="pct"/>
            <w:shd w:val="clear" w:color="auto" w:fill="DEE8F1"/>
          </w:tcPr>
          <w:p w14:paraId="72CF292A"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USA</w:t>
            </w:r>
          </w:p>
        </w:tc>
        <w:tc>
          <w:tcPr>
            <w:tcW w:w="992" w:type="pct"/>
            <w:shd w:val="clear" w:color="auto" w:fill="DEE8F1"/>
          </w:tcPr>
          <w:p w14:paraId="106B2DC4"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19.5</w:t>
            </w:r>
          </w:p>
        </w:tc>
        <w:tc>
          <w:tcPr>
            <w:tcW w:w="993" w:type="pct"/>
            <w:shd w:val="clear" w:color="auto" w:fill="DEE8F1"/>
          </w:tcPr>
          <w:p w14:paraId="7AC77544"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35.2</w:t>
            </w:r>
          </w:p>
        </w:tc>
        <w:tc>
          <w:tcPr>
            <w:tcW w:w="993" w:type="pct"/>
            <w:shd w:val="clear" w:color="auto" w:fill="DEE8F1"/>
          </w:tcPr>
          <w:p w14:paraId="50EAB354"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44.5</w:t>
            </w:r>
          </w:p>
        </w:tc>
        <w:tc>
          <w:tcPr>
            <w:tcW w:w="993" w:type="pct"/>
            <w:shd w:val="clear" w:color="auto" w:fill="DEE8F1"/>
          </w:tcPr>
          <w:p w14:paraId="56EE80A5"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20.7</w:t>
            </w:r>
          </w:p>
        </w:tc>
      </w:tr>
      <w:tr w:rsidR="00CA2D31" w:rsidRPr="00A62FE8" w14:paraId="2E6CCF56" w14:textId="77777777" w:rsidTr="0000320E">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FFFFFF" w:themeFill="background1"/>
          </w:tcPr>
          <w:p w14:paraId="632EBCC3" w14:textId="77777777" w:rsidR="00CA2D31" w:rsidRPr="00A62FE8" w:rsidRDefault="00CA2D31" w:rsidP="00CA2D31">
            <w:pPr>
              <w:keepNext/>
              <w:keepLines/>
              <w:spacing w:before="60" w:after="60" w:line="240" w:lineRule="auto"/>
              <w:rPr>
                <w:rFonts w:cs="Arial"/>
                <w:szCs w:val="18"/>
                <w:lang w:eastAsia="en-AU"/>
              </w:rPr>
            </w:pPr>
            <w:r w:rsidRPr="00A62FE8">
              <w:rPr>
                <w:rFonts w:cs="Arial"/>
                <w:szCs w:val="18"/>
                <w:lang w:eastAsia="en-AU"/>
              </w:rPr>
              <w:t>Other</w:t>
            </w:r>
          </w:p>
        </w:tc>
        <w:tc>
          <w:tcPr>
            <w:tcW w:w="992" w:type="pct"/>
            <w:shd w:val="clear" w:color="auto" w:fill="FFFFFF" w:themeFill="background1"/>
          </w:tcPr>
          <w:p w14:paraId="130C8186"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40.6</w:t>
            </w:r>
          </w:p>
        </w:tc>
        <w:tc>
          <w:tcPr>
            <w:tcW w:w="993" w:type="pct"/>
            <w:shd w:val="clear" w:color="auto" w:fill="FFFFFF" w:themeFill="background1"/>
          </w:tcPr>
          <w:p w14:paraId="61D1AEBF"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30.3</w:t>
            </w:r>
          </w:p>
        </w:tc>
        <w:tc>
          <w:tcPr>
            <w:tcW w:w="993" w:type="pct"/>
            <w:shd w:val="clear" w:color="auto" w:fill="FFFFFF" w:themeFill="background1"/>
          </w:tcPr>
          <w:p w14:paraId="4429B0A6"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33</w:t>
            </w:r>
          </w:p>
        </w:tc>
        <w:tc>
          <w:tcPr>
            <w:tcW w:w="993" w:type="pct"/>
            <w:shd w:val="clear" w:color="auto" w:fill="FFFFFF" w:themeFill="background1"/>
          </w:tcPr>
          <w:p w14:paraId="0E6AB34A" w14:textId="77777777" w:rsidR="00CA2D31" w:rsidRPr="00A62FE8" w:rsidRDefault="00CA2D31" w:rsidP="00CA2D31">
            <w:pPr>
              <w:keepNext/>
              <w:keepLines/>
              <w:spacing w:before="60" w:after="60" w:line="240" w:lineRule="auto"/>
              <w:jc w:val="right"/>
              <w:rPr>
                <w:rFonts w:cs="Arial"/>
                <w:szCs w:val="18"/>
                <w:lang w:eastAsia="en-AU"/>
              </w:rPr>
            </w:pPr>
            <w:r w:rsidRPr="00A62FE8">
              <w:rPr>
                <w:rFonts w:cs="Arial"/>
                <w:szCs w:val="18"/>
                <w:lang w:eastAsia="en-AU"/>
              </w:rPr>
              <w:t>25.4</w:t>
            </w:r>
          </w:p>
        </w:tc>
      </w:tr>
    </w:tbl>
    <w:p w14:paraId="1F5AEB96" w14:textId="77777777" w:rsidR="00EC7EC7" w:rsidRPr="00A62FE8" w:rsidRDefault="00EC7EC7" w:rsidP="000275CF">
      <w:pPr>
        <w:pStyle w:val="Source"/>
      </w:pPr>
      <w:r w:rsidRPr="00A62FE8">
        <w:t>Notes: NZE scenario assumes a significant expansion in near-term gas demand as part of accelerated transition towards renewables. As a result, relative share of Qatari (and Australian) LNG declines; notwithstanding substantial Qatari investment in supply. There is also an assumed rapid decline in USA gas production after 2040 in the NZE scenario.</w:t>
      </w:r>
    </w:p>
    <w:p w14:paraId="7E0CAF0F" w14:textId="016026A1" w:rsidR="00EC7EC7" w:rsidRPr="00A62FE8" w:rsidRDefault="00EC7EC7" w:rsidP="000275CF">
      <w:pPr>
        <w:pStyle w:val="Source"/>
        <w:rPr>
          <w:lang w:eastAsia="en-AU"/>
        </w:rPr>
      </w:pPr>
      <w:r w:rsidRPr="00A62FE8">
        <w:t xml:space="preserve">Source: </w:t>
      </w:r>
      <w:r w:rsidRPr="00A62FE8">
        <w:rPr>
          <w:lang w:eastAsia="en-AU"/>
        </w:rPr>
        <w:t xml:space="preserve">NexantECA (2023) </w:t>
      </w:r>
    </w:p>
    <w:p w14:paraId="47A4BCEC" w14:textId="5192E7CA" w:rsidR="00EC7EC7" w:rsidRPr="00A62FE8" w:rsidRDefault="00EC7EC7" w:rsidP="00C97679">
      <w:pPr>
        <w:pStyle w:val="Caption"/>
        <w:rPr>
          <w:lang w:val="en"/>
        </w:rPr>
      </w:pPr>
      <w:r w:rsidRPr="00A62FE8">
        <w:rPr>
          <w:lang w:val="en"/>
        </w:rPr>
        <w:t>Figu</w:t>
      </w:r>
      <w:r>
        <w:rPr>
          <w:lang w:val="en"/>
        </w:rPr>
        <w:t xml:space="preserve">re </w:t>
      </w:r>
      <w:r w:rsidR="006877E8">
        <w:rPr>
          <w:noProof/>
          <w:lang w:val="en"/>
        </w:rPr>
        <w:fldChar w:fldCharType="begin"/>
      </w:r>
      <w:r w:rsidR="006877E8">
        <w:rPr>
          <w:noProof/>
          <w:lang w:val="en"/>
        </w:rPr>
        <w:instrText xml:space="preserve"> STYLEREF 1 \s </w:instrText>
      </w:r>
      <w:r w:rsidR="006877E8">
        <w:rPr>
          <w:noProof/>
          <w:lang w:val="en"/>
        </w:rPr>
        <w:fldChar w:fldCharType="separate"/>
      </w:r>
      <w:r w:rsidR="00BF178A">
        <w:rPr>
          <w:noProof/>
          <w:lang w:val="en"/>
        </w:rPr>
        <w:t>4</w:t>
      </w:r>
      <w:r w:rsidR="006877E8">
        <w:rPr>
          <w:noProof/>
          <w:lang w:val="en"/>
        </w:rPr>
        <w:fldChar w:fldCharType="end"/>
      </w:r>
      <w:r w:rsidR="006877E8">
        <w:rPr>
          <w:noProof/>
          <w:lang w:val="en"/>
        </w:rPr>
        <w:t>.</w:t>
      </w:r>
      <w:r w:rsidR="006877E8">
        <w:rPr>
          <w:noProof/>
          <w:lang w:val="en"/>
        </w:rPr>
        <w:fldChar w:fldCharType="begin"/>
      </w:r>
      <w:r w:rsidR="006877E8">
        <w:rPr>
          <w:noProof/>
          <w:lang w:val="en"/>
        </w:rPr>
        <w:instrText xml:space="preserve"> SEQ Figure \* ARABIC \s 1 </w:instrText>
      </w:r>
      <w:r w:rsidR="006877E8">
        <w:rPr>
          <w:noProof/>
          <w:lang w:val="en"/>
        </w:rPr>
        <w:fldChar w:fldCharType="separate"/>
      </w:r>
      <w:r w:rsidR="00BF178A">
        <w:rPr>
          <w:noProof/>
          <w:lang w:val="en"/>
        </w:rPr>
        <w:t>7</w:t>
      </w:r>
      <w:r w:rsidR="006877E8">
        <w:rPr>
          <w:noProof/>
          <w:lang w:val="en"/>
        </w:rPr>
        <w:fldChar w:fldCharType="end"/>
      </w:r>
      <w:r w:rsidRPr="00A62FE8">
        <w:rPr>
          <w:lang w:val="en"/>
        </w:rPr>
        <w:t>: Medium and long</w:t>
      </w:r>
      <w:r w:rsidRPr="00A62FE8" w:rsidDel="00536289">
        <w:rPr>
          <w:lang w:val="en"/>
        </w:rPr>
        <w:t>-</w:t>
      </w:r>
      <w:r w:rsidRPr="00A62FE8">
        <w:rPr>
          <w:lang w:val="en"/>
        </w:rPr>
        <w:t>term contract quantities signed</w:t>
      </w:r>
      <w:r w:rsidR="000275CF">
        <w:rPr>
          <w:lang w:val="en"/>
        </w:rPr>
        <w:t xml:space="preserve"> </w:t>
      </w:r>
      <w:r w:rsidRPr="00A62FE8">
        <w:rPr>
          <w:lang w:val="en"/>
        </w:rPr>
        <w:t>by seller’s country of origin</w:t>
      </w:r>
      <w:r w:rsidR="000275CF">
        <w:rPr>
          <w:lang w:val="en"/>
        </w:rPr>
        <w:t xml:space="preserve">, </w:t>
      </w:r>
      <w:r w:rsidR="000275CF" w:rsidRPr="00A62FE8">
        <w:rPr>
          <w:lang w:val="en"/>
        </w:rPr>
        <w:t>2018</w:t>
      </w:r>
      <w:r w:rsidR="000275CF">
        <w:rPr>
          <w:lang w:val="en"/>
        </w:rPr>
        <w:t xml:space="preserve"> to </w:t>
      </w:r>
      <w:r w:rsidR="000275CF" w:rsidRPr="00A62FE8">
        <w:rPr>
          <w:lang w:val="en"/>
        </w:rPr>
        <w:t>2022</w:t>
      </w:r>
    </w:p>
    <w:p w14:paraId="15F087EC" w14:textId="179B0A80" w:rsidR="00EC7EC7" w:rsidRPr="00A62FE8" w:rsidRDefault="00B05C5A" w:rsidP="00EC7EC7">
      <w:pPr>
        <w:keepNext/>
        <w:spacing w:after="60" w:line="240" w:lineRule="auto"/>
        <w:rPr>
          <w:rFonts w:eastAsia="Times New Roman" w:cs="Arial"/>
          <w:color w:val="005CAF"/>
          <w:sz w:val="16"/>
          <w:szCs w:val="20"/>
          <w:lang w:val="en"/>
        </w:rPr>
      </w:pPr>
      <w:r>
        <w:rPr>
          <w:noProof/>
        </w:rPr>
        <w:drawing>
          <wp:inline distT="0" distB="0" distL="0" distR="0" wp14:anchorId="1B7CEFBF" wp14:editId="435C0F51">
            <wp:extent cx="4206875" cy="2276475"/>
            <wp:effectExtent l="0" t="0" r="3175" b="0"/>
            <wp:docPr id="699518994" name="Chart 699518994" descr="This figure shows medium and long-term contract quantities signed from 2018 to 2022 by seller’s country of origin. From 2018 to 2020, Africa and the Middle East secured the most quantities from medium and long-term contracts. In 2021, other players such as the Americas and Russia were more prominent in securing natural gas (around 20 Mt of natural gas each). Contracted quantities were highest in 2022, largely due to volumes from the Americas, which accounted for over 65 Mt of the 80 Mt signed in 2022. ">
              <a:extLst xmlns:a="http://schemas.openxmlformats.org/drawingml/2006/main">
                <a:ext uri="{FF2B5EF4-FFF2-40B4-BE49-F238E27FC236}">
                  <a16:creationId xmlns:a16="http://schemas.microsoft.com/office/drawing/2014/main" id="{DBE89533-03FE-464A-B64D-E21185057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79B2893" w14:textId="78F66F6A" w:rsidR="00EC7EC7" w:rsidRPr="00A62FE8" w:rsidRDefault="00EC7EC7" w:rsidP="000275CF">
      <w:pPr>
        <w:pStyle w:val="Source"/>
      </w:pPr>
      <w:r w:rsidRPr="00A62FE8">
        <w:t xml:space="preserve">Notes: Portfolio contracts which are not country-specific are included in the </w:t>
      </w:r>
      <w:r w:rsidR="00CD6568">
        <w:t>o</w:t>
      </w:r>
      <w:r w:rsidRPr="00A62FE8">
        <w:t>ther</w:t>
      </w:r>
      <w:r>
        <w:rPr>
          <w:lang w:eastAsia="en-AU"/>
        </w:rPr>
        <w:t xml:space="preserve"> </w:t>
      </w:r>
      <w:r w:rsidRPr="00A62FE8">
        <w:t>category.</w:t>
      </w:r>
    </w:p>
    <w:p w14:paraId="26705FF4" w14:textId="13BC4471" w:rsidR="00EC7EC7" w:rsidRPr="00A62FE8" w:rsidRDefault="00EC7EC7" w:rsidP="000275CF">
      <w:pPr>
        <w:pStyle w:val="Source"/>
      </w:pPr>
      <w:r w:rsidRPr="00A62FE8">
        <w:t>Source: GIIGNL (2019</w:t>
      </w:r>
      <w:r w:rsidR="005E5C64">
        <w:t>; 2020; 2021; 2022;</w:t>
      </w:r>
      <w:r w:rsidRPr="00A62FE8">
        <w:t>2023)</w:t>
      </w:r>
    </w:p>
    <w:p w14:paraId="401DD13B" w14:textId="70A248E6" w:rsidR="00EC7EC7" w:rsidRDefault="00D97898" w:rsidP="000374D9">
      <w:pPr>
        <w:spacing w:before="240" w:after="120"/>
        <w:rPr>
          <w:color w:val="373737"/>
          <w:sz w:val="20"/>
          <w:lang w:eastAsia="en-AU"/>
        </w:rPr>
      </w:pPr>
      <w:r>
        <w:rPr>
          <w:color w:val="373737"/>
          <w:sz w:val="20"/>
          <w:lang w:eastAsia="en-AU"/>
        </w:rPr>
        <w:t>Increased</w:t>
      </w:r>
      <w:r w:rsidR="001F316D">
        <w:rPr>
          <w:color w:val="373737"/>
          <w:sz w:val="20"/>
          <w:lang w:eastAsia="en-AU"/>
        </w:rPr>
        <w:t xml:space="preserve"> supply in </w:t>
      </w:r>
      <w:r w:rsidR="00B20057">
        <w:rPr>
          <w:color w:val="373737"/>
          <w:sz w:val="20"/>
          <w:lang w:eastAsia="en-AU"/>
        </w:rPr>
        <w:t xml:space="preserve">the </w:t>
      </w:r>
      <w:r w:rsidR="001F316D">
        <w:rPr>
          <w:color w:val="373737"/>
          <w:sz w:val="20"/>
          <w:lang w:eastAsia="en-AU"/>
        </w:rPr>
        <w:t>Asia Pacific</w:t>
      </w:r>
      <w:r w:rsidR="00B20057">
        <w:rPr>
          <w:color w:val="373737"/>
          <w:sz w:val="20"/>
          <w:lang w:eastAsia="en-AU"/>
        </w:rPr>
        <w:t xml:space="preserve"> has potential to</w:t>
      </w:r>
      <w:r w:rsidR="001F316D">
        <w:rPr>
          <w:color w:val="373737"/>
          <w:sz w:val="20"/>
          <w:lang w:eastAsia="en-AU"/>
        </w:rPr>
        <w:t xml:space="preserve"> reduce demand for Australian exports over time, but consultation suggests </w:t>
      </w:r>
      <w:r w:rsidR="00B20057">
        <w:rPr>
          <w:color w:val="373737"/>
          <w:sz w:val="20"/>
          <w:lang w:eastAsia="en-AU"/>
        </w:rPr>
        <w:t xml:space="preserve">overall </w:t>
      </w:r>
      <w:r w:rsidR="001F316D">
        <w:rPr>
          <w:color w:val="373737"/>
          <w:sz w:val="20"/>
          <w:lang w:eastAsia="en-AU"/>
        </w:rPr>
        <w:t xml:space="preserve">demand will </w:t>
      </w:r>
      <w:r w:rsidR="00B20057">
        <w:rPr>
          <w:color w:val="373737"/>
          <w:sz w:val="20"/>
          <w:lang w:eastAsia="en-AU"/>
        </w:rPr>
        <w:t>sustain</w:t>
      </w:r>
      <w:r w:rsidR="001F316D">
        <w:rPr>
          <w:color w:val="373737"/>
          <w:sz w:val="20"/>
          <w:lang w:eastAsia="en-AU"/>
        </w:rPr>
        <w:t xml:space="preserve">. Australian LNG is valued by partners due to </w:t>
      </w:r>
      <w:r w:rsidR="00B20057">
        <w:rPr>
          <w:color w:val="373737"/>
          <w:sz w:val="20"/>
          <w:lang w:eastAsia="en-AU"/>
        </w:rPr>
        <w:t>its</w:t>
      </w:r>
      <w:r w:rsidR="001F316D">
        <w:rPr>
          <w:color w:val="373737"/>
          <w:sz w:val="20"/>
          <w:lang w:eastAsia="en-AU"/>
        </w:rPr>
        <w:t xml:space="preserve"> long-term and stable supply and </w:t>
      </w:r>
      <w:r w:rsidR="00B20057">
        <w:rPr>
          <w:color w:val="373737"/>
          <w:sz w:val="20"/>
          <w:lang w:eastAsia="en-AU"/>
        </w:rPr>
        <w:t xml:space="preserve">the </w:t>
      </w:r>
      <w:r w:rsidR="001F316D">
        <w:rPr>
          <w:color w:val="373737"/>
          <w:sz w:val="20"/>
          <w:lang w:eastAsia="en-AU"/>
        </w:rPr>
        <w:t>investment relationships built up over time. More generally within the Asia region, i</w:t>
      </w:r>
      <w:r w:rsidR="00EC7EC7" w:rsidRPr="00A62FE8">
        <w:rPr>
          <w:color w:val="373737"/>
          <w:sz w:val="20"/>
          <w:lang w:eastAsia="en-AU"/>
        </w:rPr>
        <w:t>mports of Australia</w:t>
      </w:r>
      <w:r w:rsidR="00EC7EC7">
        <w:rPr>
          <w:color w:val="373737"/>
          <w:sz w:val="20"/>
          <w:lang w:eastAsia="en-AU"/>
        </w:rPr>
        <w:t>n</w:t>
      </w:r>
      <w:r w:rsidR="00EC7EC7" w:rsidRPr="00A62FE8">
        <w:rPr>
          <w:color w:val="373737"/>
          <w:sz w:val="20"/>
          <w:lang w:eastAsia="en-AU"/>
        </w:rPr>
        <w:t xml:space="preserve"> LNG allow </w:t>
      </w:r>
      <w:r w:rsidR="0021489F">
        <w:rPr>
          <w:color w:val="373737"/>
          <w:sz w:val="20"/>
          <w:lang w:eastAsia="en-AU"/>
        </w:rPr>
        <w:t>economies</w:t>
      </w:r>
      <w:r w:rsidR="00EC7EC7" w:rsidRPr="00A62FE8">
        <w:rPr>
          <w:color w:val="373737"/>
          <w:sz w:val="20"/>
          <w:lang w:eastAsia="en-AU"/>
        </w:rPr>
        <w:t xml:space="preserve"> to achieve import diversity</w:t>
      </w:r>
      <w:r w:rsidR="001F316D">
        <w:rPr>
          <w:color w:val="373737"/>
          <w:sz w:val="20"/>
          <w:lang w:eastAsia="en-AU"/>
        </w:rPr>
        <w:t xml:space="preserve"> and</w:t>
      </w:r>
      <w:r w:rsidR="00EC7EC7" w:rsidRPr="00A62FE8">
        <w:rPr>
          <w:color w:val="373737"/>
          <w:sz w:val="20"/>
          <w:lang w:eastAsia="en-AU"/>
        </w:rPr>
        <w:t xml:space="preserve"> energy security</w:t>
      </w:r>
      <w:r w:rsidR="001F316D">
        <w:rPr>
          <w:color w:val="373737"/>
          <w:sz w:val="20"/>
          <w:lang w:eastAsia="en-AU"/>
        </w:rPr>
        <w:t>, helping to secure</w:t>
      </w:r>
      <w:r w:rsidR="00EC7EC7" w:rsidRPr="00A62FE8">
        <w:rPr>
          <w:color w:val="373737"/>
          <w:sz w:val="20"/>
          <w:lang w:eastAsia="en-AU"/>
        </w:rPr>
        <w:t xml:space="preserve"> </w:t>
      </w:r>
      <w:r w:rsidR="002E1E3A">
        <w:rPr>
          <w:color w:val="373737"/>
          <w:sz w:val="20"/>
          <w:lang w:eastAsia="en-AU"/>
        </w:rPr>
        <w:t>economic growth</w:t>
      </w:r>
      <w:r w:rsidR="00EC7EC7" w:rsidRPr="00A62FE8">
        <w:rPr>
          <w:color w:val="373737"/>
          <w:sz w:val="20"/>
          <w:lang w:eastAsia="en-AU"/>
        </w:rPr>
        <w:t xml:space="preserve">. </w:t>
      </w:r>
      <w:r w:rsidR="001F316D">
        <w:rPr>
          <w:color w:val="373737"/>
          <w:sz w:val="20"/>
          <w:lang w:eastAsia="en-AU"/>
        </w:rPr>
        <w:t xml:space="preserve">Australia also offers much shorter transport distances through relatively secure waters. </w:t>
      </w:r>
    </w:p>
    <w:p w14:paraId="35528315" w14:textId="6BFE564B" w:rsidR="00EC7EC7" w:rsidRPr="00A62FE8" w:rsidRDefault="00EC7EC7" w:rsidP="00EC7EC7">
      <w:pPr>
        <w:pStyle w:val="Heading3"/>
        <w:rPr>
          <w:lang w:val="en"/>
        </w:rPr>
      </w:pPr>
      <w:r w:rsidRPr="00A62FE8">
        <w:rPr>
          <w:lang w:val="en"/>
        </w:rPr>
        <w:t>Demand for LNG is increasing, particularly from Asia</w:t>
      </w:r>
    </w:p>
    <w:p w14:paraId="397B7C05" w14:textId="7538589F" w:rsidR="00EC7EC7" w:rsidRPr="00A62FE8" w:rsidRDefault="00EC7EC7" w:rsidP="00EC7EC7">
      <w:pPr>
        <w:spacing w:after="120"/>
        <w:rPr>
          <w:color w:val="373737"/>
          <w:sz w:val="20"/>
        </w:rPr>
      </w:pPr>
      <w:r w:rsidRPr="00A62FE8">
        <w:rPr>
          <w:color w:val="373737"/>
          <w:sz w:val="20"/>
        </w:rPr>
        <w:t xml:space="preserve">Supporting the potential for higher global LNG trade, global LNG import capacity is also in a phase of significant upswing. This has been accelerated by European countries switching away from Russian pipeline gas after </w:t>
      </w:r>
      <w:r w:rsidR="00AE2C4A">
        <w:rPr>
          <w:color w:val="373737"/>
          <w:sz w:val="20"/>
        </w:rPr>
        <w:t xml:space="preserve">Russia’s </w:t>
      </w:r>
      <w:r w:rsidR="004E2692">
        <w:rPr>
          <w:color w:val="373737"/>
          <w:sz w:val="20"/>
        </w:rPr>
        <w:t xml:space="preserve">illegal </w:t>
      </w:r>
      <w:r w:rsidRPr="00A62FE8">
        <w:rPr>
          <w:color w:val="373737"/>
          <w:sz w:val="20"/>
        </w:rPr>
        <w:t xml:space="preserve">invasion of Ukraine. Import terminals are </w:t>
      </w:r>
      <w:r w:rsidR="00602D34">
        <w:rPr>
          <w:color w:val="373737"/>
          <w:sz w:val="20"/>
        </w:rPr>
        <w:t xml:space="preserve">also </w:t>
      </w:r>
      <w:r w:rsidRPr="00A62FE8">
        <w:rPr>
          <w:color w:val="373737"/>
          <w:sz w:val="20"/>
        </w:rPr>
        <w:t>being built across the ASEAN region, which will drive demand for Australia’s LNG, including from new import partners.</w:t>
      </w:r>
    </w:p>
    <w:p w14:paraId="426445B0" w14:textId="181C39D3" w:rsidR="00EC7EC7" w:rsidRPr="00A62FE8" w:rsidRDefault="00EC7EC7" w:rsidP="00EC7EC7">
      <w:pPr>
        <w:spacing w:after="120"/>
        <w:rPr>
          <w:color w:val="373737"/>
          <w:sz w:val="20"/>
          <w:lang w:eastAsia="en-AU"/>
        </w:rPr>
      </w:pPr>
      <w:r w:rsidRPr="00A62FE8">
        <w:rPr>
          <w:color w:val="373737"/>
          <w:sz w:val="20"/>
          <w:lang w:eastAsia="en-AU"/>
        </w:rPr>
        <w:t xml:space="preserve">Many Asian </w:t>
      </w:r>
      <w:r w:rsidR="00E871F3">
        <w:rPr>
          <w:color w:val="373737"/>
          <w:sz w:val="20"/>
          <w:lang w:eastAsia="en-AU"/>
        </w:rPr>
        <w:t>economies</w:t>
      </w:r>
      <w:r w:rsidRPr="00A62FE8">
        <w:rPr>
          <w:color w:val="373737"/>
          <w:sz w:val="20"/>
          <w:lang w:eastAsia="en-AU"/>
        </w:rPr>
        <w:t xml:space="preserve"> view gas as a crucial component of their pathway towards </w:t>
      </w:r>
      <w:r w:rsidR="00524897">
        <w:rPr>
          <w:color w:val="373737"/>
          <w:sz w:val="20"/>
          <w:lang w:eastAsia="en-AU"/>
        </w:rPr>
        <w:t>n</w:t>
      </w:r>
      <w:r w:rsidRPr="00A62FE8">
        <w:rPr>
          <w:color w:val="373737"/>
          <w:sz w:val="20"/>
          <w:lang w:eastAsia="en-AU"/>
        </w:rPr>
        <w:t xml:space="preserve">et </w:t>
      </w:r>
      <w:r w:rsidR="00524897">
        <w:rPr>
          <w:color w:val="373737"/>
          <w:sz w:val="20"/>
          <w:lang w:eastAsia="en-AU"/>
        </w:rPr>
        <w:t>z</w:t>
      </w:r>
      <w:r w:rsidRPr="00A62FE8">
        <w:rPr>
          <w:color w:val="373737"/>
          <w:sz w:val="20"/>
          <w:lang w:eastAsia="en-AU"/>
        </w:rPr>
        <w:t xml:space="preserve">ero. Even in the </w:t>
      </w:r>
      <w:r w:rsidR="00602D34">
        <w:rPr>
          <w:color w:val="373737"/>
          <w:sz w:val="20"/>
          <w:lang w:eastAsia="en-AU"/>
        </w:rPr>
        <w:t xml:space="preserve">IEA’s </w:t>
      </w:r>
      <w:r w:rsidRPr="00A62FE8">
        <w:rPr>
          <w:color w:val="373737"/>
          <w:sz w:val="20"/>
          <w:lang w:eastAsia="en-AU"/>
        </w:rPr>
        <w:t xml:space="preserve">most ambitious decarbonisation scenario gas </w:t>
      </w:r>
      <w:r w:rsidR="006B7333">
        <w:rPr>
          <w:color w:val="373737"/>
          <w:sz w:val="20"/>
          <w:lang w:eastAsia="en-AU"/>
        </w:rPr>
        <w:t>is expected</w:t>
      </w:r>
      <w:r w:rsidRPr="00A62FE8">
        <w:rPr>
          <w:color w:val="373737"/>
          <w:sz w:val="20"/>
          <w:lang w:eastAsia="en-AU"/>
        </w:rPr>
        <w:t xml:space="preserve"> to play a role in economic activity </w:t>
      </w:r>
      <w:r w:rsidR="006B7333">
        <w:rPr>
          <w:color w:val="373737"/>
          <w:sz w:val="20"/>
          <w:lang w:eastAsia="en-AU"/>
        </w:rPr>
        <w:t>and energy security</w:t>
      </w:r>
      <w:r w:rsidRPr="00A62FE8">
        <w:rPr>
          <w:color w:val="373737"/>
          <w:sz w:val="20"/>
          <w:lang w:eastAsia="en-AU"/>
        </w:rPr>
        <w:t xml:space="preserve"> </w:t>
      </w:r>
      <w:r w:rsidR="006B7333">
        <w:rPr>
          <w:color w:val="373737"/>
          <w:sz w:val="20"/>
          <w:lang w:eastAsia="en-AU"/>
        </w:rPr>
        <w:t>through</w:t>
      </w:r>
      <w:r w:rsidRPr="00A62FE8">
        <w:rPr>
          <w:color w:val="373737"/>
          <w:sz w:val="20"/>
          <w:lang w:eastAsia="en-AU"/>
        </w:rPr>
        <w:t xml:space="preserve"> to 2050</w:t>
      </w:r>
      <w:r w:rsidR="009E5B18">
        <w:rPr>
          <w:color w:val="373737"/>
          <w:sz w:val="20"/>
          <w:lang w:eastAsia="en-AU"/>
        </w:rPr>
        <w:t xml:space="preserve"> (</w:t>
      </w:r>
      <w:r w:rsidR="00F53FA4">
        <w:rPr>
          <w:color w:val="373737"/>
          <w:sz w:val="20"/>
          <w:lang w:eastAsia="en-AU"/>
        </w:rPr>
        <w:t>see Introduction</w:t>
      </w:r>
      <w:r w:rsidR="009E5B18">
        <w:rPr>
          <w:color w:val="373737"/>
          <w:sz w:val="20"/>
          <w:lang w:eastAsia="en-AU"/>
        </w:rPr>
        <w:t>).</w:t>
      </w:r>
      <w:r w:rsidRPr="00A62FE8">
        <w:rPr>
          <w:color w:val="373737"/>
          <w:sz w:val="20"/>
          <w:lang w:eastAsia="en-AU"/>
        </w:rPr>
        <w:t xml:space="preserve"> Demand for LNG is also growing in several Asian countries that have historically produced enough domestic gas to meet their own demand. China, Malaysia and Indonesia are the region’s largest producers, with other </w:t>
      </w:r>
      <w:r w:rsidR="0041382A">
        <w:rPr>
          <w:color w:val="373737"/>
          <w:sz w:val="20"/>
          <w:lang w:eastAsia="en-AU"/>
        </w:rPr>
        <w:t>countries</w:t>
      </w:r>
      <w:r w:rsidR="0041382A" w:rsidRPr="00A62FE8">
        <w:rPr>
          <w:color w:val="373737"/>
          <w:sz w:val="20"/>
          <w:lang w:eastAsia="en-AU"/>
        </w:rPr>
        <w:t xml:space="preserve"> </w:t>
      </w:r>
      <w:r w:rsidRPr="00A62FE8">
        <w:rPr>
          <w:color w:val="373737"/>
          <w:sz w:val="20"/>
          <w:lang w:eastAsia="en-AU"/>
        </w:rPr>
        <w:t>such as Thailand, India and Vietnam also producing gas for domestic purposes. Declining domestic production and reserves have led these countries to import LNG to maintain their gas supply balance.</w:t>
      </w:r>
      <w:r w:rsidR="00602D34">
        <w:rPr>
          <w:color w:val="373737"/>
          <w:sz w:val="20"/>
          <w:lang w:eastAsia="en-AU"/>
        </w:rPr>
        <w:t xml:space="preserve"> Beyond providing energy security, a</w:t>
      </w:r>
      <w:r w:rsidR="001F316D" w:rsidRPr="00A62FE8">
        <w:rPr>
          <w:color w:val="373737"/>
          <w:sz w:val="20"/>
          <w:lang w:eastAsia="en-AU"/>
        </w:rPr>
        <w:t xml:space="preserve">ccess to gas </w:t>
      </w:r>
      <w:r w:rsidR="001F316D">
        <w:rPr>
          <w:color w:val="373737"/>
          <w:sz w:val="20"/>
          <w:lang w:eastAsia="en-AU"/>
        </w:rPr>
        <w:t>can also promote</w:t>
      </w:r>
      <w:r w:rsidR="001F316D" w:rsidRPr="00A62FE8">
        <w:rPr>
          <w:color w:val="373737"/>
          <w:sz w:val="20"/>
          <w:lang w:eastAsia="en-AU"/>
        </w:rPr>
        <w:t xml:space="preserve"> a smoother energy transition </w:t>
      </w:r>
      <w:r w:rsidR="001F316D">
        <w:rPr>
          <w:color w:val="373737"/>
          <w:sz w:val="20"/>
          <w:lang w:eastAsia="en-AU"/>
        </w:rPr>
        <w:t xml:space="preserve">within the region </w:t>
      </w:r>
      <w:r w:rsidR="001F316D" w:rsidRPr="00A62FE8">
        <w:rPr>
          <w:color w:val="373737"/>
          <w:sz w:val="20"/>
          <w:lang w:val="en"/>
        </w:rPr>
        <w:t>—</w:t>
      </w:r>
      <w:r w:rsidR="001F316D" w:rsidRPr="00A62FE8" w:rsidDel="004473A4">
        <w:rPr>
          <w:color w:val="373737"/>
          <w:sz w:val="20"/>
          <w:lang w:eastAsia="en-AU"/>
        </w:rPr>
        <w:t>–</w:t>
      </w:r>
      <w:r w:rsidR="001F316D" w:rsidRPr="00A62FE8">
        <w:rPr>
          <w:color w:val="373737"/>
          <w:sz w:val="20"/>
          <w:lang w:eastAsia="en-AU"/>
        </w:rPr>
        <w:t xml:space="preserve"> by </w:t>
      </w:r>
      <w:r w:rsidR="001F316D">
        <w:rPr>
          <w:color w:val="373737"/>
          <w:sz w:val="20"/>
          <w:lang w:eastAsia="en-AU"/>
        </w:rPr>
        <w:t xml:space="preserve">offering a flexible power source to complement renewable power, and by </w:t>
      </w:r>
      <w:r w:rsidR="001F316D" w:rsidRPr="00A62FE8">
        <w:rPr>
          <w:color w:val="373737"/>
          <w:sz w:val="20"/>
          <w:lang w:eastAsia="en-AU"/>
        </w:rPr>
        <w:t xml:space="preserve">replacing </w:t>
      </w:r>
      <w:r w:rsidR="001F316D">
        <w:rPr>
          <w:color w:val="373737"/>
          <w:sz w:val="20"/>
          <w:lang w:eastAsia="en-AU"/>
        </w:rPr>
        <w:t xml:space="preserve">heavier-emitting </w:t>
      </w:r>
      <w:r w:rsidR="001F316D" w:rsidRPr="00A62FE8">
        <w:rPr>
          <w:color w:val="373737"/>
          <w:sz w:val="20"/>
          <w:lang w:eastAsia="en-AU"/>
        </w:rPr>
        <w:t>coal.</w:t>
      </w:r>
    </w:p>
    <w:p w14:paraId="1BD2545F" w14:textId="769E567A" w:rsidR="00EC7EC7" w:rsidRPr="00A62FE8" w:rsidRDefault="00EC7EC7" w:rsidP="00C97679">
      <w:pPr>
        <w:pStyle w:val="Caption"/>
        <w:rPr>
          <w:lang w:val="en"/>
        </w:rPr>
      </w:pPr>
      <w:r w:rsidRPr="00A62FE8">
        <w:rPr>
          <w:lang w:val="en"/>
        </w:rPr>
        <w:t>Figure</w:t>
      </w:r>
      <w:r>
        <w:rPr>
          <w:lang w:val="en"/>
        </w:rPr>
        <w:t xml:space="preserve"> </w:t>
      </w:r>
      <w:r w:rsidR="006877E8">
        <w:rPr>
          <w:noProof/>
          <w:lang w:val="en"/>
        </w:rPr>
        <w:fldChar w:fldCharType="begin"/>
      </w:r>
      <w:r w:rsidR="006877E8">
        <w:rPr>
          <w:noProof/>
          <w:lang w:val="en"/>
        </w:rPr>
        <w:instrText xml:space="preserve"> STYLEREF 1 \s </w:instrText>
      </w:r>
      <w:r w:rsidR="006877E8">
        <w:rPr>
          <w:noProof/>
          <w:lang w:val="en"/>
        </w:rPr>
        <w:fldChar w:fldCharType="separate"/>
      </w:r>
      <w:r w:rsidR="00BF178A">
        <w:rPr>
          <w:noProof/>
          <w:lang w:val="en"/>
        </w:rPr>
        <w:t>4</w:t>
      </w:r>
      <w:r w:rsidR="006877E8">
        <w:rPr>
          <w:noProof/>
          <w:lang w:val="en"/>
        </w:rPr>
        <w:fldChar w:fldCharType="end"/>
      </w:r>
      <w:r w:rsidR="006877E8">
        <w:rPr>
          <w:noProof/>
          <w:lang w:val="en"/>
        </w:rPr>
        <w:t>.</w:t>
      </w:r>
      <w:r w:rsidR="006877E8">
        <w:rPr>
          <w:noProof/>
          <w:lang w:val="en"/>
        </w:rPr>
        <w:fldChar w:fldCharType="begin"/>
      </w:r>
      <w:r w:rsidR="006877E8">
        <w:rPr>
          <w:noProof/>
          <w:lang w:val="en"/>
        </w:rPr>
        <w:instrText xml:space="preserve"> SEQ Figure \* ARABIC \s 1 </w:instrText>
      </w:r>
      <w:r w:rsidR="006877E8">
        <w:rPr>
          <w:noProof/>
          <w:lang w:val="en"/>
        </w:rPr>
        <w:fldChar w:fldCharType="separate"/>
      </w:r>
      <w:r w:rsidR="00BF178A">
        <w:rPr>
          <w:noProof/>
          <w:lang w:val="en"/>
        </w:rPr>
        <w:t>8</w:t>
      </w:r>
      <w:r w:rsidR="006877E8">
        <w:rPr>
          <w:noProof/>
          <w:lang w:val="en"/>
        </w:rPr>
        <w:fldChar w:fldCharType="end"/>
      </w:r>
      <w:r w:rsidRPr="00A62FE8">
        <w:rPr>
          <w:lang w:val="en"/>
        </w:rPr>
        <w:t>: Medium</w:t>
      </w:r>
      <w:r w:rsidR="00466660">
        <w:rPr>
          <w:lang w:val="en"/>
        </w:rPr>
        <w:t>-</w:t>
      </w:r>
      <w:r w:rsidRPr="00A62FE8">
        <w:rPr>
          <w:lang w:val="en"/>
        </w:rPr>
        <w:t>term ASEAN gas demand supply balance, with net trade</w:t>
      </w:r>
      <w:r w:rsidR="004C117A">
        <w:rPr>
          <w:lang w:val="en"/>
        </w:rPr>
        <w:t>, 2010 to 203</w:t>
      </w:r>
      <w:r w:rsidR="000565F6">
        <w:rPr>
          <w:lang w:val="en"/>
        </w:rPr>
        <w:t>5</w:t>
      </w:r>
    </w:p>
    <w:p w14:paraId="6EFB7569" w14:textId="52368DA1" w:rsidR="00EC7EC7" w:rsidRPr="00A62FE8" w:rsidRDefault="00C05F99" w:rsidP="00EC7EC7">
      <w:pPr>
        <w:keepNext/>
        <w:spacing w:after="60" w:line="240" w:lineRule="auto"/>
        <w:rPr>
          <w:rFonts w:eastAsia="Times New Roman" w:cs="Arial"/>
          <w:color w:val="005CAF"/>
          <w:sz w:val="16"/>
          <w:szCs w:val="20"/>
          <w:lang w:val="en"/>
        </w:rPr>
      </w:pPr>
      <w:r>
        <w:rPr>
          <w:noProof/>
        </w:rPr>
        <w:drawing>
          <wp:inline distT="0" distB="0" distL="0" distR="0" wp14:anchorId="63EF97AE" wp14:editId="32FA935C">
            <wp:extent cx="4206875" cy="2524125"/>
            <wp:effectExtent l="0" t="0" r="3175" b="0"/>
            <wp:docPr id="699518993" name="Chart 699518993" descr="This figure shows the medium-term ASEAN gas demand-supply balance with net trade from 2010 to 2035. Since 2010, ASEAN net exports of natural gas have gradually declined, with projections suggesting ASEAN will become a net importer of LNG by 2027. Beyond this period, gas consumption and net LNG imports are expected to steadily increase to 2035. ">
              <a:extLst xmlns:a="http://schemas.openxmlformats.org/drawingml/2006/main">
                <a:ext uri="{FF2B5EF4-FFF2-40B4-BE49-F238E27FC236}">
                  <a16:creationId xmlns:a16="http://schemas.microsoft.com/office/drawing/2014/main" id="{D4A112E0-FBA1-4200-9986-7DBBAB705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FD42020" w14:textId="77777777" w:rsidR="00EC7EC7" w:rsidRPr="00A62FE8" w:rsidRDefault="00EC7EC7" w:rsidP="000275CF">
      <w:pPr>
        <w:pStyle w:val="Source"/>
      </w:pPr>
      <w:r w:rsidRPr="00A62FE8">
        <w:t>Notes: Based on the STEPS projection.</w:t>
      </w:r>
    </w:p>
    <w:p w14:paraId="47E14384" w14:textId="4B10FF69" w:rsidR="00EC7EC7" w:rsidRPr="00A62FE8" w:rsidRDefault="00EC7EC7" w:rsidP="000275CF">
      <w:pPr>
        <w:pStyle w:val="Source"/>
      </w:pPr>
      <w:r w:rsidRPr="00A62FE8">
        <w:t xml:space="preserve">Source: </w:t>
      </w:r>
      <w:r w:rsidR="002841FE">
        <w:t>NexantECA</w:t>
      </w:r>
      <w:r w:rsidRPr="00A62FE8">
        <w:t xml:space="preserve"> (2023) </w:t>
      </w:r>
    </w:p>
    <w:p w14:paraId="099F3127" w14:textId="15AAB1CB" w:rsidR="00EC7EC7" w:rsidRPr="00A62FE8" w:rsidRDefault="00EC7EC7" w:rsidP="000374D9">
      <w:pPr>
        <w:spacing w:before="240" w:after="120"/>
        <w:rPr>
          <w:color w:val="373737"/>
          <w:sz w:val="20"/>
          <w:lang w:eastAsia="en-AU"/>
        </w:rPr>
      </w:pPr>
      <w:r w:rsidRPr="00A62FE8">
        <w:rPr>
          <w:color w:val="373737"/>
          <w:sz w:val="20"/>
          <w:lang w:eastAsia="en-AU"/>
        </w:rPr>
        <w:t xml:space="preserve">Projections suggest ASEAN will become a net importer of LNG by 2027 (Figure </w:t>
      </w:r>
      <w:r>
        <w:rPr>
          <w:color w:val="373737"/>
          <w:sz w:val="20"/>
          <w:lang w:eastAsia="en-AU"/>
        </w:rPr>
        <w:t>4</w:t>
      </w:r>
      <w:r w:rsidRPr="00A62FE8">
        <w:rPr>
          <w:color w:val="373737"/>
          <w:sz w:val="20"/>
          <w:lang w:eastAsia="en-AU"/>
        </w:rPr>
        <w:t xml:space="preserve">.8). Within ASEAN, Singapore has been a trading partner for Australian LNG since 2015, with Thailand emerging as a trading partner in 2023. 2023 also saw Vietnam and the Philippines report their first imports of LNG, with additional LNG import terminals currently under construction throughout the region. Cambodia announced a new gas-fired power plant with accompanying LNG import terminal in November 2023. While the European Union is not a direct buyer of Australian LNG, Australia’s contribution to the global market </w:t>
      </w:r>
      <w:r w:rsidR="006B7333">
        <w:rPr>
          <w:color w:val="373737"/>
          <w:sz w:val="20"/>
          <w:lang w:eastAsia="en-AU"/>
        </w:rPr>
        <w:t>frees up other LNG producers to supply</w:t>
      </w:r>
      <w:r w:rsidRPr="00A62FE8">
        <w:rPr>
          <w:color w:val="373737"/>
          <w:sz w:val="20"/>
          <w:lang w:eastAsia="en-AU"/>
        </w:rPr>
        <w:t xml:space="preserve"> European consumers.</w:t>
      </w:r>
    </w:p>
    <w:p w14:paraId="65781590" w14:textId="71C2149E" w:rsidR="005C256A" w:rsidRPr="002E0895" w:rsidRDefault="005C256A" w:rsidP="002E0895">
      <w:pPr>
        <w:pStyle w:val="Heading2"/>
      </w:pPr>
      <w:bookmarkStart w:id="109" w:name="_Toc165332104"/>
      <w:bookmarkStart w:id="110" w:name="_Toc165293441"/>
      <w:bookmarkStart w:id="111" w:name="_Toc165293753"/>
      <w:bookmarkStart w:id="112" w:name="_Toc165311394"/>
      <w:bookmarkStart w:id="113" w:name="_Toc165293461"/>
      <w:bookmarkStart w:id="114" w:name="_Toc165293773"/>
      <w:bookmarkStart w:id="115" w:name="_Toc165311414"/>
      <w:bookmarkStart w:id="116" w:name="_Toc172794517"/>
      <w:bookmarkEnd w:id="109"/>
      <w:bookmarkEnd w:id="110"/>
      <w:bookmarkEnd w:id="111"/>
      <w:bookmarkEnd w:id="112"/>
      <w:bookmarkEnd w:id="113"/>
      <w:bookmarkEnd w:id="114"/>
      <w:bookmarkEnd w:id="115"/>
      <w:r w:rsidRPr="002E0895">
        <w:t>G</w:t>
      </w:r>
      <w:r w:rsidR="00602D34" w:rsidRPr="002E0895">
        <w:t>l</w:t>
      </w:r>
      <w:r w:rsidRPr="002E0895">
        <w:t xml:space="preserve">obal </w:t>
      </w:r>
      <w:r w:rsidR="002E0895" w:rsidRPr="002E0895">
        <w:t>g</w:t>
      </w:r>
      <w:r w:rsidRPr="002E0895">
        <w:t xml:space="preserve">as </w:t>
      </w:r>
      <w:r w:rsidR="002E0895" w:rsidRPr="002E0895">
        <w:t>d</w:t>
      </w:r>
      <w:r w:rsidRPr="002E0895">
        <w:t>emand</w:t>
      </w:r>
      <w:bookmarkEnd w:id="116"/>
    </w:p>
    <w:p w14:paraId="40C72C34" w14:textId="72850FB6" w:rsidR="008D1F92" w:rsidRPr="00A62FE8" w:rsidRDefault="00EC7EC7" w:rsidP="00FF36FD">
      <w:pPr>
        <w:spacing w:before="120" w:after="120"/>
        <w:rPr>
          <w:color w:val="373737"/>
          <w:sz w:val="20"/>
          <w:lang w:eastAsia="en-AU"/>
        </w:rPr>
      </w:pPr>
      <w:r w:rsidRPr="00A62FE8">
        <w:rPr>
          <w:color w:val="373737"/>
          <w:sz w:val="20"/>
          <w:lang w:eastAsia="en-AU"/>
        </w:rPr>
        <w:t xml:space="preserve">There are many possible paths to </w:t>
      </w:r>
      <w:r w:rsidRPr="00A62FE8" w:rsidDel="00072F84">
        <w:rPr>
          <w:color w:val="373737"/>
          <w:sz w:val="20"/>
          <w:lang w:eastAsia="en-AU"/>
        </w:rPr>
        <w:t xml:space="preserve">a </w:t>
      </w:r>
      <w:r w:rsidR="00E1658B">
        <w:rPr>
          <w:color w:val="373737"/>
          <w:sz w:val="20"/>
          <w:lang w:eastAsia="en-AU"/>
        </w:rPr>
        <w:t>achieving the Paris Agreement temperature goal of well below</w:t>
      </w:r>
      <w:r w:rsidRPr="00A62FE8">
        <w:rPr>
          <w:color w:val="373737"/>
          <w:sz w:val="20"/>
          <w:lang w:eastAsia="en-AU"/>
        </w:rPr>
        <w:t xml:space="preserve"> 2</w:t>
      </w:r>
      <w:r w:rsidR="00AE51D7" w:rsidRPr="00F53FA4">
        <w:rPr>
          <w:color w:val="373737"/>
          <w:sz w:val="20"/>
          <w:vertAlign w:val="superscript"/>
          <w:lang w:eastAsia="en-AU"/>
        </w:rPr>
        <w:t>o</w:t>
      </w:r>
      <w:r w:rsidR="00AE51D7" w:rsidRPr="00072F84">
        <w:rPr>
          <w:color w:val="373737"/>
          <w:sz w:val="20"/>
          <w:lang w:eastAsia="en-AU"/>
        </w:rPr>
        <w:t>C</w:t>
      </w:r>
      <w:r w:rsidR="00E1658B">
        <w:rPr>
          <w:color w:val="373737"/>
          <w:sz w:val="20"/>
          <w:lang w:eastAsia="en-AU"/>
        </w:rPr>
        <w:t>, while pursuing efforts to keep 1.5</w:t>
      </w:r>
      <w:r w:rsidR="00E1658B" w:rsidRPr="00A62FE8">
        <w:rPr>
          <w:rFonts w:cs="Arial"/>
          <w:bCs/>
          <w:sz w:val="20"/>
          <w:szCs w:val="20"/>
        </w:rPr>
        <w:t>°</w:t>
      </w:r>
      <w:r w:rsidR="00072F84" w:rsidRPr="00072F84">
        <w:rPr>
          <w:color w:val="373737"/>
          <w:sz w:val="20"/>
          <w:lang w:eastAsia="en-AU"/>
        </w:rPr>
        <w:t>C</w:t>
      </w:r>
      <w:r w:rsidR="00E1658B">
        <w:rPr>
          <w:color w:val="373737"/>
          <w:sz w:val="20"/>
          <w:lang w:eastAsia="en-AU"/>
        </w:rPr>
        <w:t xml:space="preserve"> within reach</w:t>
      </w:r>
      <w:r w:rsidRPr="00A62FE8">
        <w:rPr>
          <w:color w:val="373737"/>
          <w:sz w:val="20"/>
          <w:lang w:eastAsia="en-AU"/>
        </w:rPr>
        <w:t xml:space="preserve">. For example, </w:t>
      </w:r>
      <w:r w:rsidR="000112AB">
        <w:rPr>
          <w:color w:val="373737"/>
          <w:sz w:val="20"/>
          <w:lang w:eastAsia="en-AU"/>
        </w:rPr>
        <w:t xml:space="preserve">technological </w:t>
      </w:r>
      <w:r w:rsidRPr="00A62FE8">
        <w:rPr>
          <w:color w:val="373737"/>
          <w:sz w:val="20"/>
          <w:lang w:eastAsia="en-AU"/>
        </w:rPr>
        <w:t xml:space="preserve">breakthroughs that lower the cost of low-emissions hydrogen can result in a </w:t>
      </w:r>
      <w:r w:rsidR="00FF36FD">
        <w:rPr>
          <w:color w:val="373737"/>
          <w:sz w:val="20"/>
          <w:lang w:eastAsia="en-AU"/>
        </w:rPr>
        <w:t>larger</w:t>
      </w:r>
      <w:r w:rsidRPr="00A62FE8">
        <w:rPr>
          <w:color w:val="373737"/>
          <w:sz w:val="20"/>
          <w:lang w:eastAsia="en-AU"/>
        </w:rPr>
        <w:t xml:space="preserve"> substitution of hydrogen for </w:t>
      </w:r>
      <w:r w:rsidR="00F2004A">
        <w:rPr>
          <w:color w:val="373737"/>
          <w:sz w:val="20"/>
          <w:lang w:eastAsia="en-AU"/>
        </w:rPr>
        <w:t>LNG</w:t>
      </w:r>
      <w:r w:rsidRPr="00A62FE8">
        <w:rPr>
          <w:color w:val="373737"/>
          <w:sz w:val="20"/>
          <w:lang w:eastAsia="en-AU"/>
        </w:rPr>
        <w:t xml:space="preserve"> by 2050. Alternatively, advances in </w:t>
      </w:r>
      <w:r w:rsidR="00E142D2">
        <w:rPr>
          <w:color w:val="373737"/>
          <w:sz w:val="20"/>
          <w:lang w:eastAsia="en-AU"/>
        </w:rPr>
        <w:t>CCUS</w:t>
      </w:r>
      <w:r w:rsidRPr="00A62FE8">
        <w:rPr>
          <w:color w:val="373737"/>
          <w:sz w:val="20"/>
          <w:lang w:eastAsia="en-AU"/>
        </w:rPr>
        <w:t xml:space="preserve"> could reduce the impact of gas production on national emission</w:t>
      </w:r>
      <w:r w:rsidR="000112AB">
        <w:rPr>
          <w:color w:val="373737"/>
          <w:sz w:val="20"/>
          <w:lang w:eastAsia="en-AU"/>
        </w:rPr>
        <w:t>s</w:t>
      </w:r>
      <w:r w:rsidRPr="00A62FE8">
        <w:rPr>
          <w:color w:val="373737"/>
          <w:sz w:val="20"/>
          <w:lang w:eastAsia="en-AU"/>
        </w:rPr>
        <w:t xml:space="preserve"> or can facilitate </w:t>
      </w:r>
      <w:r w:rsidR="000112AB">
        <w:rPr>
          <w:color w:val="373737"/>
          <w:sz w:val="20"/>
          <w:lang w:eastAsia="en-AU"/>
        </w:rPr>
        <w:t>higher</w:t>
      </w:r>
      <w:r w:rsidRPr="00A62FE8">
        <w:rPr>
          <w:color w:val="373737"/>
          <w:sz w:val="20"/>
          <w:lang w:eastAsia="en-AU"/>
        </w:rPr>
        <w:t xml:space="preserve"> gas production for a given contribution to </w:t>
      </w:r>
      <w:r w:rsidR="000112AB">
        <w:rPr>
          <w:color w:val="373737"/>
          <w:sz w:val="20"/>
          <w:lang w:eastAsia="en-AU"/>
        </w:rPr>
        <w:t>the</w:t>
      </w:r>
      <w:r w:rsidRPr="00A62FE8">
        <w:rPr>
          <w:color w:val="373737"/>
          <w:sz w:val="20"/>
          <w:lang w:eastAsia="en-AU"/>
        </w:rPr>
        <w:t xml:space="preserve"> carbon budget.</w:t>
      </w:r>
      <w:r w:rsidR="008D1F92">
        <w:rPr>
          <w:color w:val="373737"/>
          <w:sz w:val="20"/>
          <w:lang w:eastAsia="en-AU"/>
        </w:rPr>
        <w:t xml:space="preserve"> At this point, the pathway forward in inherently uncertain.</w:t>
      </w:r>
    </w:p>
    <w:p w14:paraId="3A96D7D0" w14:textId="57390EBC" w:rsidR="00EC7EC7" w:rsidRPr="0062674F" w:rsidRDefault="008D1F92" w:rsidP="008D1F92">
      <w:pPr>
        <w:spacing w:before="120" w:after="120"/>
        <w:rPr>
          <w:rStyle w:val="BodyTextChar"/>
        </w:rPr>
      </w:pPr>
      <w:r>
        <w:rPr>
          <w:color w:val="373737"/>
          <w:sz w:val="20"/>
          <w:lang w:eastAsia="en-AU"/>
        </w:rPr>
        <w:t xml:space="preserve">In </w:t>
      </w:r>
      <w:r w:rsidR="00EC7EC7" w:rsidRPr="00A62FE8">
        <w:rPr>
          <w:color w:val="373737"/>
          <w:sz w:val="20"/>
          <w:lang w:eastAsia="en-AU"/>
        </w:rPr>
        <w:t>the IEA’s</w:t>
      </w:r>
      <w:r w:rsidR="0015552C">
        <w:rPr>
          <w:color w:val="373737"/>
          <w:sz w:val="20"/>
          <w:lang w:eastAsia="en-AU"/>
        </w:rPr>
        <w:t xml:space="preserve"> (2023</w:t>
      </w:r>
      <w:r w:rsidR="0081417C">
        <w:rPr>
          <w:color w:val="373737"/>
          <w:sz w:val="20"/>
          <w:lang w:eastAsia="en-AU"/>
        </w:rPr>
        <w:t>f</w:t>
      </w:r>
      <w:r w:rsidR="0015552C">
        <w:rPr>
          <w:color w:val="373737"/>
          <w:sz w:val="20"/>
          <w:lang w:eastAsia="en-AU"/>
        </w:rPr>
        <w:t>)</w:t>
      </w:r>
      <w:r w:rsidR="00EC7EC7" w:rsidRPr="00A62FE8">
        <w:rPr>
          <w:color w:val="373737"/>
          <w:sz w:val="20"/>
          <w:lang w:eastAsia="en-AU"/>
        </w:rPr>
        <w:t xml:space="preserve"> </w:t>
      </w:r>
      <w:r w:rsidR="00CF3358">
        <w:rPr>
          <w:color w:val="373737"/>
          <w:sz w:val="20"/>
          <w:lang w:eastAsia="en-AU"/>
        </w:rPr>
        <w:t>N</w:t>
      </w:r>
      <w:r w:rsidR="00EC7EC7" w:rsidRPr="00A62FE8">
        <w:rPr>
          <w:color w:val="373737"/>
          <w:sz w:val="20"/>
          <w:lang w:eastAsia="en-AU"/>
        </w:rPr>
        <w:t xml:space="preserve">et </w:t>
      </w:r>
      <w:r w:rsidR="00CF3358">
        <w:rPr>
          <w:color w:val="373737"/>
          <w:sz w:val="20"/>
          <w:lang w:eastAsia="en-AU"/>
        </w:rPr>
        <w:t>Z</w:t>
      </w:r>
      <w:r w:rsidR="00EC7EC7" w:rsidRPr="00A62FE8">
        <w:rPr>
          <w:color w:val="373737"/>
          <w:sz w:val="20"/>
          <w:lang w:eastAsia="en-AU"/>
        </w:rPr>
        <w:t>ero scenario</w:t>
      </w:r>
      <w:r>
        <w:rPr>
          <w:color w:val="373737"/>
          <w:sz w:val="20"/>
          <w:lang w:eastAsia="en-AU"/>
        </w:rPr>
        <w:t>,</w:t>
      </w:r>
      <w:r w:rsidR="00EC7EC7" w:rsidRPr="00A62FE8">
        <w:rPr>
          <w:color w:val="373737"/>
          <w:sz w:val="20"/>
          <w:lang w:eastAsia="en-AU"/>
        </w:rPr>
        <w:t xml:space="preserve"> the majority of global demand </w:t>
      </w:r>
      <w:r>
        <w:rPr>
          <w:color w:val="373737"/>
          <w:sz w:val="20"/>
          <w:lang w:eastAsia="en-AU"/>
        </w:rPr>
        <w:t>for gas-equivalent fuels is met by</w:t>
      </w:r>
      <w:r w:rsidRPr="00A62FE8">
        <w:rPr>
          <w:color w:val="373737"/>
          <w:sz w:val="20"/>
          <w:lang w:eastAsia="en-AU"/>
        </w:rPr>
        <w:t xml:space="preserve"> </w:t>
      </w:r>
      <w:r w:rsidR="00EC7EC7" w:rsidRPr="00A62FE8">
        <w:rPr>
          <w:color w:val="373737"/>
          <w:sz w:val="20"/>
          <w:lang w:eastAsia="en-AU"/>
        </w:rPr>
        <w:t xml:space="preserve">low-emissions hydrogen production and </w:t>
      </w:r>
      <w:r>
        <w:rPr>
          <w:color w:val="373737"/>
          <w:sz w:val="20"/>
          <w:lang w:eastAsia="en-AU"/>
        </w:rPr>
        <w:t>34</w:t>
      </w:r>
      <w:r w:rsidR="00E31D3C">
        <w:rPr>
          <w:color w:val="373737"/>
          <w:sz w:val="20"/>
          <w:lang w:eastAsia="en-AU"/>
        </w:rPr>
        <w:t>%</w:t>
      </w:r>
      <w:r w:rsidR="00EC7EC7" w:rsidRPr="00A62FE8">
        <w:rPr>
          <w:color w:val="373737"/>
          <w:sz w:val="20"/>
          <w:lang w:eastAsia="en-AU"/>
        </w:rPr>
        <w:t xml:space="preserve"> of demand derives from natural gas (</w:t>
      </w:r>
      <w:r>
        <w:rPr>
          <w:color w:val="373737"/>
          <w:sz w:val="20"/>
          <w:lang w:eastAsia="en-AU"/>
        </w:rPr>
        <w:t xml:space="preserve">abated and unabated; </w:t>
      </w:r>
      <w:r w:rsidR="00EC7EC7" w:rsidRPr="00A62FE8">
        <w:rPr>
          <w:color w:val="373737"/>
          <w:sz w:val="20"/>
          <w:lang w:eastAsia="en-AU"/>
        </w:rPr>
        <w:t xml:space="preserve">Figure </w:t>
      </w:r>
      <w:r w:rsidR="00EC7EC7">
        <w:rPr>
          <w:color w:val="373737"/>
          <w:sz w:val="20"/>
          <w:lang w:eastAsia="en-AU"/>
        </w:rPr>
        <w:t>4.9</w:t>
      </w:r>
      <w:r w:rsidR="00EC7EC7" w:rsidRPr="00A62FE8">
        <w:rPr>
          <w:color w:val="373737"/>
          <w:sz w:val="20"/>
          <w:lang w:eastAsia="en-AU"/>
        </w:rPr>
        <w:t xml:space="preserve">). </w:t>
      </w:r>
      <w:r>
        <w:rPr>
          <w:color w:val="373737"/>
          <w:sz w:val="20"/>
          <w:lang w:eastAsia="en-AU"/>
        </w:rPr>
        <w:t xml:space="preserve">This is a significant reduction compared to the </w:t>
      </w:r>
      <w:r w:rsidR="00EC7EC7" w:rsidRPr="00A62FE8">
        <w:rPr>
          <w:color w:val="373737"/>
          <w:sz w:val="20"/>
          <w:lang w:eastAsia="en-AU"/>
        </w:rPr>
        <w:t xml:space="preserve">STEPS current policy setting scenario, </w:t>
      </w:r>
      <w:r>
        <w:rPr>
          <w:color w:val="373737"/>
          <w:sz w:val="20"/>
          <w:lang w:eastAsia="en-AU"/>
        </w:rPr>
        <w:t xml:space="preserve">in which </w:t>
      </w:r>
      <w:r w:rsidR="00EC7EC7" w:rsidRPr="00A62FE8">
        <w:rPr>
          <w:color w:val="373737"/>
          <w:sz w:val="20"/>
          <w:lang w:eastAsia="en-AU"/>
        </w:rPr>
        <w:t xml:space="preserve">natural gas represents more than 90% of global gas production </w:t>
      </w:r>
      <w:r>
        <w:rPr>
          <w:color w:val="373737"/>
          <w:sz w:val="20"/>
          <w:lang w:eastAsia="en-AU"/>
        </w:rPr>
        <w:t>(</w:t>
      </w:r>
      <w:r w:rsidR="00EC7EC7" w:rsidRPr="00A62FE8">
        <w:rPr>
          <w:color w:val="373737"/>
          <w:sz w:val="20"/>
          <w:lang w:eastAsia="en-AU"/>
        </w:rPr>
        <w:t>similar to 2021 levels</w:t>
      </w:r>
      <w:r>
        <w:rPr>
          <w:color w:val="373737"/>
          <w:sz w:val="20"/>
          <w:lang w:eastAsia="en-AU"/>
        </w:rPr>
        <w:t>), and largely unabated</w:t>
      </w:r>
      <w:r w:rsidR="00EC7EC7" w:rsidRPr="00A62FE8">
        <w:rPr>
          <w:color w:val="373737"/>
          <w:sz w:val="20"/>
          <w:lang w:eastAsia="en-AU"/>
        </w:rPr>
        <w:t>.</w:t>
      </w:r>
      <w:r>
        <w:rPr>
          <w:color w:val="373737"/>
          <w:sz w:val="20"/>
          <w:lang w:eastAsia="en-AU"/>
        </w:rPr>
        <w:t xml:space="preserve"> However, it still represents demand for almost 900bcm of natural gas</w:t>
      </w:r>
      <w:r w:rsidR="00235CEA">
        <w:rPr>
          <w:color w:val="373737"/>
          <w:sz w:val="20"/>
          <w:lang w:eastAsia="en-AU"/>
        </w:rPr>
        <w:t xml:space="preserve">, </w:t>
      </w:r>
      <w:r>
        <w:rPr>
          <w:color w:val="373737"/>
          <w:sz w:val="20"/>
          <w:lang w:eastAsia="en-AU"/>
        </w:rPr>
        <w:t>almost one quarter of the STEPS scenario</w:t>
      </w:r>
      <w:r w:rsidR="00235CEA">
        <w:rPr>
          <w:color w:val="373737"/>
          <w:sz w:val="20"/>
          <w:lang w:eastAsia="en-AU"/>
        </w:rPr>
        <w:t xml:space="preserve"> (</w:t>
      </w:r>
      <w:r w:rsidRPr="00235CEA">
        <w:rPr>
          <w:color w:val="373737"/>
          <w:sz w:val="20"/>
          <w:lang w:eastAsia="en-AU"/>
        </w:rPr>
        <w:fldChar w:fldCharType="begin"/>
      </w:r>
      <w:r w:rsidRPr="00235CEA">
        <w:rPr>
          <w:color w:val="373737"/>
          <w:sz w:val="20"/>
          <w:lang w:eastAsia="en-AU"/>
        </w:rPr>
        <w:instrText xml:space="preserve"> REF _Ref165311280 \h  \* MERGEFORMAT </w:instrText>
      </w:r>
      <w:r w:rsidRPr="00235CEA">
        <w:rPr>
          <w:color w:val="373737"/>
          <w:sz w:val="20"/>
          <w:lang w:eastAsia="en-AU"/>
        </w:rPr>
      </w:r>
      <w:r w:rsidRPr="00235CEA">
        <w:rPr>
          <w:color w:val="373737"/>
          <w:sz w:val="20"/>
          <w:lang w:eastAsia="en-AU"/>
        </w:rPr>
        <w:fldChar w:fldCharType="separate"/>
      </w:r>
      <w:r w:rsidR="00BF178A" w:rsidRPr="00BF178A">
        <w:rPr>
          <w:color w:val="373737"/>
          <w:sz w:val="20"/>
          <w:lang w:eastAsia="en-AU"/>
        </w:rPr>
        <w:t>Figure 4.10</w:t>
      </w:r>
      <w:r w:rsidRPr="00235CEA">
        <w:rPr>
          <w:color w:val="373737"/>
          <w:sz w:val="20"/>
          <w:lang w:eastAsia="en-AU"/>
        </w:rPr>
        <w:fldChar w:fldCharType="end"/>
      </w:r>
      <w:r w:rsidRPr="00235CEA">
        <w:rPr>
          <w:color w:val="373737"/>
          <w:sz w:val="20"/>
          <w:lang w:eastAsia="en-AU"/>
        </w:rPr>
        <w:t>).</w:t>
      </w:r>
    </w:p>
    <w:p w14:paraId="17A8CC1F" w14:textId="5F577750" w:rsidR="008D1F92" w:rsidRPr="00A62FE8" w:rsidRDefault="008D1F92" w:rsidP="0062674F">
      <w:pPr>
        <w:spacing w:before="120" w:after="120"/>
        <w:rPr>
          <w:color w:val="373737"/>
          <w:sz w:val="20"/>
          <w:lang w:eastAsia="en-AU"/>
        </w:rPr>
      </w:pPr>
      <w:r>
        <w:rPr>
          <w:color w:val="373737"/>
          <w:sz w:val="20"/>
          <w:lang w:eastAsia="en-AU"/>
        </w:rPr>
        <w:t xml:space="preserve">This pathway also assumes that all </w:t>
      </w:r>
      <w:r w:rsidR="00051CBF">
        <w:rPr>
          <w:color w:val="373737"/>
          <w:sz w:val="20"/>
          <w:lang w:eastAsia="en-AU"/>
        </w:rPr>
        <w:t xml:space="preserve">countries </w:t>
      </w:r>
      <w:r>
        <w:rPr>
          <w:color w:val="373737"/>
          <w:sz w:val="20"/>
          <w:lang w:eastAsia="en-AU"/>
        </w:rPr>
        <w:t>move directly to renewable energy from coal</w:t>
      </w:r>
      <w:r w:rsidR="00F2004A">
        <w:rPr>
          <w:color w:val="373737"/>
          <w:sz w:val="20"/>
          <w:lang w:eastAsia="en-AU"/>
        </w:rPr>
        <w:t xml:space="preserve">, and gas use in electricity grids is minimised. </w:t>
      </w:r>
      <w:r>
        <w:rPr>
          <w:color w:val="373737"/>
          <w:sz w:val="20"/>
          <w:lang w:eastAsia="en-AU"/>
        </w:rPr>
        <w:t>Consultation suggests that gas substitution may form part of individual country decarbonisation plans, so the potential for gas demand as a transition fuel is likely higher than represented in the IEA net zero scenario. Nonetheless, it indicates that gas demand will need to fall significantly from today’s levels to achieve net zero.</w:t>
      </w:r>
    </w:p>
    <w:tbl>
      <w:tblPr>
        <w:tblStyle w:val="OCETable"/>
        <w:tblW w:w="6804" w:type="dxa"/>
        <w:shd w:val="clear" w:color="auto" w:fill="F1CFCF"/>
        <w:tblLayout w:type="fixed"/>
        <w:tblLook w:val="04A0" w:firstRow="1" w:lastRow="0" w:firstColumn="1" w:lastColumn="0" w:noHBand="0" w:noVBand="1"/>
      </w:tblPr>
      <w:tblGrid>
        <w:gridCol w:w="6804"/>
      </w:tblGrid>
      <w:tr w:rsidR="00EC7EC7" w:rsidRPr="00A62FE8" w14:paraId="6A4A2705" w14:textId="77777777" w:rsidTr="00E00A10">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1CFCF"/>
          </w:tcPr>
          <w:p w14:paraId="47E2195C" w14:textId="625B3759" w:rsidR="00EC7EC7" w:rsidRPr="00A62FE8" w:rsidRDefault="00EC7EC7" w:rsidP="00E00A10">
            <w:pPr>
              <w:widowControl w:val="0"/>
              <w:spacing w:beforeLines="60" w:before="144" w:afterLines="60" w:after="144"/>
              <w:ind w:left="113" w:right="113"/>
              <w:jc w:val="both"/>
              <w:rPr>
                <w:rFonts w:eastAsia="Times New Roman" w:cs="Arial"/>
                <w:color w:val="auto"/>
                <w:szCs w:val="18"/>
                <w:lang w:val="en"/>
              </w:rPr>
            </w:pPr>
            <w:r w:rsidRPr="00F864BE">
              <w:rPr>
                <w:rFonts w:eastAsia="Times New Roman" w:cs="Arial"/>
                <w:b/>
                <w:bCs/>
                <w:color w:val="auto"/>
                <w:sz w:val="20"/>
                <w:szCs w:val="18"/>
                <w:lang w:val="en"/>
              </w:rPr>
              <w:t>Insight:</w:t>
            </w:r>
            <w:r w:rsidRPr="00E00A10">
              <w:rPr>
                <w:rFonts w:eastAsia="Times New Roman" w:cs="Arial"/>
                <w:color w:val="auto"/>
                <w:sz w:val="20"/>
                <w:szCs w:val="18"/>
                <w:lang w:val="en"/>
              </w:rPr>
              <w:t xml:space="preserve"> Under the IEA’s </w:t>
            </w:r>
            <w:r w:rsidR="00CF3358" w:rsidRPr="00E00A10">
              <w:rPr>
                <w:rFonts w:eastAsia="Times New Roman" w:cs="Arial"/>
                <w:color w:val="auto"/>
                <w:sz w:val="20"/>
                <w:szCs w:val="18"/>
                <w:lang w:val="en"/>
              </w:rPr>
              <w:t>N</w:t>
            </w:r>
            <w:r w:rsidRPr="00E00A10">
              <w:rPr>
                <w:rFonts w:eastAsia="Times New Roman" w:cs="Arial"/>
                <w:color w:val="auto"/>
                <w:sz w:val="20"/>
                <w:szCs w:val="18"/>
                <w:lang w:val="en"/>
              </w:rPr>
              <w:t xml:space="preserve">et </w:t>
            </w:r>
            <w:r w:rsidR="00CF3358" w:rsidRPr="00E00A10">
              <w:rPr>
                <w:rFonts w:eastAsia="Times New Roman" w:cs="Arial"/>
                <w:color w:val="auto"/>
                <w:sz w:val="20"/>
                <w:szCs w:val="18"/>
                <w:lang w:val="en"/>
              </w:rPr>
              <w:t>Z</w:t>
            </w:r>
            <w:r w:rsidRPr="00E00A10">
              <w:rPr>
                <w:rFonts w:eastAsia="Times New Roman" w:cs="Arial"/>
                <w:color w:val="auto"/>
                <w:sz w:val="20"/>
                <w:szCs w:val="18"/>
                <w:lang w:val="en"/>
              </w:rPr>
              <w:t>ero scenario there is significant growth in use of hydrogen gas, but even so natural gas use does not disappear.</w:t>
            </w:r>
          </w:p>
        </w:tc>
      </w:tr>
    </w:tbl>
    <w:p w14:paraId="39C7E28D" w14:textId="77777777" w:rsidR="00EC7EC7" w:rsidRPr="00A62FE8" w:rsidRDefault="00EC7EC7" w:rsidP="00EC7EC7">
      <w:pPr>
        <w:spacing w:after="120"/>
        <w:rPr>
          <w:color w:val="373737"/>
          <w:sz w:val="20"/>
          <w:lang w:eastAsia="en-AU"/>
        </w:rPr>
      </w:pPr>
    </w:p>
    <w:p w14:paraId="232053CA" w14:textId="18AE894A" w:rsidR="00EC7EC7" w:rsidRPr="00A62FE8" w:rsidRDefault="00EC7EC7" w:rsidP="00C97679">
      <w:pPr>
        <w:pStyle w:val="Caption"/>
        <w:rPr>
          <w:lang w:val="en"/>
        </w:rPr>
      </w:pPr>
      <w:r w:rsidRPr="00A62FE8">
        <w:rPr>
          <w:lang w:val="en"/>
        </w:rPr>
        <w:t xml:space="preserve">Figure </w:t>
      </w:r>
      <w:r w:rsidR="006877E8">
        <w:rPr>
          <w:lang w:val="en"/>
        </w:rPr>
        <w:fldChar w:fldCharType="begin"/>
      </w:r>
      <w:r w:rsidR="006877E8">
        <w:rPr>
          <w:lang w:val="en"/>
        </w:rPr>
        <w:instrText xml:space="preserve"> STYLEREF 1 \s </w:instrText>
      </w:r>
      <w:r w:rsidR="006877E8">
        <w:rPr>
          <w:lang w:val="en"/>
        </w:rPr>
        <w:fldChar w:fldCharType="separate"/>
      </w:r>
      <w:r w:rsidR="00BF178A">
        <w:rPr>
          <w:noProof/>
          <w:lang w:val="en"/>
        </w:rPr>
        <w:t>4</w:t>
      </w:r>
      <w:r w:rsidR="006877E8">
        <w:rPr>
          <w:lang w:val="en"/>
        </w:rPr>
        <w:fldChar w:fldCharType="end"/>
      </w:r>
      <w:r w:rsidR="006877E8">
        <w:rPr>
          <w:lang w:val="en"/>
        </w:rPr>
        <w:t>.</w:t>
      </w:r>
      <w:r w:rsidR="006877E8">
        <w:rPr>
          <w:lang w:val="en"/>
        </w:rPr>
        <w:fldChar w:fldCharType="begin"/>
      </w:r>
      <w:r w:rsidR="006877E8">
        <w:rPr>
          <w:lang w:val="en"/>
        </w:rPr>
        <w:instrText xml:space="preserve"> SEQ Figure \* ARABIC \s 1 </w:instrText>
      </w:r>
      <w:r w:rsidR="006877E8">
        <w:rPr>
          <w:lang w:val="en"/>
        </w:rPr>
        <w:fldChar w:fldCharType="separate"/>
      </w:r>
      <w:r w:rsidR="00BF178A">
        <w:rPr>
          <w:noProof/>
          <w:lang w:val="en"/>
        </w:rPr>
        <w:t>9</w:t>
      </w:r>
      <w:r w:rsidR="006877E8">
        <w:rPr>
          <w:lang w:val="en"/>
        </w:rPr>
        <w:fldChar w:fldCharType="end"/>
      </w:r>
      <w:r w:rsidRPr="00A62FE8">
        <w:rPr>
          <w:lang w:val="en"/>
        </w:rPr>
        <w:t xml:space="preserve">: IEA’s 2050 </w:t>
      </w:r>
      <w:r w:rsidR="00CA3EDF">
        <w:rPr>
          <w:lang w:val="en"/>
        </w:rPr>
        <w:t>o</w:t>
      </w:r>
      <w:r w:rsidRPr="00A62FE8">
        <w:rPr>
          <w:lang w:val="en"/>
        </w:rPr>
        <w:t xml:space="preserve">utlook for </w:t>
      </w:r>
      <w:r w:rsidR="00CA3EDF">
        <w:rPr>
          <w:lang w:val="en"/>
        </w:rPr>
        <w:t>g</w:t>
      </w:r>
      <w:r w:rsidRPr="00A62FE8">
        <w:rPr>
          <w:lang w:val="en"/>
        </w:rPr>
        <w:t xml:space="preserve">as-equivalent fuels by scenario </w:t>
      </w:r>
    </w:p>
    <w:p w14:paraId="2A3B2016" w14:textId="31EE9F07" w:rsidR="00EC7EC7" w:rsidRPr="00A62FE8" w:rsidRDefault="00B05C5A" w:rsidP="00EC7EC7">
      <w:pPr>
        <w:keepNext/>
        <w:spacing w:after="60" w:line="240" w:lineRule="auto"/>
        <w:rPr>
          <w:rFonts w:eastAsia="Times New Roman" w:cs="Arial"/>
          <w:color w:val="005CAF"/>
          <w:sz w:val="16"/>
          <w:szCs w:val="20"/>
          <w:lang w:val="en"/>
        </w:rPr>
      </w:pPr>
      <w:r>
        <w:rPr>
          <w:noProof/>
        </w:rPr>
        <w:drawing>
          <wp:inline distT="0" distB="0" distL="0" distR="0" wp14:anchorId="1FD96EB5" wp14:editId="1229E4A9">
            <wp:extent cx="4206875" cy="4019550"/>
            <wp:effectExtent l="0" t="0" r="3175" b="0"/>
            <wp:docPr id="699518995" name="Chart 699518995" descr="This figure provides a breakdown of the IEA’s 2050 outlook for gas-equivalent fuels by scenario in billion cubic metres. Under the STEPS scenario, natural gas represents more than 90% of global gas demand (mostly unabated). In the APS scenario, there is less gas demand and unabated natural gas still accounts for more than half of gas-equivalent fuels, however there is a slightly greater amount of abated natural gas and a relatively higher amount of low-emission hydrogen. Under the NZE scenario, there is even less demand for gas, with significant growth in hydrogen gas, and lesser amounts of both abated and unabated natural gas.">
              <a:extLst xmlns:a="http://schemas.openxmlformats.org/drawingml/2006/main">
                <a:ext uri="{FF2B5EF4-FFF2-40B4-BE49-F238E27FC236}">
                  <a16:creationId xmlns:a16="http://schemas.microsoft.com/office/drawing/2014/main" id="{5ED310FD-C8A8-4D30-AD58-701E15F48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94AAC35" w14:textId="68D07B19" w:rsidR="00EC7EC7" w:rsidRPr="00A62FE8" w:rsidRDefault="00EC7EC7" w:rsidP="000275CF">
      <w:pPr>
        <w:pStyle w:val="Source"/>
        <w:rPr>
          <w:lang w:eastAsia="en-AU"/>
        </w:rPr>
      </w:pPr>
      <w:r w:rsidRPr="00A62FE8">
        <w:t>Source: IEA (202</w:t>
      </w:r>
      <w:r w:rsidR="00E31D3C">
        <w:t>3</w:t>
      </w:r>
      <w:r w:rsidR="000B5D6E">
        <w:t>e</w:t>
      </w:r>
      <w:r w:rsidRPr="00A62FE8">
        <w:t xml:space="preserve">) </w:t>
      </w:r>
    </w:p>
    <w:p w14:paraId="054D7320" w14:textId="23345082" w:rsidR="00C30316" w:rsidRPr="00A62FE8" w:rsidRDefault="00C30316" w:rsidP="00C30316">
      <w:pPr>
        <w:spacing w:after="120"/>
        <w:rPr>
          <w:color w:val="373737"/>
          <w:sz w:val="20"/>
        </w:rPr>
      </w:pPr>
      <w:r w:rsidRPr="00A62FE8">
        <w:rPr>
          <w:color w:val="373737"/>
          <w:sz w:val="20"/>
        </w:rPr>
        <w:t xml:space="preserve">Global gas demand for the three IEA scenarios is shown in Figures </w:t>
      </w:r>
      <w:r>
        <w:rPr>
          <w:color w:val="373737"/>
          <w:sz w:val="20"/>
        </w:rPr>
        <w:t>4</w:t>
      </w:r>
      <w:r w:rsidRPr="00A62FE8">
        <w:rPr>
          <w:color w:val="373737"/>
          <w:sz w:val="20"/>
        </w:rPr>
        <w:t>.1</w:t>
      </w:r>
      <w:r w:rsidR="00BE6BED">
        <w:rPr>
          <w:color w:val="373737"/>
          <w:sz w:val="20"/>
        </w:rPr>
        <w:t>0</w:t>
      </w:r>
      <w:r w:rsidRPr="00A62FE8">
        <w:rPr>
          <w:color w:val="373737"/>
          <w:sz w:val="20"/>
        </w:rPr>
        <w:t xml:space="preserve"> to </w:t>
      </w:r>
      <w:r>
        <w:rPr>
          <w:color w:val="373737"/>
          <w:sz w:val="20"/>
        </w:rPr>
        <w:t>4.1</w:t>
      </w:r>
      <w:r w:rsidR="00BE6BED">
        <w:rPr>
          <w:color w:val="373737"/>
          <w:sz w:val="20"/>
        </w:rPr>
        <w:t>2</w:t>
      </w:r>
      <w:r w:rsidRPr="00A62FE8">
        <w:rPr>
          <w:color w:val="373737"/>
          <w:sz w:val="20"/>
        </w:rPr>
        <w:t xml:space="preserve">. </w:t>
      </w:r>
      <w:r w:rsidR="00A6323F">
        <w:rPr>
          <w:color w:val="373737"/>
          <w:sz w:val="20"/>
        </w:rPr>
        <w:t>Three</w:t>
      </w:r>
      <w:r w:rsidRPr="00A62FE8">
        <w:rPr>
          <w:color w:val="373737"/>
          <w:sz w:val="20"/>
        </w:rPr>
        <w:t xml:space="preserve"> important observations emerge when examining projected levels of global gas demand, global LNG demand, and Asian regional gas demand.</w:t>
      </w:r>
    </w:p>
    <w:p w14:paraId="7405A87E" w14:textId="66A55565" w:rsidR="00A6323F" w:rsidRDefault="000156E4" w:rsidP="000156E4">
      <w:pPr>
        <w:spacing w:after="120"/>
        <w:rPr>
          <w:color w:val="373737"/>
          <w:sz w:val="20"/>
        </w:rPr>
      </w:pPr>
      <w:r>
        <w:rPr>
          <w:color w:val="373737"/>
          <w:sz w:val="20"/>
        </w:rPr>
        <w:t>First,</w:t>
      </w:r>
      <w:r w:rsidRPr="00A62FE8">
        <w:rPr>
          <w:color w:val="373737"/>
          <w:sz w:val="20"/>
        </w:rPr>
        <w:t xml:space="preserve"> </w:t>
      </w:r>
      <w:r w:rsidR="00A6323F">
        <w:rPr>
          <w:color w:val="373737"/>
          <w:sz w:val="20"/>
        </w:rPr>
        <w:t>significant policy action is required at a global level to reduce</w:t>
      </w:r>
      <w:r w:rsidRPr="00A62FE8">
        <w:rPr>
          <w:color w:val="373737"/>
          <w:sz w:val="20"/>
        </w:rPr>
        <w:t xml:space="preserve"> gas demand </w:t>
      </w:r>
      <w:r w:rsidR="00A6323F">
        <w:rPr>
          <w:color w:val="373737"/>
          <w:sz w:val="20"/>
        </w:rPr>
        <w:t>toward levels consistent with announced pledges and net zero targets.</w:t>
      </w:r>
      <w:r w:rsidRPr="00A62FE8">
        <w:rPr>
          <w:color w:val="373737"/>
          <w:sz w:val="20"/>
        </w:rPr>
        <w:t xml:space="preserve"> The IEA’s scenarios range from effectively no change in gas production in 2050 relative to today</w:t>
      </w:r>
      <w:r>
        <w:rPr>
          <w:color w:val="373737"/>
          <w:sz w:val="20"/>
        </w:rPr>
        <w:t xml:space="preserve"> </w:t>
      </w:r>
      <w:r w:rsidRPr="00A62FE8">
        <w:rPr>
          <w:color w:val="373737"/>
          <w:sz w:val="20"/>
        </w:rPr>
        <w:t>— based on current policy settings</w:t>
      </w:r>
      <w:r>
        <w:rPr>
          <w:color w:val="373737"/>
          <w:sz w:val="20"/>
        </w:rPr>
        <w:t xml:space="preserve"> </w:t>
      </w:r>
      <w:r w:rsidRPr="00A62FE8">
        <w:rPr>
          <w:color w:val="373737"/>
          <w:sz w:val="20"/>
        </w:rPr>
        <w:t>— to approximately 35% reductions in 2050 gas demand —</w:t>
      </w:r>
      <w:r>
        <w:rPr>
          <w:color w:val="373737"/>
          <w:sz w:val="20"/>
        </w:rPr>
        <w:t xml:space="preserve"> </w:t>
      </w:r>
      <w:r w:rsidRPr="00A62FE8">
        <w:rPr>
          <w:color w:val="373737"/>
          <w:sz w:val="20"/>
        </w:rPr>
        <w:t xml:space="preserve">based on current stated levels of climate ambition, and approximately 70% reduction in gas demand in 2050 under a pathway to net zero </w:t>
      </w:r>
      <w:r w:rsidRPr="00A62FE8">
        <w:rPr>
          <w:color w:val="373737"/>
          <w:sz w:val="20"/>
          <w:lang w:eastAsia="en-AU"/>
        </w:rPr>
        <w:t>CO</w:t>
      </w:r>
      <w:r w:rsidRPr="00A62FE8">
        <w:rPr>
          <w:color w:val="373737"/>
          <w:sz w:val="20"/>
          <w:vertAlign w:val="subscript"/>
          <w:lang w:eastAsia="en-AU"/>
        </w:rPr>
        <w:t xml:space="preserve">2 </w:t>
      </w:r>
      <w:r w:rsidRPr="00A62FE8">
        <w:rPr>
          <w:color w:val="373737"/>
          <w:sz w:val="20"/>
          <w:lang w:eastAsia="en-AU"/>
        </w:rPr>
        <w:t>emissions by 2050.</w:t>
      </w:r>
    </w:p>
    <w:p w14:paraId="5B659224" w14:textId="3CF7E469" w:rsidR="000156E4" w:rsidRPr="00A62FE8" w:rsidRDefault="00A6323F" w:rsidP="000156E4">
      <w:pPr>
        <w:spacing w:after="120"/>
        <w:rPr>
          <w:color w:val="373737"/>
          <w:sz w:val="20"/>
          <w:lang w:eastAsia="en-AU"/>
        </w:rPr>
      </w:pPr>
      <w:r>
        <w:rPr>
          <w:color w:val="373737"/>
          <w:sz w:val="20"/>
        </w:rPr>
        <w:t xml:space="preserve">Second, </w:t>
      </w:r>
      <w:r w:rsidR="000156E4" w:rsidRPr="00A62FE8">
        <w:rPr>
          <w:color w:val="373737"/>
          <w:sz w:val="20"/>
        </w:rPr>
        <w:t xml:space="preserve">there is a high degree of uncertainty </w:t>
      </w:r>
      <w:r>
        <w:rPr>
          <w:color w:val="373737"/>
          <w:sz w:val="20"/>
        </w:rPr>
        <w:t xml:space="preserve">around the pathways that </w:t>
      </w:r>
      <w:r w:rsidR="0020044E">
        <w:rPr>
          <w:color w:val="373737"/>
          <w:sz w:val="20"/>
        </w:rPr>
        <w:t>g</w:t>
      </w:r>
      <w:r>
        <w:rPr>
          <w:color w:val="373737"/>
          <w:sz w:val="20"/>
        </w:rPr>
        <w:t xml:space="preserve">overnments around the world will take and therefore </w:t>
      </w:r>
      <w:r w:rsidR="000156E4" w:rsidRPr="00A62FE8">
        <w:rPr>
          <w:color w:val="373737"/>
          <w:sz w:val="20"/>
        </w:rPr>
        <w:t xml:space="preserve">around </w:t>
      </w:r>
      <w:r>
        <w:rPr>
          <w:color w:val="373737"/>
          <w:sz w:val="20"/>
        </w:rPr>
        <w:t>demand over time</w:t>
      </w:r>
      <w:r w:rsidR="000156E4" w:rsidRPr="00A62FE8">
        <w:rPr>
          <w:color w:val="373737"/>
          <w:sz w:val="20"/>
        </w:rPr>
        <w:t xml:space="preserve">. </w:t>
      </w:r>
    </w:p>
    <w:p w14:paraId="3B610255" w14:textId="467158E4" w:rsidR="00C30316" w:rsidRPr="00A62FE8" w:rsidRDefault="00A6323F" w:rsidP="00C30316">
      <w:pPr>
        <w:spacing w:after="120"/>
        <w:rPr>
          <w:color w:val="373737"/>
          <w:sz w:val="20"/>
        </w:rPr>
      </w:pPr>
      <w:r>
        <w:rPr>
          <w:color w:val="373737"/>
          <w:sz w:val="20"/>
          <w:lang w:eastAsia="en-AU"/>
        </w:rPr>
        <w:t>Third</w:t>
      </w:r>
      <w:r w:rsidR="00C30316" w:rsidRPr="00A62FE8">
        <w:rPr>
          <w:color w:val="373737"/>
          <w:sz w:val="20"/>
          <w:lang w:eastAsia="en-AU"/>
        </w:rPr>
        <w:t>, Asia</w:t>
      </w:r>
      <w:r w:rsidR="000156E4">
        <w:rPr>
          <w:color w:val="373737"/>
          <w:sz w:val="20"/>
          <w:lang w:eastAsia="en-AU"/>
        </w:rPr>
        <w:t xml:space="preserve"> Pacific</w:t>
      </w:r>
      <w:r w:rsidR="00C30316" w:rsidRPr="00A62FE8">
        <w:rPr>
          <w:color w:val="373737"/>
          <w:sz w:val="20"/>
          <w:lang w:eastAsia="en-AU"/>
        </w:rPr>
        <w:t xml:space="preserve"> </w:t>
      </w:r>
      <w:r>
        <w:rPr>
          <w:color w:val="373737"/>
          <w:sz w:val="20"/>
          <w:lang w:eastAsia="en-AU"/>
        </w:rPr>
        <w:t>demand for gas is likely to hold up relative to other regions. R</w:t>
      </w:r>
      <w:r w:rsidR="00C30316" w:rsidRPr="00A62FE8">
        <w:rPr>
          <w:color w:val="373737"/>
          <w:sz w:val="20"/>
          <w:lang w:eastAsia="en-AU"/>
        </w:rPr>
        <w:t xml:space="preserve">egional gas demand </w:t>
      </w:r>
      <w:r w:rsidR="000156E4">
        <w:rPr>
          <w:color w:val="373737"/>
          <w:sz w:val="20"/>
          <w:lang w:eastAsia="en-AU"/>
        </w:rPr>
        <w:t>is</w:t>
      </w:r>
      <w:r w:rsidR="00C30316" w:rsidRPr="00A62FE8">
        <w:rPr>
          <w:color w:val="373737"/>
          <w:sz w:val="20"/>
          <w:lang w:eastAsia="en-AU"/>
        </w:rPr>
        <w:t xml:space="preserve"> projected to </w:t>
      </w:r>
      <w:r w:rsidR="006C44A2">
        <w:rPr>
          <w:color w:val="373737"/>
          <w:sz w:val="20"/>
          <w:lang w:eastAsia="en-AU"/>
        </w:rPr>
        <w:t>decline by less</w:t>
      </w:r>
      <w:r w:rsidR="00C30316" w:rsidRPr="00A62FE8">
        <w:rPr>
          <w:color w:val="373737"/>
          <w:sz w:val="20"/>
          <w:lang w:eastAsia="en-AU"/>
        </w:rPr>
        <w:t xml:space="preserve"> than global </w:t>
      </w:r>
      <w:r w:rsidR="006C44A2">
        <w:rPr>
          <w:color w:val="373737"/>
          <w:sz w:val="20"/>
          <w:lang w:eastAsia="en-AU"/>
        </w:rPr>
        <w:t>gas</w:t>
      </w:r>
      <w:r w:rsidR="00C30316" w:rsidRPr="00A62FE8">
        <w:rPr>
          <w:color w:val="373737"/>
          <w:sz w:val="20"/>
          <w:lang w:eastAsia="en-AU"/>
        </w:rPr>
        <w:t xml:space="preserve"> demand</w:t>
      </w:r>
      <w:r w:rsidR="006C44A2">
        <w:rPr>
          <w:color w:val="373737"/>
          <w:sz w:val="20"/>
          <w:lang w:eastAsia="en-AU"/>
        </w:rPr>
        <w:t xml:space="preserve"> in the available scenarios </w:t>
      </w:r>
      <w:r w:rsidR="00C30316" w:rsidRPr="00A62FE8">
        <w:rPr>
          <w:color w:val="373737"/>
          <w:sz w:val="20"/>
          <w:lang w:eastAsia="en-AU"/>
        </w:rPr>
        <w:t xml:space="preserve">(Figures </w:t>
      </w:r>
      <w:r w:rsidR="00C30316">
        <w:rPr>
          <w:color w:val="373737"/>
          <w:sz w:val="20"/>
          <w:lang w:eastAsia="en-AU"/>
        </w:rPr>
        <w:t>4</w:t>
      </w:r>
      <w:r w:rsidR="00C30316" w:rsidRPr="00A62FE8">
        <w:rPr>
          <w:color w:val="373737"/>
          <w:sz w:val="20"/>
          <w:lang w:eastAsia="en-AU"/>
        </w:rPr>
        <w:t>.1</w:t>
      </w:r>
      <w:r w:rsidR="00BE6BED">
        <w:rPr>
          <w:color w:val="373737"/>
          <w:sz w:val="20"/>
          <w:lang w:eastAsia="en-AU"/>
        </w:rPr>
        <w:t>1</w:t>
      </w:r>
      <w:r w:rsidR="00C30316" w:rsidRPr="00A62FE8">
        <w:rPr>
          <w:color w:val="373737"/>
          <w:sz w:val="20"/>
          <w:lang w:eastAsia="en-AU"/>
        </w:rPr>
        <w:t xml:space="preserve">). </w:t>
      </w:r>
      <w:r w:rsidR="006C44A2">
        <w:rPr>
          <w:color w:val="373737"/>
          <w:sz w:val="20"/>
          <w:lang w:eastAsia="en-AU"/>
        </w:rPr>
        <w:t>Global LNG demand (Figure 4.</w:t>
      </w:r>
      <w:r w:rsidR="00F53FA4">
        <w:rPr>
          <w:color w:val="373737"/>
          <w:sz w:val="20"/>
          <w:lang w:eastAsia="en-AU"/>
        </w:rPr>
        <w:t>1</w:t>
      </w:r>
      <w:r w:rsidR="00BE6BED">
        <w:rPr>
          <w:color w:val="373737"/>
          <w:sz w:val="20"/>
          <w:lang w:eastAsia="en-AU"/>
        </w:rPr>
        <w:t>2</w:t>
      </w:r>
      <w:r w:rsidR="006C44A2">
        <w:rPr>
          <w:color w:val="373737"/>
          <w:sz w:val="20"/>
          <w:lang w:eastAsia="en-AU"/>
        </w:rPr>
        <w:t xml:space="preserve">), however, falls faster than global gas demand in the APS scenario. Given the low share of gas production in the Asia region and legislated hard end date to LNG imports in Europe, this likely reflects </w:t>
      </w:r>
      <w:r w:rsidR="000D5653">
        <w:rPr>
          <w:color w:val="373737"/>
          <w:sz w:val="20"/>
          <w:lang w:eastAsia="en-AU"/>
        </w:rPr>
        <w:t>continued demand for</w:t>
      </w:r>
      <w:r w:rsidR="006C44A2">
        <w:rPr>
          <w:color w:val="373737"/>
          <w:sz w:val="20"/>
          <w:lang w:eastAsia="en-AU"/>
        </w:rPr>
        <w:t xml:space="preserve"> LNG within Asia.</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C30316" w:rsidRPr="00A62FE8" w14:paraId="79B307A7" w14:textId="77777777" w:rsidTr="00D81BB3">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13A345A2" w14:textId="53F5870F" w:rsidR="00C30316" w:rsidRPr="00A62FE8" w:rsidRDefault="00C30316" w:rsidP="00F163B9">
            <w:pPr>
              <w:widowControl w:val="0"/>
              <w:spacing w:beforeLines="60" w:before="144" w:afterLines="60" w:after="144"/>
              <w:ind w:left="113" w:right="113"/>
              <w:jc w:val="both"/>
              <w:rPr>
                <w:rFonts w:eastAsia="Times New Roman" w:cs="Arial"/>
                <w:color w:val="auto"/>
                <w:sz w:val="20"/>
                <w:szCs w:val="18"/>
                <w:lang w:val="en"/>
              </w:rPr>
            </w:pPr>
            <w:bookmarkStart w:id="117" w:name="_Hlk165619230"/>
            <w:r w:rsidRPr="00A62FE8">
              <w:rPr>
                <w:rFonts w:eastAsia="Times New Roman" w:cs="Arial"/>
                <w:sz w:val="20"/>
                <w:szCs w:val="18"/>
                <w:lang w:val="en"/>
              </w:rPr>
              <w:br w:type="column"/>
            </w:r>
            <w:r w:rsidRPr="00A62FE8">
              <w:rPr>
                <w:rFonts w:eastAsia="Times New Roman" w:cs="Arial"/>
                <w:b/>
                <w:bCs/>
                <w:color w:val="auto"/>
                <w:sz w:val="20"/>
                <w:szCs w:val="18"/>
                <w:lang w:val="en"/>
              </w:rPr>
              <w:t xml:space="preserve">Insight: </w:t>
            </w:r>
            <w:r w:rsidRPr="00A62FE8">
              <w:rPr>
                <w:rFonts w:eastAsia="Times New Roman" w:cs="Arial"/>
                <w:color w:val="auto"/>
                <w:sz w:val="20"/>
                <w:szCs w:val="18"/>
                <w:lang w:val="en"/>
              </w:rPr>
              <w:t>There are a wide range of gas demand estimates in 2050 that correspond with different levels of global ambition to reduce emissions.</w:t>
            </w:r>
            <w:r w:rsidR="00A6323F">
              <w:rPr>
                <w:rFonts w:eastAsia="Times New Roman" w:cs="Arial"/>
                <w:color w:val="auto"/>
                <w:sz w:val="20"/>
                <w:szCs w:val="18"/>
                <w:lang w:val="en"/>
              </w:rPr>
              <w:t xml:space="preserve"> With national pathways to net zero in development around the world, global gas demand through the transition and in 2050 remains highly uncertain.</w:t>
            </w:r>
          </w:p>
        </w:tc>
      </w:tr>
      <w:bookmarkEnd w:id="117"/>
    </w:tbl>
    <w:p w14:paraId="64398D86" w14:textId="77777777" w:rsidR="00C30316" w:rsidRDefault="00C30316" w:rsidP="00C30316">
      <w:pPr>
        <w:spacing w:after="120"/>
        <w:rPr>
          <w:color w:val="373737"/>
          <w:sz w:val="20"/>
          <w:lang w:eastAsia="en-AU"/>
        </w:rPr>
      </w:pPr>
    </w:p>
    <w:p w14:paraId="0EF73143" w14:textId="5EF0583D" w:rsidR="00C30316" w:rsidRPr="00A62FE8" w:rsidRDefault="00C30316" w:rsidP="00C97679">
      <w:pPr>
        <w:pStyle w:val="Caption"/>
        <w:rPr>
          <w:rFonts w:eastAsia="Times New Roman" w:cstheme="majorHAnsi"/>
          <w:szCs w:val="20"/>
        </w:rPr>
      </w:pPr>
      <w:bookmarkStart w:id="118" w:name="_Ref165311280"/>
      <w:r w:rsidRPr="00A62FE8">
        <w:t xml:space="preserve">Figure </w:t>
      </w:r>
      <w:r w:rsidR="00341B3B">
        <w:fldChar w:fldCharType="begin"/>
      </w:r>
      <w:r w:rsidR="00341B3B">
        <w:instrText xml:space="preserve"> STYLEREF 1 \s </w:instrText>
      </w:r>
      <w:r w:rsidR="00341B3B">
        <w:fldChar w:fldCharType="separate"/>
      </w:r>
      <w:r w:rsidR="00BF178A">
        <w:rPr>
          <w:noProof/>
        </w:rPr>
        <w:t>4</w:t>
      </w:r>
      <w:r w:rsidR="00341B3B">
        <w:rPr>
          <w:noProof/>
        </w:rPr>
        <w:fldChar w:fldCharType="end"/>
      </w:r>
      <w:r>
        <w:t>.</w:t>
      </w:r>
      <w:r w:rsidR="00341B3B">
        <w:fldChar w:fldCharType="begin"/>
      </w:r>
      <w:r w:rsidR="00341B3B">
        <w:instrText xml:space="preserve"> SEQ Figure \* ARABIC \s 1 </w:instrText>
      </w:r>
      <w:r w:rsidR="00341B3B">
        <w:fldChar w:fldCharType="separate"/>
      </w:r>
      <w:r w:rsidR="00BF178A">
        <w:rPr>
          <w:noProof/>
        </w:rPr>
        <w:t>10</w:t>
      </w:r>
      <w:r w:rsidR="00341B3B">
        <w:rPr>
          <w:noProof/>
        </w:rPr>
        <w:fldChar w:fldCharType="end"/>
      </w:r>
      <w:bookmarkEnd w:id="118"/>
      <w:r w:rsidRPr="00A62FE8">
        <w:t>: Global gas demand, by scenario</w:t>
      </w:r>
      <w:r w:rsidR="004C117A">
        <w:t>, 2022 to 2050</w:t>
      </w:r>
    </w:p>
    <w:p w14:paraId="3C299A2D" w14:textId="52012B9A" w:rsidR="00C30316" w:rsidRPr="00A62FE8" w:rsidRDefault="005974BD" w:rsidP="00C30316">
      <w:pPr>
        <w:keepNext/>
        <w:spacing w:after="60" w:line="240" w:lineRule="auto"/>
        <w:rPr>
          <w:rFonts w:eastAsia="Times New Roman" w:cs="Arial"/>
          <w:color w:val="005CAF"/>
          <w:sz w:val="16"/>
          <w:szCs w:val="20"/>
          <w:lang w:val="en"/>
        </w:rPr>
      </w:pPr>
      <w:r>
        <w:rPr>
          <w:noProof/>
        </w:rPr>
        <w:drawing>
          <wp:inline distT="0" distB="0" distL="0" distR="0" wp14:anchorId="11F2812C" wp14:editId="416141D3">
            <wp:extent cx="4206875" cy="2127250"/>
            <wp:effectExtent l="0" t="0" r="3175" b="6350"/>
            <wp:docPr id="1647882848" name="Chart 1" descr="This figure projects global gas demand to 2050 for the STEPS, APS and NZE scenarios. Global gas demand in 2022 was 4,159 billion cubic and under the STEPS scenario it remains steady, rising to 4,298 billion cubic metres in 2030 before declining slightly to 4,173 billion cubic metres in 2050. The APS scenario shows more of a pronounced decline with 3,857 billion cubic metres in 2030 and a further decline to 2,421 billion cubic metres in 2050. The NZE scenario represents the greatest decline to 3,209 billion cubic metres in 2030 and 898 billion cubic metres in 2050.">
              <a:extLst xmlns:a="http://schemas.openxmlformats.org/drawingml/2006/main">
                <a:ext uri="{FF2B5EF4-FFF2-40B4-BE49-F238E27FC236}">
                  <a16:creationId xmlns:a16="http://schemas.microsoft.com/office/drawing/2014/main" id="{F7B966A6-635A-4B42-9CB7-08AEBAF32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30C8B17" w14:textId="77777777" w:rsidR="00C30316" w:rsidRPr="00A62FE8" w:rsidRDefault="00C30316" w:rsidP="00DF5A7C">
      <w:pPr>
        <w:pStyle w:val="Source"/>
      </w:pPr>
      <w:r w:rsidRPr="00A62FE8">
        <w:t xml:space="preserve">Notes: Trendline uses a quadratic polynomial order. Based on total final consumption. </w:t>
      </w:r>
    </w:p>
    <w:p w14:paraId="3340A38F" w14:textId="79D7ACAD" w:rsidR="00C30316" w:rsidRPr="00A62FE8" w:rsidRDefault="00C30316" w:rsidP="00DF5A7C">
      <w:pPr>
        <w:pStyle w:val="Source"/>
      </w:pPr>
      <w:r w:rsidRPr="00A62FE8">
        <w:t>Source: IEA (2023</w:t>
      </w:r>
      <w:r w:rsidR="002973F1">
        <w:t>f</w:t>
      </w:r>
      <w:r w:rsidRPr="00A62FE8">
        <w:t>)</w:t>
      </w:r>
    </w:p>
    <w:p w14:paraId="51CF7340" w14:textId="100799AA" w:rsidR="00C30316" w:rsidRPr="00A62FE8" w:rsidRDefault="00C30316" w:rsidP="00C97679">
      <w:pPr>
        <w:pStyle w:val="Caption"/>
        <w:rPr>
          <w:lang w:val="en"/>
        </w:rPr>
      </w:pPr>
      <w:r w:rsidRPr="00A62FE8">
        <w:rPr>
          <w:lang w:val="en"/>
        </w:rPr>
        <w:t xml:space="preserve">Figure </w:t>
      </w:r>
      <w:r>
        <w:rPr>
          <w:lang w:val="en"/>
        </w:rPr>
        <w:fldChar w:fldCharType="begin"/>
      </w:r>
      <w:r>
        <w:rPr>
          <w:lang w:val="en"/>
        </w:rPr>
        <w:instrText xml:space="preserve"> STYLEREF 1 \s </w:instrText>
      </w:r>
      <w:r>
        <w:rPr>
          <w:lang w:val="en"/>
        </w:rPr>
        <w:fldChar w:fldCharType="separate"/>
      </w:r>
      <w:r w:rsidR="00BF178A">
        <w:rPr>
          <w:noProof/>
          <w:lang w:val="en"/>
        </w:rPr>
        <w:t>4</w:t>
      </w:r>
      <w:r>
        <w:rPr>
          <w:lang w:val="en"/>
        </w:rPr>
        <w:fldChar w:fldCharType="end"/>
      </w:r>
      <w:r>
        <w:rPr>
          <w:lang w:val="en"/>
        </w:rPr>
        <w:t>.</w:t>
      </w:r>
      <w:r>
        <w:rPr>
          <w:lang w:val="en"/>
        </w:rPr>
        <w:fldChar w:fldCharType="begin"/>
      </w:r>
      <w:r>
        <w:rPr>
          <w:lang w:val="en"/>
        </w:rPr>
        <w:instrText xml:space="preserve"> SEQ Figure \* ARABIC \s 1 </w:instrText>
      </w:r>
      <w:r>
        <w:rPr>
          <w:lang w:val="en"/>
        </w:rPr>
        <w:fldChar w:fldCharType="separate"/>
      </w:r>
      <w:r w:rsidR="00BF178A">
        <w:rPr>
          <w:noProof/>
          <w:lang w:val="en"/>
        </w:rPr>
        <w:t>11</w:t>
      </w:r>
      <w:r>
        <w:rPr>
          <w:lang w:val="en"/>
        </w:rPr>
        <w:fldChar w:fldCharType="end"/>
      </w:r>
      <w:r w:rsidRPr="00A62FE8">
        <w:rPr>
          <w:lang w:val="en"/>
        </w:rPr>
        <w:t xml:space="preserve">: Asia Pacific </w:t>
      </w:r>
      <w:r>
        <w:rPr>
          <w:lang w:val="en"/>
        </w:rPr>
        <w:t>g</w:t>
      </w:r>
      <w:r w:rsidRPr="00A62FE8">
        <w:rPr>
          <w:lang w:val="en"/>
        </w:rPr>
        <w:t xml:space="preserve">as </w:t>
      </w:r>
      <w:r>
        <w:rPr>
          <w:lang w:val="en"/>
        </w:rPr>
        <w:t>d</w:t>
      </w:r>
      <w:r w:rsidRPr="00A62FE8">
        <w:rPr>
          <w:lang w:val="en"/>
        </w:rPr>
        <w:t>emand by scenario, 2020</w:t>
      </w:r>
      <w:r w:rsidR="004C117A">
        <w:rPr>
          <w:lang w:val="en"/>
        </w:rPr>
        <w:t xml:space="preserve"> to </w:t>
      </w:r>
      <w:r w:rsidRPr="00A62FE8">
        <w:rPr>
          <w:lang w:val="en"/>
        </w:rPr>
        <w:t>2050</w:t>
      </w:r>
    </w:p>
    <w:p w14:paraId="1E8530F9" w14:textId="7C5B10B0" w:rsidR="00C30316" w:rsidRPr="00A62FE8" w:rsidRDefault="00B05C5A" w:rsidP="00C30316">
      <w:pPr>
        <w:keepNext/>
        <w:spacing w:after="60" w:line="240" w:lineRule="auto"/>
        <w:rPr>
          <w:rFonts w:eastAsia="Times New Roman" w:cs="Arial"/>
          <w:color w:val="005CAF"/>
          <w:sz w:val="16"/>
          <w:szCs w:val="20"/>
          <w:lang w:val="en"/>
        </w:rPr>
      </w:pPr>
      <w:r>
        <w:rPr>
          <w:noProof/>
        </w:rPr>
        <w:drawing>
          <wp:inline distT="0" distB="0" distL="0" distR="0" wp14:anchorId="16F1FCF6" wp14:editId="6666371B">
            <wp:extent cx="4206875" cy="2276475"/>
            <wp:effectExtent l="0" t="0" r="3175" b="0"/>
            <wp:docPr id="699518998" name="Chart 699518998" descr="This figure projects Asia Pacific gas demand to 2050 for the STEPS and APS scenarios. Under the STEPS scenario, gas demand rises slightly from 900 billion cubic metres in 2020 to 1,034 billion cubic metres in 2030, before gradually increasing to 1,119 billion cubic metres by 2050. The APS scenario shows a slightly downwards trend to 2030 with 889 billion cubic metres, before declining more significantly to 536 billion cubic metres in 2050.">
              <a:extLst xmlns:a="http://schemas.openxmlformats.org/drawingml/2006/main">
                <a:ext uri="{FF2B5EF4-FFF2-40B4-BE49-F238E27FC236}">
                  <a16:creationId xmlns:a16="http://schemas.microsoft.com/office/drawing/2014/main" id="{8414C655-C231-452F-9478-27ECB048F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6B4884F" w14:textId="77777777" w:rsidR="00C30316" w:rsidRPr="00A62FE8" w:rsidRDefault="00C30316" w:rsidP="00DF5A7C">
      <w:pPr>
        <w:pStyle w:val="Source"/>
      </w:pPr>
      <w:r w:rsidRPr="00A62FE8">
        <w:t>Notes: IEA does not publish disaggregated forecasts of NZE gas demand.</w:t>
      </w:r>
    </w:p>
    <w:p w14:paraId="06DE4653" w14:textId="7401B525" w:rsidR="00C30316" w:rsidRPr="00A62FE8" w:rsidRDefault="00C30316" w:rsidP="00DF5A7C">
      <w:pPr>
        <w:pStyle w:val="Source"/>
      </w:pPr>
      <w:r w:rsidRPr="00A62FE8">
        <w:t>Source: IEA (202</w:t>
      </w:r>
      <w:r>
        <w:t>3</w:t>
      </w:r>
      <w:r w:rsidR="002973F1">
        <w:t>f</w:t>
      </w:r>
      <w:r w:rsidRPr="00A62FE8">
        <w:t>)</w:t>
      </w:r>
    </w:p>
    <w:p w14:paraId="183C88F0" w14:textId="3B30A325" w:rsidR="00C30316" w:rsidRPr="00A62FE8" w:rsidRDefault="00C30316" w:rsidP="00C97679">
      <w:pPr>
        <w:pStyle w:val="Caption"/>
        <w:rPr>
          <w:lang w:val="en"/>
        </w:rPr>
      </w:pPr>
      <w:r w:rsidRPr="00A62FE8">
        <w:rPr>
          <w:lang w:val="en"/>
        </w:rPr>
        <w:t xml:space="preserve">Figure </w:t>
      </w:r>
      <w:r>
        <w:rPr>
          <w:lang w:val="en"/>
        </w:rPr>
        <w:fldChar w:fldCharType="begin"/>
      </w:r>
      <w:r>
        <w:rPr>
          <w:lang w:val="en"/>
        </w:rPr>
        <w:instrText xml:space="preserve"> STYLEREF 1 \s </w:instrText>
      </w:r>
      <w:r>
        <w:rPr>
          <w:lang w:val="en"/>
        </w:rPr>
        <w:fldChar w:fldCharType="separate"/>
      </w:r>
      <w:r w:rsidR="00BF178A">
        <w:rPr>
          <w:noProof/>
          <w:lang w:val="en"/>
        </w:rPr>
        <w:t>4</w:t>
      </w:r>
      <w:r>
        <w:rPr>
          <w:lang w:val="en"/>
        </w:rPr>
        <w:fldChar w:fldCharType="end"/>
      </w:r>
      <w:r>
        <w:rPr>
          <w:lang w:val="en"/>
        </w:rPr>
        <w:t>.</w:t>
      </w:r>
      <w:r>
        <w:rPr>
          <w:lang w:val="en"/>
        </w:rPr>
        <w:fldChar w:fldCharType="begin"/>
      </w:r>
      <w:r>
        <w:rPr>
          <w:lang w:val="en"/>
        </w:rPr>
        <w:instrText xml:space="preserve"> SEQ Figure \* ARABIC \s 1 </w:instrText>
      </w:r>
      <w:r>
        <w:rPr>
          <w:lang w:val="en"/>
        </w:rPr>
        <w:fldChar w:fldCharType="separate"/>
      </w:r>
      <w:r w:rsidR="00BF178A">
        <w:rPr>
          <w:noProof/>
          <w:lang w:val="en"/>
        </w:rPr>
        <w:t>12</w:t>
      </w:r>
      <w:r>
        <w:rPr>
          <w:lang w:val="en"/>
        </w:rPr>
        <w:fldChar w:fldCharType="end"/>
      </w:r>
      <w:r w:rsidRPr="00A62FE8">
        <w:rPr>
          <w:lang w:val="en"/>
        </w:rPr>
        <w:t>: Global LNG demand by scenario, 2020</w:t>
      </w:r>
      <w:r w:rsidR="004C117A">
        <w:rPr>
          <w:lang w:val="en"/>
        </w:rPr>
        <w:t xml:space="preserve"> to </w:t>
      </w:r>
      <w:r w:rsidRPr="00A62FE8">
        <w:rPr>
          <w:lang w:val="en"/>
        </w:rPr>
        <w:t>2050</w:t>
      </w:r>
    </w:p>
    <w:p w14:paraId="655E2E29" w14:textId="4C9C38AE" w:rsidR="00C30316" w:rsidRPr="00A62FE8" w:rsidRDefault="00B05C5A" w:rsidP="00C30316">
      <w:pPr>
        <w:keepNext/>
        <w:spacing w:after="60" w:line="240" w:lineRule="auto"/>
        <w:rPr>
          <w:rFonts w:eastAsia="Times New Roman" w:cs="Arial"/>
          <w:color w:val="005CAF"/>
          <w:sz w:val="16"/>
          <w:szCs w:val="20"/>
          <w:lang w:val="en"/>
        </w:rPr>
      </w:pPr>
      <w:r>
        <w:rPr>
          <w:noProof/>
        </w:rPr>
        <w:drawing>
          <wp:inline distT="0" distB="0" distL="0" distR="0" wp14:anchorId="79327684" wp14:editId="2F133BDA">
            <wp:extent cx="4206875" cy="2276475"/>
            <wp:effectExtent l="0" t="0" r="3175" b="0"/>
            <wp:docPr id="699518999" name="Chart 699518999" descr="This figure projects global LNG demand to 2050 for the STEPS and APS scenarios. Demand under the STEPS scenario shows a gradual increase from 490 billion cubic metres in 2020 to 588 billion cubic metres in 2030, with a slower increase and eventual plateau to 656 billion cubic metres in 2050. Global gas demand under the APS scenario initially increases to 564 billion cubic metres, with a prominent drop in demand out to 2050 to 242 billion cubic metres.">
              <a:extLst xmlns:a="http://schemas.openxmlformats.org/drawingml/2006/main">
                <a:ext uri="{FF2B5EF4-FFF2-40B4-BE49-F238E27FC236}">
                  <a16:creationId xmlns:a16="http://schemas.microsoft.com/office/drawing/2014/main" id="{3FE28606-5415-4AF3-A1FC-83A6DACFD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9B43415" w14:textId="4BA9BAEB" w:rsidR="00B05C5A" w:rsidRDefault="00C30316" w:rsidP="00B05C5A">
      <w:pPr>
        <w:pStyle w:val="Source"/>
      </w:pPr>
      <w:r w:rsidRPr="00A62FE8">
        <w:t>Source: IEA (202</w:t>
      </w:r>
      <w:r>
        <w:t>3</w:t>
      </w:r>
      <w:r w:rsidR="002973F1">
        <w:t>f</w:t>
      </w:r>
      <w:r w:rsidRPr="00A62FE8">
        <w:t>)</w:t>
      </w:r>
      <w:bookmarkStart w:id="119" w:name="_Toc165292804"/>
      <w:bookmarkStart w:id="120" w:name="_Toc165293496"/>
      <w:bookmarkStart w:id="121" w:name="_Toc165293808"/>
      <w:bookmarkStart w:id="122" w:name="_Toc165311449"/>
      <w:bookmarkStart w:id="123" w:name="_Toc165332173"/>
      <w:bookmarkEnd w:id="119"/>
      <w:bookmarkEnd w:id="120"/>
      <w:bookmarkEnd w:id="121"/>
      <w:bookmarkEnd w:id="122"/>
      <w:bookmarkEnd w:id="123"/>
    </w:p>
    <w:p w14:paraId="4AB8A265" w14:textId="77777777" w:rsidR="00B05C5A" w:rsidRDefault="00B05C5A">
      <w:pPr>
        <w:spacing w:after="200" w:line="276" w:lineRule="auto"/>
        <w:rPr>
          <w:rFonts w:eastAsia="Times New Roman" w:cs="Arial"/>
          <w:color w:val="005CAF"/>
          <w:sz w:val="16"/>
          <w:szCs w:val="20"/>
          <w:lang w:val="en"/>
        </w:rPr>
      </w:pPr>
      <w:r>
        <w:br w:type="page"/>
      </w:r>
    </w:p>
    <w:p w14:paraId="72089DAD" w14:textId="4CF16F18" w:rsidR="002703C6" w:rsidRDefault="002703C6" w:rsidP="00D22150">
      <w:pPr>
        <w:pStyle w:val="Heading2"/>
        <w:spacing w:before="180"/>
      </w:pPr>
      <w:bookmarkStart w:id="124" w:name="_Toc172794518"/>
      <w:r w:rsidRPr="00A62FE8">
        <w:t>Modelled gas exports by scenario</w:t>
      </w:r>
      <w:bookmarkEnd w:id="124"/>
    </w:p>
    <w:p w14:paraId="798FAB2C" w14:textId="54E47EF7" w:rsidR="002703C6" w:rsidRPr="00AF7375" w:rsidRDefault="002703C6" w:rsidP="002703C6">
      <w:pPr>
        <w:spacing w:after="120"/>
        <w:rPr>
          <w:color w:val="373737"/>
          <w:sz w:val="20"/>
        </w:rPr>
      </w:pPr>
      <w:r w:rsidRPr="00A62FE8">
        <w:rPr>
          <w:color w:val="373737"/>
          <w:sz w:val="20"/>
        </w:rPr>
        <w:t xml:space="preserve">This section models demand for Australian exports under the range of IEA </w:t>
      </w:r>
      <w:bookmarkStart w:id="125" w:name="_Hlk165619188"/>
      <w:r w:rsidRPr="00A62FE8">
        <w:rPr>
          <w:color w:val="373737"/>
          <w:sz w:val="20"/>
        </w:rPr>
        <w:t>WEO’s scenarios</w:t>
      </w:r>
      <w:r>
        <w:rPr>
          <w:color w:val="373737"/>
          <w:sz w:val="20"/>
        </w:rPr>
        <w:t xml:space="preserve"> and</w:t>
      </w:r>
      <w:r w:rsidRPr="00A62FE8">
        <w:rPr>
          <w:color w:val="373737"/>
          <w:sz w:val="20"/>
        </w:rPr>
        <w:t xml:space="preserve"> provides a brief introduction to the Nexant World Gas Model (WGM).</w:t>
      </w:r>
    </w:p>
    <w:tbl>
      <w:tblPr>
        <w:tblStyle w:val="OCETable"/>
        <w:tblW w:w="6804" w:type="dxa"/>
        <w:shd w:val="clear" w:color="auto" w:fill="DEE8F1"/>
        <w:tblLayout w:type="fixed"/>
        <w:tblLook w:val="04A0" w:firstRow="1" w:lastRow="0" w:firstColumn="1" w:lastColumn="0" w:noHBand="0" w:noVBand="1"/>
      </w:tblPr>
      <w:tblGrid>
        <w:gridCol w:w="6804"/>
      </w:tblGrid>
      <w:tr w:rsidR="002703C6" w:rsidRPr="00AF7375" w14:paraId="2D42A568" w14:textId="77777777" w:rsidTr="00F163B9">
        <w:trPr>
          <w:cnfStyle w:val="100000000000" w:firstRow="1" w:lastRow="0" w:firstColumn="0" w:lastColumn="0" w:oddVBand="0" w:evenVBand="0" w:oddHBand="0" w:evenHBand="0" w:firstRowFirstColumn="0" w:firstRowLastColumn="0" w:lastRowFirstColumn="0" w:lastRowLastColumn="0"/>
          <w:trHeight w:val="2835"/>
        </w:trPr>
        <w:tc>
          <w:tcPr>
            <w:tcW w:w="5000" w:type="pct"/>
            <w:shd w:val="clear" w:color="auto" w:fill="DEE8F1"/>
          </w:tcPr>
          <w:p w14:paraId="17A6A774" w14:textId="77777777" w:rsidR="002703C6" w:rsidRPr="00AF7375" w:rsidRDefault="002703C6" w:rsidP="00F163B9">
            <w:pPr>
              <w:widowControl w:val="0"/>
              <w:spacing w:beforeLines="60" w:before="144" w:afterLines="60" w:after="144"/>
              <w:ind w:left="119" w:right="113"/>
              <w:jc w:val="both"/>
              <w:rPr>
                <w:rFonts w:eastAsia="Times New Roman" w:cs="Arial"/>
                <w:color w:val="auto"/>
                <w:sz w:val="20"/>
                <w:szCs w:val="18"/>
                <w:lang w:val="en"/>
              </w:rPr>
            </w:pPr>
            <w:r w:rsidRPr="00AF7375">
              <w:rPr>
                <w:rFonts w:eastAsia="Times New Roman" w:cs="Arial"/>
                <w:sz w:val="20"/>
                <w:szCs w:val="18"/>
                <w:lang w:val="en"/>
              </w:rPr>
              <w:br w:type="column"/>
            </w:r>
            <w:r w:rsidRPr="00AF7375">
              <w:rPr>
                <w:rFonts w:eastAsia="Times New Roman" w:cs="Arial"/>
                <w:sz w:val="20"/>
                <w:szCs w:val="18"/>
                <w:lang w:val="en"/>
              </w:rPr>
              <w:br w:type="column"/>
            </w:r>
            <w:r w:rsidRPr="00AF7375">
              <w:rPr>
                <w:rFonts w:eastAsia="Times New Roman" w:cs="Arial"/>
                <w:sz w:val="20"/>
                <w:szCs w:val="18"/>
                <w:lang w:val="en"/>
              </w:rPr>
              <w:br w:type="column"/>
            </w:r>
            <w:r w:rsidRPr="00AF7375">
              <w:rPr>
                <w:rFonts w:eastAsia="Times New Roman" w:cs="Arial"/>
                <w:b/>
                <w:bCs/>
                <w:color w:val="005CAF" w:themeColor="accent1"/>
                <w:sz w:val="20"/>
                <w:szCs w:val="18"/>
                <w:lang w:val="en"/>
              </w:rPr>
              <w:t xml:space="preserve">Box </w:t>
            </w:r>
            <w:r>
              <w:rPr>
                <w:rFonts w:eastAsia="Times New Roman" w:cs="Arial"/>
                <w:b/>
                <w:bCs/>
                <w:color w:val="005CAF" w:themeColor="accent1"/>
                <w:sz w:val="20"/>
                <w:szCs w:val="18"/>
                <w:lang w:val="en"/>
              </w:rPr>
              <w:t>4</w:t>
            </w:r>
            <w:r w:rsidRPr="00AF7375">
              <w:rPr>
                <w:rFonts w:eastAsia="Times New Roman" w:cs="Arial"/>
                <w:b/>
                <w:bCs/>
                <w:color w:val="005CAF" w:themeColor="accent1"/>
                <w:sz w:val="20"/>
                <w:szCs w:val="18"/>
                <w:lang w:val="en"/>
              </w:rPr>
              <w:t>.1:</w:t>
            </w:r>
            <w:r w:rsidRPr="00AF7375">
              <w:rPr>
                <w:rFonts w:eastAsia="Times New Roman" w:cs="Arial"/>
                <w:sz w:val="20"/>
                <w:szCs w:val="18"/>
                <w:lang w:val="en"/>
              </w:rPr>
              <w:t xml:space="preserve"> </w:t>
            </w:r>
            <w:r w:rsidRPr="00B26954">
              <w:rPr>
                <w:rFonts w:eastAsia="Times New Roman" w:cs="Arial"/>
                <w:b/>
                <w:bCs/>
                <w:color w:val="005CAF" w:themeColor="accent1"/>
                <w:sz w:val="20"/>
                <w:szCs w:val="18"/>
                <w:lang w:val="en"/>
              </w:rPr>
              <w:t>Introducing the World Gas Model</w:t>
            </w:r>
          </w:p>
          <w:p w14:paraId="6F72D957" w14:textId="77777777" w:rsidR="002703C6" w:rsidRPr="00B26954" w:rsidRDefault="002703C6" w:rsidP="00F163B9">
            <w:pPr>
              <w:widowControl w:val="0"/>
              <w:spacing w:beforeLines="60" w:before="144" w:afterLines="60" w:after="144"/>
              <w:ind w:left="113" w:right="113"/>
              <w:rPr>
                <w:rFonts w:eastAsia="Times New Roman" w:cs="Arial"/>
                <w:color w:val="373737"/>
                <w:sz w:val="20"/>
                <w:szCs w:val="18"/>
                <w:lang w:val="en"/>
              </w:rPr>
            </w:pPr>
            <w:r w:rsidRPr="00B26954">
              <w:rPr>
                <w:rFonts w:eastAsia="Times New Roman" w:cs="Arial"/>
                <w:color w:val="373737"/>
                <w:sz w:val="20"/>
                <w:szCs w:val="18"/>
                <w:lang w:val="en"/>
              </w:rPr>
              <w:t xml:space="preserve">The WGM </w:t>
            </w:r>
            <w:r>
              <w:rPr>
                <w:rFonts w:eastAsia="Times New Roman" w:cs="Arial"/>
                <w:color w:val="373737"/>
                <w:sz w:val="20"/>
                <w:szCs w:val="18"/>
                <w:lang w:val="en"/>
              </w:rPr>
              <w:t>frames</w:t>
            </w:r>
            <w:r w:rsidRPr="00B26954">
              <w:rPr>
                <w:rFonts w:eastAsia="Times New Roman" w:cs="Arial"/>
                <w:color w:val="373737"/>
                <w:sz w:val="20"/>
                <w:szCs w:val="18"/>
                <w:lang w:val="en"/>
              </w:rPr>
              <w:t xml:space="preserve"> gas trade in terms of global, regional, and national gas supply and demand balances on an annual basis from 2022 to 2052.</w:t>
            </w:r>
          </w:p>
          <w:p w14:paraId="2408D465" w14:textId="77777777" w:rsidR="002703C6" w:rsidRPr="00B26954" w:rsidRDefault="002703C6" w:rsidP="00F163B9">
            <w:pPr>
              <w:widowControl w:val="0"/>
              <w:spacing w:beforeLines="60" w:before="144" w:afterLines="60" w:after="144"/>
              <w:ind w:left="113" w:right="113"/>
              <w:rPr>
                <w:rFonts w:eastAsia="Times New Roman" w:cs="Arial"/>
                <w:color w:val="373737"/>
                <w:sz w:val="20"/>
                <w:szCs w:val="18"/>
                <w:lang w:val="en"/>
              </w:rPr>
            </w:pPr>
            <w:r w:rsidRPr="00B26954">
              <w:rPr>
                <w:rFonts w:eastAsia="Times New Roman" w:cs="Arial"/>
                <w:color w:val="373737"/>
                <w:sz w:val="20"/>
                <w:szCs w:val="18"/>
                <w:lang w:val="en"/>
              </w:rPr>
              <w:t>The model finds the optimal level of gas production (supply) for a given (exogenic) level of demand to produce forecasts for gas production, exports, and consumption over a 30-year forecast horizon. To determine optimal supply, the model uses detailed data (and assumptions) on global trade networks, production capacities and contractual obligations. The model also factors in the price of energy substitutes in the power sector (like oil and coal), and the price elasticity of demand.</w:t>
            </w:r>
          </w:p>
          <w:p w14:paraId="01C8EEDA" w14:textId="3273677A" w:rsidR="002703C6" w:rsidRPr="00A3129B" w:rsidRDefault="002703C6" w:rsidP="00F163B9">
            <w:pPr>
              <w:widowControl w:val="0"/>
              <w:spacing w:beforeLines="60" w:before="144" w:afterLines="60" w:after="144"/>
              <w:ind w:left="113" w:right="113"/>
              <w:rPr>
                <w:rFonts w:eastAsia="Times New Roman" w:cs="Arial"/>
                <w:color w:val="373737"/>
                <w:sz w:val="20"/>
                <w:szCs w:val="18"/>
                <w:lang w:val="en"/>
              </w:rPr>
            </w:pPr>
            <w:r w:rsidRPr="00A3129B">
              <w:rPr>
                <w:rFonts w:eastAsia="Times New Roman" w:cs="Arial"/>
                <w:color w:val="373737"/>
                <w:sz w:val="20"/>
                <w:szCs w:val="18"/>
                <w:lang w:val="en"/>
              </w:rPr>
              <w:t xml:space="preserve">The WGM receives quarterly updates to reflect the rapid pace of developments worldwide. This report uses the September 2023 version as its projections align closest with the IEA </w:t>
            </w:r>
            <w:r w:rsidR="00AB441C">
              <w:rPr>
                <w:rFonts w:eastAsia="Times New Roman" w:cs="Arial"/>
                <w:color w:val="373737"/>
                <w:sz w:val="20"/>
                <w:szCs w:val="18"/>
                <w:lang w:val="en"/>
              </w:rPr>
              <w:t>WEO</w:t>
            </w:r>
            <w:r w:rsidRPr="00F6655F">
              <w:rPr>
                <w:rFonts w:eastAsia="Times New Roman" w:cs="Arial"/>
                <w:color w:val="373737"/>
                <w:sz w:val="20"/>
                <w:szCs w:val="18"/>
                <w:lang w:val="en"/>
              </w:rPr>
              <w:t xml:space="preserve"> 2023</w:t>
            </w:r>
            <w:r w:rsidRPr="00A3129B">
              <w:rPr>
                <w:rFonts w:eastAsia="Times New Roman" w:cs="Arial"/>
                <w:color w:val="373737"/>
                <w:sz w:val="20"/>
                <w:szCs w:val="18"/>
                <w:lang w:val="en"/>
              </w:rPr>
              <w:t xml:space="preserve">. Events such as the </w:t>
            </w:r>
            <w:r w:rsidR="00615037">
              <w:rPr>
                <w:rFonts w:eastAsia="Times New Roman" w:cs="Arial"/>
                <w:color w:val="373737"/>
                <w:sz w:val="20"/>
                <w:szCs w:val="18"/>
                <w:lang w:val="en"/>
              </w:rPr>
              <w:t>conflict in Gaza</w:t>
            </w:r>
            <w:r w:rsidRPr="00A3129B">
              <w:rPr>
                <w:rFonts w:eastAsia="Times New Roman" w:cs="Arial"/>
                <w:color w:val="373737"/>
                <w:sz w:val="20"/>
                <w:szCs w:val="18"/>
                <w:lang w:val="en"/>
              </w:rPr>
              <w:t xml:space="preserve">, the </w:t>
            </w:r>
            <w:r>
              <w:rPr>
                <w:rFonts w:eastAsia="Times New Roman" w:cs="Arial"/>
                <w:color w:val="373737"/>
                <w:sz w:val="20"/>
                <w:szCs w:val="18"/>
                <w:lang w:val="en"/>
              </w:rPr>
              <w:t xml:space="preserve">pause on </w:t>
            </w:r>
            <w:r w:rsidRPr="00A3129B">
              <w:rPr>
                <w:rFonts w:eastAsia="Times New Roman" w:cs="Arial"/>
                <w:color w:val="373737"/>
                <w:sz w:val="20"/>
                <w:szCs w:val="18"/>
                <w:lang w:val="en"/>
              </w:rPr>
              <w:t>LNG export</w:t>
            </w:r>
            <w:r>
              <w:rPr>
                <w:rFonts w:eastAsia="Times New Roman" w:cs="Arial"/>
                <w:color w:val="373737"/>
                <w:sz w:val="20"/>
                <w:szCs w:val="18"/>
                <w:lang w:val="en"/>
              </w:rPr>
              <w:t>s in the US</w:t>
            </w:r>
            <w:r w:rsidRPr="00A3129B">
              <w:rPr>
                <w:rFonts w:eastAsia="Times New Roman" w:cs="Arial"/>
                <w:color w:val="373737"/>
                <w:sz w:val="20"/>
                <w:szCs w:val="18"/>
                <w:lang w:val="en"/>
              </w:rPr>
              <w:t xml:space="preserve">, and </w:t>
            </w:r>
            <w:r w:rsidRPr="00F6655F">
              <w:rPr>
                <w:rFonts w:eastAsia="Times New Roman" w:cs="Arial"/>
                <w:color w:val="373737"/>
                <w:sz w:val="20"/>
                <w:szCs w:val="18"/>
                <w:lang w:val="en"/>
              </w:rPr>
              <w:t>updated demand projections</w:t>
            </w:r>
            <w:r w:rsidRPr="00A3129B">
              <w:rPr>
                <w:rFonts w:eastAsia="Times New Roman" w:cs="Arial"/>
                <w:color w:val="373737"/>
                <w:sz w:val="20"/>
                <w:szCs w:val="18"/>
                <w:lang w:val="en"/>
              </w:rPr>
              <w:t xml:space="preserve"> </w:t>
            </w:r>
            <w:r w:rsidRPr="00F6655F">
              <w:rPr>
                <w:rFonts w:eastAsia="Times New Roman" w:cs="Arial"/>
                <w:color w:val="373737"/>
                <w:sz w:val="20"/>
                <w:szCs w:val="18"/>
                <w:lang w:val="en"/>
              </w:rPr>
              <w:t>are</w:t>
            </w:r>
            <w:r w:rsidRPr="00A3129B">
              <w:rPr>
                <w:rFonts w:eastAsia="Times New Roman" w:cs="Arial"/>
                <w:color w:val="373737"/>
                <w:sz w:val="20"/>
                <w:szCs w:val="18"/>
                <w:lang w:val="en"/>
              </w:rPr>
              <w:t xml:space="preserve"> not captured in this version.</w:t>
            </w:r>
          </w:p>
          <w:p w14:paraId="0698C177" w14:textId="22B8FFAE" w:rsidR="002703C6" w:rsidRPr="00AF7375" w:rsidRDefault="002703C6" w:rsidP="0003477A">
            <w:pPr>
              <w:widowControl w:val="0"/>
              <w:spacing w:beforeLines="60" w:before="144" w:afterLines="60" w:after="144"/>
              <w:ind w:left="113" w:right="113"/>
              <w:rPr>
                <w:rFonts w:eastAsia="Times New Roman" w:cs="Arial"/>
                <w:color w:val="373737"/>
                <w:sz w:val="20"/>
                <w:szCs w:val="18"/>
                <w:lang w:val="en"/>
              </w:rPr>
            </w:pPr>
            <w:r w:rsidRPr="00B26954">
              <w:rPr>
                <w:rFonts w:eastAsia="Times New Roman" w:cs="Arial"/>
                <w:color w:val="373737"/>
                <w:sz w:val="20"/>
                <w:szCs w:val="18"/>
                <w:lang w:val="en"/>
              </w:rPr>
              <w:t xml:space="preserve">More information about the Nexant </w:t>
            </w:r>
            <w:r w:rsidR="004147F8">
              <w:rPr>
                <w:rFonts w:eastAsia="Times New Roman" w:cs="Arial"/>
                <w:color w:val="373737"/>
                <w:sz w:val="20"/>
                <w:szCs w:val="18"/>
                <w:lang w:val="en"/>
              </w:rPr>
              <w:t>WGM</w:t>
            </w:r>
            <w:r w:rsidRPr="00B26954">
              <w:rPr>
                <w:rFonts w:eastAsia="Times New Roman" w:cs="Arial"/>
                <w:color w:val="373737"/>
                <w:sz w:val="20"/>
                <w:szCs w:val="18"/>
                <w:lang w:val="en"/>
              </w:rPr>
              <w:t xml:space="preserve"> and its underlying assumptions can be found in Appendix B</w:t>
            </w:r>
            <w:r w:rsidR="0097569F">
              <w:rPr>
                <w:rFonts w:eastAsia="Times New Roman" w:cs="Arial"/>
                <w:color w:val="373737"/>
                <w:sz w:val="20"/>
                <w:szCs w:val="18"/>
                <w:lang w:val="en"/>
              </w:rPr>
              <w:t xml:space="preserve"> and Section 4.6</w:t>
            </w:r>
            <w:r>
              <w:rPr>
                <w:rFonts w:eastAsia="Times New Roman" w:cs="Arial"/>
                <w:color w:val="373737"/>
                <w:sz w:val="20"/>
                <w:szCs w:val="18"/>
                <w:lang w:val="en"/>
              </w:rPr>
              <w:t>.</w:t>
            </w:r>
            <w:r w:rsidR="0003477A" w:rsidDel="0003477A">
              <w:rPr>
                <w:rFonts w:eastAsia="Times New Roman" w:cs="Arial"/>
                <w:sz w:val="20"/>
                <w:szCs w:val="18"/>
                <w:lang w:val="en"/>
              </w:rPr>
              <w:t xml:space="preserve"> </w:t>
            </w:r>
          </w:p>
        </w:tc>
      </w:tr>
    </w:tbl>
    <w:p w14:paraId="4F95FD48" w14:textId="77777777" w:rsidR="002703C6" w:rsidRPr="00A62FE8" w:rsidRDefault="002703C6" w:rsidP="00F53FA4">
      <w:pPr>
        <w:pStyle w:val="Heading3"/>
        <w:numPr>
          <w:ilvl w:val="0"/>
          <w:numId w:val="0"/>
        </w:numPr>
        <w:rPr>
          <w:lang w:val="en"/>
        </w:rPr>
      </w:pPr>
      <w:r w:rsidRPr="00A62FE8">
        <w:rPr>
          <w:lang w:val="en"/>
        </w:rPr>
        <w:t>Australian LNG volumes vary significantly by scenario</w:t>
      </w:r>
    </w:p>
    <w:bookmarkEnd w:id="125"/>
    <w:p w14:paraId="482285F4" w14:textId="7122A12D" w:rsidR="002703C6" w:rsidRPr="00A62FE8" w:rsidRDefault="002703C6" w:rsidP="002703C6">
      <w:pPr>
        <w:spacing w:after="120"/>
        <w:rPr>
          <w:color w:val="373737"/>
          <w:sz w:val="20"/>
        </w:rPr>
      </w:pPr>
      <w:r w:rsidRPr="00A62FE8">
        <w:rPr>
          <w:color w:val="373737"/>
          <w:sz w:val="20"/>
        </w:rPr>
        <w:t>There is a high degree of uncertainty around future demand for gas in our region</w:t>
      </w:r>
      <w:r>
        <w:rPr>
          <w:color w:val="373737"/>
          <w:sz w:val="20"/>
        </w:rPr>
        <w:t>.</w:t>
      </w:r>
      <w:r w:rsidRPr="00A62FE8">
        <w:rPr>
          <w:color w:val="373737"/>
          <w:sz w:val="20"/>
        </w:rPr>
        <w:t xml:space="preserve"> </w:t>
      </w:r>
      <w:r>
        <w:rPr>
          <w:color w:val="373737"/>
          <w:sz w:val="20"/>
        </w:rPr>
        <w:t>With</w:t>
      </w:r>
      <w:r w:rsidRPr="00A62FE8">
        <w:rPr>
          <w:color w:val="373737"/>
          <w:sz w:val="20"/>
        </w:rPr>
        <w:t xml:space="preserve"> </w:t>
      </w:r>
      <w:r>
        <w:rPr>
          <w:color w:val="373737"/>
          <w:sz w:val="20"/>
        </w:rPr>
        <w:t xml:space="preserve">varying domestic energy transition pathways </w:t>
      </w:r>
      <w:r w:rsidR="00A6323F">
        <w:rPr>
          <w:color w:val="373737"/>
          <w:sz w:val="20"/>
        </w:rPr>
        <w:t>among</w:t>
      </w:r>
      <w:r>
        <w:rPr>
          <w:color w:val="373737"/>
          <w:sz w:val="20"/>
        </w:rPr>
        <w:t xml:space="preserve"> our trading partners, existing barriers need to be addressed to deliver</w:t>
      </w:r>
      <w:r w:rsidRPr="00A62FE8">
        <w:rPr>
          <w:color w:val="373737"/>
          <w:sz w:val="20"/>
        </w:rPr>
        <w:t xml:space="preserve"> announced emissions targets</w:t>
      </w:r>
      <w:r>
        <w:rPr>
          <w:color w:val="373737"/>
          <w:sz w:val="20"/>
        </w:rPr>
        <w:t>. S</w:t>
      </w:r>
      <w:r w:rsidRPr="00A62FE8">
        <w:rPr>
          <w:color w:val="373737"/>
          <w:sz w:val="20"/>
        </w:rPr>
        <w:t xml:space="preserve">tranded asset risks </w:t>
      </w:r>
      <w:r>
        <w:rPr>
          <w:color w:val="373737"/>
          <w:sz w:val="20"/>
        </w:rPr>
        <w:t xml:space="preserve">also </w:t>
      </w:r>
      <w:r w:rsidRPr="00A62FE8">
        <w:rPr>
          <w:color w:val="373737"/>
          <w:sz w:val="20"/>
        </w:rPr>
        <w:t>increasingly weigh on gas investment decisions while customers nevertheless demand certainty around future supply.</w:t>
      </w:r>
    </w:p>
    <w:p w14:paraId="6F79B076" w14:textId="47474374" w:rsidR="002703C6" w:rsidRPr="00A62FE8" w:rsidRDefault="002703C6" w:rsidP="002703C6">
      <w:pPr>
        <w:spacing w:after="120"/>
        <w:rPr>
          <w:color w:val="373737"/>
          <w:sz w:val="20"/>
        </w:rPr>
      </w:pPr>
      <w:r w:rsidRPr="00A62FE8">
        <w:rPr>
          <w:color w:val="373737"/>
          <w:sz w:val="20"/>
        </w:rPr>
        <w:t>Projections for Australia’s LNG exports differ by exogenous input by IEA scenario; under low</w:t>
      </w:r>
      <w:r>
        <w:rPr>
          <w:color w:val="373737"/>
          <w:sz w:val="20"/>
        </w:rPr>
        <w:t xml:space="preserve"> </w:t>
      </w:r>
      <w:r w:rsidRPr="00A62FE8">
        <w:rPr>
          <w:color w:val="373737"/>
          <w:sz w:val="20"/>
        </w:rPr>
        <w:t>climate</w:t>
      </w:r>
      <w:r>
        <w:rPr>
          <w:color w:val="373737"/>
          <w:sz w:val="20"/>
        </w:rPr>
        <w:t xml:space="preserve"> </w:t>
      </w:r>
      <w:r w:rsidRPr="00A62FE8">
        <w:rPr>
          <w:color w:val="373737"/>
          <w:sz w:val="20"/>
        </w:rPr>
        <w:t>ambition (STEPS), exports are stable</w:t>
      </w:r>
      <w:r w:rsidR="008C73BD">
        <w:rPr>
          <w:color w:val="373737"/>
          <w:sz w:val="20"/>
        </w:rPr>
        <w:t xml:space="preserve"> out </w:t>
      </w:r>
      <w:r w:rsidR="00E26777">
        <w:rPr>
          <w:color w:val="373737"/>
          <w:sz w:val="20"/>
        </w:rPr>
        <w:t>to</w:t>
      </w:r>
      <w:r w:rsidR="008C73BD">
        <w:rPr>
          <w:color w:val="373737"/>
          <w:sz w:val="20"/>
        </w:rPr>
        <w:t xml:space="preserve"> 2050</w:t>
      </w:r>
      <w:r w:rsidRPr="00A62FE8">
        <w:rPr>
          <w:color w:val="373737"/>
          <w:sz w:val="20"/>
        </w:rPr>
        <w:t>, in contrast to a gradual decline (APS) and a greater decline (NZE) from 2030. In all cases, Australia maintains a relatively large share of LNG trade with existing partners over the medium term (to 2035), albeit with Australia’s relative share of the global LNG market diminishing over time</w:t>
      </w:r>
      <w:r>
        <w:rPr>
          <w:color w:val="373737"/>
          <w:sz w:val="20"/>
        </w:rPr>
        <w:t>.</w:t>
      </w:r>
    </w:p>
    <w:p w14:paraId="2A73A25E" w14:textId="0B42F218" w:rsidR="002703C6" w:rsidRPr="00A62FE8" w:rsidRDefault="002703C6" w:rsidP="002703C6">
      <w:pPr>
        <w:spacing w:after="120"/>
        <w:rPr>
          <w:color w:val="373737"/>
          <w:sz w:val="20"/>
          <w:lang w:val="en"/>
        </w:rPr>
      </w:pPr>
      <w:r w:rsidRPr="00A62FE8">
        <w:rPr>
          <w:color w:val="373737"/>
          <w:sz w:val="20"/>
          <w:lang w:val="en"/>
        </w:rPr>
        <w:t xml:space="preserve">Figures </w:t>
      </w:r>
      <w:r>
        <w:rPr>
          <w:color w:val="373737"/>
          <w:sz w:val="20"/>
          <w:lang w:val="en"/>
        </w:rPr>
        <w:t>4.1</w:t>
      </w:r>
      <w:r w:rsidR="00BE6BED">
        <w:rPr>
          <w:color w:val="373737"/>
          <w:sz w:val="20"/>
          <w:lang w:val="en"/>
        </w:rPr>
        <w:t>3</w:t>
      </w:r>
      <w:r w:rsidRPr="00A62FE8">
        <w:rPr>
          <w:color w:val="373737"/>
          <w:sz w:val="20"/>
          <w:lang w:val="en"/>
        </w:rPr>
        <w:t xml:space="preserve"> and </w:t>
      </w:r>
      <w:r>
        <w:rPr>
          <w:color w:val="373737"/>
          <w:sz w:val="20"/>
          <w:lang w:val="en"/>
        </w:rPr>
        <w:t>4</w:t>
      </w:r>
      <w:r w:rsidRPr="00A62FE8">
        <w:rPr>
          <w:color w:val="373737"/>
          <w:sz w:val="20"/>
          <w:lang w:val="en"/>
        </w:rPr>
        <w:t>.</w:t>
      </w:r>
      <w:r w:rsidR="00BE6BED">
        <w:rPr>
          <w:color w:val="373737"/>
          <w:sz w:val="20"/>
          <w:lang w:val="en"/>
        </w:rPr>
        <w:t>14</w:t>
      </w:r>
      <w:r w:rsidRPr="00A62FE8">
        <w:rPr>
          <w:color w:val="373737"/>
          <w:sz w:val="20"/>
          <w:lang w:val="en"/>
        </w:rPr>
        <w:t xml:space="preserve"> present the projected level of Australian LNG exports and the relative global share by scenario, respectively. </w:t>
      </w:r>
    </w:p>
    <w:p w14:paraId="3128C199" w14:textId="7AB0DECB" w:rsidR="002703C6" w:rsidRPr="00A62FE8" w:rsidRDefault="002703C6" w:rsidP="002703C6">
      <w:pPr>
        <w:spacing w:after="120"/>
        <w:rPr>
          <w:color w:val="373737"/>
          <w:sz w:val="20"/>
          <w:lang w:eastAsia="en-AU"/>
        </w:rPr>
      </w:pPr>
      <w:r w:rsidRPr="00A62FE8">
        <w:rPr>
          <w:color w:val="373737"/>
          <w:sz w:val="20"/>
          <w:lang w:eastAsia="en-AU"/>
        </w:rPr>
        <w:t>In the STEPS projection, Australian LNG capacity increases slightly and is sustained as new projects are brought online, taking advantage of a gradual increase in regional demand, particularly in ASEAN by 2050. As mature economies steadily reduce their Australian gas use (particularly Japan and China), emerging ASEAN demand is expected to take its place</w:t>
      </w:r>
      <w:r w:rsidR="008C73BD">
        <w:rPr>
          <w:color w:val="373737"/>
          <w:sz w:val="20"/>
          <w:lang w:eastAsia="en-AU"/>
        </w:rPr>
        <w:t xml:space="preserve">. </w:t>
      </w:r>
    </w:p>
    <w:p w14:paraId="0397CF12" w14:textId="60D51D0A" w:rsidR="002703C6" w:rsidRPr="00A62FE8" w:rsidRDefault="002703C6" w:rsidP="002703C6">
      <w:pPr>
        <w:spacing w:after="120"/>
        <w:rPr>
          <w:color w:val="373737"/>
          <w:sz w:val="20"/>
          <w:lang w:val="en"/>
        </w:rPr>
      </w:pPr>
      <w:r w:rsidRPr="00A62FE8">
        <w:rPr>
          <w:color w:val="373737"/>
          <w:sz w:val="20"/>
          <w:lang w:val="en"/>
        </w:rPr>
        <w:t>In the APS projection, Australian LNG volumes throughout the region are relatively stable towards</w:t>
      </w:r>
      <w:r w:rsidRPr="00A62FE8">
        <w:rPr>
          <w:color w:val="373737"/>
          <w:sz w:val="20"/>
          <w:lang w:eastAsia="en-AU"/>
        </w:rPr>
        <w:t xml:space="preserve"> 2035 but start to fall gradually. The transition away from gas will gradually reduce its price, impacting revenue and limiting new </w:t>
      </w:r>
      <w:r>
        <w:rPr>
          <w:color w:val="373737"/>
          <w:sz w:val="20"/>
          <w:lang w:eastAsia="en-AU"/>
        </w:rPr>
        <w:t xml:space="preserve">gas </w:t>
      </w:r>
      <w:r w:rsidRPr="00A62FE8">
        <w:rPr>
          <w:color w:val="373737"/>
          <w:sz w:val="20"/>
          <w:lang w:eastAsia="en-AU"/>
        </w:rPr>
        <w:t xml:space="preserve">developments due to lack of profitability and climate pressures. Ambitious investment into renewables capacity is likely to drive gas prices down, </w:t>
      </w:r>
      <w:r>
        <w:rPr>
          <w:color w:val="373737"/>
          <w:sz w:val="20"/>
          <w:lang w:eastAsia="en-AU"/>
        </w:rPr>
        <w:t xml:space="preserve">offset to a degree by </w:t>
      </w:r>
      <w:r w:rsidRPr="00A62FE8">
        <w:rPr>
          <w:color w:val="373737"/>
          <w:sz w:val="20"/>
          <w:lang w:eastAsia="en-AU"/>
        </w:rPr>
        <w:t xml:space="preserve">increased demand for critical minerals. </w:t>
      </w:r>
      <w:r w:rsidRPr="00A62FE8">
        <w:rPr>
          <w:color w:val="373737"/>
          <w:sz w:val="20"/>
          <w:lang w:val="en"/>
        </w:rPr>
        <w:t xml:space="preserve">With a muted gas demand growth trajectory for ASEAN and constrained Australian gas production, exports to ASEAN cease by 2035 as Qatar and Papua New Guinea meet </w:t>
      </w:r>
      <w:r>
        <w:rPr>
          <w:color w:val="373737"/>
          <w:sz w:val="20"/>
          <w:lang w:val="en"/>
        </w:rPr>
        <w:t>ASEAN</w:t>
      </w:r>
      <w:r w:rsidRPr="00A62FE8">
        <w:rPr>
          <w:color w:val="373737"/>
          <w:sz w:val="20"/>
          <w:lang w:val="en"/>
        </w:rPr>
        <w:t xml:space="preserve"> demand alongside limited endogenous production in the region.</w:t>
      </w:r>
      <w:r w:rsidR="008C73BD">
        <w:rPr>
          <w:color w:val="373737"/>
          <w:sz w:val="20"/>
          <w:lang w:val="en"/>
        </w:rPr>
        <w:t xml:space="preserve"> Australia continues to supply its existing trading </w:t>
      </w:r>
      <w:r w:rsidR="00E26777">
        <w:rPr>
          <w:color w:val="373737"/>
          <w:sz w:val="20"/>
          <w:lang w:val="en"/>
        </w:rPr>
        <w:t>partners</w:t>
      </w:r>
      <w:r w:rsidR="008C73BD">
        <w:rPr>
          <w:color w:val="373737"/>
          <w:sz w:val="20"/>
          <w:lang w:val="en"/>
        </w:rPr>
        <w:t xml:space="preserve"> at a lower level.</w:t>
      </w:r>
    </w:p>
    <w:p w14:paraId="71EF99C3" w14:textId="00679214" w:rsidR="002703C6" w:rsidRDefault="002703C6" w:rsidP="002703C6">
      <w:pPr>
        <w:spacing w:after="120"/>
        <w:rPr>
          <w:color w:val="373737"/>
          <w:sz w:val="20"/>
          <w:lang w:eastAsia="en-AU"/>
        </w:rPr>
      </w:pPr>
      <w:r w:rsidRPr="00A62FE8">
        <w:rPr>
          <w:color w:val="373737"/>
          <w:sz w:val="20"/>
          <w:lang w:eastAsia="en-AU"/>
        </w:rPr>
        <w:t xml:space="preserve">The NZE scenario explores </w:t>
      </w:r>
      <w:r w:rsidR="00E26777">
        <w:rPr>
          <w:color w:val="373737"/>
          <w:sz w:val="20"/>
          <w:lang w:eastAsia="en-AU"/>
        </w:rPr>
        <w:t xml:space="preserve">implications for </w:t>
      </w:r>
      <w:r w:rsidRPr="00A62FE8">
        <w:rPr>
          <w:color w:val="373737"/>
          <w:sz w:val="20"/>
          <w:lang w:eastAsia="en-AU"/>
        </w:rPr>
        <w:t xml:space="preserve">demand if renewable technologies are adopted at a much faster rate than currently indicated by Asian countries. </w:t>
      </w:r>
      <w:r w:rsidRPr="00A62FE8">
        <w:rPr>
          <w:color w:val="373737"/>
          <w:sz w:val="20"/>
          <w:lang w:val="en"/>
        </w:rPr>
        <w:t xml:space="preserve">In this scenario, gas takes on a greater role in this decade, as part of a rapid early shift out from coal, and then the decline in Australian </w:t>
      </w:r>
      <w:r w:rsidRPr="00A62FE8">
        <w:rPr>
          <w:color w:val="373737"/>
          <w:sz w:val="20"/>
          <w:lang w:eastAsia="en-AU"/>
        </w:rPr>
        <w:t xml:space="preserve">gas </w:t>
      </w:r>
      <w:r>
        <w:rPr>
          <w:color w:val="373737"/>
          <w:sz w:val="20"/>
          <w:lang w:eastAsia="en-AU"/>
        </w:rPr>
        <w:t>demand</w:t>
      </w:r>
      <w:r w:rsidRPr="00A62FE8">
        <w:rPr>
          <w:color w:val="373737"/>
          <w:sz w:val="20"/>
          <w:lang w:eastAsia="en-AU"/>
        </w:rPr>
        <w:t xml:space="preserve"> accelerates from 2030. Export volumes to trading partners decrease proportionally as gas demand decreases over time, but contractual obligations remain to be met until expiry. East </w:t>
      </w:r>
      <w:r>
        <w:rPr>
          <w:color w:val="373737"/>
          <w:sz w:val="20"/>
          <w:lang w:eastAsia="en-AU"/>
        </w:rPr>
        <w:t>c</w:t>
      </w:r>
      <w:r w:rsidRPr="00A62FE8">
        <w:rPr>
          <w:color w:val="373737"/>
          <w:sz w:val="20"/>
          <w:lang w:eastAsia="en-AU"/>
        </w:rPr>
        <w:t>oast exports cease by 2050 in the NZE scenario.</w:t>
      </w:r>
    </w:p>
    <w:p w14:paraId="2797699B" w14:textId="698DA407" w:rsidR="00170065" w:rsidRDefault="002703C6" w:rsidP="00FE49A7">
      <w:pPr>
        <w:spacing w:after="120"/>
        <w:rPr>
          <w:rFonts w:eastAsia="Times New Roman" w:cstheme="majorHAnsi"/>
          <w:b/>
          <w:bCs/>
          <w:noProof/>
          <w:color w:val="005CAF"/>
          <w:szCs w:val="20"/>
          <w:lang w:val="en"/>
        </w:rPr>
      </w:pPr>
      <w:r w:rsidRPr="00A62FE8">
        <w:rPr>
          <w:color w:val="373737"/>
          <w:sz w:val="20"/>
          <w:lang w:eastAsia="en-AU"/>
        </w:rPr>
        <w:t xml:space="preserve">In both APS and NZE scenarios, Australian LNG is assumed to remain committed to maintaining relationships with existing key trading partners (Japan, </w:t>
      </w:r>
      <w:r>
        <w:rPr>
          <w:color w:val="373737"/>
          <w:sz w:val="20"/>
          <w:lang w:eastAsia="en-AU"/>
        </w:rPr>
        <w:t>ROK</w:t>
      </w:r>
      <w:r w:rsidRPr="00A62FE8">
        <w:rPr>
          <w:color w:val="373737"/>
          <w:sz w:val="20"/>
          <w:lang w:eastAsia="en-AU"/>
        </w:rPr>
        <w:t>, Taiwan, and China) via contractual obligations, but uncontracted spot LNG sales of Australian gas will be scarce in line with declining demand.</w:t>
      </w:r>
    </w:p>
    <w:p w14:paraId="33BE2820" w14:textId="6544A782" w:rsidR="002703C6" w:rsidRPr="00AB6C9E" w:rsidRDefault="002703C6" w:rsidP="002703C6">
      <w:pPr>
        <w:pStyle w:val="Heading2"/>
        <w:numPr>
          <w:ilvl w:val="1"/>
          <w:numId w:val="3"/>
        </w:numPr>
      </w:pPr>
      <w:bookmarkStart w:id="126" w:name="_Toc172794519"/>
      <w:r w:rsidRPr="00A62FE8">
        <w:t xml:space="preserve">Projections </w:t>
      </w:r>
      <w:r>
        <w:t xml:space="preserve">by </w:t>
      </w:r>
      <w:r w:rsidR="008C1F5D">
        <w:t xml:space="preserve">Asian </w:t>
      </w:r>
      <w:r>
        <w:t>region</w:t>
      </w:r>
      <w:bookmarkEnd w:id="126"/>
    </w:p>
    <w:p w14:paraId="21162752" w14:textId="77777777" w:rsidR="002703C6" w:rsidRPr="00A62FE8" w:rsidRDefault="002703C6" w:rsidP="002703C6">
      <w:pPr>
        <w:spacing w:after="120"/>
        <w:rPr>
          <w:color w:val="373737"/>
          <w:sz w:val="20"/>
          <w:lang w:val="en"/>
        </w:rPr>
      </w:pPr>
      <w:r w:rsidRPr="00A62FE8">
        <w:rPr>
          <w:color w:val="373737"/>
          <w:sz w:val="20"/>
          <w:lang w:val="en"/>
        </w:rPr>
        <w:t xml:space="preserve">Consultations have indicated a general expectation of strong gas demand from </w:t>
      </w:r>
      <w:r>
        <w:rPr>
          <w:color w:val="373737"/>
          <w:sz w:val="20"/>
          <w:lang w:val="en"/>
        </w:rPr>
        <w:t>our</w:t>
      </w:r>
      <w:r w:rsidRPr="00A62FE8">
        <w:rPr>
          <w:color w:val="373737"/>
          <w:sz w:val="20"/>
          <w:lang w:val="en"/>
        </w:rPr>
        <w:t xml:space="preserve"> region, although the role of Australian supply is more ambiguous for new importers than for established trading partners.</w:t>
      </w:r>
    </w:p>
    <w:p w14:paraId="4DC4664C" w14:textId="77777777" w:rsidR="002703C6" w:rsidRPr="00A62FE8" w:rsidRDefault="002703C6" w:rsidP="002703C6">
      <w:pPr>
        <w:pStyle w:val="Heading3"/>
        <w:numPr>
          <w:ilvl w:val="2"/>
          <w:numId w:val="3"/>
        </w:numPr>
        <w:rPr>
          <w:lang w:val="en"/>
        </w:rPr>
      </w:pPr>
      <w:r>
        <w:rPr>
          <w:lang w:val="en"/>
        </w:rPr>
        <w:t>East Asia</w:t>
      </w:r>
    </w:p>
    <w:p w14:paraId="02955199" w14:textId="10146DE3" w:rsidR="002703C6" w:rsidRDefault="002703C6" w:rsidP="002703C6">
      <w:pPr>
        <w:pStyle w:val="BodyText"/>
        <w:rPr>
          <w:lang w:val="en"/>
        </w:rPr>
      </w:pPr>
      <w:r w:rsidRPr="00A62FE8">
        <w:rPr>
          <w:lang w:val="en"/>
        </w:rPr>
        <w:t xml:space="preserve">The Nexant WGM projects </w:t>
      </w:r>
      <w:r>
        <w:rPr>
          <w:lang w:val="en"/>
        </w:rPr>
        <w:t xml:space="preserve">East Asia’s overall demand for Australia </w:t>
      </w:r>
      <w:r w:rsidRPr="00A62FE8">
        <w:rPr>
          <w:lang w:val="en"/>
        </w:rPr>
        <w:t xml:space="preserve">LNG </w:t>
      </w:r>
      <w:r>
        <w:rPr>
          <w:lang w:val="en"/>
        </w:rPr>
        <w:t>to steadily decline to between a third (STEPS) to less than a tenth of 2023 levels (NZE) by 2050, depending on the level of modelled climate ambition (Figure 4.</w:t>
      </w:r>
      <w:r w:rsidR="00BE6BED">
        <w:rPr>
          <w:lang w:val="en"/>
        </w:rPr>
        <w:t>13</w:t>
      </w:r>
      <w:r>
        <w:rPr>
          <w:lang w:val="en"/>
        </w:rPr>
        <w:t>). However, under all scenarios there remains demand in the region for Australian LNG exports out to 2050 and beyond.</w:t>
      </w:r>
      <w:r w:rsidRPr="002B0EAD">
        <w:rPr>
          <w:lang w:val="en"/>
        </w:rPr>
        <w:t xml:space="preserve"> </w:t>
      </w:r>
    </w:p>
    <w:p w14:paraId="356801D8" w14:textId="11ABD5BE" w:rsidR="002703C6" w:rsidRDefault="002703C6" w:rsidP="002703C6">
      <w:pPr>
        <w:pStyle w:val="BodyText"/>
        <w:rPr>
          <w:lang w:val="en"/>
        </w:rPr>
      </w:pPr>
      <w:r>
        <w:rPr>
          <w:lang w:val="en"/>
        </w:rPr>
        <w:t xml:space="preserve">Two factors drive the decline in export demand in the APS and NZE scenarios. First, there is expected to be a shift toward alternative suppliers of LNG on a cost basis. </w:t>
      </w:r>
      <w:r w:rsidRPr="00CA2E3F">
        <w:rPr>
          <w:lang w:val="en"/>
        </w:rPr>
        <w:t xml:space="preserve">The region’s lack of domestic gas production and unsuitable geography (except China) subjects its </w:t>
      </w:r>
      <w:r w:rsidR="00E871F3">
        <w:rPr>
          <w:lang w:val="en"/>
        </w:rPr>
        <w:t>economies</w:t>
      </w:r>
      <w:r w:rsidRPr="00CA2E3F">
        <w:rPr>
          <w:lang w:val="en"/>
        </w:rPr>
        <w:t xml:space="preserve"> to a reliance on imports for their energy needs.</w:t>
      </w:r>
      <w:r>
        <w:rPr>
          <w:lang w:val="en"/>
        </w:rPr>
        <w:t xml:space="preserve"> However, Australian gas is relatively expensive compared to US exports. Transport costs and b</w:t>
      </w:r>
      <w:r w:rsidRPr="002B0EAD">
        <w:rPr>
          <w:lang w:val="en"/>
        </w:rPr>
        <w:t xml:space="preserve">roader geopolitical influences </w:t>
      </w:r>
      <w:r>
        <w:rPr>
          <w:lang w:val="en"/>
        </w:rPr>
        <w:t>maintain demand for</w:t>
      </w:r>
      <w:r w:rsidRPr="002B0EAD">
        <w:rPr>
          <w:lang w:val="en"/>
        </w:rPr>
        <w:t xml:space="preserve"> Australian </w:t>
      </w:r>
      <w:r>
        <w:rPr>
          <w:lang w:val="en"/>
        </w:rPr>
        <w:t>LNG in the medium term</w:t>
      </w:r>
      <w:r w:rsidRPr="002B0EAD">
        <w:rPr>
          <w:lang w:val="en"/>
        </w:rPr>
        <w:t>.</w:t>
      </w:r>
      <w:r>
        <w:rPr>
          <w:lang w:val="en"/>
        </w:rPr>
        <w:t xml:space="preserve"> Beyond this,</w:t>
      </w:r>
      <w:r w:rsidRPr="002B0EAD">
        <w:rPr>
          <w:lang w:val="en"/>
        </w:rPr>
        <w:t xml:space="preserve"> </w:t>
      </w:r>
      <w:r w:rsidR="000467B1">
        <w:rPr>
          <w:lang w:val="en"/>
        </w:rPr>
        <w:t>East</w:t>
      </w:r>
      <w:r>
        <w:rPr>
          <w:lang w:val="en"/>
        </w:rPr>
        <w:t xml:space="preserve"> Asia will have new opportunities to source natural gas from the west coast of North America, where several suppliers are looking to build new LNG export facilities into the Pacific region. </w:t>
      </w:r>
    </w:p>
    <w:p w14:paraId="721B9C33" w14:textId="4F60BA57" w:rsidR="002703C6" w:rsidRDefault="002703C6" w:rsidP="002703C6">
      <w:pPr>
        <w:pStyle w:val="BodyText"/>
        <w:rPr>
          <w:lang w:val="en"/>
        </w:rPr>
      </w:pPr>
      <w:r>
        <w:rPr>
          <w:lang w:val="en"/>
        </w:rPr>
        <w:t xml:space="preserve">Second, gas demand is expected to fall as </w:t>
      </w:r>
      <w:r w:rsidR="0021489F">
        <w:rPr>
          <w:lang w:val="en"/>
        </w:rPr>
        <w:t>economies</w:t>
      </w:r>
      <w:r>
        <w:rPr>
          <w:lang w:val="en"/>
        </w:rPr>
        <w:t xml:space="preserve"> in </w:t>
      </w:r>
      <w:r w:rsidR="000467B1">
        <w:rPr>
          <w:lang w:val="en"/>
        </w:rPr>
        <w:t>East</w:t>
      </w:r>
      <w:r>
        <w:rPr>
          <w:lang w:val="en"/>
        </w:rPr>
        <w:t xml:space="preserve"> Asia integrate alternative energy sources into their energy plans. The restart of Japan’s nuclear fleet and the ROK’s recent reversal on nuclear policy were cited as necessary to transition away from coal completely and meet their climate targets. </w:t>
      </w:r>
      <w:r w:rsidR="0021489F">
        <w:rPr>
          <w:lang w:val="en"/>
        </w:rPr>
        <w:t>Economies</w:t>
      </w:r>
      <w:r>
        <w:rPr>
          <w:lang w:val="en"/>
        </w:rPr>
        <w:t xml:space="preserve"> in the region are also looking to establish supply chains for carbon-neutral fuels. Japan has indicated that its transition to net zero will involve switching from the use of natural gas to an alternative such as ammonia or hydrogen once this becomes economic, and is investing in development of these technologies and early stage demonstrations of transport and import capability.</w:t>
      </w:r>
    </w:p>
    <w:p w14:paraId="2844547A" w14:textId="1AB114F1" w:rsidR="002703C6" w:rsidRPr="00A62FE8" w:rsidRDefault="002703C6" w:rsidP="00C97679">
      <w:pPr>
        <w:pStyle w:val="Caption"/>
      </w:pPr>
      <w:r w:rsidRPr="00A62FE8">
        <w:t xml:space="preserve">Figure </w:t>
      </w:r>
      <w:r w:rsidR="00341B3B">
        <w:fldChar w:fldCharType="begin"/>
      </w:r>
      <w:r w:rsidR="00341B3B">
        <w:instrText xml:space="preserve"> STYLEREF 1 \s </w:instrText>
      </w:r>
      <w:r w:rsidR="00341B3B">
        <w:fldChar w:fldCharType="separate"/>
      </w:r>
      <w:r w:rsidR="00BF178A">
        <w:rPr>
          <w:noProof/>
        </w:rPr>
        <w:t>4</w:t>
      </w:r>
      <w:r w:rsidR="00341B3B">
        <w:rPr>
          <w:noProof/>
        </w:rPr>
        <w:fldChar w:fldCharType="end"/>
      </w:r>
      <w:r w:rsidR="00150C16">
        <w:t>.</w:t>
      </w:r>
      <w:r w:rsidR="00341B3B">
        <w:fldChar w:fldCharType="begin"/>
      </w:r>
      <w:r w:rsidR="00341B3B">
        <w:instrText xml:space="preserve"> SEQ Figure \* ARABIC \s 1 </w:instrText>
      </w:r>
      <w:r w:rsidR="00341B3B">
        <w:fldChar w:fldCharType="separate"/>
      </w:r>
      <w:r w:rsidR="00BF178A">
        <w:rPr>
          <w:noProof/>
        </w:rPr>
        <w:t>13</w:t>
      </w:r>
      <w:r w:rsidR="00341B3B">
        <w:rPr>
          <w:noProof/>
        </w:rPr>
        <w:fldChar w:fldCharType="end"/>
      </w:r>
      <w:r w:rsidRPr="00A62FE8">
        <w:t xml:space="preserve">: </w:t>
      </w:r>
      <w:r w:rsidRPr="00A62FE8" w:rsidDel="001D3C7F">
        <w:t xml:space="preserve">Australian </w:t>
      </w:r>
      <w:r w:rsidRPr="00A62FE8">
        <w:t xml:space="preserve">LNG exports to </w:t>
      </w:r>
      <w:r>
        <w:t>East Asia</w:t>
      </w:r>
      <w:r w:rsidRPr="00A62FE8">
        <w:t xml:space="preserve">, by </w:t>
      </w:r>
      <w:r>
        <w:t>s</w:t>
      </w:r>
      <w:r w:rsidRPr="00A62FE8">
        <w:t>cenario</w:t>
      </w:r>
      <w:r w:rsidR="004C117A">
        <w:t>, 2023 to 2050</w:t>
      </w:r>
    </w:p>
    <w:p w14:paraId="6069A136" w14:textId="120B51BD" w:rsidR="002703C6" w:rsidRPr="00A62FE8" w:rsidRDefault="0020632E" w:rsidP="002703C6">
      <w:pPr>
        <w:keepNext/>
        <w:spacing w:after="60" w:line="240" w:lineRule="auto"/>
        <w:rPr>
          <w:rFonts w:eastAsia="Times New Roman" w:cs="Arial"/>
          <w:color w:val="005CAF"/>
          <w:sz w:val="16"/>
          <w:szCs w:val="20"/>
          <w:lang w:val="en"/>
        </w:rPr>
      </w:pPr>
      <w:r>
        <w:rPr>
          <w:noProof/>
        </w:rPr>
        <w:drawing>
          <wp:inline distT="0" distB="0" distL="0" distR="0" wp14:anchorId="5DD30CD7" wp14:editId="45BD6686">
            <wp:extent cx="4206875" cy="2100580"/>
            <wp:effectExtent l="0" t="0" r="3175" b="0"/>
            <wp:docPr id="65" name="Chart 65" descr="This figure projects Australian LNG exports to East Asia to 2050 by scenario. Under the STEPS and APS scenario, exports decline similarly to 2030 before exports under the APS scenario start to decline more rapidly to approximately 30 billion cubic metres in 2050. In comparison, the STEPS scenario projects export volumes of roughly 60 billion cubic metres in 2050. The NZE scenario projects lower exports for the whole period and declines at a faster rate, with 2050 exports projected to be just under 10 billion cubic metres.">
              <a:extLst xmlns:a="http://schemas.openxmlformats.org/drawingml/2006/main">
                <a:ext uri="{FF2B5EF4-FFF2-40B4-BE49-F238E27FC236}">
                  <a16:creationId xmlns:a16="http://schemas.microsoft.com/office/drawing/2014/main" id="{7747543A-C197-45EE-A634-A06AB5B19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F5A8D1A" w14:textId="4743E1F3" w:rsidR="002703C6" w:rsidRPr="00A62FE8" w:rsidRDefault="002703C6" w:rsidP="00DF5A7C">
      <w:pPr>
        <w:pStyle w:val="Source"/>
      </w:pPr>
      <w:r w:rsidRPr="00A62FE8">
        <w:t>Source: NexantECA (202</w:t>
      </w:r>
      <w:r>
        <w:t>3</w:t>
      </w:r>
      <w:r w:rsidRPr="00A62FE8">
        <w:t xml:space="preserve">) </w:t>
      </w:r>
    </w:p>
    <w:p w14:paraId="5FE3FB48" w14:textId="0153B319" w:rsidR="002703C6" w:rsidRPr="00A62FE8" w:rsidRDefault="002703C6" w:rsidP="002703C6">
      <w:pPr>
        <w:pStyle w:val="Heading3"/>
        <w:numPr>
          <w:ilvl w:val="0"/>
          <w:numId w:val="0"/>
        </w:numPr>
        <w:rPr>
          <w:lang w:val="en"/>
        </w:rPr>
      </w:pPr>
      <w:r>
        <w:rPr>
          <w:lang w:val="en"/>
        </w:rPr>
        <w:t>Southeast Asia and other partners</w:t>
      </w:r>
    </w:p>
    <w:p w14:paraId="482BD505" w14:textId="1C74AF78" w:rsidR="002703C6" w:rsidRDefault="002703C6" w:rsidP="002703C6">
      <w:pPr>
        <w:pStyle w:val="BodyText"/>
        <w:rPr>
          <w:lang w:val="en"/>
        </w:rPr>
      </w:pPr>
      <w:r w:rsidRPr="00A62FE8">
        <w:rPr>
          <w:lang w:val="en"/>
        </w:rPr>
        <w:t xml:space="preserve">The Nexant WGM projects </w:t>
      </w:r>
      <w:r>
        <w:rPr>
          <w:lang w:val="en"/>
        </w:rPr>
        <w:t>significantly different outcomes for Southeast Asian demand depending on the level of global climate ambition (Figure 4.</w:t>
      </w:r>
      <w:r w:rsidR="00BE6BED">
        <w:rPr>
          <w:lang w:val="en"/>
        </w:rPr>
        <w:t>14</w:t>
      </w:r>
      <w:r>
        <w:rPr>
          <w:lang w:val="en"/>
        </w:rPr>
        <w:t>).</w:t>
      </w:r>
      <w:r w:rsidRPr="00EE0D9A">
        <w:rPr>
          <w:lang w:val="en"/>
        </w:rPr>
        <w:t xml:space="preserve"> </w:t>
      </w:r>
      <w:r>
        <w:rPr>
          <w:lang w:val="en"/>
        </w:rPr>
        <w:t>While regional gas production has been substantial, a combination of declining reserves and rapid energy demand</w:t>
      </w:r>
      <w:r w:rsidR="008C1F5D">
        <w:rPr>
          <w:lang w:val="en"/>
        </w:rPr>
        <w:t xml:space="preserve"> associated with strong </w:t>
      </w:r>
      <w:r>
        <w:rPr>
          <w:lang w:val="en"/>
        </w:rPr>
        <w:t xml:space="preserve">economic growth </w:t>
      </w:r>
      <w:r w:rsidR="008C1F5D">
        <w:rPr>
          <w:lang w:val="en"/>
        </w:rPr>
        <w:t>means demand for LNG is growing</w:t>
      </w:r>
      <w:r>
        <w:rPr>
          <w:lang w:val="en"/>
        </w:rPr>
        <w:t>, with the Nexant WGM forecasting Southeast Asia to become a net importer of LNG by 2027. In a STEPS scenario, export levels to Southeast Asia grow to levels comparable with current exports to China by mid</w:t>
      </w:r>
      <w:r w:rsidR="00DB5745">
        <w:rPr>
          <w:lang w:val="en"/>
        </w:rPr>
        <w:t>–</w:t>
      </w:r>
      <w:r>
        <w:rPr>
          <w:lang w:val="en"/>
        </w:rPr>
        <w:t xml:space="preserve">2030s as policy is driven by a focus on economic growth. In contrast, under the APS and NZE scenarios, demand for Australian LNG begins to decline in the 2030s. </w:t>
      </w:r>
    </w:p>
    <w:p w14:paraId="29EF215C" w14:textId="13233C07" w:rsidR="00106D22" w:rsidRPr="00A62FE8" w:rsidRDefault="00106D22" w:rsidP="00C97679">
      <w:pPr>
        <w:pStyle w:val="Caption"/>
        <w:rPr>
          <w:lang w:val="en"/>
        </w:rPr>
      </w:pPr>
      <w:r w:rsidRPr="00A62FE8">
        <w:rPr>
          <w:lang w:val="en"/>
        </w:rPr>
        <w:t xml:space="preserve">Figure </w:t>
      </w:r>
      <w:r>
        <w:rPr>
          <w:lang w:val="en"/>
        </w:rPr>
        <w:fldChar w:fldCharType="begin"/>
      </w:r>
      <w:r>
        <w:rPr>
          <w:lang w:val="en"/>
        </w:rPr>
        <w:instrText xml:space="preserve"> STYLEREF 1 \s </w:instrText>
      </w:r>
      <w:r>
        <w:rPr>
          <w:lang w:val="en"/>
        </w:rPr>
        <w:fldChar w:fldCharType="separate"/>
      </w:r>
      <w:r w:rsidR="00BF178A">
        <w:rPr>
          <w:noProof/>
          <w:lang w:val="en"/>
        </w:rPr>
        <w:t>4</w:t>
      </w:r>
      <w:r>
        <w:rPr>
          <w:lang w:val="en"/>
        </w:rPr>
        <w:fldChar w:fldCharType="end"/>
      </w:r>
      <w:r>
        <w:rPr>
          <w:lang w:val="en"/>
        </w:rPr>
        <w:t>.</w:t>
      </w:r>
      <w:r>
        <w:rPr>
          <w:lang w:val="en"/>
        </w:rPr>
        <w:fldChar w:fldCharType="begin"/>
      </w:r>
      <w:r>
        <w:rPr>
          <w:lang w:val="en"/>
        </w:rPr>
        <w:instrText xml:space="preserve"> SEQ Figure \* ARABIC \s 1 </w:instrText>
      </w:r>
      <w:r>
        <w:rPr>
          <w:lang w:val="en"/>
        </w:rPr>
        <w:fldChar w:fldCharType="separate"/>
      </w:r>
      <w:r w:rsidR="00BF178A">
        <w:rPr>
          <w:noProof/>
          <w:lang w:val="en"/>
        </w:rPr>
        <w:t>14</w:t>
      </w:r>
      <w:r>
        <w:rPr>
          <w:lang w:val="en"/>
        </w:rPr>
        <w:fldChar w:fldCharType="end"/>
      </w:r>
      <w:r w:rsidRPr="00A62FE8">
        <w:rPr>
          <w:lang w:val="en"/>
        </w:rPr>
        <w:t xml:space="preserve">: </w:t>
      </w:r>
      <w:r w:rsidRPr="00A62FE8" w:rsidDel="001D3C7F">
        <w:rPr>
          <w:lang w:val="en"/>
        </w:rPr>
        <w:t xml:space="preserve">Australian </w:t>
      </w:r>
      <w:r w:rsidRPr="00A62FE8">
        <w:rPr>
          <w:lang w:val="en"/>
        </w:rPr>
        <w:t xml:space="preserve">LNG exports to </w:t>
      </w:r>
      <w:r>
        <w:rPr>
          <w:lang w:val="en"/>
        </w:rPr>
        <w:t>Southeast Asia</w:t>
      </w:r>
      <w:r w:rsidRPr="00A62FE8">
        <w:rPr>
          <w:lang w:val="en"/>
        </w:rPr>
        <w:t xml:space="preserve">, by </w:t>
      </w:r>
      <w:r>
        <w:rPr>
          <w:lang w:val="en"/>
        </w:rPr>
        <w:t>s</w:t>
      </w:r>
      <w:r w:rsidRPr="00A62FE8">
        <w:rPr>
          <w:lang w:val="en"/>
        </w:rPr>
        <w:t>cenario</w:t>
      </w:r>
      <w:r w:rsidR="004C117A">
        <w:rPr>
          <w:lang w:val="en"/>
        </w:rPr>
        <w:t>, 2023 to 2050</w:t>
      </w:r>
    </w:p>
    <w:p w14:paraId="55DF874F" w14:textId="574B6965" w:rsidR="00106D22" w:rsidRPr="00A62FE8" w:rsidRDefault="0020632E" w:rsidP="00106D22">
      <w:pPr>
        <w:keepNext/>
        <w:spacing w:after="60" w:line="240" w:lineRule="auto"/>
        <w:rPr>
          <w:rFonts w:eastAsia="Times New Roman" w:cs="Arial"/>
          <w:color w:val="005CAF"/>
          <w:sz w:val="16"/>
          <w:szCs w:val="20"/>
          <w:lang w:val="en"/>
        </w:rPr>
      </w:pPr>
      <w:r>
        <w:rPr>
          <w:noProof/>
        </w:rPr>
        <w:drawing>
          <wp:inline distT="0" distB="0" distL="0" distR="0" wp14:anchorId="0262FE6E" wp14:editId="724720A4">
            <wp:extent cx="4206875" cy="2100580"/>
            <wp:effectExtent l="0" t="0" r="3175" b="0"/>
            <wp:docPr id="66" name="Chart 66" descr="This figure projects Australian LNG exports to Southeast Asia to 2050 by scenario. Under the STEPS scenario, LNG exports will increase from approximately 10 billion cubic metres in 2024 to over 35 billion cubic metres by 2040 before declining to just over 25 billion cubic metres in 2050. While the APS scenario projects slightly higher demand, both the APS and NZE scenarios see a gradual increase in exports to 2030 before declining. The scenario projections converge around 2036 and decline from over 5 billion cubic metres to a relatively flat 1 billion cubic metres from 2040 to 2050.">
              <a:extLst xmlns:a="http://schemas.openxmlformats.org/drawingml/2006/main">
                <a:ext uri="{FF2B5EF4-FFF2-40B4-BE49-F238E27FC236}">
                  <a16:creationId xmlns:a16="http://schemas.microsoft.com/office/drawing/2014/main" id="{4D030858-D894-477D-A37F-053D89887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B56C713" w14:textId="17CED092" w:rsidR="00106D22" w:rsidRPr="00F6655F" w:rsidRDefault="00106D22" w:rsidP="00DF5A7C">
      <w:pPr>
        <w:pStyle w:val="Source"/>
      </w:pPr>
      <w:r w:rsidRPr="00A62FE8">
        <w:t>Source: NexantECA (202</w:t>
      </w:r>
      <w:r>
        <w:t>3</w:t>
      </w:r>
      <w:r w:rsidRPr="00A62FE8">
        <w:t xml:space="preserve">) </w:t>
      </w:r>
    </w:p>
    <w:p w14:paraId="5497EED1" w14:textId="52A926C5" w:rsidR="002703C6" w:rsidRDefault="002703C6" w:rsidP="002703C6">
      <w:pPr>
        <w:pStyle w:val="BodyText"/>
        <w:rPr>
          <w:lang w:val="en"/>
        </w:rPr>
      </w:pPr>
      <w:r w:rsidRPr="00A62FE8">
        <w:rPr>
          <w:lang w:val="en"/>
        </w:rPr>
        <w:t xml:space="preserve">ASEAN </w:t>
      </w:r>
      <w:r>
        <w:rPr>
          <w:lang w:val="en"/>
        </w:rPr>
        <w:t xml:space="preserve">member states </w:t>
      </w:r>
      <w:r w:rsidRPr="00A62FE8">
        <w:rPr>
          <w:lang w:val="en"/>
        </w:rPr>
        <w:t xml:space="preserve">share </w:t>
      </w:r>
      <w:r>
        <w:rPr>
          <w:lang w:val="en"/>
        </w:rPr>
        <w:t>some</w:t>
      </w:r>
      <w:r w:rsidRPr="00A62FE8">
        <w:rPr>
          <w:lang w:val="en"/>
        </w:rPr>
        <w:t xml:space="preserve"> common </w:t>
      </w:r>
      <w:r>
        <w:rPr>
          <w:lang w:val="en"/>
        </w:rPr>
        <w:t>principles with regard to the energy transition</w:t>
      </w:r>
      <w:r w:rsidRPr="00A62FE8">
        <w:rPr>
          <w:lang w:val="en"/>
        </w:rPr>
        <w:t>: the need to respect country-specific circumstances through the transition; that growing economies need to prioriti</w:t>
      </w:r>
      <w:r>
        <w:rPr>
          <w:lang w:val="en"/>
        </w:rPr>
        <w:t>s</w:t>
      </w:r>
      <w:r w:rsidRPr="00A62FE8">
        <w:rPr>
          <w:lang w:val="en"/>
        </w:rPr>
        <w:t xml:space="preserve">e energy security, including through </w:t>
      </w:r>
      <w:r>
        <w:rPr>
          <w:lang w:val="en"/>
        </w:rPr>
        <w:t xml:space="preserve">use of </w:t>
      </w:r>
      <w:r w:rsidRPr="00A62FE8">
        <w:rPr>
          <w:lang w:val="en"/>
        </w:rPr>
        <w:t xml:space="preserve">LNG; and that ASEAN members require financial and technical support </w:t>
      </w:r>
      <w:r>
        <w:rPr>
          <w:lang w:val="en"/>
        </w:rPr>
        <w:t>to</w:t>
      </w:r>
      <w:r w:rsidRPr="00A62FE8">
        <w:rPr>
          <w:lang w:val="en"/>
        </w:rPr>
        <w:t xml:space="preserve"> decarboni</w:t>
      </w:r>
      <w:r>
        <w:rPr>
          <w:lang w:val="en"/>
        </w:rPr>
        <w:t>se</w:t>
      </w:r>
      <w:r w:rsidRPr="00A62FE8">
        <w:rPr>
          <w:lang w:val="en"/>
        </w:rPr>
        <w:t xml:space="preserve">. </w:t>
      </w:r>
      <w:r>
        <w:rPr>
          <w:lang w:val="en"/>
        </w:rPr>
        <w:t>However</w:t>
      </w:r>
      <w:r w:rsidRPr="00A62FE8">
        <w:rPr>
          <w:lang w:val="en"/>
        </w:rPr>
        <w:t xml:space="preserve">, there is no ‘one size’ approach, </w:t>
      </w:r>
      <w:r w:rsidR="00B7408D">
        <w:rPr>
          <w:lang w:val="en"/>
        </w:rPr>
        <w:t>with variations</w:t>
      </w:r>
      <w:r w:rsidRPr="00A62FE8">
        <w:rPr>
          <w:lang w:val="en"/>
        </w:rPr>
        <w:t xml:space="preserve"> based on country-specific circumstance.</w:t>
      </w:r>
      <w:r>
        <w:rPr>
          <w:lang w:val="en"/>
        </w:rPr>
        <w:t xml:space="preserve"> Several ASEAN </w:t>
      </w:r>
      <w:r w:rsidR="00051CBF">
        <w:rPr>
          <w:lang w:val="en"/>
        </w:rPr>
        <w:t>member states</w:t>
      </w:r>
      <w:r>
        <w:rPr>
          <w:lang w:val="en"/>
        </w:rPr>
        <w:t xml:space="preserve"> have signaled their intention to </w:t>
      </w:r>
      <w:r w:rsidR="00B7408D">
        <w:rPr>
          <w:lang w:val="en"/>
        </w:rPr>
        <w:t>engage in</w:t>
      </w:r>
      <w:r>
        <w:rPr>
          <w:lang w:val="en"/>
        </w:rPr>
        <w:t xml:space="preserve"> greater use of gas to reduce their dependency on coal. Importers have identified Australia among others as a major possible supply partner as a source of LNG. This is evident through investments in Australian major </w:t>
      </w:r>
      <w:r w:rsidR="006A5F5F">
        <w:rPr>
          <w:lang w:val="en"/>
        </w:rPr>
        <w:t>LNG</w:t>
      </w:r>
      <w:r>
        <w:rPr>
          <w:lang w:val="en"/>
        </w:rPr>
        <w:t xml:space="preserve"> projects, including Malaysian state-owned company Petronas.</w:t>
      </w:r>
    </w:p>
    <w:p w14:paraId="508192AE" w14:textId="0AE7B543" w:rsidR="002703C6" w:rsidRDefault="002703C6" w:rsidP="002703C6">
      <w:pPr>
        <w:pStyle w:val="BodyText"/>
        <w:rPr>
          <w:lang w:val="en"/>
        </w:rPr>
      </w:pPr>
      <w:r w:rsidRPr="00A62FE8">
        <w:rPr>
          <w:lang w:val="en"/>
        </w:rPr>
        <w:t xml:space="preserve">ASEAN </w:t>
      </w:r>
      <w:r>
        <w:rPr>
          <w:lang w:val="en"/>
        </w:rPr>
        <w:t xml:space="preserve">member states </w:t>
      </w:r>
      <w:r w:rsidRPr="00A62FE8">
        <w:rPr>
          <w:lang w:val="en"/>
        </w:rPr>
        <w:t xml:space="preserve">share </w:t>
      </w:r>
      <w:r>
        <w:rPr>
          <w:lang w:val="en"/>
        </w:rPr>
        <w:t>some</w:t>
      </w:r>
      <w:r w:rsidRPr="00A62FE8">
        <w:rPr>
          <w:lang w:val="en"/>
        </w:rPr>
        <w:t xml:space="preserve"> common </w:t>
      </w:r>
      <w:r>
        <w:rPr>
          <w:lang w:val="en"/>
        </w:rPr>
        <w:t>principles with regard to the energy transition</w:t>
      </w:r>
      <w:r w:rsidRPr="00A62FE8">
        <w:rPr>
          <w:lang w:val="en"/>
        </w:rPr>
        <w:t>: the need to respect country-specific circumstances through the transition; that growing economies need to prioriti</w:t>
      </w:r>
      <w:r>
        <w:rPr>
          <w:lang w:val="en"/>
        </w:rPr>
        <w:t>s</w:t>
      </w:r>
      <w:r w:rsidRPr="00A62FE8">
        <w:rPr>
          <w:lang w:val="en"/>
        </w:rPr>
        <w:t xml:space="preserve">e energy security, including through </w:t>
      </w:r>
      <w:r>
        <w:rPr>
          <w:lang w:val="en"/>
        </w:rPr>
        <w:t xml:space="preserve">use of </w:t>
      </w:r>
      <w:r w:rsidRPr="00A62FE8">
        <w:rPr>
          <w:lang w:val="en"/>
        </w:rPr>
        <w:t xml:space="preserve">LNG; and that ASEAN members require financial and technical support </w:t>
      </w:r>
      <w:r>
        <w:rPr>
          <w:lang w:val="en"/>
        </w:rPr>
        <w:t>to</w:t>
      </w:r>
      <w:r w:rsidRPr="00A62FE8">
        <w:rPr>
          <w:lang w:val="en"/>
        </w:rPr>
        <w:t xml:space="preserve"> decarboni</w:t>
      </w:r>
      <w:r>
        <w:rPr>
          <w:lang w:val="en"/>
        </w:rPr>
        <w:t>se</w:t>
      </w:r>
      <w:r w:rsidRPr="00A62FE8">
        <w:rPr>
          <w:lang w:val="en"/>
        </w:rPr>
        <w:t xml:space="preserve">. </w:t>
      </w:r>
      <w:r>
        <w:rPr>
          <w:lang w:val="en"/>
        </w:rPr>
        <w:t>However</w:t>
      </w:r>
      <w:r w:rsidRPr="00A62FE8">
        <w:rPr>
          <w:lang w:val="en"/>
        </w:rPr>
        <w:t xml:space="preserve">, there is no ‘one size’ approach, </w:t>
      </w:r>
      <w:r w:rsidR="00B7408D">
        <w:rPr>
          <w:lang w:val="en"/>
        </w:rPr>
        <w:t>with variations</w:t>
      </w:r>
      <w:r w:rsidRPr="00A62FE8">
        <w:rPr>
          <w:lang w:val="en"/>
        </w:rPr>
        <w:t xml:space="preserve"> based on country-specific circumstance.</w:t>
      </w:r>
      <w:r>
        <w:rPr>
          <w:lang w:val="en"/>
        </w:rPr>
        <w:t xml:space="preserve"> Several ASEAN economies have signaled their intention to </w:t>
      </w:r>
      <w:r w:rsidR="00B7408D">
        <w:rPr>
          <w:lang w:val="en"/>
        </w:rPr>
        <w:t>engage in</w:t>
      </w:r>
      <w:r>
        <w:rPr>
          <w:lang w:val="en"/>
        </w:rPr>
        <w:t xml:space="preserve"> greater use of gas to reduce their dependency on coal. Importers have identified Australia among others as a major possible supply partner as a source of LNG. This is evident through investments in Australian major </w:t>
      </w:r>
      <w:r w:rsidR="006A5F5F">
        <w:rPr>
          <w:lang w:val="en"/>
        </w:rPr>
        <w:t>LNG</w:t>
      </w:r>
      <w:r>
        <w:rPr>
          <w:lang w:val="en"/>
        </w:rPr>
        <w:t xml:space="preserve"> projects, including Malaysian state-owned company Petronas.</w:t>
      </w:r>
    </w:p>
    <w:p w14:paraId="63B1A522" w14:textId="5B5D47D5" w:rsidR="002703C6" w:rsidRDefault="002703C6" w:rsidP="002703C6">
      <w:pPr>
        <w:pStyle w:val="BodyText"/>
        <w:rPr>
          <w:lang w:val="en"/>
        </w:rPr>
      </w:pPr>
      <w:r>
        <w:rPr>
          <w:lang w:val="en"/>
        </w:rPr>
        <w:t xml:space="preserve">Outside of East </w:t>
      </w:r>
      <w:r w:rsidR="0045006E">
        <w:rPr>
          <w:lang w:val="en"/>
        </w:rPr>
        <w:t xml:space="preserve">and South-east </w:t>
      </w:r>
      <w:r>
        <w:rPr>
          <w:lang w:val="en"/>
        </w:rPr>
        <w:t>Asia, the Nexant WGM sees little reach of Australian LNG. India remains a minor destination for Australian LNG as its gas import needs are largely met by Qatar</w:t>
      </w:r>
      <w:r w:rsidR="008C1F5D">
        <w:rPr>
          <w:lang w:val="en"/>
        </w:rPr>
        <w:t>,</w:t>
      </w:r>
      <w:r>
        <w:rPr>
          <w:lang w:val="en"/>
        </w:rPr>
        <w:t xml:space="preserve"> partly due to its proximity. While countries such as China, Japan and ROK may re-export excess LNG, it is usually retained in the region. </w:t>
      </w:r>
      <w:r w:rsidR="008C1F5D">
        <w:rPr>
          <w:lang w:val="en"/>
        </w:rPr>
        <w:t xml:space="preserve">Nonetheless, </w:t>
      </w:r>
      <w:r>
        <w:rPr>
          <w:lang w:val="en"/>
        </w:rPr>
        <w:t>the US and EU have emphasised the important indirect role Australia plays in the global export market, and how significant disruptions to Australian operations contribute to the volatility of gas prices</w:t>
      </w:r>
      <w:r w:rsidR="008C1F5D">
        <w:rPr>
          <w:lang w:val="en"/>
        </w:rPr>
        <w:t xml:space="preserve"> globally</w:t>
      </w:r>
      <w:r>
        <w:rPr>
          <w:lang w:val="en"/>
        </w:rPr>
        <w:t>.</w:t>
      </w:r>
    </w:p>
    <w:p w14:paraId="735324E1" w14:textId="77777777" w:rsidR="00EC7EC7" w:rsidRPr="00C43B5D" w:rsidRDefault="00EC7EC7" w:rsidP="00EC7EC7">
      <w:pPr>
        <w:keepNext/>
        <w:numPr>
          <w:ilvl w:val="1"/>
          <w:numId w:val="3"/>
        </w:numPr>
        <w:spacing w:after="60" w:line="280" w:lineRule="atLeast"/>
        <w:outlineLvl w:val="1"/>
        <w:rPr>
          <w:rFonts w:eastAsia="Times New Roman" w:cs="Arial"/>
          <w:b/>
          <w:iCs/>
          <w:color w:val="097EB3"/>
          <w:kern w:val="32"/>
          <w:sz w:val="24"/>
          <w:szCs w:val="28"/>
        </w:rPr>
      </w:pPr>
      <w:r w:rsidRPr="00C43B5D">
        <w:rPr>
          <w:rFonts w:eastAsia="Times New Roman" w:cs="Arial"/>
          <w:b/>
          <w:iCs/>
          <w:color w:val="097EB3"/>
          <w:kern w:val="32"/>
          <w:sz w:val="24"/>
          <w:szCs w:val="28"/>
        </w:rPr>
        <w:t xml:space="preserve">Data </w:t>
      </w:r>
      <w:r w:rsidR="00342370" w:rsidRPr="00C43B5D">
        <w:rPr>
          <w:rFonts w:eastAsia="Times New Roman" w:cs="Arial"/>
          <w:b/>
          <w:iCs/>
          <w:color w:val="097EB3"/>
          <w:kern w:val="32"/>
          <w:sz w:val="24"/>
          <w:szCs w:val="28"/>
        </w:rPr>
        <w:t>modelling and assumptions</w:t>
      </w:r>
    </w:p>
    <w:p w14:paraId="76664C27" w14:textId="4642A593" w:rsidR="002703C6" w:rsidRDefault="002703C6" w:rsidP="00DF2480">
      <w:pPr>
        <w:pStyle w:val="BodyText"/>
        <w:rPr>
          <w:lang w:val="en"/>
        </w:rPr>
      </w:pPr>
      <w:r w:rsidRPr="00A62FE8">
        <w:t>The assumptions used to construct the scenarios are presented in Appendix A. Major considerations around the modelling concern the cost of production (this can indicate which gas fields are more likely to drop out of global supply) and the emissions intensity of production (as carbon constraints bind more tightly, there will be more pressure on high-emissions gas producers to drop out of global supply).</w:t>
      </w:r>
    </w:p>
    <w:p w14:paraId="30E88217" w14:textId="77777777" w:rsidR="00EC7EC7" w:rsidRPr="00A62FE8" w:rsidRDefault="00EC7EC7" w:rsidP="00EC7EC7">
      <w:pPr>
        <w:pStyle w:val="Heading3"/>
        <w:rPr>
          <w:lang w:val="en"/>
        </w:rPr>
      </w:pPr>
      <w:r w:rsidRPr="00A62FE8">
        <w:rPr>
          <w:lang w:val="en"/>
        </w:rPr>
        <w:t>Cost of production and non-price factors</w:t>
      </w:r>
    </w:p>
    <w:p w14:paraId="62D36958" w14:textId="74ED0CEE" w:rsidR="00EC7EC7" w:rsidRDefault="00EC7EC7" w:rsidP="00EC7EC7">
      <w:pPr>
        <w:spacing w:after="120"/>
        <w:rPr>
          <w:color w:val="373737"/>
          <w:sz w:val="20"/>
        </w:rPr>
      </w:pPr>
      <w:r w:rsidRPr="00A62FE8">
        <w:rPr>
          <w:color w:val="373737"/>
          <w:sz w:val="20"/>
        </w:rPr>
        <w:t>The key factor driving demand for LNG under the WGM model is the relative cost to the user. Over 90% of global LNG production in 2022 was sourced from seven major producing countries: Qatar, Australia, USA, Russia, Malaysia, Nigeria and Indonesia. Australia’s average production cost (at US</w:t>
      </w:r>
      <w:r w:rsidR="00E44C85">
        <w:rPr>
          <w:color w:val="373737"/>
          <w:sz w:val="20"/>
        </w:rPr>
        <w:t>D</w:t>
      </w:r>
      <w:r w:rsidRPr="00A62FE8">
        <w:rPr>
          <w:color w:val="373737"/>
          <w:sz w:val="20"/>
        </w:rPr>
        <w:t xml:space="preserve">10.28/MMBtu in real 2020 USD) is higher than other major producers (Figure </w:t>
      </w:r>
      <w:r>
        <w:rPr>
          <w:color w:val="373737"/>
          <w:sz w:val="20"/>
        </w:rPr>
        <w:t>4</w:t>
      </w:r>
      <w:r w:rsidRPr="00A62FE8">
        <w:rPr>
          <w:color w:val="373737"/>
          <w:sz w:val="20"/>
        </w:rPr>
        <w:t>.</w:t>
      </w:r>
      <w:r>
        <w:rPr>
          <w:color w:val="373737"/>
          <w:sz w:val="20"/>
        </w:rPr>
        <w:t>1</w:t>
      </w:r>
      <w:r w:rsidR="00BE6BED">
        <w:rPr>
          <w:color w:val="373737"/>
          <w:sz w:val="20"/>
        </w:rPr>
        <w:t>5</w:t>
      </w:r>
      <w:r w:rsidRPr="00A62FE8">
        <w:rPr>
          <w:color w:val="373737"/>
          <w:sz w:val="20"/>
        </w:rPr>
        <w:t>), largely reflecting higher capital costs.</w:t>
      </w:r>
    </w:p>
    <w:p w14:paraId="3C10E9EF" w14:textId="77777777" w:rsidR="00106D22" w:rsidRDefault="00106D22" w:rsidP="00106D22">
      <w:pPr>
        <w:spacing w:before="120" w:after="120"/>
        <w:rPr>
          <w:color w:val="373737"/>
          <w:sz w:val="20"/>
        </w:rPr>
      </w:pPr>
      <w:r w:rsidRPr="00A62FE8">
        <w:rPr>
          <w:color w:val="373737"/>
          <w:sz w:val="20"/>
        </w:rPr>
        <w:t>There are also a number of reasons why high average per-unit costs of Australian production can coexist with large volumes of exports. It follows that the results modelled below do not present a full picture of demand for Australian LNG and should not be taken as predictions.</w:t>
      </w:r>
    </w:p>
    <w:p w14:paraId="0AB60554" w14:textId="77777777" w:rsidR="00106D22" w:rsidRPr="00A62FE8" w:rsidRDefault="00106D22" w:rsidP="00106D22">
      <w:pPr>
        <w:spacing w:before="120" w:after="120"/>
        <w:rPr>
          <w:color w:val="373737"/>
          <w:sz w:val="20"/>
        </w:rPr>
      </w:pPr>
      <w:r w:rsidRPr="00A62FE8">
        <w:rPr>
          <w:color w:val="373737"/>
          <w:sz w:val="20"/>
        </w:rPr>
        <w:t>First, there are geopolitical and national relationship motivations to trade. It is assumed that Australia meets contractual obligations of its gas supply agreements to uphold its reputation as a reliable supplier of gas.</w:t>
      </w:r>
    </w:p>
    <w:p w14:paraId="637D4FA0" w14:textId="0BB1F31B" w:rsidR="00EC7EC7" w:rsidRPr="00A62FE8" w:rsidRDefault="00EC7EC7" w:rsidP="00C97679">
      <w:pPr>
        <w:pStyle w:val="Caption"/>
        <w:rPr>
          <w:lang w:val="en"/>
        </w:rPr>
      </w:pPr>
      <w:r w:rsidRPr="00A62FE8">
        <w:rPr>
          <w:lang w:val="en"/>
        </w:rPr>
        <w:t xml:space="preserve">Figure </w:t>
      </w:r>
      <w:r w:rsidR="006877E8">
        <w:rPr>
          <w:lang w:val="en"/>
        </w:rPr>
        <w:fldChar w:fldCharType="begin"/>
      </w:r>
      <w:r w:rsidR="006877E8">
        <w:rPr>
          <w:lang w:val="en"/>
        </w:rPr>
        <w:instrText xml:space="preserve"> STYLEREF 1 \s </w:instrText>
      </w:r>
      <w:r w:rsidR="006877E8">
        <w:rPr>
          <w:lang w:val="en"/>
        </w:rPr>
        <w:fldChar w:fldCharType="separate"/>
      </w:r>
      <w:r w:rsidR="00BF178A">
        <w:rPr>
          <w:noProof/>
          <w:lang w:val="en"/>
        </w:rPr>
        <w:t>4</w:t>
      </w:r>
      <w:r w:rsidR="006877E8">
        <w:rPr>
          <w:lang w:val="en"/>
        </w:rPr>
        <w:fldChar w:fldCharType="end"/>
      </w:r>
      <w:r w:rsidR="006877E8">
        <w:rPr>
          <w:lang w:val="en"/>
        </w:rPr>
        <w:t>.</w:t>
      </w:r>
      <w:r w:rsidR="006877E8">
        <w:rPr>
          <w:lang w:val="en"/>
        </w:rPr>
        <w:fldChar w:fldCharType="begin"/>
      </w:r>
      <w:r w:rsidR="006877E8">
        <w:rPr>
          <w:lang w:val="en"/>
        </w:rPr>
        <w:instrText xml:space="preserve"> SEQ Figure \* ARABIC \s 1 </w:instrText>
      </w:r>
      <w:r w:rsidR="006877E8">
        <w:rPr>
          <w:lang w:val="en"/>
        </w:rPr>
        <w:fldChar w:fldCharType="separate"/>
      </w:r>
      <w:r w:rsidR="00BF178A">
        <w:rPr>
          <w:noProof/>
          <w:lang w:val="en"/>
        </w:rPr>
        <w:t>15</w:t>
      </w:r>
      <w:r w:rsidR="006877E8">
        <w:rPr>
          <w:lang w:val="en"/>
        </w:rPr>
        <w:fldChar w:fldCharType="end"/>
      </w:r>
      <w:r w:rsidRPr="00A62FE8">
        <w:rPr>
          <w:lang w:val="en"/>
        </w:rPr>
        <w:t>: Production cost curve of select LNG exporters</w:t>
      </w:r>
    </w:p>
    <w:p w14:paraId="5964943A" w14:textId="063AF48D" w:rsidR="00EC7EC7" w:rsidRPr="00A62FE8" w:rsidRDefault="00EC7EC7" w:rsidP="00EC7EC7">
      <w:pPr>
        <w:keepNext/>
        <w:spacing w:after="60" w:line="240" w:lineRule="auto"/>
        <w:rPr>
          <w:rFonts w:eastAsia="Times New Roman" w:cs="Arial"/>
          <w:color w:val="005CAF"/>
          <w:sz w:val="16"/>
          <w:szCs w:val="20"/>
          <w:lang w:val="en"/>
        </w:rPr>
      </w:pPr>
      <w:r w:rsidRPr="00A62FE8" w:rsidDel="00ED7EC0">
        <w:rPr>
          <w:rFonts w:eastAsia="Times New Roman" w:cs="Arial"/>
          <w:noProof/>
          <w:color w:val="005CAF"/>
          <w:sz w:val="16"/>
          <w:szCs w:val="20"/>
          <w:lang w:val="en"/>
        </w:rPr>
        <w:t xml:space="preserve"> </w:t>
      </w:r>
      <w:r w:rsidR="00B05C5A">
        <w:rPr>
          <w:noProof/>
        </w:rPr>
        <w:drawing>
          <wp:inline distT="0" distB="0" distL="0" distR="0" wp14:anchorId="2C886F24" wp14:editId="4506D2B4">
            <wp:extent cx="4206875" cy="2276475"/>
            <wp:effectExtent l="0" t="0" r="3175" b="0"/>
            <wp:docPr id="699519000" name="Chart 699519000" descr="This figure shows the production cost curves for select LNG exporters, split by fixed and variable costs. Australia has the highest cost in US dollar per one million British thermal unit terms due to higher fixed costs in comparison with other exporters. Australia’s variable costs are on par with Indonesia and the US, with Russia, Nigeria, Malaysia and Qatar having lower variable costs. Fixed costs are relatively similar in Indonesia, the US and Russia.">
              <a:extLst xmlns:a="http://schemas.openxmlformats.org/drawingml/2006/main">
                <a:ext uri="{FF2B5EF4-FFF2-40B4-BE49-F238E27FC236}">
                  <a16:creationId xmlns:a16="http://schemas.microsoft.com/office/drawing/2014/main" id="{D053FA30-38E5-4708-AB32-05448FEF3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2974C84" w14:textId="77777777" w:rsidR="00EC7EC7" w:rsidRPr="00A62FE8" w:rsidRDefault="00EC7EC7" w:rsidP="00DF5A7C">
      <w:pPr>
        <w:pStyle w:val="Source"/>
      </w:pPr>
      <w:r w:rsidRPr="00A62FE8">
        <w:t>Notes: Full lifecycle costs including upstream production and liquefaction cost. Variable costs represent the priced-in short run marginal cost of production.</w:t>
      </w:r>
    </w:p>
    <w:p w14:paraId="015F1675" w14:textId="7EDD769C" w:rsidR="00EC7EC7" w:rsidRPr="00A62FE8" w:rsidRDefault="00EC7EC7" w:rsidP="00DF5A7C">
      <w:pPr>
        <w:pStyle w:val="Source"/>
      </w:pPr>
      <w:r w:rsidRPr="00A62FE8">
        <w:t xml:space="preserve">Source: </w:t>
      </w:r>
      <w:r w:rsidR="002841FE">
        <w:t>NexantECA</w:t>
      </w:r>
      <w:r w:rsidRPr="00A62FE8">
        <w:t xml:space="preserve"> (2023) </w:t>
      </w:r>
    </w:p>
    <w:p w14:paraId="7792CCF0" w14:textId="77777777" w:rsidR="00EC7EC7" w:rsidRDefault="00EC7EC7" w:rsidP="00EC7EC7">
      <w:pPr>
        <w:spacing w:before="120" w:after="120"/>
        <w:rPr>
          <w:color w:val="373737"/>
          <w:sz w:val="20"/>
        </w:rPr>
      </w:pPr>
      <w:r w:rsidRPr="00A62FE8">
        <w:rPr>
          <w:color w:val="373737"/>
          <w:sz w:val="20"/>
        </w:rPr>
        <w:t xml:space="preserve">Second, the fragmented nature of gas markets means that there is relatively low competition between regions. The WGM breaks the world into a number of regions. Australia has a competitive advantage in shipping and transportation to the Asia </w:t>
      </w:r>
      <w:r w:rsidRPr="00A62FE8" w:rsidDel="00393014">
        <w:rPr>
          <w:color w:val="373737"/>
          <w:sz w:val="20"/>
        </w:rPr>
        <w:t>region</w:t>
      </w:r>
      <w:r w:rsidRPr="00A62FE8">
        <w:rPr>
          <w:color w:val="373737"/>
          <w:sz w:val="20"/>
        </w:rPr>
        <w:t xml:space="preserve">. Shipping times (and costs) are competitive (Table </w:t>
      </w:r>
      <w:r>
        <w:rPr>
          <w:color w:val="373737"/>
          <w:sz w:val="20"/>
        </w:rPr>
        <w:t>4.4</w:t>
      </w:r>
      <w:r w:rsidRPr="00A62FE8">
        <w:rPr>
          <w:color w:val="373737"/>
          <w:sz w:val="20"/>
        </w:rPr>
        <w:t>), and t</w:t>
      </w:r>
      <w:r w:rsidRPr="00A62FE8" w:rsidDel="00E9208E">
        <w:rPr>
          <w:color w:val="373737"/>
          <w:sz w:val="20"/>
        </w:rPr>
        <w:t xml:space="preserve">here </w:t>
      </w:r>
      <w:r w:rsidRPr="00A62FE8">
        <w:rPr>
          <w:color w:val="373737"/>
          <w:sz w:val="20"/>
        </w:rPr>
        <w:t>is no reliance on the Middle East, Malacca Strait, South China Sea or Panama Canal (all of which raise the prospect of instability and generally longer shipping durations).</w:t>
      </w:r>
    </w:p>
    <w:p w14:paraId="3590B1E5" w14:textId="62D42C48" w:rsidR="00EC7EC7" w:rsidRDefault="000F2ADA" w:rsidP="00EC7EC7">
      <w:pPr>
        <w:spacing w:before="120" w:after="120"/>
        <w:rPr>
          <w:color w:val="373737"/>
          <w:sz w:val="20"/>
        </w:rPr>
      </w:pPr>
      <w:r>
        <w:rPr>
          <w:color w:val="373737"/>
          <w:sz w:val="20"/>
        </w:rPr>
        <w:t>Third</w:t>
      </w:r>
      <w:r w:rsidR="00EC7EC7" w:rsidRPr="00A62FE8">
        <w:rPr>
          <w:color w:val="373737"/>
          <w:sz w:val="20"/>
        </w:rPr>
        <w:t xml:space="preserve">, the fragmented nature of gas markets means that there is relatively low competition between regions. The WGM breaks the world into a number of regions. Australia has a competitive advantage in shipping and transportation to the Asia </w:t>
      </w:r>
      <w:r w:rsidR="00EC7EC7" w:rsidRPr="00A62FE8" w:rsidDel="00393014">
        <w:rPr>
          <w:color w:val="373737"/>
          <w:sz w:val="20"/>
        </w:rPr>
        <w:t>region</w:t>
      </w:r>
      <w:r w:rsidR="00EC7EC7" w:rsidRPr="00A62FE8">
        <w:rPr>
          <w:color w:val="373737"/>
          <w:sz w:val="20"/>
        </w:rPr>
        <w:t xml:space="preserve">. Shipping times (and costs) are competitive (Table </w:t>
      </w:r>
      <w:r w:rsidR="00EC7EC7">
        <w:rPr>
          <w:color w:val="373737"/>
          <w:sz w:val="20"/>
        </w:rPr>
        <w:t>4.</w:t>
      </w:r>
      <w:r w:rsidR="00FE49A7">
        <w:rPr>
          <w:color w:val="373737"/>
          <w:sz w:val="20"/>
        </w:rPr>
        <w:t>3</w:t>
      </w:r>
      <w:r w:rsidR="00EC7EC7" w:rsidRPr="00A62FE8">
        <w:rPr>
          <w:color w:val="373737"/>
          <w:sz w:val="20"/>
        </w:rPr>
        <w:t>), and t</w:t>
      </w:r>
      <w:r w:rsidR="00EC7EC7" w:rsidRPr="00A62FE8" w:rsidDel="00E9208E">
        <w:rPr>
          <w:color w:val="373737"/>
          <w:sz w:val="20"/>
        </w:rPr>
        <w:t xml:space="preserve">here </w:t>
      </w:r>
      <w:r w:rsidR="00EC7EC7" w:rsidRPr="00A62FE8">
        <w:rPr>
          <w:color w:val="373737"/>
          <w:sz w:val="20"/>
        </w:rPr>
        <w:t>is no reliance on the Middle East, Malacca Strait, South China Sea or Panama Canal (all of which raise the prospect of instability and generally longer shipping durations).</w:t>
      </w:r>
    </w:p>
    <w:p w14:paraId="55CD0155" w14:textId="40422FC9" w:rsidR="00EC7EC7" w:rsidRPr="00A62FE8" w:rsidRDefault="000F2ADA" w:rsidP="00EC7EC7">
      <w:pPr>
        <w:spacing w:before="120" w:after="120"/>
        <w:rPr>
          <w:color w:val="373737"/>
          <w:sz w:val="20"/>
        </w:rPr>
      </w:pPr>
      <w:r>
        <w:rPr>
          <w:color w:val="373737"/>
          <w:sz w:val="20"/>
        </w:rPr>
        <w:t>Fourth</w:t>
      </w:r>
      <w:r w:rsidR="00EC7EC7" w:rsidRPr="00A62FE8">
        <w:rPr>
          <w:color w:val="373737"/>
          <w:sz w:val="20"/>
        </w:rPr>
        <w:t xml:space="preserve">, long-established facilities can price in terms of the short run marginal cost (SRMC) of production (the cost of producing and transporting a unit of gas, labelled ‘variable costs’ in Figure </w:t>
      </w:r>
      <w:r w:rsidR="00EC7EC7">
        <w:rPr>
          <w:color w:val="373737"/>
          <w:sz w:val="20"/>
        </w:rPr>
        <w:t>4</w:t>
      </w:r>
      <w:r w:rsidR="00EC7EC7" w:rsidRPr="00A62FE8">
        <w:rPr>
          <w:color w:val="373737"/>
          <w:sz w:val="20"/>
        </w:rPr>
        <w:t>.1</w:t>
      </w:r>
      <w:r w:rsidR="00EC7EC7">
        <w:rPr>
          <w:color w:val="373737"/>
          <w:sz w:val="20"/>
        </w:rPr>
        <w:t>4</w:t>
      </w:r>
      <w:r w:rsidR="00EC7EC7" w:rsidRPr="00A62FE8">
        <w:rPr>
          <w:color w:val="373737"/>
          <w:sz w:val="20"/>
        </w:rPr>
        <w:t>), rather than the total average cost of production (SRMC plus capital costs, labelled ‘fixed costs’).</w:t>
      </w:r>
    </w:p>
    <w:p w14:paraId="3681AA7B" w14:textId="63C470F3" w:rsidR="00EC7EC7" w:rsidRPr="004A70E8" w:rsidRDefault="00EC7EC7" w:rsidP="004A70E8">
      <w:pPr>
        <w:spacing w:after="120"/>
        <w:rPr>
          <w:color w:val="373737"/>
          <w:sz w:val="20"/>
        </w:rPr>
      </w:pPr>
      <w:r w:rsidRPr="00A62FE8">
        <w:rPr>
          <w:color w:val="373737"/>
          <w:sz w:val="20"/>
        </w:rPr>
        <w:t xml:space="preserve">Importantly, the high costs for Australian production stem predominantly from fixed (establishment) costs. Australian variable costs (which are more relevant for established projects that are beyond their capital-recovery phase) are closer to the international community. This </w:t>
      </w:r>
      <w:r w:rsidR="00F6655F">
        <w:rPr>
          <w:color w:val="373737"/>
          <w:sz w:val="20"/>
        </w:rPr>
        <w:t>suggests</w:t>
      </w:r>
      <w:r w:rsidRPr="00A62FE8">
        <w:rPr>
          <w:color w:val="373737"/>
          <w:sz w:val="20"/>
        </w:rPr>
        <w:t xml:space="preserve"> that established Australian production is able to be more competitive than prospective new sites. </w:t>
      </w:r>
    </w:p>
    <w:p w14:paraId="0336A5ED" w14:textId="41C98B65" w:rsidR="004A70E8" w:rsidRDefault="004A70E8" w:rsidP="00C97679">
      <w:pPr>
        <w:pStyle w:val="Caption"/>
      </w:pPr>
      <w:r>
        <w:t xml:space="preserve">Table </w:t>
      </w:r>
      <w:r w:rsidR="00341B3B">
        <w:fldChar w:fldCharType="begin"/>
      </w:r>
      <w:r w:rsidR="00341B3B">
        <w:instrText xml:space="preserve"> STYLEREF 1 \s </w:instrText>
      </w:r>
      <w:r w:rsidR="00341B3B">
        <w:fldChar w:fldCharType="separate"/>
      </w:r>
      <w:r w:rsidR="00BF178A">
        <w:rPr>
          <w:noProof/>
        </w:rPr>
        <w:t>4</w:t>
      </w:r>
      <w:r w:rsidR="00341B3B">
        <w:rPr>
          <w:noProof/>
        </w:rPr>
        <w:fldChar w:fldCharType="end"/>
      </w:r>
      <w:r w:rsidR="000565F6">
        <w:t>.</w:t>
      </w:r>
      <w:r w:rsidR="00341B3B">
        <w:fldChar w:fldCharType="begin"/>
      </w:r>
      <w:r w:rsidR="00341B3B">
        <w:instrText xml:space="preserve"> SEQ Table \* ARABIC \s 1 </w:instrText>
      </w:r>
      <w:r w:rsidR="00341B3B">
        <w:fldChar w:fldCharType="separate"/>
      </w:r>
      <w:r w:rsidR="00BF178A">
        <w:rPr>
          <w:noProof/>
        </w:rPr>
        <w:t>3</w:t>
      </w:r>
      <w:r w:rsidR="00341B3B">
        <w:rPr>
          <w:noProof/>
        </w:rPr>
        <w:fldChar w:fldCharType="end"/>
      </w:r>
      <w:r>
        <w:t xml:space="preserve">: </w:t>
      </w:r>
      <w:r w:rsidRPr="00A62FE8">
        <w:rPr>
          <w:lang w:val="en"/>
        </w:rPr>
        <w:t xml:space="preserve">Average LNG </w:t>
      </w:r>
      <w:r>
        <w:rPr>
          <w:lang w:val="en"/>
        </w:rPr>
        <w:t>s</w:t>
      </w:r>
      <w:r w:rsidRPr="00A62FE8">
        <w:rPr>
          <w:lang w:val="en"/>
        </w:rPr>
        <w:t xml:space="preserve">hipping </w:t>
      </w:r>
      <w:r>
        <w:rPr>
          <w:lang w:val="en"/>
        </w:rPr>
        <w:t>d</w:t>
      </w:r>
      <w:r w:rsidRPr="00A62FE8">
        <w:rPr>
          <w:lang w:val="en"/>
        </w:rPr>
        <w:t>uration, by LNG region</w:t>
      </w:r>
    </w:p>
    <w:tbl>
      <w:tblPr>
        <w:tblStyle w:val="OCETable"/>
        <w:tblW w:w="0" w:type="auto"/>
        <w:tblInd w:w="57" w:type="dxa"/>
        <w:tblLook w:val="04A0" w:firstRow="1" w:lastRow="0" w:firstColumn="1" w:lastColumn="0" w:noHBand="0" w:noVBand="1"/>
      </w:tblPr>
      <w:tblGrid>
        <w:gridCol w:w="1998"/>
        <w:gridCol w:w="1297"/>
        <w:gridCol w:w="1034"/>
        <w:gridCol w:w="1141"/>
        <w:gridCol w:w="1098"/>
      </w:tblGrid>
      <w:tr w:rsidR="00EC7EC7" w:rsidRPr="00A62FE8" w14:paraId="5B15C4C6" w14:textId="77777777" w:rsidTr="00C50D71">
        <w:trPr>
          <w:cnfStyle w:val="100000000000" w:firstRow="1" w:lastRow="0" w:firstColumn="0" w:lastColumn="0" w:oddVBand="0" w:evenVBand="0" w:oddHBand="0" w:evenHBand="0" w:firstRowFirstColumn="0" w:firstRowLastColumn="0" w:lastRowFirstColumn="0" w:lastRowLastColumn="0"/>
          <w:trHeight w:val="341"/>
        </w:trPr>
        <w:tc>
          <w:tcPr>
            <w:tcW w:w="0" w:type="auto"/>
          </w:tcPr>
          <w:p w14:paraId="27760F78" w14:textId="77777777" w:rsidR="00EC7EC7" w:rsidRPr="00A62FE8" w:rsidRDefault="00EC7EC7" w:rsidP="00C50D71">
            <w:pPr>
              <w:keepNext/>
              <w:spacing w:before="120" w:after="120" w:line="240" w:lineRule="auto"/>
              <w:rPr>
                <w:rFonts w:cs="Arial"/>
                <w:b/>
                <w:szCs w:val="18"/>
                <w:lang w:eastAsia="en-AU"/>
              </w:rPr>
            </w:pPr>
            <w:r w:rsidRPr="00A62FE8">
              <w:rPr>
                <w:rFonts w:cs="Arial"/>
                <w:b/>
                <w:szCs w:val="18"/>
                <w:lang w:eastAsia="en-AU"/>
              </w:rPr>
              <w:t>Days</w:t>
            </w:r>
          </w:p>
        </w:tc>
        <w:tc>
          <w:tcPr>
            <w:tcW w:w="0" w:type="auto"/>
            <w:vAlign w:val="center"/>
          </w:tcPr>
          <w:p w14:paraId="773C3FD0" w14:textId="77777777" w:rsidR="00EC7EC7" w:rsidRPr="00A62FE8" w:rsidRDefault="00EC7EC7" w:rsidP="00C50D71">
            <w:pPr>
              <w:keepNext/>
              <w:spacing w:before="120" w:after="120" w:line="240" w:lineRule="auto"/>
              <w:jc w:val="center"/>
              <w:rPr>
                <w:rFonts w:cs="Arial"/>
                <w:b/>
                <w:szCs w:val="18"/>
                <w:lang w:eastAsia="en-AU"/>
              </w:rPr>
            </w:pPr>
            <w:r w:rsidRPr="00A62FE8">
              <w:rPr>
                <w:rFonts w:cs="Arial"/>
                <w:b/>
                <w:szCs w:val="18"/>
                <w:lang w:eastAsia="en-AU"/>
              </w:rPr>
              <w:t xml:space="preserve">China </w:t>
            </w:r>
            <w:r w:rsidRPr="00A62FE8">
              <w:rPr>
                <w:rFonts w:cs="Arial"/>
                <w:szCs w:val="18"/>
                <w:lang w:eastAsia="en-AU"/>
              </w:rPr>
              <w:t>(Shanghai)</w:t>
            </w:r>
          </w:p>
        </w:tc>
        <w:tc>
          <w:tcPr>
            <w:tcW w:w="0" w:type="auto"/>
            <w:vAlign w:val="center"/>
          </w:tcPr>
          <w:p w14:paraId="5D690ADE" w14:textId="77777777" w:rsidR="00EC7EC7" w:rsidRPr="00A62FE8" w:rsidRDefault="00EC7EC7" w:rsidP="00C50D71">
            <w:pPr>
              <w:keepNext/>
              <w:spacing w:before="120" w:after="120" w:line="240" w:lineRule="auto"/>
              <w:jc w:val="center"/>
              <w:rPr>
                <w:rFonts w:cs="Arial"/>
                <w:b/>
                <w:szCs w:val="18"/>
                <w:lang w:eastAsia="en-AU"/>
              </w:rPr>
            </w:pPr>
            <w:r w:rsidRPr="00A62FE8">
              <w:rPr>
                <w:rFonts w:cs="Arial"/>
                <w:b/>
                <w:szCs w:val="18"/>
                <w:lang w:eastAsia="en-AU"/>
              </w:rPr>
              <w:t xml:space="preserve">Japan </w:t>
            </w:r>
            <w:r w:rsidRPr="00A62FE8">
              <w:rPr>
                <w:rFonts w:cs="Arial"/>
                <w:szCs w:val="18"/>
                <w:lang w:eastAsia="en-AU"/>
              </w:rPr>
              <w:t>(Tokyo)</w:t>
            </w:r>
          </w:p>
        </w:tc>
        <w:tc>
          <w:tcPr>
            <w:tcW w:w="0" w:type="auto"/>
            <w:vAlign w:val="center"/>
          </w:tcPr>
          <w:p w14:paraId="21D2CDAD" w14:textId="77777777" w:rsidR="00EC7EC7" w:rsidRPr="00A62FE8" w:rsidRDefault="00EC7EC7" w:rsidP="00C50D71">
            <w:pPr>
              <w:keepNext/>
              <w:spacing w:before="120" w:after="120" w:line="240" w:lineRule="auto"/>
              <w:jc w:val="center"/>
              <w:rPr>
                <w:rFonts w:cs="Arial"/>
                <w:b/>
                <w:szCs w:val="18"/>
                <w:lang w:eastAsia="en-AU"/>
              </w:rPr>
            </w:pPr>
            <w:r>
              <w:rPr>
                <w:rFonts w:cs="Arial"/>
                <w:b/>
                <w:szCs w:val="18"/>
                <w:lang w:eastAsia="en-AU"/>
              </w:rPr>
              <w:t>ROK</w:t>
            </w:r>
            <w:r w:rsidRPr="00A62FE8">
              <w:rPr>
                <w:rFonts w:cs="Arial"/>
                <w:b/>
                <w:szCs w:val="18"/>
                <w:lang w:eastAsia="en-AU"/>
              </w:rPr>
              <w:t xml:space="preserve"> </w:t>
            </w:r>
            <w:r w:rsidRPr="00A62FE8">
              <w:rPr>
                <w:rFonts w:cs="Arial"/>
                <w:szCs w:val="18"/>
                <w:lang w:eastAsia="en-AU"/>
              </w:rPr>
              <w:t>(Incheon)</w:t>
            </w:r>
          </w:p>
        </w:tc>
        <w:tc>
          <w:tcPr>
            <w:tcW w:w="0" w:type="auto"/>
            <w:vAlign w:val="center"/>
          </w:tcPr>
          <w:p w14:paraId="2F293652" w14:textId="77777777" w:rsidR="00EC7EC7" w:rsidRPr="00A62FE8" w:rsidRDefault="00EC7EC7" w:rsidP="00C50D71">
            <w:pPr>
              <w:keepNext/>
              <w:spacing w:before="120" w:after="120" w:line="240" w:lineRule="auto"/>
              <w:jc w:val="center"/>
              <w:rPr>
                <w:rFonts w:cs="Arial"/>
                <w:b/>
                <w:szCs w:val="18"/>
                <w:lang w:eastAsia="en-AU"/>
              </w:rPr>
            </w:pPr>
            <w:r w:rsidRPr="00A62FE8">
              <w:rPr>
                <w:rFonts w:cs="Arial"/>
                <w:b/>
                <w:szCs w:val="18"/>
                <w:lang w:eastAsia="en-AU"/>
              </w:rPr>
              <w:t xml:space="preserve">India </w:t>
            </w:r>
            <w:r w:rsidRPr="00A62FE8">
              <w:rPr>
                <w:rFonts w:cs="Arial"/>
                <w:szCs w:val="18"/>
                <w:lang w:eastAsia="en-AU"/>
              </w:rPr>
              <w:t>(Gujarat)</w:t>
            </w:r>
          </w:p>
        </w:tc>
      </w:tr>
      <w:tr w:rsidR="00EC7EC7" w:rsidRPr="00A62FE8" w14:paraId="579E97BB" w14:textId="77777777" w:rsidTr="00C50D71">
        <w:trPr>
          <w:cnfStyle w:val="000000100000" w:firstRow="0" w:lastRow="0" w:firstColumn="0" w:lastColumn="0" w:oddVBand="0" w:evenVBand="0" w:oddHBand="1" w:evenHBand="0" w:firstRowFirstColumn="0" w:firstRowLastColumn="0" w:lastRowFirstColumn="0" w:lastRowLastColumn="0"/>
          <w:trHeight w:val="271"/>
        </w:trPr>
        <w:tc>
          <w:tcPr>
            <w:tcW w:w="0" w:type="auto"/>
          </w:tcPr>
          <w:p w14:paraId="6D2AC9BA"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Western Australia</w:t>
            </w:r>
          </w:p>
        </w:tc>
        <w:tc>
          <w:tcPr>
            <w:tcW w:w="0" w:type="auto"/>
            <w:vAlign w:val="center"/>
          </w:tcPr>
          <w:p w14:paraId="1D89D0B2"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8</w:t>
            </w:r>
          </w:p>
        </w:tc>
        <w:tc>
          <w:tcPr>
            <w:tcW w:w="0" w:type="auto"/>
            <w:vAlign w:val="center"/>
          </w:tcPr>
          <w:p w14:paraId="4B17F456"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7</w:t>
            </w:r>
          </w:p>
        </w:tc>
        <w:tc>
          <w:tcPr>
            <w:tcW w:w="0" w:type="auto"/>
            <w:vAlign w:val="center"/>
          </w:tcPr>
          <w:p w14:paraId="71055F81"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8</w:t>
            </w:r>
          </w:p>
        </w:tc>
        <w:tc>
          <w:tcPr>
            <w:tcW w:w="0" w:type="auto"/>
            <w:vAlign w:val="center"/>
          </w:tcPr>
          <w:p w14:paraId="762DD703"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9</w:t>
            </w:r>
          </w:p>
        </w:tc>
      </w:tr>
      <w:tr w:rsidR="00EC7EC7" w:rsidRPr="00A62FE8" w14:paraId="1B7FB3F1" w14:textId="77777777" w:rsidTr="00C50D71">
        <w:trPr>
          <w:cnfStyle w:val="000000010000" w:firstRow="0" w:lastRow="0" w:firstColumn="0" w:lastColumn="0" w:oddVBand="0" w:evenVBand="0" w:oddHBand="0" w:evenHBand="1" w:firstRowFirstColumn="0" w:firstRowLastColumn="0" w:lastRowFirstColumn="0" w:lastRowLastColumn="0"/>
          <w:trHeight w:val="279"/>
        </w:trPr>
        <w:tc>
          <w:tcPr>
            <w:tcW w:w="0" w:type="auto"/>
          </w:tcPr>
          <w:p w14:paraId="7A2FD4B2"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 xml:space="preserve">Queensland </w:t>
            </w:r>
          </w:p>
        </w:tc>
        <w:tc>
          <w:tcPr>
            <w:tcW w:w="0" w:type="auto"/>
            <w:vAlign w:val="center"/>
          </w:tcPr>
          <w:p w14:paraId="17FFA2DC"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8</w:t>
            </w:r>
          </w:p>
        </w:tc>
        <w:tc>
          <w:tcPr>
            <w:tcW w:w="0" w:type="auto"/>
            <w:vAlign w:val="center"/>
          </w:tcPr>
          <w:p w14:paraId="45177E81"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9</w:t>
            </w:r>
          </w:p>
        </w:tc>
        <w:tc>
          <w:tcPr>
            <w:tcW w:w="0" w:type="auto"/>
            <w:vAlign w:val="center"/>
          </w:tcPr>
          <w:p w14:paraId="315CF7A0"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9</w:t>
            </w:r>
          </w:p>
        </w:tc>
        <w:tc>
          <w:tcPr>
            <w:tcW w:w="0" w:type="auto"/>
            <w:vAlign w:val="center"/>
          </w:tcPr>
          <w:p w14:paraId="56948A05"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14</w:t>
            </w:r>
          </w:p>
        </w:tc>
      </w:tr>
      <w:tr w:rsidR="00EC7EC7" w:rsidRPr="00A62FE8" w14:paraId="7CB38BBD" w14:textId="77777777" w:rsidTr="00C50D71">
        <w:trPr>
          <w:cnfStyle w:val="000000100000" w:firstRow="0" w:lastRow="0" w:firstColumn="0" w:lastColumn="0" w:oddVBand="0" w:evenVBand="0" w:oddHBand="1" w:evenHBand="0" w:firstRowFirstColumn="0" w:firstRowLastColumn="0" w:lastRowFirstColumn="0" w:lastRowLastColumn="0"/>
          <w:trHeight w:val="489"/>
        </w:trPr>
        <w:tc>
          <w:tcPr>
            <w:tcW w:w="0" w:type="auto"/>
          </w:tcPr>
          <w:p w14:paraId="0D26DB07"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US Gulf Coast (via Panama Canal)</w:t>
            </w:r>
          </w:p>
        </w:tc>
        <w:tc>
          <w:tcPr>
            <w:tcW w:w="0" w:type="auto"/>
            <w:vAlign w:val="center"/>
          </w:tcPr>
          <w:p w14:paraId="26AD510B"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20</w:t>
            </w:r>
          </w:p>
        </w:tc>
        <w:tc>
          <w:tcPr>
            <w:tcW w:w="0" w:type="auto"/>
            <w:vAlign w:val="center"/>
          </w:tcPr>
          <w:p w14:paraId="620AE0FF"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22</w:t>
            </w:r>
          </w:p>
        </w:tc>
        <w:tc>
          <w:tcPr>
            <w:tcW w:w="0" w:type="auto"/>
            <w:vAlign w:val="center"/>
          </w:tcPr>
          <w:p w14:paraId="566673D9"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21</w:t>
            </w:r>
          </w:p>
        </w:tc>
        <w:tc>
          <w:tcPr>
            <w:tcW w:w="0" w:type="auto"/>
            <w:vAlign w:val="center"/>
          </w:tcPr>
          <w:p w14:paraId="3377242C"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21</w:t>
            </w:r>
          </w:p>
        </w:tc>
      </w:tr>
      <w:tr w:rsidR="00EC7EC7" w:rsidRPr="00A62FE8" w14:paraId="62BDAD6C" w14:textId="77777777" w:rsidTr="00C50D71">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0F04D71C"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US Gulf Coast (via Cape of Good Hope)</w:t>
            </w:r>
          </w:p>
        </w:tc>
        <w:tc>
          <w:tcPr>
            <w:tcW w:w="0" w:type="auto"/>
            <w:vAlign w:val="center"/>
          </w:tcPr>
          <w:p w14:paraId="47BD13FB"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36</w:t>
            </w:r>
          </w:p>
        </w:tc>
        <w:tc>
          <w:tcPr>
            <w:tcW w:w="0" w:type="auto"/>
            <w:vAlign w:val="center"/>
          </w:tcPr>
          <w:p w14:paraId="3BB4509C"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34</w:t>
            </w:r>
          </w:p>
        </w:tc>
        <w:tc>
          <w:tcPr>
            <w:tcW w:w="0" w:type="auto"/>
            <w:vAlign w:val="center"/>
          </w:tcPr>
          <w:p w14:paraId="0F855501"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35</w:t>
            </w:r>
          </w:p>
        </w:tc>
        <w:tc>
          <w:tcPr>
            <w:tcW w:w="0" w:type="auto"/>
            <w:vAlign w:val="center"/>
          </w:tcPr>
          <w:p w14:paraId="091AC329"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24</w:t>
            </w:r>
          </w:p>
        </w:tc>
      </w:tr>
      <w:tr w:rsidR="00EC7EC7" w:rsidRPr="00A62FE8" w14:paraId="3F15D482" w14:textId="77777777" w:rsidTr="00C50D71">
        <w:trPr>
          <w:cnfStyle w:val="000000100000" w:firstRow="0" w:lastRow="0" w:firstColumn="0" w:lastColumn="0" w:oddVBand="0" w:evenVBand="0" w:oddHBand="1" w:evenHBand="0" w:firstRowFirstColumn="0" w:firstRowLastColumn="0" w:lastRowFirstColumn="0" w:lastRowLastColumn="0"/>
          <w:trHeight w:val="279"/>
        </w:trPr>
        <w:tc>
          <w:tcPr>
            <w:tcW w:w="0" w:type="auto"/>
          </w:tcPr>
          <w:p w14:paraId="21B2E48C"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American West Coast</w:t>
            </w:r>
          </w:p>
        </w:tc>
        <w:tc>
          <w:tcPr>
            <w:tcW w:w="0" w:type="auto"/>
            <w:vAlign w:val="center"/>
          </w:tcPr>
          <w:p w14:paraId="66F6A04E"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10</w:t>
            </w:r>
          </w:p>
        </w:tc>
        <w:tc>
          <w:tcPr>
            <w:tcW w:w="0" w:type="auto"/>
            <w:vAlign w:val="center"/>
          </w:tcPr>
          <w:p w14:paraId="1E70BB30"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9</w:t>
            </w:r>
          </w:p>
        </w:tc>
        <w:tc>
          <w:tcPr>
            <w:tcW w:w="0" w:type="auto"/>
            <w:vAlign w:val="center"/>
          </w:tcPr>
          <w:p w14:paraId="65C9D4A9"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9</w:t>
            </w:r>
          </w:p>
        </w:tc>
        <w:tc>
          <w:tcPr>
            <w:tcW w:w="0" w:type="auto"/>
            <w:vAlign w:val="center"/>
          </w:tcPr>
          <w:p w14:paraId="0AF04864"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19</w:t>
            </w:r>
          </w:p>
        </w:tc>
      </w:tr>
      <w:tr w:rsidR="00EC7EC7" w:rsidRPr="00A62FE8" w14:paraId="32C174B8" w14:textId="77777777" w:rsidTr="00C50D71">
        <w:trPr>
          <w:cnfStyle w:val="000000010000" w:firstRow="0" w:lastRow="0" w:firstColumn="0" w:lastColumn="0" w:oddVBand="0" w:evenVBand="0" w:oddHBand="0" w:evenHBand="1" w:firstRowFirstColumn="0" w:firstRowLastColumn="0" w:lastRowFirstColumn="0" w:lastRowLastColumn="0"/>
          <w:trHeight w:val="271"/>
        </w:trPr>
        <w:tc>
          <w:tcPr>
            <w:tcW w:w="0" w:type="auto"/>
            <w:shd w:val="clear" w:color="auto" w:fill="auto"/>
          </w:tcPr>
          <w:p w14:paraId="43865133"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Qatar (Ras Laffan)</w:t>
            </w:r>
          </w:p>
        </w:tc>
        <w:tc>
          <w:tcPr>
            <w:tcW w:w="0" w:type="auto"/>
            <w:shd w:val="clear" w:color="auto" w:fill="auto"/>
            <w:vAlign w:val="center"/>
          </w:tcPr>
          <w:p w14:paraId="12E5E06E"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14</w:t>
            </w:r>
          </w:p>
        </w:tc>
        <w:tc>
          <w:tcPr>
            <w:tcW w:w="0" w:type="auto"/>
            <w:shd w:val="clear" w:color="auto" w:fill="auto"/>
            <w:vAlign w:val="center"/>
          </w:tcPr>
          <w:p w14:paraId="17DF99B4"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12</w:t>
            </w:r>
          </w:p>
        </w:tc>
        <w:tc>
          <w:tcPr>
            <w:tcW w:w="0" w:type="auto"/>
            <w:shd w:val="clear" w:color="auto" w:fill="auto"/>
            <w:vAlign w:val="center"/>
          </w:tcPr>
          <w:p w14:paraId="78185BA3"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13</w:t>
            </w:r>
          </w:p>
        </w:tc>
        <w:tc>
          <w:tcPr>
            <w:tcW w:w="0" w:type="auto"/>
            <w:shd w:val="clear" w:color="auto" w:fill="auto"/>
            <w:vAlign w:val="center"/>
          </w:tcPr>
          <w:p w14:paraId="598086D5" w14:textId="77777777" w:rsidR="00EC7EC7" w:rsidRPr="00A62FE8" w:rsidRDefault="00EC7EC7" w:rsidP="00C50D71">
            <w:pPr>
              <w:keepNext/>
              <w:keepLines/>
              <w:spacing w:before="60" w:after="60" w:line="240" w:lineRule="auto"/>
              <w:jc w:val="center"/>
              <w:rPr>
                <w:rFonts w:cs="Arial"/>
                <w:szCs w:val="18"/>
                <w:lang w:eastAsia="en-AU"/>
              </w:rPr>
            </w:pPr>
            <w:r w:rsidRPr="00A62FE8">
              <w:rPr>
                <w:rFonts w:cs="Arial"/>
                <w:szCs w:val="18"/>
                <w:lang w:eastAsia="en-AU"/>
              </w:rPr>
              <w:t>2</w:t>
            </w:r>
          </w:p>
        </w:tc>
      </w:tr>
    </w:tbl>
    <w:p w14:paraId="42A77A6E" w14:textId="0767A1B9" w:rsidR="00EC7EC7" w:rsidRPr="00A62FE8" w:rsidRDefault="00EC7EC7" w:rsidP="00DF5A7C">
      <w:pPr>
        <w:pStyle w:val="Source"/>
        <w:rPr>
          <w:lang w:eastAsia="en-AU"/>
        </w:rPr>
      </w:pPr>
      <w:r w:rsidRPr="00A62FE8">
        <w:rPr>
          <w:lang w:eastAsia="en-AU"/>
        </w:rPr>
        <w:t>Notes: Days shipping is based on a vessel at maximum speeds of 19.5 knots.</w:t>
      </w:r>
      <w:r w:rsidR="00280A89">
        <w:rPr>
          <w:lang w:eastAsia="en-AU"/>
        </w:rPr>
        <w:t xml:space="preserve"> </w:t>
      </w:r>
      <w:r w:rsidR="00280A89" w:rsidRPr="00A62FE8">
        <w:rPr>
          <w:lang w:eastAsia="en-AU"/>
        </w:rPr>
        <w:t>WA Department of Jobs, Tourism, Science and Innovation</w:t>
      </w:r>
      <w:r w:rsidR="00280A89">
        <w:rPr>
          <w:lang w:eastAsia="en-AU"/>
        </w:rPr>
        <w:t xml:space="preserve"> analysis</w:t>
      </w:r>
      <w:r w:rsidR="00280A89" w:rsidRPr="00A62FE8">
        <w:rPr>
          <w:lang w:eastAsia="en-AU"/>
        </w:rPr>
        <w:t xml:space="preserve"> based on information from Ship</w:t>
      </w:r>
      <w:r w:rsidR="00280A89">
        <w:rPr>
          <w:lang w:eastAsia="en-AU"/>
        </w:rPr>
        <w:t>S</w:t>
      </w:r>
      <w:r w:rsidR="00280A89" w:rsidRPr="00A62FE8">
        <w:rPr>
          <w:lang w:eastAsia="en-AU"/>
        </w:rPr>
        <w:t>cene and GIIGN</w:t>
      </w:r>
      <w:r w:rsidR="00280A89">
        <w:rPr>
          <w:lang w:eastAsia="en-AU"/>
        </w:rPr>
        <w:t>L</w:t>
      </w:r>
      <w:r w:rsidR="00280A89" w:rsidRPr="00A62FE8">
        <w:rPr>
          <w:lang w:eastAsia="en-AU"/>
        </w:rPr>
        <w:t>. US Gulf Coast (via Cape of Good Hope) and North American West Coast estimated from S&amp;P and Shell reports.</w:t>
      </w:r>
    </w:p>
    <w:p w14:paraId="2E10A1A8" w14:textId="0BE65A86" w:rsidR="00EC7EC7" w:rsidRPr="00A62FE8" w:rsidRDefault="00EC7EC7" w:rsidP="00DF5A7C">
      <w:pPr>
        <w:pStyle w:val="Source"/>
        <w:rPr>
          <w:lang w:eastAsia="en-AU"/>
        </w:rPr>
      </w:pPr>
      <w:r w:rsidRPr="00A62FE8">
        <w:rPr>
          <w:lang w:eastAsia="en-AU"/>
        </w:rPr>
        <w:t xml:space="preserve">Source: </w:t>
      </w:r>
      <w:r w:rsidR="00280A89">
        <w:rPr>
          <w:lang w:eastAsia="en-AU"/>
        </w:rPr>
        <w:t>Government of Western Australia (2024)</w:t>
      </w:r>
    </w:p>
    <w:p w14:paraId="4F167FC0" w14:textId="77777777" w:rsidR="00EC7EC7" w:rsidRPr="00A62FE8" w:rsidRDefault="00EC7EC7" w:rsidP="00FE49A7">
      <w:pPr>
        <w:pStyle w:val="Heading3"/>
        <w:spacing w:before="120"/>
        <w:rPr>
          <w:lang w:val="en"/>
        </w:rPr>
      </w:pPr>
      <w:r w:rsidRPr="00A62FE8">
        <w:rPr>
          <w:lang w:val="en"/>
        </w:rPr>
        <w:t>Emissions intensity of production</w:t>
      </w:r>
    </w:p>
    <w:p w14:paraId="2D2FBACC" w14:textId="35A52ACB" w:rsidR="00EC7EC7" w:rsidRDefault="00106D22" w:rsidP="00EC7EC7">
      <w:pPr>
        <w:spacing w:after="120"/>
        <w:rPr>
          <w:color w:val="373737"/>
          <w:sz w:val="20"/>
        </w:rPr>
      </w:pPr>
      <w:r>
        <w:rPr>
          <w:color w:val="373737"/>
          <w:sz w:val="20"/>
        </w:rPr>
        <w:t>As a rule of thumb</w:t>
      </w:r>
      <w:r w:rsidR="00EC7EC7" w:rsidRPr="00A62FE8">
        <w:rPr>
          <w:color w:val="373737"/>
          <w:sz w:val="20"/>
        </w:rPr>
        <w:t>, the tight</w:t>
      </w:r>
      <w:r>
        <w:rPr>
          <w:color w:val="373737"/>
          <w:sz w:val="20"/>
        </w:rPr>
        <w:t>er the</w:t>
      </w:r>
      <w:r w:rsidR="00285600">
        <w:rPr>
          <w:color w:val="373737"/>
          <w:sz w:val="20"/>
        </w:rPr>
        <w:t xml:space="preserve"> </w:t>
      </w:r>
      <w:r w:rsidR="00EC7EC7" w:rsidRPr="00A62FE8">
        <w:rPr>
          <w:color w:val="373737"/>
          <w:sz w:val="20"/>
        </w:rPr>
        <w:t xml:space="preserve">carbon constraints, the more pressure there is on high-emissions gas producers to drop out of global supply. With policy </w:t>
      </w:r>
      <w:r>
        <w:rPr>
          <w:color w:val="373737"/>
          <w:sz w:val="20"/>
        </w:rPr>
        <w:t>change</w:t>
      </w:r>
      <w:r w:rsidR="00EC7EC7" w:rsidRPr="00A62FE8">
        <w:rPr>
          <w:color w:val="373737"/>
          <w:sz w:val="20"/>
        </w:rPr>
        <w:t xml:space="preserve">, there may be costs for importers </w:t>
      </w:r>
      <w:r>
        <w:rPr>
          <w:color w:val="373737"/>
          <w:sz w:val="20"/>
        </w:rPr>
        <w:t>buying</w:t>
      </w:r>
      <w:r w:rsidR="00EC7EC7" w:rsidRPr="00A62FE8">
        <w:rPr>
          <w:color w:val="373737"/>
          <w:sz w:val="20"/>
        </w:rPr>
        <w:t xml:space="preserve"> LNG with higher scope 1 and 2 emissions (from the production, transport</w:t>
      </w:r>
      <w:r w:rsidR="00624FA5" w:rsidRPr="00A62FE8">
        <w:rPr>
          <w:color w:val="373737"/>
          <w:sz w:val="20"/>
        </w:rPr>
        <w:t>,</w:t>
      </w:r>
      <w:r w:rsidR="00EC7EC7" w:rsidRPr="00A62FE8">
        <w:rPr>
          <w:color w:val="373737"/>
          <w:sz w:val="20"/>
        </w:rPr>
        <w:t xml:space="preserve"> and processing of gas).</w:t>
      </w:r>
    </w:p>
    <w:p w14:paraId="5270135D" w14:textId="4F9BA576" w:rsidR="004325AB" w:rsidRDefault="004325AB" w:rsidP="00EC7EC7">
      <w:pPr>
        <w:spacing w:after="120"/>
        <w:rPr>
          <w:color w:val="373737"/>
          <w:sz w:val="20"/>
        </w:rPr>
      </w:pPr>
      <w:r w:rsidRPr="00A62FE8">
        <w:rPr>
          <w:color w:val="373737"/>
          <w:sz w:val="20"/>
        </w:rPr>
        <w:t>Over time, Australian gas exports will be heavily dependent on emissions reduction targets in the Asia Pacific, with net zero commitments either enshrined in law or in policy documents (see Table 4.</w:t>
      </w:r>
      <w:r>
        <w:rPr>
          <w:color w:val="373737"/>
          <w:sz w:val="20"/>
        </w:rPr>
        <w:t>5</w:t>
      </w:r>
      <w:r w:rsidRPr="00A62FE8">
        <w:rPr>
          <w:color w:val="373737"/>
          <w:sz w:val="20"/>
        </w:rPr>
        <w:t xml:space="preserve">). Such commitments are particularly vital </w:t>
      </w:r>
      <w:r>
        <w:rPr>
          <w:color w:val="373737"/>
          <w:sz w:val="20"/>
        </w:rPr>
        <w:t>in</w:t>
      </w:r>
      <w:r w:rsidRPr="00A62FE8">
        <w:rPr>
          <w:color w:val="373737"/>
          <w:sz w:val="20"/>
        </w:rPr>
        <w:t xml:space="preserve"> shaping Australian gas </w:t>
      </w:r>
      <w:r>
        <w:rPr>
          <w:color w:val="373737"/>
          <w:sz w:val="20"/>
        </w:rPr>
        <w:t xml:space="preserve">use </w:t>
      </w:r>
      <w:r w:rsidRPr="00A62FE8">
        <w:rPr>
          <w:color w:val="373737"/>
          <w:sz w:val="20"/>
        </w:rPr>
        <w:t xml:space="preserve">and the possibility that CCUS </w:t>
      </w:r>
      <w:r>
        <w:rPr>
          <w:color w:val="373737"/>
          <w:sz w:val="20"/>
        </w:rPr>
        <w:t>will play</w:t>
      </w:r>
      <w:r w:rsidRPr="00A62FE8">
        <w:rPr>
          <w:color w:val="373737"/>
          <w:sz w:val="20"/>
        </w:rPr>
        <w:t xml:space="preserve"> a</w:t>
      </w:r>
      <w:r>
        <w:rPr>
          <w:color w:val="373737"/>
          <w:sz w:val="20"/>
        </w:rPr>
        <w:t>n</w:t>
      </w:r>
      <w:r w:rsidRPr="00A62FE8">
        <w:rPr>
          <w:color w:val="373737"/>
          <w:sz w:val="20"/>
        </w:rPr>
        <w:t xml:space="preserve"> important role in decarbonisation plans</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CA3EDF" w:rsidRPr="00A62FE8" w14:paraId="3AEC718E" w14:textId="77777777" w:rsidTr="00D81BB3">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0B1EE2B8" w14:textId="682E76D6" w:rsidR="00CA3EDF" w:rsidRPr="00A62FE8" w:rsidRDefault="00CA3EDF" w:rsidP="00C50D71">
            <w:pPr>
              <w:widowControl w:val="0"/>
              <w:spacing w:beforeLines="60" w:before="144" w:afterLines="60" w:after="144"/>
              <w:ind w:left="113" w:right="113"/>
              <w:jc w:val="both"/>
              <w:rPr>
                <w:rFonts w:eastAsia="Times New Roman" w:cs="Arial"/>
                <w:color w:val="auto"/>
                <w:sz w:val="20"/>
                <w:szCs w:val="18"/>
                <w:lang w:val="en"/>
              </w:rPr>
            </w:pPr>
            <w:r w:rsidRPr="00A62FE8">
              <w:rPr>
                <w:rFonts w:eastAsia="Times New Roman" w:cs="Arial"/>
                <w:sz w:val="20"/>
                <w:szCs w:val="18"/>
                <w:lang w:val="en"/>
              </w:rPr>
              <w:br w:type="column"/>
            </w:r>
            <w:r w:rsidRPr="00A62FE8">
              <w:rPr>
                <w:rFonts w:eastAsia="Times New Roman" w:cs="Arial"/>
                <w:b/>
                <w:bCs/>
                <w:color w:val="auto"/>
                <w:sz w:val="20"/>
                <w:szCs w:val="18"/>
                <w:lang w:val="en"/>
              </w:rPr>
              <w:t xml:space="preserve">Insight: </w:t>
            </w:r>
            <w:r w:rsidRPr="00A62FE8">
              <w:rPr>
                <w:rFonts w:eastAsia="Times New Roman" w:cs="Arial"/>
                <w:color w:val="auto"/>
                <w:sz w:val="20"/>
                <w:szCs w:val="18"/>
                <w:lang w:val="en"/>
              </w:rPr>
              <w:t>Australian LNG is characteri</w:t>
            </w:r>
            <w:r w:rsidR="002D4EB0">
              <w:rPr>
                <w:rFonts w:eastAsia="Times New Roman" w:cs="Arial"/>
                <w:color w:val="auto"/>
                <w:sz w:val="20"/>
                <w:szCs w:val="18"/>
                <w:lang w:val="en"/>
              </w:rPr>
              <w:t>s</w:t>
            </w:r>
            <w:r w:rsidRPr="00A62FE8">
              <w:rPr>
                <w:rFonts w:eastAsia="Times New Roman" w:cs="Arial"/>
                <w:color w:val="auto"/>
                <w:sz w:val="20"/>
                <w:szCs w:val="18"/>
                <w:lang w:val="en"/>
              </w:rPr>
              <w:t>ed by high direct capital costs and an emissions intensity close to the global average. Australian LNG remains attractive for Asian buyers, due to lower transport costs and non-price factors including geopolitical relationships, secure trading routes, transparent institutions, and openness to foreign investors taking majority ownership stakes in gas. Australia also has the potential to be a low-emissions LNG exporter if emissions from venting</w:t>
            </w:r>
            <w:r w:rsidR="00087731">
              <w:rPr>
                <w:rFonts w:eastAsia="Times New Roman" w:cs="Arial"/>
                <w:color w:val="auto"/>
                <w:sz w:val="20"/>
                <w:szCs w:val="18"/>
                <w:lang w:val="en"/>
              </w:rPr>
              <w:t xml:space="preserve"> and</w:t>
            </w:r>
            <w:r w:rsidR="00087731" w:rsidRPr="00A62FE8">
              <w:rPr>
                <w:rFonts w:eastAsia="Times New Roman" w:cs="Arial"/>
                <w:color w:val="auto"/>
                <w:sz w:val="20"/>
                <w:szCs w:val="18"/>
                <w:lang w:val="en"/>
              </w:rPr>
              <w:t xml:space="preserve"> </w:t>
            </w:r>
            <w:r w:rsidRPr="00A62FE8">
              <w:rPr>
                <w:rFonts w:eastAsia="Times New Roman" w:cs="Arial"/>
                <w:color w:val="auto"/>
                <w:sz w:val="20"/>
                <w:szCs w:val="18"/>
                <w:lang w:val="en"/>
              </w:rPr>
              <w:t>liquefaction can be reduced.</w:t>
            </w:r>
          </w:p>
        </w:tc>
      </w:tr>
    </w:tbl>
    <w:p w14:paraId="680BCBCD" w14:textId="61DA2FCA" w:rsidR="00EC7EC7" w:rsidRPr="00A62FE8" w:rsidRDefault="00EC7EC7" w:rsidP="00C97679">
      <w:pPr>
        <w:pStyle w:val="Caption"/>
        <w:rPr>
          <w:rFonts w:eastAsia="Times New Roman" w:cstheme="majorHAnsi"/>
          <w:szCs w:val="20"/>
          <w:lang w:val="en"/>
        </w:rPr>
      </w:pPr>
      <w:r w:rsidRPr="00A62FE8">
        <w:rPr>
          <w:lang w:val="en"/>
        </w:rPr>
        <w:t xml:space="preserve">Table </w:t>
      </w:r>
      <w:r w:rsidR="000565F6">
        <w:rPr>
          <w:lang w:val="en"/>
        </w:rPr>
        <w:fldChar w:fldCharType="begin"/>
      </w:r>
      <w:r w:rsidR="000565F6">
        <w:rPr>
          <w:lang w:val="en"/>
        </w:rPr>
        <w:instrText xml:space="preserve"> STYLEREF 1 \s </w:instrText>
      </w:r>
      <w:r w:rsidR="000565F6">
        <w:rPr>
          <w:lang w:val="en"/>
        </w:rPr>
        <w:fldChar w:fldCharType="separate"/>
      </w:r>
      <w:r w:rsidR="00BF178A">
        <w:rPr>
          <w:noProof/>
          <w:lang w:val="en"/>
        </w:rPr>
        <w:t>4</w:t>
      </w:r>
      <w:r w:rsidR="000565F6">
        <w:rPr>
          <w:lang w:val="en"/>
        </w:rPr>
        <w:fldChar w:fldCharType="end"/>
      </w:r>
      <w:r w:rsidR="000565F6">
        <w:rPr>
          <w:lang w:val="en"/>
        </w:rPr>
        <w:t>.</w:t>
      </w:r>
      <w:r w:rsidR="000565F6">
        <w:rPr>
          <w:lang w:val="en"/>
        </w:rPr>
        <w:fldChar w:fldCharType="begin"/>
      </w:r>
      <w:r w:rsidR="000565F6">
        <w:rPr>
          <w:lang w:val="en"/>
        </w:rPr>
        <w:instrText xml:space="preserve"> SEQ Table \* ARABIC \s 1 </w:instrText>
      </w:r>
      <w:r w:rsidR="000565F6">
        <w:rPr>
          <w:lang w:val="en"/>
        </w:rPr>
        <w:fldChar w:fldCharType="separate"/>
      </w:r>
      <w:r w:rsidR="00BF178A">
        <w:rPr>
          <w:noProof/>
          <w:lang w:val="en"/>
        </w:rPr>
        <w:t>4</w:t>
      </w:r>
      <w:r w:rsidR="000565F6">
        <w:rPr>
          <w:lang w:val="en"/>
        </w:rPr>
        <w:fldChar w:fldCharType="end"/>
      </w:r>
      <w:r w:rsidRPr="00A62FE8">
        <w:rPr>
          <w:lang w:val="en"/>
        </w:rPr>
        <w:t xml:space="preserve">: Emissions </w:t>
      </w:r>
      <w:r w:rsidR="00CA3EDF">
        <w:rPr>
          <w:rFonts w:eastAsia="Times New Roman" w:cstheme="majorHAnsi"/>
          <w:szCs w:val="20"/>
          <w:lang w:val="en"/>
        </w:rPr>
        <w:t>r</w:t>
      </w:r>
      <w:r w:rsidRPr="00A62FE8">
        <w:rPr>
          <w:rFonts w:eastAsia="Times New Roman" w:cstheme="majorHAnsi"/>
          <w:szCs w:val="20"/>
          <w:lang w:val="en"/>
        </w:rPr>
        <w:t xml:space="preserve">eduction </w:t>
      </w:r>
      <w:r w:rsidR="00CA3EDF">
        <w:rPr>
          <w:rFonts w:eastAsia="Times New Roman" w:cstheme="majorHAnsi"/>
          <w:szCs w:val="20"/>
          <w:lang w:val="en"/>
        </w:rPr>
        <w:t>t</w:t>
      </w:r>
      <w:r w:rsidRPr="00A62FE8">
        <w:rPr>
          <w:rFonts w:eastAsia="Times New Roman" w:cstheme="majorHAnsi"/>
          <w:szCs w:val="20"/>
          <w:lang w:val="en"/>
        </w:rPr>
        <w:t xml:space="preserve">argets, by </w:t>
      </w:r>
      <w:r w:rsidR="00CA3EDF">
        <w:rPr>
          <w:rFonts w:eastAsia="Times New Roman" w:cstheme="majorHAnsi"/>
          <w:szCs w:val="20"/>
          <w:lang w:val="en"/>
        </w:rPr>
        <w:t>t</w:t>
      </w:r>
      <w:r w:rsidRPr="00A62FE8">
        <w:rPr>
          <w:rFonts w:eastAsia="Times New Roman" w:cstheme="majorHAnsi"/>
          <w:szCs w:val="20"/>
          <w:lang w:val="en"/>
        </w:rPr>
        <w:t xml:space="preserve">rading </w:t>
      </w:r>
      <w:r w:rsidR="00CA3EDF">
        <w:rPr>
          <w:rFonts w:eastAsia="Times New Roman" w:cstheme="majorHAnsi"/>
          <w:szCs w:val="20"/>
          <w:lang w:val="en"/>
        </w:rPr>
        <w:t>p</w:t>
      </w:r>
      <w:r w:rsidRPr="00A62FE8">
        <w:rPr>
          <w:rFonts w:eastAsia="Times New Roman" w:cstheme="majorHAnsi"/>
          <w:szCs w:val="20"/>
          <w:lang w:val="en"/>
        </w:rPr>
        <w:t>artner</w:t>
      </w:r>
    </w:p>
    <w:tbl>
      <w:tblPr>
        <w:tblStyle w:val="OCETable"/>
        <w:tblW w:w="5038" w:type="pct"/>
        <w:tblInd w:w="57" w:type="dxa"/>
        <w:tblLook w:val="04A0" w:firstRow="1" w:lastRow="0" w:firstColumn="1" w:lastColumn="0" w:noHBand="0" w:noVBand="1"/>
      </w:tblPr>
      <w:tblGrid>
        <w:gridCol w:w="1227"/>
        <w:gridCol w:w="1428"/>
        <w:gridCol w:w="1573"/>
        <w:gridCol w:w="2447"/>
      </w:tblGrid>
      <w:tr w:rsidR="00EC7EC7" w:rsidRPr="00A62FE8" w14:paraId="48097CDD" w14:textId="77777777" w:rsidTr="00587305">
        <w:trPr>
          <w:cnfStyle w:val="100000000000" w:firstRow="1" w:lastRow="0" w:firstColumn="0" w:lastColumn="0" w:oddVBand="0" w:evenVBand="0" w:oddHBand="0" w:evenHBand="0" w:firstRowFirstColumn="0" w:firstRowLastColumn="0" w:lastRowFirstColumn="0" w:lastRowLastColumn="0"/>
          <w:trHeight w:val="419"/>
        </w:trPr>
        <w:tc>
          <w:tcPr>
            <w:tcW w:w="918" w:type="pct"/>
          </w:tcPr>
          <w:p w14:paraId="27966B77" w14:textId="77777777" w:rsidR="00EC7EC7" w:rsidRPr="00A62FE8" w:rsidRDefault="00EC7EC7" w:rsidP="00C50D71">
            <w:pPr>
              <w:keepNext/>
              <w:spacing w:before="120" w:after="120" w:line="240" w:lineRule="auto"/>
              <w:rPr>
                <w:rFonts w:cs="Arial"/>
                <w:b/>
                <w:szCs w:val="18"/>
                <w:lang w:eastAsia="en-AU"/>
              </w:rPr>
            </w:pPr>
          </w:p>
        </w:tc>
        <w:tc>
          <w:tcPr>
            <w:tcW w:w="1070" w:type="pct"/>
          </w:tcPr>
          <w:p w14:paraId="50A56E99" w14:textId="77777777" w:rsidR="00EC7EC7" w:rsidRPr="00A62FE8" w:rsidRDefault="00EC7EC7" w:rsidP="00C50D71">
            <w:pPr>
              <w:keepNext/>
              <w:spacing w:before="120" w:after="120" w:line="240" w:lineRule="auto"/>
              <w:rPr>
                <w:rFonts w:cs="Arial"/>
                <w:b/>
                <w:szCs w:val="18"/>
                <w:lang w:eastAsia="en-AU"/>
              </w:rPr>
            </w:pPr>
            <w:r w:rsidRPr="00A62FE8">
              <w:rPr>
                <w:rFonts w:cs="Arial"/>
                <w:b/>
                <w:szCs w:val="18"/>
                <w:lang w:eastAsia="en-AU"/>
              </w:rPr>
              <w:t>Net Zero Target</w:t>
            </w:r>
          </w:p>
        </w:tc>
        <w:tc>
          <w:tcPr>
            <w:tcW w:w="1178" w:type="pct"/>
          </w:tcPr>
          <w:p w14:paraId="7590D086" w14:textId="77777777" w:rsidR="00EC7EC7" w:rsidRPr="00A62FE8" w:rsidRDefault="00EC7EC7" w:rsidP="00C50D71">
            <w:pPr>
              <w:keepNext/>
              <w:spacing w:before="120" w:after="120" w:line="240" w:lineRule="auto"/>
              <w:rPr>
                <w:rFonts w:cs="Arial"/>
                <w:b/>
                <w:szCs w:val="18"/>
                <w:lang w:eastAsia="en-AU"/>
              </w:rPr>
            </w:pPr>
            <w:r w:rsidRPr="00A62FE8">
              <w:rPr>
                <w:rFonts w:cs="Arial"/>
                <w:b/>
                <w:szCs w:val="18"/>
                <w:lang w:eastAsia="en-AU"/>
              </w:rPr>
              <w:t>Status</w:t>
            </w:r>
          </w:p>
        </w:tc>
        <w:tc>
          <w:tcPr>
            <w:tcW w:w="1833" w:type="pct"/>
          </w:tcPr>
          <w:p w14:paraId="4F9CA8ED" w14:textId="77777777" w:rsidR="00EC7EC7" w:rsidRPr="00A62FE8" w:rsidRDefault="00EC7EC7" w:rsidP="00C50D71">
            <w:pPr>
              <w:keepNext/>
              <w:spacing w:before="120" w:after="120" w:line="240" w:lineRule="auto"/>
              <w:rPr>
                <w:rFonts w:cs="Arial"/>
                <w:b/>
                <w:szCs w:val="18"/>
                <w:lang w:eastAsia="en-AU"/>
              </w:rPr>
            </w:pPr>
            <w:r w:rsidRPr="00A62FE8">
              <w:rPr>
                <w:rFonts w:cs="Arial"/>
                <w:b/>
                <w:szCs w:val="18"/>
                <w:lang w:eastAsia="en-AU"/>
              </w:rPr>
              <w:t>Share of natural gas in APS scenario</w:t>
            </w:r>
          </w:p>
        </w:tc>
      </w:tr>
      <w:tr w:rsidR="00EC7EC7" w:rsidRPr="00A62FE8" w14:paraId="38478D90" w14:textId="77777777" w:rsidTr="00587305">
        <w:trPr>
          <w:cnfStyle w:val="000000100000" w:firstRow="0" w:lastRow="0" w:firstColumn="0" w:lastColumn="0" w:oddVBand="0" w:evenVBand="0" w:oddHBand="1" w:evenHBand="0" w:firstRowFirstColumn="0" w:firstRowLastColumn="0" w:lastRowFirstColumn="0" w:lastRowLastColumn="0"/>
          <w:trHeight w:val="343"/>
        </w:trPr>
        <w:tc>
          <w:tcPr>
            <w:tcW w:w="918" w:type="pct"/>
          </w:tcPr>
          <w:p w14:paraId="2F081249"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Japan</w:t>
            </w:r>
          </w:p>
        </w:tc>
        <w:tc>
          <w:tcPr>
            <w:tcW w:w="1070" w:type="pct"/>
          </w:tcPr>
          <w:p w14:paraId="63B258DA"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2050</w:t>
            </w:r>
          </w:p>
        </w:tc>
        <w:tc>
          <w:tcPr>
            <w:tcW w:w="1178" w:type="pct"/>
          </w:tcPr>
          <w:p w14:paraId="4C079755"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In law</w:t>
            </w:r>
          </w:p>
        </w:tc>
        <w:tc>
          <w:tcPr>
            <w:tcW w:w="1833" w:type="pct"/>
          </w:tcPr>
          <w:p w14:paraId="5A45868C"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16.2% in 2030, down from 21.7% in 2022</w:t>
            </w:r>
          </w:p>
        </w:tc>
      </w:tr>
      <w:tr w:rsidR="00EC7EC7" w:rsidRPr="00A62FE8" w14:paraId="46214E27" w14:textId="77777777" w:rsidTr="00587305">
        <w:trPr>
          <w:cnfStyle w:val="000000010000" w:firstRow="0" w:lastRow="0" w:firstColumn="0" w:lastColumn="0" w:oddVBand="0" w:evenVBand="0" w:oddHBand="0" w:evenHBand="1" w:firstRowFirstColumn="0" w:firstRowLastColumn="0" w:lastRowFirstColumn="0" w:lastRowLastColumn="0"/>
          <w:trHeight w:val="336"/>
        </w:trPr>
        <w:tc>
          <w:tcPr>
            <w:tcW w:w="918" w:type="pct"/>
          </w:tcPr>
          <w:p w14:paraId="2C0EABF3" w14:textId="77777777" w:rsidR="00EC7EC7" w:rsidRPr="00A62FE8" w:rsidRDefault="00EC7EC7" w:rsidP="00C50D71">
            <w:pPr>
              <w:keepNext/>
              <w:keepLines/>
              <w:spacing w:before="60" w:after="60" w:line="240" w:lineRule="auto"/>
              <w:rPr>
                <w:rFonts w:cs="Arial"/>
                <w:szCs w:val="18"/>
                <w:lang w:eastAsia="en-AU"/>
              </w:rPr>
            </w:pPr>
            <w:r>
              <w:rPr>
                <w:rFonts w:cs="Arial"/>
                <w:szCs w:val="18"/>
                <w:lang w:eastAsia="en-AU"/>
              </w:rPr>
              <w:t>ROK</w:t>
            </w:r>
          </w:p>
        </w:tc>
        <w:tc>
          <w:tcPr>
            <w:tcW w:w="1070" w:type="pct"/>
          </w:tcPr>
          <w:p w14:paraId="49E74C90"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2050</w:t>
            </w:r>
          </w:p>
        </w:tc>
        <w:tc>
          <w:tcPr>
            <w:tcW w:w="1178" w:type="pct"/>
          </w:tcPr>
          <w:p w14:paraId="49710E7F"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In law</w:t>
            </w:r>
          </w:p>
        </w:tc>
        <w:tc>
          <w:tcPr>
            <w:tcW w:w="1833" w:type="pct"/>
          </w:tcPr>
          <w:p w14:paraId="11460458"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22.9% in 2030, up from 18.5% in 2022</w:t>
            </w:r>
          </w:p>
        </w:tc>
      </w:tr>
      <w:tr w:rsidR="00EC7EC7" w:rsidRPr="00A62FE8" w14:paraId="16653926" w14:textId="77777777" w:rsidTr="00587305">
        <w:trPr>
          <w:cnfStyle w:val="000000100000" w:firstRow="0" w:lastRow="0" w:firstColumn="0" w:lastColumn="0" w:oddVBand="0" w:evenVBand="0" w:oddHBand="1" w:evenHBand="0" w:firstRowFirstColumn="0" w:firstRowLastColumn="0" w:lastRowFirstColumn="0" w:lastRowLastColumn="0"/>
          <w:trHeight w:val="343"/>
        </w:trPr>
        <w:tc>
          <w:tcPr>
            <w:tcW w:w="918" w:type="pct"/>
          </w:tcPr>
          <w:p w14:paraId="06C01220"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Taiwan</w:t>
            </w:r>
          </w:p>
        </w:tc>
        <w:tc>
          <w:tcPr>
            <w:tcW w:w="1070" w:type="pct"/>
          </w:tcPr>
          <w:p w14:paraId="118414F1"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2050</w:t>
            </w:r>
          </w:p>
        </w:tc>
        <w:tc>
          <w:tcPr>
            <w:tcW w:w="1178" w:type="pct"/>
          </w:tcPr>
          <w:p w14:paraId="132427B0"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In law</w:t>
            </w:r>
          </w:p>
        </w:tc>
        <w:tc>
          <w:tcPr>
            <w:tcW w:w="1833" w:type="pct"/>
          </w:tcPr>
          <w:p w14:paraId="6D133F03" w14:textId="66393045"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50% in 20</w:t>
            </w:r>
            <w:r w:rsidR="004D5CA0">
              <w:rPr>
                <w:rFonts w:cs="Arial"/>
                <w:szCs w:val="18"/>
                <w:lang w:eastAsia="en-AU"/>
              </w:rPr>
              <w:t>25</w:t>
            </w:r>
            <w:r w:rsidRPr="00A62FE8">
              <w:rPr>
                <w:rFonts w:cs="Arial"/>
                <w:szCs w:val="18"/>
                <w:lang w:eastAsia="en-AU"/>
              </w:rPr>
              <w:t>, up from 20.2% in 2020</w:t>
            </w:r>
          </w:p>
        </w:tc>
      </w:tr>
      <w:tr w:rsidR="00EC7EC7" w:rsidRPr="00A62FE8" w14:paraId="4063F092" w14:textId="77777777" w:rsidTr="00587305">
        <w:trPr>
          <w:cnfStyle w:val="000000010000" w:firstRow="0" w:lastRow="0" w:firstColumn="0" w:lastColumn="0" w:oddVBand="0" w:evenVBand="0" w:oddHBand="0" w:evenHBand="1" w:firstRowFirstColumn="0" w:firstRowLastColumn="0" w:lastRowFirstColumn="0" w:lastRowLastColumn="0"/>
          <w:trHeight w:val="473"/>
        </w:trPr>
        <w:tc>
          <w:tcPr>
            <w:tcW w:w="918" w:type="pct"/>
          </w:tcPr>
          <w:p w14:paraId="444E1F60"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ASEAN</w:t>
            </w:r>
          </w:p>
        </w:tc>
        <w:tc>
          <w:tcPr>
            <w:tcW w:w="1070" w:type="pct"/>
          </w:tcPr>
          <w:p w14:paraId="0416850A"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Between 2050 and 2070</w:t>
            </w:r>
          </w:p>
        </w:tc>
        <w:tc>
          <w:tcPr>
            <w:tcW w:w="1178" w:type="pct"/>
          </w:tcPr>
          <w:p w14:paraId="6EFA77F8"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In policy document and oral pledges</w:t>
            </w:r>
          </w:p>
        </w:tc>
        <w:tc>
          <w:tcPr>
            <w:tcW w:w="1833" w:type="pct"/>
          </w:tcPr>
          <w:p w14:paraId="19D94CCC"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17.7% in 2030, down from 18.2% in 2022</w:t>
            </w:r>
          </w:p>
        </w:tc>
      </w:tr>
      <w:tr w:rsidR="00EC7EC7" w:rsidRPr="00A62FE8" w14:paraId="4D563A29" w14:textId="77777777" w:rsidTr="00587305">
        <w:trPr>
          <w:cnfStyle w:val="000000100000" w:firstRow="0" w:lastRow="0" w:firstColumn="0" w:lastColumn="0" w:oddVBand="0" w:evenVBand="0" w:oddHBand="1" w:evenHBand="0" w:firstRowFirstColumn="0" w:firstRowLastColumn="0" w:lastRowFirstColumn="0" w:lastRowLastColumn="0"/>
          <w:trHeight w:val="343"/>
        </w:trPr>
        <w:tc>
          <w:tcPr>
            <w:tcW w:w="918" w:type="pct"/>
          </w:tcPr>
          <w:p w14:paraId="5510EF4C"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China</w:t>
            </w:r>
          </w:p>
        </w:tc>
        <w:tc>
          <w:tcPr>
            <w:tcW w:w="1070" w:type="pct"/>
          </w:tcPr>
          <w:p w14:paraId="05B923C9"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2060</w:t>
            </w:r>
          </w:p>
        </w:tc>
        <w:tc>
          <w:tcPr>
            <w:tcW w:w="1178" w:type="pct"/>
          </w:tcPr>
          <w:p w14:paraId="2A9E7C16"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In policy document</w:t>
            </w:r>
          </w:p>
        </w:tc>
        <w:tc>
          <w:tcPr>
            <w:tcW w:w="1833" w:type="pct"/>
          </w:tcPr>
          <w:p w14:paraId="1D0B15F6" w14:textId="77777777" w:rsidR="00EC7EC7" w:rsidRPr="00A62FE8" w:rsidRDefault="00EC7EC7" w:rsidP="00C50D71">
            <w:pPr>
              <w:keepNext/>
              <w:keepLines/>
              <w:spacing w:before="60" w:after="60" w:line="240" w:lineRule="auto"/>
              <w:rPr>
                <w:rFonts w:cs="Arial"/>
                <w:szCs w:val="18"/>
                <w:lang w:eastAsia="en-AU"/>
              </w:rPr>
            </w:pPr>
            <w:r w:rsidRPr="00A62FE8">
              <w:rPr>
                <w:rFonts w:cs="Arial"/>
                <w:szCs w:val="18"/>
                <w:lang w:eastAsia="en-AU"/>
              </w:rPr>
              <w:t>8.2% in 2030, up from 7.8% in 2022</w:t>
            </w:r>
          </w:p>
        </w:tc>
      </w:tr>
    </w:tbl>
    <w:p w14:paraId="14C64486" w14:textId="46082EB4" w:rsidR="00A66FB5" w:rsidRDefault="00EC7EC7" w:rsidP="003B7106">
      <w:pPr>
        <w:pStyle w:val="Source"/>
        <w:spacing w:before="60"/>
        <w:rPr>
          <w:color w:val="373737"/>
          <w:sz w:val="20"/>
          <w:lang w:eastAsia="en-AU"/>
        </w:rPr>
      </w:pPr>
      <w:r w:rsidRPr="00A62FE8">
        <w:rPr>
          <w:lang w:eastAsia="en-AU"/>
        </w:rPr>
        <w:t>Source: IEA (2023</w:t>
      </w:r>
      <w:r w:rsidR="006F3243">
        <w:rPr>
          <w:lang w:eastAsia="en-AU"/>
        </w:rPr>
        <w:t>a, f);</w:t>
      </w:r>
      <w:r w:rsidRPr="00A62FE8">
        <w:rPr>
          <w:lang w:eastAsia="en-AU"/>
        </w:rPr>
        <w:t xml:space="preserve"> IEA (2023</w:t>
      </w:r>
      <w:r w:rsidR="00A2633D">
        <w:rPr>
          <w:lang w:eastAsia="en-AU"/>
        </w:rPr>
        <w:t>g</w:t>
      </w:r>
      <w:r w:rsidRPr="00A62FE8">
        <w:rPr>
          <w:lang w:eastAsia="en-AU"/>
        </w:rPr>
        <w:t>)</w:t>
      </w:r>
      <w:r w:rsidR="0041193F">
        <w:rPr>
          <w:lang w:eastAsia="en-AU"/>
        </w:rPr>
        <w:t>;</w:t>
      </w:r>
      <w:r w:rsidRPr="00A62FE8">
        <w:rPr>
          <w:lang w:eastAsia="en-AU"/>
        </w:rPr>
        <w:t xml:space="preserve"> Policy documents</w:t>
      </w:r>
      <w:r w:rsidRPr="00A62FE8">
        <w:rPr>
          <w:lang w:eastAsia="en-AU"/>
        </w:rPr>
        <w:br/>
      </w:r>
    </w:p>
    <w:p w14:paraId="69FE1154" w14:textId="69CB8752" w:rsidR="00EC7EC7" w:rsidRDefault="00EC7EC7" w:rsidP="00EC7EC7">
      <w:pPr>
        <w:spacing w:after="120"/>
        <w:rPr>
          <w:color w:val="373737"/>
          <w:sz w:val="20"/>
          <w:lang w:val="en"/>
        </w:rPr>
      </w:pPr>
      <w:r w:rsidRPr="00A62FE8">
        <w:rPr>
          <w:color w:val="373737"/>
          <w:sz w:val="20"/>
          <w:lang w:eastAsia="en-AU"/>
        </w:rPr>
        <w:t xml:space="preserve">It is important to note that our trading partners can offer advancements in </w:t>
      </w:r>
      <w:r w:rsidR="00E1658B">
        <w:rPr>
          <w:color w:val="373737"/>
          <w:sz w:val="20"/>
          <w:lang w:eastAsia="en-AU"/>
        </w:rPr>
        <w:t xml:space="preserve">meeting </w:t>
      </w:r>
      <w:r w:rsidRPr="00A62FE8">
        <w:rPr>
          <w:color w:val="373737"/>
          <w:sz w:val="20"/>
          <w:lang w:eastAsia="en-AU"/>
        </w:rPr>
        <w:t>global emissions</w:t>
      </w:r>
      <w:r w:rsidR="00E1658B">
        <w:rPr>
          <w:color w:val="373737"/>
          <w:sz w:val="20"/>
          <w:lang w:eastAsia="en-AU"/>
        </w:rPr>
        <w:t xml:space="preserve"> reduction</w:t>
      </w:r>
      <w:r w:rsidRPr="00A62FE8">
        <w:rPr>
          <w:color w:val="373737"/>
          <w:sz w:val="20"/>
          <w:lang w:eastAsia="en-AU"/>
        </w:rPr>
        <w:t xml:space="preserve"> targets beyond their own national targets </w:t>
      </w:r>
      <w:r w:rsidR="00163C7F" w:rsidRPr="00A62FE8">
        <w:rPr>
          <w:color w:val="373737"/>
          <w:sz w:val="20"/>
        </w:rPr>
        <w:t>—</w:t>
      </w:r>
      <w:r w:rsidRPr="00A62FE8">
        <w:rPr>
          <w:color w:val="373737"/>
          <w:sz w:val="20"/>
          <w:lang w:val="en"/>
        </w:rPr>
        <w:t xml:space="preserve"> for example Japan partnering on emissions reductions with ASEAN members (through capability and investment), and Japan and </w:t>
      </w:r>
      <w:r>
        <w:rPr>
          <w:color w:val="373737"/>
          <w:sz w:val="20"/>
          <w:lang w:val="en"/>
        </w:rPr>
        <w:t>ROK</w:t>
      </w:r>
      <w:r w:rsidRPr="00A62FE8">
        <w:rPr>
          <w:color w:val="373737"/>
          <w:sz w:val="20"/>
          <w:lang w:val="en"/>
        </w:rPr>
        <w:t xml:space="preserve"> investing in potentially transformative technology such as hydrogen.</w:t>
      </w:r>
      <w:r>
        <w:rPr>
          <w:color w:val="373737"/>
          <w:sz w:val="20"/>
          <w:lang w:val="en"/>
        </w:rPr>
        <w:t xml:space="preserve"> </w:t>
      </w:r>
      <w:r w:rsidR="00E1658B">
        <w:rPr>
          <w:color w:val="373737"/>
          <w:sz w:val="20"/>
          <w:lang w:val="en"/>
        </w:rPr>
        <w:t xml:space="preserve">Accordingly, </w:t>
      </w:r>
      <w:r>
        <w:rPr>
          <w:color w:val="373737"/>
          <w:sz w:val="20"/>
          <w:lang w:val="en"/>
        </w:rPr>
        <w:t>Australia</w:t>
      </w:r>
      <w:r w:rsidR="00E1658B">
        <w:rPr>
          <w:color w:val="373737"/>
          <w:sz w:val="20"/>
          <w:lang w:val="en"/>
        </w:rPr>
        <w:t xml:space="preserve"> works</w:t>
      </w:r>
      <w:r>
        <w:rPr>
          <w:color w:val="373737"/>
          <w:sz w:val="20"/>
          <w:lang w:val="en"/>
        </w:rPr>
        <w:t xml:space="preserve"> closely with these </w:t>
      </w:r>
      <w:r w:rsidR="0021489F">
        <w:rPr>
          <w:color w:val="373737"/>
          <w:sz w:val="20"/>
          <w:lang w:val="en"/>
        </w:rPr>
        <w:t>economies</w:t>
      </w:r>
      <w:r w:rsidR="00E1658B">
        <w:rPr>
          <w:color w:val="373737"/>
          <w:sz w:val="20"/>
          <w:lang w:val="en"/>
        </w:rPr>
        <w:t xml:space="preserve"> and in </w:t>
      </w:r>
      <w:r>
        <w:rPr>
          <w:color w:val="373737"/>
          <w:sz w:val="20"/>
          <w:lang w:val="en"/>
        </w:rPr>
        <w:t xml:space="preserve">international clean energy partnerships to </w:t>
      </w:r>
      <w:r w:rsidR="00E1658B">
        <w:rPr>
          <w:color w:val="373737"/>
          <w:sz w:val="20"/>
          <w:lang w:val="en"/>
        </w:rPr>
        <w:t>reduce global emissions and address</w:t>
      </w:r>
      <w:r>
        <w:rPr>
          <w:color w:val="373737"/>
          <w:sz w:val="20"/>
          <w:lang w:val="en"/>
        </w:rPr>
        <w:t xml:space="preserve"> climate change.</w:t>
      </w:r>
    </w:p>
    <w:p w14:paraId="3B5FA6D4" w14:textId="25409854" w:rsidR="00DB47F3" w:rsidRPr="00F57F5E" w:rsidRDefault="00DB47F3" w:rsidP="00DB47F3">
      <w:pPr>
        <w:pStyle w:val="Heading3"/>
        <w:rPr>
          <w:lang w:val="en"/>
        </w:rPr>
      </w:pPr>
      <w:r>
        <w:rPr>
          <w:lang w:val="en"/>
        </w:rPr>
        <w:t xml:space="preserve">Alternative </w:t>
      </w:r>
      <w:r w:rsidR="00AA677F">
        <w:rPr>
          <w:lang w:val="en"/>
        </w:rPr>
        <w:t>projections</w:t>
      </w:r>
      <w:r>
        <w:rPr>
          <w:lang w:val="en"/>
        </w:rPr>
        <w:t xml:space="preserve"> to the IEA</w:t>
      </w:r>
    </w:p>
    <w:p w14:paraId="7878644A" w14:textId="7E1D75FF" w:rsidR="005A75DE" w:rsidRDefault="00DB47F3" w:rsidP="00DB47F3">
      <w:pPr>
        <w:spacing w:after="120"/>
        <w:rPr>
          <w:color w:val="373737"/>
          <w:sz w:val="20"/>
          <w:lang w:val="en"/>
        </w:rPr>
      </w:pPr>
      <w:r>
        <w:rPr>
          <w:color w:val="373737"/>
          <w:sz w:val="20"/>
        </w:rPr>
        <w:t>It is important to acknowledge that there are a wide range of scenarios that are different from the IEA’s projections of gas demand. While the IEA</w:t>
      </w:r>
      <w:r w:rsidR="004D2381">
        <w:rPr>
          <w:color w:val="373737"/>
          <w:sz w:val="20"/>
        </w:rPr>
        <w:t>’</w:t>
      </w:r>
      <w:r>
        <w:rPr>
          <w:color w:val="373737"/>
          <w:sz w:val="20"/>
        </w:rPr>
        <w:t xml:space="preserve">s </w:t>
      </w:r>
      <w:r w:rsidR="00AB441C">
        <w:rPr>
          <w:color w:val="373737"/>
          <w:sz w:val="20"/>
        </w:rPr>
        <w:t>WEO</w:t>
      </w:r>
      <w:r>
        <w:rPr>
          <w:color w:val="373737"/>
          <w:sz w:val="20"/>
        </w:rPr>
        <w:t xml:space="preserve"> underpins the </w:t>
      </w:r>
      <w:r w:rsidR="005A0B8A">
        <w:rPr>
          <w:color w:val="373737"/>
          <w:sz w:val="20"/>
        </w:rPr>
        <w:t>s</w:t>
      </w:r>
      <w:r>
        <w:rPr>
          <w:color w:val="373737"/>
          <w:sz w:val="20"/>
        </w:rPr>
        <w:t xml:space="preserve">trategy, </w:t>
      </w:r>
      <w:r w:rsidR="00D5164B">
        <w:rPr>
          <w:color w:val="373737"/>
          <w:sz w:val="20"/>
        </w:rPr>
        <w:t>other</w:t>
      </w:r>
      <w:r>
        <w:rPr>
          <w:color w:val="373737"/>
          <w:sz w:val="20"/>
        </w:rPr>
        <w:t xml:space="preserve"> publications such as the IEA’s </w:t>
      </w:r>
      <w:r w:rsidRPr="00161063">
        <w:rPr>
          <w:i/>
          <w:color w:val="373737"/>
          <w:sz w:val="20"/>
        </w:rPr>
        <w:t>Medium-Term Gas Report</w:t>
      </w:r>
      <w:r w:rsidR="005A75DE">
        <w:rPr>
          <w:color w:val="373737"/>
          <w:sz w:val="20"/>
        </w:rPr>
        <w:t xml:space="preserve"> and </w:t>
      </w:r>
      <w:r w:rsidR="00D5164B">
        <w:rPr>
          <w:color w:val="373737"/>
          <w:sz w:val="20"/>
        </w:rPr>
        <w:t xml:space="preserve">external </w:t>
      </w:r>
      <w:r w:rsidR="005A75DE">
        <w:rPr>
          <w:color w:val="373737"/>
          <w:sz w:val="20"/>
        </w:rPr>
        <w:t xml:space="preserve">publications </w:t>
      </w:r>
      <w:r w:rsidR="00D5164B">
        <w:rPr>
          <w:color w:val="373737"/>
          <w:sz w:val="20"/>
        </w:rPr>
        <w:t>such as</w:t>
      </w:r>
      <w:r w:rsidR="005A75DE">
        <w:rPr>
          <w:color w:val="373737"/>
          <w:sz w:val="20"/>
        </w:rPr>
        <w:t xml:space="preserve"> the </w:t>
      </w:r>
      <w:r w:rsidR="00DF5A40" w:rsidRPr="00DF5A40">
        <w:rPr>
          <w:color w:val="373737"/>
          <w:sz w:val="20"/>
        </w:rPr>
        <w:t xml:space="preserve">Institute of Energy Economics Japan </w:t>
      </w:r>
      <w:r w:rsidR="00DF5A40">
        <w:rPr>
          <w:color w:val="373737"/>
          <w:sz w:val="20"/>
        </w:rPr>
        <w:t>(</w:t>
      </w:r>
      <w:r w:rsidR="005A75DE">
        <w:rPr>
          <w:color w:val="373737"/>
          <w:sz w:val="20"/>
        </w:rPr>
        <w:t>IEEJ</w:t>
      </w:r>
      <w:r w:rsidR="00DF5A40">
        <w:rPr>
          <w:color w:val="373737"/>
          <w:sz w:val="20"/>
        </w:rPr>
        <w:t>)</w:t>
      </w:r>
      <w:r w:rsidR="005A75DE">
        <w:rPr>
          <w:color w:val="373737"/>
          <w:sz w:val="20"/>
        </w:rPr>
        <w:t xml:space="preserve"> have modelled alternative projections. </w:t>
      </w:r>
      <w:r w:rsidR="00D5164B">
        <w:rPr>
          <w:color w:val="373737"/>
          <w:sz w:val="20"/>
          <w:lang w:val="en"/>
        </w:rPr>
        <w:t>There are suggestions</w:t>
      </w:r>
      <w:r w:rsidR="005A75DE" w:rsidRPr="00A62FE8">
        <w:rPr>
          <w:color w:val="373737"/>
          <w:sz w:val="20"/>
          <w:lang w:val="en"/>
        </w:rPr>
        <w:t xml:space="preserve"> that the actual level of gas demand in 2030 could be materially higher assumin</w:t>
      </w:r>
      <w:r w:rsidR="005A75DE">
        <w:rPr>
          <w:color w:val="373737"/>
          <w:sz w:val="20"/>
          <w:lang w:val="en"/>
        </w:rPr>
        <w:t>g</w:t>
      </w:r>
      <w:r w:rsidR="005A75DE" w:rsidRPr="00A62FE8">
        <w:rPr>
          <w:color w:val="373737"/>
          <w:sz w:val="20"/>
          <w:lang w:val="en"/>
        </w:rPr>
        <w:t xml:space="preserve"> that the short-term forecasts are accurate, and that planned consumption </w:t>
      </w:r>
      <w:r w:rsidR="005A75DE">
        <w:rPr>
          <w:color w:val="373737"/>
          <w:sz w:val="20"/>
          <w:lang w:val="en"/>
        </w:rPr>
        <w:t>by</w:t>
      </w:r>
      <w:r w:rsidR="005A75DE" w:rsidRPr="00A62FE8">
        <w:rPr>
          <w:color w:val="373737"/>
          <w:sz w:val="20"/>
          <w:lang w:val="en"/>
        </w:rPr>
        <w:t xml:space="preserve"> trading partners is inconsistent with emissions reduction commitments.</w:t>
      </w:r>
    </w:p>
    <w:p w14:paraId="154C4EBD" w14:textId="25397F76" w:rsidR="00DB47F3" w:rsidRDefault="005A75DE" w:rsidP="00DB47F3">
      <w:pPr>
        <w:spacing w:after="120"/>
        <w:rPr>
          <w:color w:val="373737"/>
          <w:sz w:val="20"/>
        </w:rPr>
      </w:pPr>
      <w:r w:rsidRPr="00A62FE8">
        <w:rPr>
          <w:color w:val="373737"/>
          <w:sz w:val="20"/>
        </w:rPr>
        <w:t>IEA and AEMO scenarios are built around assumptions that net-zero by 2050 is achieved (NZE) or that various decarbonisation policies are successfully enacted (STEPS</w:t>
      </w:r>
      <w:r w:rsidR="000565F6">
        <w:rPr>
          <w:color w:val="373737"/>
          <w:sz w:val="20"/>
        </w:rPr>
        <w:t xml:space="preserve"> and </w:t>
      </w:r>
      <w:r w:rsidRPr="00A62FE8">
        <w:rPr>
          <w:color w:val="373737"/>
          <w:sz w:val="20"/>
        </w:rPr>
        <w:t xml:space="preserve">APS). </w:t>
      </w:r>
      <w:r>
        <w:rPr>
          <w:color w:val="373737"/>
          <w:sz w:val="20"/>
        </w:rPr>
        <w:t>There is no single story about the future of global energy.</w:t>
      </w:r>
    </w:p>
    <w:p w14:paraId="37DEE901" w14:textId="1A0E2146" w:rsidR="00CF3EFD" w:rsidRDefault="00CF3EFD" w:rsidP="00C97679">
      <w:pPr>
        <w:pStyle w:val="Caption"/>
      </w:pPr>
      <w:r>
        <w:t xml:space="preserve">Table </w:t>
      </w:r>
      <w:r w:rsidR="00341B3B">
        <w:fldChar w:fldCharType="begin"/>
      </w:r>
      <w:r w:rsidR="00341B3B">
        <w:instrText xml:space="preserve"> STYLEREF 1 \s </w:instrText>
      </w:r>
      <w:r w:rsidR="00341B3B">
        <w:fldChar w:fldCharType="separate"/>
      </w:r>
      <w:r w:rsidR="00BF178A">
        <w:rPr>
          <w:noProof/>
        </w:rPr>
        <w:t>4</w:t>
      </w:r>
      <w:r w:rsidR="00341B3B">
        <w:rPr>
          <w:noProof/>
        </w:rPr>
        <w:fldChar w:fldCharType="end"/>
      </w:r>
      <w:r w:rsidR="000565F6">
        <w:t>.</w:t>
      </w:r>
      <w:r w:rsidR="00341B3B">
        <w:fldChar w:fldCharType="begin"/>
      </w:r>
      <w:r w:rsidR="00341B3B">
        <w:instrText xml:space="preserve"> SEQ Table \* ARABIC \s 1 </w:instrText>
      </w:r>
      <w:r w:rsidR="00341B3B">
        <w:fldChar w:fldCharType="separate"/>
      </w:r>
      <w:r w:rsidR="00BF178A">
        <w:rPr>
          <w:noProof/>
        </w:rPr>
        <w:t>5</w:t>
      </w:r>
      <w:r w:rsidR="00341B3B">
        <w:rPr>
          <w:noProof/>
        </w:rPr>
        <w:fldChar w:fldCharType="end"/>
      </w:r>
      <w:r w:rsidRPr="000618FB">
        <w:t xml:space="preserve">: </w:t>
      </w:r>
      <w:r w:rsidR="00DE2714">
        <w:t>Alternative g</w:t>
      </w:r>
      <w:r>
        <w:t xml:space="preserve">lobal gas demand projections, </w:t>
      </w:r>
      <w:r w:rsidR="00000CAC">
        <w:t>bc</w:t>
      </w:r>
      <w:r w:rsidR="00A40280">
        <w:t xml:space="preserve">m, by </w:t>
      </w:r>
      <w:r w:rsidR="000842E0">
        <w:t>source</w:t>
      </w:r>
    </w:p>
    <w:tbl>
      <w:tblPr>
        <w:tblStyle w:val="OCETable"/>
        <w:tblW w:w="5000" w:type="pct"/>
        <w:tblLayout w:type="fixed"/>
        <w:tblLook w:val="04A0" w:firstRow="1" w:lastRow="0" w:firstColumn="1" w:lastColumn="0" w:noHBand="0" w:noVBand="1"/>
      </w:tblPr>
      <w:tblGrid>
        <w:gridCol w:w="2552"/>
        <w:gridCol w:w="1357"/>
        <w:gridCol w:w="1358"/>
        <w:gridCol w:w="1358"/>
      </w:tblGrid>
      <w:tr w:rsidR="004E602A" w14:paraId="67E1FEDA" w14:textId="77777777" w:rsidTr="00295CAB">
        <w:trPr>
          <w:cnfStyle w:val="100000000000" w:firstRow="1" w:lastRow="0" w:firstColumn="0" w:lastColumn="0" w:oddVBand="0" w:evenVBand="0" w:oddHBand="0" w:evenHBand="0" w:firstRowFirstColumn="0" w:firstRowLastColumn="0" w:lastRowFirstColumn="0" w:lastRowLastColumn="0"/>
        </w:trPr>
        <w:tc>
          <w:tcPr>
            <w:tcW w:w="2552" w:type="dxa"/>
          </w:tcPr>
          <w:p w14:paraId="7D9DAB1E" w14:textId="77777777" w:rsidR="00CF3EFD" w:rsidRDefault="00CF3EFD" w:rsidP="00CF3EFD">
            <w:pPr>
              <w:pStyle w:val="Tableheader"/>
              <w:ind w:left="-23"/>
              <w:rPr>
                <w:lang w:eastAsia="en-AU"/>
              </w:rPr>
            </w:pPr>
          </w:p>
        </w:tc>
        <w:tc>
          <w:tcPr>
            <w:tcW w:w="1357" w:type="dxa"/>
          </w:tcPr>
          <w:p w14:paraId="0EE4CCE8" w14:textId="77777777" w:rsidR="00CF3EFD" w:rsidRDefault="00CF3EFD" w:rsidP="00F172F3">
            <w:pPr>
              <w:pStyle w:val="Tableheader"/>
              <w:rPr>
                <w:lang w:eastAsia="en-AU"/>
              </w:rPr>
            </w:pPr>
            <w:r>
              <w:rPr>
                <w:lang w:eastAsia="en-AU"/>
              </w:rPr>
              <w:t>2030</w:t>
            </w:r>
          </w:p>
        </w:tc>
        <w:tc>
          <w:tcPr>
            <w:tcW w:w="1358" w:type="dxa"/>
          </w:tcPr>
          <w:p w14:paraId="0C28C206" w14:textId="5F76E956" w:rsidR="00CF3EFD" w:rsidRDefault="00CF3EFD" w:rsidP="00F172F3">
            <w:pPr>
              <w:pStyle w:val="Tableheader"/>
              <w:rPr>
                <w:lang w:eastAsia="en-AU"/>
              </w:rPr>
            </w:pPr>
            <w:r>
              <w:rPr>
                <w:lang w:eastAsia="en-AU"/>
              </w:rPr>
              <w:t>2040</w:t>
            </w:r>
          </w:p>
        </w:tc>
        <w:tc>
          <w:tcPr>
            <w:tcW w:w="1358" w:type="dxa"/>
          </w:tcPr>
          <w:p w14:paraId="27195424" w14:textId="0E8D8BCD" w:rsidR="00CF3EFD" w:rsidRDefault="00CF3EFD" w:rsidP="00F172F3">
            <w:pPr>
              <w:pStyle w:val="Tableheader"/>
              <w:rPr>
                <w:lang w:eastAsia="en-AU"/>
              </w:rPr>
            </w:pPr>
            <w:r>
              <w:rPr>
                <w:lang w:eastAsia="en-AU"/>
              </w:rPr>
              <w:t>2050</w:t>
            </w:r>
          </w:p>
        </w:tc>
      </w:tr>
      <w:tr w:rsidR="004E602A" w14:paraId="5AA3D0B2" w14:textId="77777777" w:rsidTr="00295CAB">
        <w:trPr>
          <w:cnfStyle w:val="000000100000" w:firstRow="0" w:lastRow="0" w:firstColumn="0" w:lastColumn="0" w:oddVBand="0" w:evenVBand="0" w:oddHBand="1" w:evenHBand="0" w:firstRowFirstColumn="0" w:firstRowLastColumn="0" w:lastRowFirstColumn="0" w:lastRowLastColumn="0"/>
        </w:trPr>
        <w:tc>
          <w:tcPr>
            <w:tcW w:w="2552" w:type="dxa"/>
          </w:tcPr>
          <w:p w14:paraId="35E8FA31" w14:textId="2EDA0323" w:rsidR="00CF3EFD" w:rsidRDefault="00CF3EFD" w:rsidP="00F172F3">
            <w:pPr>
              <w:pStyle w:val="Tabletext"/>
              <w:rPr>
                <w:lang w:eastAsia="en-AU"/>
              </w:rPr>
            </w:pPr>
            <w:r>
              <w:rPr>
                <w:lang w:eastAsia="en-AU"/>
              </w:rPr>
              <w:t>IEA WEO 2023</w:t>
            </w:r>
            <w:r w:rsidR="00295CAB">
              <w:rPr>
                <w:lang w:eastAsia="en-AU"/>
              </w:rPr>
              <w:t xml:space="preserve"> – STEPS</w:t>
            </w:r>
          </w:p>
        </w:tc>
        <w:tc>
          <w:tcPr>
            <w:tcW w:w="1357" w:type="dxa"/>
          </w:tcPr>
          <w:p w14:paraId="675F302E" w14:textId="3E546726" w:rsidR="00CF3EFD" w:rsidRDefault="00000CAC" w:rsidP="00F172F3">
            <w:pPr>
              <w:pStyle w:val="Tabletext"/>
              <w:rPr>
                <w:lang w:eastAsia="en-AU"/>
              </w:rPr>
            </w:pPr>
            <w:r>
              <w:rPr>
                <w:lang w:eastAsia="en-AU"/>
              </w:rPr>
              <w:t>4,298</w:t>
            </w:r>
          </w:p>
        </w:tc>
        <w:tc>
          <w:tcPr>
            <w:tcW w:w="1358" w:type="dxa"/>
          </w:tcPr>
          <w:p w14:paraId="49C8354B" w14:textId="27566245" w:rsidR="00CF3EFD" w:rsidRDefault="00000CAC" w:rsidP="00F172F3">
            <w:pPr>
              <w:pStyle w:val="Tabletext"/>
              <w:rPr>
                <w:lang w:eastAsia="en-AU"/>
              </w:rPr>
            </w:pPr>
            <w:r>
              <w:rPr>
                <w:lang w:eastAsia="en-AU"/>
              </w:rPr>
              <w:t>4,209</w:t>
            </w:r>
          </w:p>
        </w:tc>
        <w:tc>
          <w:tcPr>
            <w:tcW w:w="1358" w:type="dxa"/>
          </w:tcPr>
          <w:p w14:paraId="4C7E8DE5" w14:textId="2B731D83" w:rsidR="00CF3EFD" w:rsidRDefault="00000CAC" w:rsidP="00F172F3">
            <w:pPr>
              <w:pStyle w:val="Tabletext"/>
              <w:rPr>
                <w:lang w:eastAsia="en-AU"/>
              </w:rPr>
            </w:pPr>
            <w:r>
              <w:rPr>
                <w:lang w:eastAsia="en-AU"/>
              </w:rPr>
              <w:t>4,172</w:t>
            </w:r>
          </w:p>
        </w:tc>
      </w:tr>
      <w:tr w:rsidR="004E602A" w14:paraId="18085DAA" w14:textId="77777777" w:rsidTr="00295CAB">
        <w:trPr>
          <w:cnfStyle w:val="000000010000" w:firstRow="0" w:lastRow="0" w:firstColumn="0" w:lastColumn="0" w:oddVBand="0" w:evenVBand="0" w:oddHBand="0" w:evenHBand="1" w:firstRowFirstColumn="0" w:firstRowLastColumn="0" w:lastRowFirstColumn="0" w:lastRowLastColumn="0"/>
        </w:trPr>
        <w:tc>
          <w:tcPr>
            <w:tcW w:w="2552" w:type="dxa"/>
          </w:tcPr>
          <w:p w14:paraId="542B1053" w14:textId="036E7AD7" w:rsidR="00CF3EFD" w:rsidRDefault="00000CAC" w:rsidP="00F172F3">
            <w:pPr>
              <w:pStyle w:val="Tabletext"/>
              <w:rPr>
                <w:lang w:eastAsia="en-AU"/>
              </w:rPr>
            </w:pPr>
            <w:r>
              <w:rPr>
                <w:lang w:eastAsia="en-AU"/>
              </w:rPr>
              <w:t>IEEJ</w:t>
            </w:r>
          </w:p>
        </w:tc>
        <w:tc>
          <w:tcPr>
            <w:tcW w:w="1357" w:type="dxa"/>
          </w:tcPr>
          <w:p w14:paraId="1A5FE38E" w14:textId="23BA41B1" w:rsidR="00CF3EFD" w:rsidRDefault="00000CAC" w:rsidP="00F172F3">
            <w:pPr>
              <w:pStyle w:val="Tabletext"/>
              <w:rPr>
                <w:lang w:eastAsia="en-AU"/>
              </w:rPr>
            </w:pPr>
            <w:r>
              <w:rPr>
                <w:lang w:eastAsia="en-AU"/>
              </w:rPr>
              <w:t>4,364</w:t>
            </w:r>
          </w:p>
        </w:tc>
        <w:tc>
          <w:tcPr>
            <w:tcW w:w="1358" w:type="dxa"/>
          </w:tcPr>
          <w:p w14:paraId="6BA98A56" w14:textId="788E84F4" w:rsidR="00CF3EFD" w:rsidRDefault="00000CAC" w:rsidP="00F172F3">
            <w:pPr>
              <w:pStyle w:val="Tabletext"/>
              <w:rPr>
                <w:lang w:eastAsia="en-AU"/>
              </w:rPr>
            </w:pPr>
            <w:r>
              <w:rPr>
                <w:lang w:eastAsia="en-AU"/>
              </w:rPr>
              <w:t>4,798</w:t>
            </w:r>
          </w:p>
        </w:tc>
        <w:tc>
          <w:tcPr>
            <w:tcW w:w="1358" w:type="dxa"/>
          </w:tcPr>
          <w:p w14:paraId="03AA2487" w14:textId="217F2687" w:rsidR="00CF3EFD" w:rsidRDefault="00000CAC" w:rsidP="00F172F3">
            <w:pPr>
              <w:pStyle w:val="Tabletext"/>
              <w:rPr>
                <w:lang w:eastAsia="en-AU"/>
              </w:rPr>
            </w:pPr>
            <w:r>
              <w:rPr>
                <w:lang w:eastAsia="en-AU"/>
              </w:rPr>
              <w:t>5,387</w:t>
            </w:r>
          </w:p>
        </w:tc>
      </w:tr>
      <w:tr w:rsidR="004E602A" w14:paraId="5DC40406" w14:textId="77777777" w:rsidTr="00295CAB">
        <w:trPr>
          <w:cnfStyle w:val="000000100000" w:firstRow="0" w:lastRow="0" w:firstColumn="0" w:lastColumn="0" w:oddVBand="0" w:evenVBand="0" w:oddHBand="1" w:evenHBand="0" w:firstRowFirstColumn="0" w:firstRowLastColumn="0" w:lastRowFirstColumn="0" w:lastRowLastColumn="0"/>
        </w:trPr>
        <w:tc>
          <w:tcPr>
            <w:tcW w:w="2552" w:type="dxa"/>
          </w:tcPr>
          <w:p w14:paraId="3275AAE1" w14:textId="125AFF44" w:rsidR="00CF3EFD" w:rsidRDefault="00A40280" w:rsidP="00F172F3">
            <w:pPr>
              <w:pStyle w:val="Tabletext"/>
              <w:rPr>
                <w:lang w:eastAsia="en-AU"/>
              </w:rPr>
            </w:pPr>
            <w:r>
              <w:rPr>
                <w:lang w:eastAsia="en-AU"/>
              </w:rPr>
              <w:t>GECF</w:t>
            </w:r>
          </w:p>
        </w:tc>
        <w:tc>
          <w:tcPr>
            <w:tcW w:w="1357" w:type="dxa"/>
          </w:tcPr>
          <w:p w14:paraId="7ECEB0C4" w14:textId="203E7A1F" w:rsidR="00CF3EFD" w:rsidRDefault="00CF3EFD" w:rsidP="00F172F3">
            <w:pPr>
              <w:pStyle w:val="Tabletext"/>
              <w:rPr>
                <w:lang w:eastAsia="en-AU"/>
              </w:rPr>
            </w:pPr>
          </w:p>
        </w:tc>
        <w:tc>
          <w:tcPr>
            <w:tcW w:w="1358" w:type="dxa"/>
          </w:tcPr>
          <w:p w14:paraId="5A6043F1" w14:textId="0063F559" w:rsidR="00CF3EFD" w:rsidRDefault="00CF3EFD" w:rsidP="00F172F3">
            <w:pPr>
              <w:pStyle w:val="Tabletext"/>
              <w:rPr>
                <w:lang w:eastAsia="en-AU"/>
              </w:rPr>
            </w:pPr>
          </w:p>
        </w:tc>
        <w:tc>
          <w:tcPr>
            <w:tcW w:w="1358" w:type="dxa"/>
          </w:tcPr>
          <w:p w14:paraId="34D784B3" w14:textId="702B1A5A" w:rsidR="00CF3EFD" w:rsidRDefault="005849C0" w:rsidP="00F172F3">
            <w:pPr>
              <w:pStyle w:val="Tabletext"/>
              <w:rPr>
                <w:lang w:eastAsia="en-AU"/>
              </w:rPr>
            </w:pPr>
            <w:r>
              <w:rPr>
                <w:lang w:eastAsia="en-AU"/>
              </w:rPr>
              <w:t>5,360</w:t>
            </w:r>
          </w:p>
        </w:tc>
      </w:tr>
      <w:tr w:rsidR="004E602A" w14:paraId="66DDA957" w14:textId="77777777" w:rsidTr="00295CAB">
        <w:trPr>
          <w:cnfStyle w:val="000000010000" w:firstRow="0" w:lastRow="0" w:firstColumn="0" w:lastColumn="0" w:oddVBand="0" w:evenVBand="0" w:oddHBand="0" w:evenHBand="1" w:firstRowFirstColumn="0" w:firstRowLastColumn="0" w:lastRowFirstColumn="0" w:lastRowLastColumn="0"/>
        </w:trPr>
        <w:tc>
          <w:tcPr>
            <w:tcW w:w="2552" w:type="dxa"/>
          </w:tcPr>
          <w:p w14:paraId="72822E0A" w14:textId="52600D7F" w:rsidR="00A40280" w:rsidRDefault="00A40280" w:rsidP="00A40280">
            <w:pPr>
              <w:pStyle w:val="Tabletext"/>
              <w:rPr>
                <w:lang w:eastAsia="en-AU"/>
              </w:rPr>
            </w:pPr>
            <w:r>
              <w:rPr>
                <w:lang w:eastAsia="en-AU"/>
              </w:rPr>
              <w:t>ExxonMobil</w:t>
            </w:r>
          </w:p>
        </w:tc>
        <w:tc>
          <w:tcPr>
            <w:tcW w:w="1357" w:type="dxa"/>
          </w:tcPr>
          <w:p w14:paraId="6666F465" w14:textId="49F2A923" w:rsidR="00A40280" w:rsidRDefault="00A40280" w:rsidP="00A40280">
            <w:pPr>
              <w:pStyle w:val="Tabletext"/>
              <w:rPr>
                <w:lang w:eastAsia="en-AU"/>
              </w:rPr>
            </w:pPr>
            <w:r>
              <w:rPr>
                <w:lang w:eastAsia="en-AU"/>
              </w:rPr>
              <w:t>4,547</w:t>
            </w:r>
          </w:p>
        </w:tc>
        <w:tc>
          <w:tcPr>
            <w:tcW w:w="1358" w:type="dxa"/>
          </w:tcPr>
          <w:p w14:paraId="16BAAC86" w14:textId="7D4F820C" w:rsidR="00A40280" w:rsidRDefault="00A40280" w:rsidP="00A40280">
            <w:pPr>
              <w:pStyle w:val="Tabletext"/>
              <w:rPr>
                <w:lang w:eastAsia="en-AU"/>
              </w:rPr>
            </w:pPr>
            <w:r>
              <w:rPr>
                <w:lang w:eastAsia="en-AU"/>
              </w:rPr>
              <w:t>4,862</w:t>
            </w:r>
          </w:p>
        </w:tc>
        <w:tc>
          <w:tcPr>
            <w:tcW w:w="1358" w:type="dxa"/>
          </w:tcPr>
          <w:p w14:paraId="6D1DDCFC" w14:textId="6E3CFA7F" w:rsidR="00A40280" w:rsidRDefault="00A40280" w:rsidP="00A40280">
            <w:pPr>
              <w:pStyle w:val="Tabletext"/>
              <w:rPr>
                <w:lang w:eastAsia="en-AU"/>
              </w:rPr>
            </w:pPr>
            <w:r>
              <w:rPr>
                <w:lang w:eastAsia="en-AU"/>
              </w:rPr>
              <w:t>5,059</w:t>
            </w:r>
          </w:p>
        </w:tc>
      </w:tr>
      <w:tr w:rsidR="004D2381" w14:paraId="246C0742" w14:textId="77777777" w:rsidTr="00295CAB">
        <w:trPr>
          <w:cnfStyle w:val="000000100000" w:firstRow="0" w:lastRow="0" w:firstColumn="0" w:lastColumn="0" w:oddVBand="0" w:evenVBand="0" w:oddHBand="1" w:evenHBand="0" w:firstRowFirstColumn="0" w:firstRowLastColumn="0" w:lastRowFirstColumn="0" w:lastRowLastColumn="0"/>
        </w:trPr>
        <w:tc>
          <w:tcPr>
            <w:tcW w:w="2552" w:type="dxa"/>
          </w:tcPr>
          <w:p w14:paraId="2B5040BD" w14:textId="43820E3D" w:rsidR="00A40280" w:rsidRDefault="00A40280" w:rsidP="00A40280">
            <w:pPr>
              <w:pStyle w:val="Tabletext"/>
              <w:rPr>
                <w:lang w:eastAsia="en-AU"/>
              </w:rPr>
            </w:pPr>
            <w:r>
              <w:rPr>
                <w:lang w:eastAsia="en-AU"/>
              </w:rPr>
              <w:t>Shell</w:t>
            </w:r>
          </w:p>
        </w:tc>
        <w:tc>
          <w:tcPr>
            <w:tcW w:w="1357" w:type="dxa"/>
          </w:tcPr>
          <w:p w14:paraId="40D05C51" w14:textId="705D06C6" w:rsidR="00A40280" w:rsidRDefault="001C6225" w:rsidP="00A40280">
            <w:pPr>
              <w:pStyle w:val="Tabletext"/>
              <w:rPr>
                <w:lang w:eastAsia="en-AU"/>
              </w:rPr>
            </w:pPr>
            <w:r>
              <w:rPr>
                <w:lang w:eastAsia="en-AU"/>
              </w:rPr>
              <w:t>4</w:t>
            </w:r>
            <w:r w:rsidR="00CD0877">
              <w:rPr>
                <w:lang w:eastAsia="en-AU"/>
              </w:rPr>
              <w:t>,265</w:t>
            </w:r>
          </w:p>
        </w:tc>
        <w:tc>
          <w:tcPr>
            <w:tcW w:w="1358" w:type="dxa"/>
          </w:tcPr>
          <w:p w14:paraId="1472581C" w14:textId="36935C4F" w:rsidR="00A40280" w:rsidRDefault="00CD0877" w:rsidP="00A40280">
            <w:pPr>
              <w:pStyle w:val="Tabletext"/>
              <w:rPr>
                <w:lang w:eastAsia="en-AU"/>
              </w:rPr>
            </w:pPr>
            <w:r>
              <w:rPr>
                <w:lang w:eastAsia="en-AU"/>
              </w:rPr>
              <w:t>4,495</w:t>
            </w:r>
          </w:p>
        </w:tc>
        <w:tc>
          <w:tcPr>
            <w:tcW w:w="1358" w:type="dxa"/>
          </w:tcPr>
          <w:p w14:paraId="01AAE4FF" w14:textId="78972F50" w:rsidR="00A40280" w:rsidRDefault="00CD0877" w:rsidP="00A40280">
            <w:pPr>
              <w:pStyle w:val="Tabletext"/>
              <w:rPr>
                <w:lang w:eastAsia="en-AU"/>
              </w:rPr>
            </w:pPr>
            <w:r>
              <w:rPr>
                <w:lang w:eastAsia="en-AU"/>
              </w:rPr>
              <w:t>4,494</w:t>
            </w:r>
          </w:p>
        </w:tc>
      </w:tr>
    </w:tbl>
    <w:p w14:paraId="341F4846" w14:textId="01464497" w:rsidR="00CF3EFD" w:rsidRDefault="00CF3EFD" w:rsidP="003B7106">
      <w:pPr>
        <w:pStyle w:val="Source"/>
        <w:spacing w:before="60"/>
        <w:rPr>
          <w:lang w:eastAsia="en-AU"/>
        </w:rPr>
      </w:pPr>
      <w:r>
        <w:rPr>
          <w:lang w:eastAsia="en-AU"/>
        </w:rPr>
        <w:t xml:space="preserve">Notes: </w:t>
      </w:r>
      <w:r w:rsidR="00AA677F">
        <w:rPr>
          <w:lang w:eastAsia="en-AU"/>
        </w:rPr>
        <w:t xml:space="preserve">Based on STEPS or a STEPS-equivalent. </w:t>
      </w:r>
      <w:r w:rsidR="00CD0877">
        <w:rPr>
          <w:lang w:eastAsia="en-AU"/>
        </w:rPr>
        <w:t>Shell is based on the Islands scenario</w:t>
      </w:r>
      <w:r w:rsidR="005A0B8A">
        <w:rPr>
          <w:lang w:eastAsia="en-AU"/>
        </w:rPr>
        <w:t>.</w:t>
      </w:r>
    </w:p>
    <w:p w14:paraId="2F246352" w14:textId="46C5FD1E" w:rsidR="00CF3EFD" w:rsidRDefault="00CF3EFD" w:rsidP="004A70E8">
      <w:pPr>
        <w:pStyle w:val="Source"/>
        <w:rPr>
          <w:lang w:eastAsia="en-AU"/>
        </w:rPr>
      </w:pPr>
      <w:r>
        <w:rPr>
          <w:lang w:eastAsia="en-AU"/>
        </w:rPr>
        <w:t xml:space="preserve">Source: </w:t>
      </w:r>
      <w:r w:rsidR="00000CAC">
        <w:rPr>
          <w:lang w:eastAsia="en-AU"/>
        </w:rPr>
        <w:t>IEA (2023</w:t>
      </w:r>
      <w:r w:rsidR="006F3243">
        <w:rPr>
          <w:lang w:eastAsia="en-AU"/>
        </w:rPr>
        <w:t>f</w:t>
      </w:r>
      <w:r w:rsidR="00000CAC">
        <w:rPr>
          <w:lang w:eastAsia="en-AU"/>
        </w:rPr>
        <w:t>)</w:t>
      </w:r>
      <w:r w:rsidR="0041193F">
        <w:rPr>
          <w:lang w:eastAsia="en-AU"/>
        </w:rPr>
        <w:t>;</w:t>
      </w:r>
      <w:r w:rsidR="00000CAC">
        <w:rPr>
          <w:lang w:eastAsia="en-AU"/>
        </w:rPr>
        <w:t xml:space="preserve"> IEEJ (2023)</w:t>
      </w:r>
      <w:r w:rsidR="0041193F">
        <w:rPr>
          <w:lang w:eastAsia="en-AU"/>
        </w:rPr>
        <w:t>;</w:t>
      </w:r>
      <w:r w:rsidR="00A40280">
        <w:rPr>
          <w:lang w:eastAsia="en-AU"/>
        </w:rPr>
        <w:t xml:space="preserve"> G</w:t>
      </w:r>
      <w:r w:rsidR="003C7586">
        <w:rPr>
          <w:lang w:eastAsia="en-AU"/>
        </w:rPr>
        <w:t>as Exporting Countries Forum</w:t>
      </w:r>
      <w:r w:rsidR="00A40280">
        <w:rPr>
          <w:lang w:eastAsia="en-AU"/>
        </w:rPr>
        <w:t xml:space="preserve"> (2024)</w:t>
      </w:r>
      <w:r w:rsidR="0041193F">
        <w:rPr>
          <w:lang w:eastAsia="en-AU"/>
        </w:rPr>
        <w:t>;</w:t>
      </w:r>
      <w:r w:rsidR="00A40280">
        <w:rPr>
          <w:lang w:eastAsia="en-AU"/>
        </w:rPr>
        <w:t xml:space="preserve"> ExxonMobil (2023)</w:t>
      </w:r>
      <w:r w:rsidR="0041193F">
        <w:rPr>
          <w:lang w:eastAsia="en-AU"/>
        </w:rPr>
        <w:t>;</w:t>
      </w:r>
      <w:r w:rsidR="003C7586">
        <w:rPr>
          <w:lang w:eastAsia="en-AU"/>
        </w:rPr>
        <w:t xml:space="preserve"> Shell</w:t>
      </w:r>
      <w:r w:rsidR="001C6225">
        <w:rPr>
          <w:lang w:eastAsia="en-AU"/>
        </w:rPr>
        <w:t xml:space="preserve"> </w:t>
      </w:r>
      <w:r w:rsidR="003C7586">
        <w:rPr>
          <w:lang w:eastAsia="en-AU"/>
        </w:rPr>
        <w:t>(202</w:t>
      </w:r>
      <w:r w:rsidR="00CD0877">
        <w:rPr>
          <w:lang w:eastAsia="en-AU"/>
        </w:rPr>
        <w:t>1</w:t>
      </w:r>
      <w:r w:rsidR="003C7586">
        <w:rPr>
          <w:lang w:eastAsia="en-AU"/>
        </w:rPr>
        <w:t>)</w:t>
      </w:r>
    </w:p>
    <w:p w14:paraId="5B946BC8" w14:textId="0CE9AB84" w:rsidR="00DB47F3" w:rsidRPr="00A62FE8" w:rsidRDefault="00DB47F3" w:rsidP="00C97679">
      <w:pPr>
        <w:pStyle w:val="Caption"/>
        <w:rPr>
          <w:lang w:val="en"/>
        </w:rPr>
      </w:pPr>
      <w:r w:rsidRPr="00A62FE8">
        <w:rPr>
          <w:lang w:val="en"/>
        </w:rPr>
        <w:t xml:space="preserve">Figure </w:t>
      </w:r>
      <w:r>
        <w:rPr>
          <w:lang w:val="en"/>
        </w:rPr>
        <w:fldChar w:fldCharType="begin"/>
      </w:r>
      <w:r>
        <w:rPr>
          <w:lang w:val="en"/>
        </w:rPr>
        <w:instrText xml:space="preserve"> STYLEREF 1 \s </w:instrText>
      </w:r>
      <w:r>
        <w:rPr>
          <w:lang w:val="en"/>
        </w:rPr>
        <w:fldChar w:fldCharType="separate"/>
      </w:r>
      <w:r w:rsidR="00BF178A">
        <w:rPr>
          <w:noProof/>
          <w:lang w:val="en"/>
        </w:rPr>
        <w:t>4</w:t>
      </w:r>
      <w:r>
        <w:rPr>
          <w:lang w:val="en"/>
        </w:rPr>
        <w:fldChar w:fldCharType="end"/>
      </w:r>
      <w:r>
        <w:rPr>
          <w:lang w:val="en"/>
        </w:rPr>
        <w:t>.</w:t>
      </w:r>
      <w:r>
        <w:rPr>
          <w:lang w:val="en"/>
        </w:rPr>
        <w:fldChar w:fldCharType="begin"/>
      </w:r>
      <w:r>
        <w:rPr>
          <w:lang w:val="en"/>
        </w:rPr>
        <w:instrText xml:space="preserve"> SEQ Figure \* ARABIC \s 1 </w:instrText>
      </w:r>
      <w:r>
        <w:rPr>
          <w:lang w:val="en"/>
        </w:rPr>
        <w:fldChar w:fldCharType="separate"/>
      </w:r>
      <w:r w:rsidR="00BF178A">
        <w:rPr>
          <w:noProof/>
          <w:lang w:val="en"/>
        </w:rPr>
        <w:t>16</w:t>
      </w:r>
      <w:r>
        <w:rPr>
          <w:lang w:val="en"/>
        </w:rPr>
        <w:fldChar w:fldCharType="end"/>
      </w:r>
      <w:r w:rsidRPr="00A62FE8">
        <w:rPr>
          <w:lang w:val="en"/>
        </w:rPr>
        <w:t xml:space="preserve">: IEA gas demand projections vs </w:t>
      </w:r>
      <w:r>
        <w:rPr>
          <w:lang w:val="en"/>
        </w:rPr>
        <w:t>a</w:t>
      </w:r>
      <w:r w:rsidRPr="00A62FE8">
        <w:rPr>
          <w:lang w:val="en"/>
        </w:rPr>
        <w:t>lternative gas demand forecasts, 2020</w:t>
      </w:r>
      <w:r w:rsidR="004C117A">
        <w:rPr>
          <w:lang w:val="en"/>
        </w:rPr>
        <w:t xml:space="preserve"> to </w:t>
      </w:r>
      <w:r w:rsidRPr="00A62FE8">
        <w:rPr>
          <w:lang w:val="en"/>
        </w:rPr>
        <w:t>2030</w:t>
      </w:r>
    </w:p>
    <w:p w14:paraId="67F7B098" w14:textId="20731C4F" w:rsidR="00DB47F3" w:rsidRPr="00A62FE8" w:rsidRDefault="00C328C3" w:rsidP="00DB47F3">
      <w:pPr>
        <w:keepNext/>
        <w:spacing w:after="60" w:line="240" w:lineRule="auto"/>
        <w:rPr>
          <w:rFonts w:eastAsia="Times New Roman" w:cs="Arial"/>
          <w:color w:val="005CAF"/>
          <w:sz w:val="16"/>
          <w:szCs w:val="20"/>
          <w:lang w:val="en"/>
        </w:rPr>
      </w:pPr>
      <w:r>
        <w:rPr>
          <w:noProof/>
        </w:rPr>
        <w:drawing>
          <wp:inline distT="0" distB="0" distL="0" distR="0" wp14:anchorId="4E41A4B9" wp14:editId="706BF735">
            <wp:extent cx="4206875" cy="4912360"/>
            <wp:effectExtent l="0" t="0" r="3175" b="2540"/>
            <wp:docPr id="68" name="Chart 68" descr="This figure illustrates IEA gas demand projections versus alternative gas demand forecasts from 2020 to 2030. IEA projections for gas demand under the APS and NZE scenarios show varying levels of significant decline which is inconsistent with the alternative modelling from the IEEJ and DISR. While projections under the STEPS scenario show a gradual increase to 2030, greater demand is forecasted by the alternative models.">
              <a:extLst xmlns:a="http://schemas.openxmlformats.org/drawingml/2006/main">
                <a:ext uri="{FF2B5EF4-FFF2-40B4-BE49-F238E27FC236}">
                  <a16:creationId xmlns:a16="http://schemas.microsoft.com/office/drawing/2014/main" id="{3A5A99B8-5F8F-4E20-9590-CC908F41D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2CDB5E7" w14:textId="7A51470A" w:rsidR="00DB47F3" w:rsidRPr="00A62FE8" w:rsidRDefault="00DB47F3" w:rsidP="004A70E8">
      <w:pPr>
        <w:pStyle w:val="Source"/>
      </w:pPr>
      <w:r w:rsidRPr="00A62FE8">
        <w:t xml:space="preserve">Source: IEA </w:t>
      </w:r>
      <w:r w:rsidR="00274150">
        <w:t>(2023e,</w:t>
      </w:r>
      <w:r w:rsidR="00DC0C54">
        <w:t xml:space="preserve"> </w:t>
      </w:r>
      <w:r w:rsidR="00274150">
        <w:t>d)</w:t>
      </w:r>
      <w:r w:rsidR="00EF6FEB">
        <w:t>;</w:t>
      </w:r>
      <w:r w:rsidR="00A26BC6" w:rsidRPr="00A26BC6">
        <w:t xml:space="preserve"> </w:t>
      </w:r>
      <w:r w:rsidR="00073880">
        <w:t xml:space="preserve">IEEJ </w:t>
      </w:r>
      <w:r w:rsidR="00274150">
        <w:t>(2023)</w:t>
      </w:r>
      <w:r w:rsidR="00EF6FEB">
        <w:t>;</w:t>
      </w:r>
      <w:r w:rsidR="00274150">
        <w:t xml:space="preserve"> </w:t>
      </w:r>
      <w:r w:rsidRPr="00A62FE8">
        <w:t xml:space="preserve">DISR </w:t>
      </w:r>
      <w:r w:rsidR="00274150">
        <w:t>(2024)</w:t>
      </w:r>
    </w:p>
    <w:p w14:paraId="14C6799C" w14:textId="77777777" w:rsidR="005A75DE" w:rsidRDefault="005A75DE" w:rsidP="00DB47F3">
      <w:pPr>
        <w:spacing w:before="240" w:after="120"/>
        <w:rPr>
          <w:color w:val="373737"/>
          <w:sz w:val="20"/>
        </w:rPr>
      </w:pPr>
    </w:p>
    <w:p w14:paraId="6D20BF62" w14:textId="2BF0E72C" w:rsidR="005A75DE" w:rsidRPr="00F57F5E" w:rsidRDefault="001209C0" w:rsidP="005A75DE">
      <w:pPr>
        <w:pStyle w:val="Heading3"/>
        <w:rPr>
          <w:lang w:val="en"/>
        </w:rPr>
      </w:pPr>
      <w:r>
        <w:rPr>
          <w:lang w:val="en"/>
        </w:rPr>
        <w:t>Industry projections</w:t>
      </w:r>
    </w:p>
    <w:p w14:paraId="1B42C54A" w14:textId="4AD03090" w:rsidR="005A75DE" w:rsidRPr="00A62FE8" w:rsidRDefault="005A75DE" w:rsidP="005A75DE">
      <w:pPr>
        <w:spacing w:after="120"/>
        <w:rPr>
          <w:color w:val="373737"/>
          <w:sz w:val="20"/>
        </w:rPr>
      </w:pPr>
      <w:r>
        <w:rPr>
          <w:color w:val="373737"/>
          <w:sz w:val="20"/>
        </w:rPr>
        <w:t>The industry holds a different view around the trajectory of gas demand,</w:t>
      </w:r>
      <w:r w:rsidRPr="00A62FE8">
        <w:rPr>
          <w:color w:val="373737"/>
          <w:sz w:val="20"/>
        </w:rPr>
        <w:t xml:space="preserve"> </w:t>
      </w:r>
      <w:r>
        <w:rPr>
          <w:color w:val="373737"/>
          <w:sz w:val="20"/>
        </w:rPr>
        <w:t>with</w:t>
      </w:r>
      <w:r w:rsidRPr="00A62FE8">
        <w:rPr>
          <w:color w:val="373737"/>
          <w:sz w:val="20"/>
        </w:rPr>
        <w:t xml:space="preserve"> scenarios </w:t>
      </w:r>
      <w:r>
        <w:rPr>
          <w:color w:val="373737"/>
          <w:sz w:val="20"/>
        </w:rPr>
        <w:t>based on how quickly decarbonisation can be achieved</w:t>
      </w:r>
      <w:r w:rsidRPr="00A62FE8">
        <w:rPr>
          <w:color w:val="373737"/>
          <w:sz w:val="20"/>
        </w:rPr>
        <w:t xml:space="preserve">. </w:t>
      </w:r>
      <w:r w:rsidR="00342370">
        <w:rPr>
          <w:color w:val="373737"/>
          <w:sz w:val="20"/>
        </w:rPr>
        <w:t xml:space="preserve">Projections and industry analysis suggest upside potential in gas demand </w:t>
      </w:r>
      <w:r w:rsidR="00F078C6">
        <w:rPr>
          <w:color w:val="373737"/>
          <w:sz w:val="20"/>
        </w:rPr>
        <w:t xml:space="preserve">relative to projections from </w:t>
      </w:r>
      <w:r w:rsidR="00342370">
        <w:rPr>
          <w:color w:val="373737"/>
          <w:sz w:val="20"/>
        </w:rPr>
        <w:t xml:space="preserve">the IEA. </w:t>
      </w:r>
    </w:p>
    <w:p w14:paraId="6B976FF6" w14:textId="77777777" w:rsidR="005A75DE" w:rsidRPr="0000320E" w:rsidRDefault="005A75DE" w:rsidP="00106D22">
      <w:pPr>
        <w:spacing w:after="120"/>
        <w:rPr>
          <w:color w:val="373737"/>
          <w:sz w:val="20"/>
        </w:rPr>
      </w:pPr>
      <w:r w:rsidRPr="00A62FE8">
        <w:rPr>
          <w:color w:val="373737"/>
          <w:sz w:val="20"/>
        </w:rPr>
        <w:t>Energy producers have previously argued that while various net zero scenarios provide a best-case pathway towards global decarbonisation, limiting the range of scenarios to a ‘baseline’ based on current policy settings (AEMO’s Progressive Change scenario and the IEA’s STEPS scenario) — or more ambitious outcomes — does not capture a full range of likely pathways, including those that fall closer to a worst-case pathway towards global decarbonisation.</w:t>
      </w:r>
    </w:p>
    <w:p w14:paraId="78C828A5" w14:textId="74EF9D35" w:rsidR="00DB47F3" w:rsidRPr="00A62FE8" w:rsidRDefault="00DB47F3" w:rsidP="00FE49A7">
      <w:pPr>
        <w:spacing w:before="120" w:after="120"/>
        <w:rPr>
          <w:color w:val="373737"/>
          <w:sz w:val="20"/>
        </w:rPr>
      </w:pPr>
      <w:r w:rsidRPr="00A62FE8">
        <w:rPr>
          <w:color w:val="373737"/>
          <w:sz w:val="20"/>
        </w:rPr>
        <w:t>Projections published by gas producers tend to include a path for gas where demand is materially higher in 2050 than current levels, rather than equal to or materially lower</w:t>
      </w:r>
      <w:r w:rsidR="004B71F0">
        <w:rPr>
          <w:color w:val="373737"/>
          <w:sz w:val="20"/>
        </w:rPr>
        <w:t xml:space="preserve"> (Table 4.6)</w:t>
      </w:r>
      <w:r w:rsidR="004D2381">
        <w:rPr>
          <w:color w:val="373737"/>
          <w:sz w:val="20"/>
        </w:rPr>
        <w:t>.</w:t>
      </w:r>
      <w:r w:rsidRPr="00A62FE8">
        <w:rPr>
          <w:color w:val="373737"/>
          <w:sz w:val="20"/>
        </w:rPr>
        <w:t xml:space="preserve"> Compared to IEA scenarios, these projections are a result of more bullish assumptions around the level of economic development and demand for energy to sustain rising living standards, particularly relating to the developing world, alongside assumptions that gas displaces coal-powered electricity generation as part of the transition. Under these assumptions, global gas demand projections are significantly higher in 2050 than in 2020. </w:t>
      </w:r>
    </w:p>
    <w:p w14:paraId="4C214C64" w14:textId="3060DD8E" w:rsidR="004D2381" w:rsidRDefault="004D2381" w:rsidP="00FE49A7">
      <w:pPr>
        <w:spacing w:before="120" w:after="120"/>
        <w:rPr>
          <w:color w:val="373737"/>
          <w:sz w:val="20"/>
        </w:rPr>
      </w:pPr>
      <w:r>
        <w:rPr>
          <w:color w:val="373737"/>
          <w:sz w:val="20"/>
        </w:rPr>
        <w:t xml:space="preserve">In addition, certain scenarios examined by Shell imply higher LNG trade within a net </w:t>
      </w:r>
      <w:r w:rsidRPr="007603F8">
        <w:rPr>
          <w:rStyle w:val="BodyTextChar"/>
        </w:rPr>
        <w:t xml:space="preserve">zero scenario. </w:t>
      </w:r>
      <w:r w:rsidR="00D07DC4" w:rsidRPr="007603F8">
        <w:rPr>
          <w:rStyle w:val="BodyTextChar"/>
        </w:rPr>
        <w:t xml:space="preserve">In their APS-aligned scenario, natural gas displaces coal in developing countries. Gas demand expands beyond established regions and existing pipeline networks, with LNG becoming the dominant form of global trade to meet new gas demand. Developing countries are reluctant to invest in pipelines due to </w:t>
      </w:r>
      <w:r w:rsidR="00F078C6">
        <w:rPr>
          <w:rStyle w:val="BodyTextChar"/>
        </w:rPr>
        <w:t>the decade-spanning construction times</w:t>
      </w:r>
      <w:r w:rsidR="00D07DC4" w:rsidRPr="007603F8">
        <w:rPr>
          <w:rStyle w:val="BodyTextChar"/>
        </w:rPr>
        <w:t xml:space="preserve"> and </w:t>
      </w:r>
      <w:r w:rsidR="00F078C6">
        <w:rPr>
          <w:rStyle w:val="BodyTextChar"/>
        </w:rPr>
        <w:t xml:space="preserve">need to </w:t>
      </w:r>
      <w:r w:rsidR="00D07DC4" w:rsidRPr="007603F8">
        <w:rPr>
          <w:rStyle w:val="BodyTextChar"/>
        </w:rPr>
        <w:t>lock in supply to be sourced and consumed in particular locations. Demand for LNG doubles from 2020 levels by 2050 (Figure 4.</w:t>
      </w:r>
      <w:r w:rsidR="00BE6BED">
        <w:rPr>
          <w:rStyle w:val="BodyTextChar"/>
        </w:rPr>
        <w:t>17</w:t>
      </w:r>
      <w:r w:rsidR="00D07DC4" w:rsidRPr="007603F8">
        <w:rPr>
          <w:rStyle w:val="BodyTextChar"/>
        </w:rPr>
        <w:t>).</w:t>
      </w:r>
      <w:r w:rsidR="000D1B13">
        <w:rPr>
          <w:rStyle w:val="BodyTextChar"/>
        </w:rPr>
        <w:t xml:space="preserve"> Demand for Australian LNG would likely be </w:t>
      </w:r>
      <w:r w:rsidR="00F46D0D">
        <w:rPr>
          <w:rStyle w:val="BodyTextChar"/>
        </w:rPr>
        <w:t>maintained</w:t>
      </w:r>
      <w:r w:rsidR="000D1B13">
        <w:rPr>
          <w:rStyle w:val="BodyTextChar"/>
        </w:rPr>
        <w:t xml:space="preserve"> in such a scenario.</w:t>
      </w:r>
    </w:p>
    <w:p w14:paraId="28351685" w14:textId="34B9BDA5" w:rsidR="004D2381" w:rsidRPr="00A62FE8" w:rsidRDefault="004D2381" w:rsidP="00C97679">
      <w:pPr>
        <w:pStyle w:val="Caption"/>
        <w:rPr>
          <w:lang w:val="en"/>
        </w:rPr>
      </w:pPr>
      <w:r w:rsidRPr="00A62FE8">
        <w:rPr>
          <w:lang w:val="en"/>
        </w:rPr>
        <w:t xml:space="preserve">Figure </w:t>
      </w:r>
      <w:r>
        <w:rPr>
          <w:lang w:val="en"/>
        </w:rPr>
        <w:fldChar w:fldCharType="begin"/>
      </w:r>
      <w:r>
        <w:rPr>
          <w:lang w:val="en"/>
        </w:rPr>
        <w:instrText xml:space="preserve"> STYLEREF 1 \s </w:instrText>
      </w:r>
      <w:r>
        <w:rPr>
          <w:lang w:val="en"/>
        </w:rPr>
        <w:fldChar w:fldCharType="separate"/>
      </w:r>
      <w:r w:rsidR="00BF178A">
        <w:rPr>
          <w:noProof/>
          <w:lang w:val="en"/>
        </w:rPr>
        <w:t>4</w:t>
      </w:r>
      <w:r>
        <w:rPr>
          <w:lang w:val="en"/>
        </w:rPr>
        <w:fldChar w:fldCharType="end"/>
      </w:r>
      <w:r>
        <w:rPr>
          <w:lang w:val="en"/>
        </w:rPr>
        <w:t>.</w:t>
      </w:r>
      <w:r>
        <w:rPr>
          <w:lang w:val="en"/>
        </w:rPr>
        <w:fldChar w:fldCharType="begin"/>
      </w:r>
      <w:r>
        <w:rPr>
          <w:lang w:val="en"/>
        </w:rPr>
        <w:instrText xml:space="preserve"> SEQ Figure \* ARABIC \s 1 </w:instrText>
      </w:r>
      <w:r>
        <w:rPr>
          <w:lang w:val="en"/>
        </w:rPr>
        <w:fldChar w:fldCharType="separate"/>
      </w:r>
      <w:r w:rsidR="00BF178A">
        <w:rPr>
          <w:noProof/>
          <w:lang w:val="en"/>
        </w:rPr>
        <w:t>17</w:t>
      </w:r>
      <w:r>
        <w:rPr>
          <w:lang w:val="en"/>
        </w:rPr>
        <w:fldChar w:fldCharType="end"/>
      </w:r>
      <w:r w:rsidRPr="00A62FE8">
        <w:rPr>
          <w:lang w:val="en"/>
        </w:rPr>
        <w:t>: IEA LNG demand forecasts compared with Shell</w:t>
      </w:r>
      <w:r w:rsidR="004C117A">
        <w:rPr>
          <w:lang w:val="en"/>
        </w:rPr>
        <w:t>, 2022 to 2050</w:t>
      </w:r>
    </w:p>
    <w:p w14:paraId="17ADAC28" w14:textId="7B11BEDD" w:rsidR="004D2381" w:rsidRPr="00A62FE8" w:rsidRDefault="006906E7" w:rsidP="004D2381">
      <w:pPr>
        <w:keepNext/>
        <w:spacing w:after="60" w:line="240" w:lineRule="auto"/>
        <w:rPr>
          <w:rFonts w:eastAsia="Times New Roman" w:cs="Arial"/>
          <w:color w:val="005CAF"/>
          <w:sz w:val="16"/>
          <w:szCs w:val="20"/>
          <w:lang w:val="en"/>
        </w:rPr>
      </w:pPr>
      <w:r>
        <w:rPr>
          <w:noProof/>
        </w:rPr>
        <w:drawing>
          <wp:inline distT="0" distB="0" distL="0" distR="0" wp14:anchorId="77C47BBE" wp14:editId="3313D95C">
            <wp:extent cx="4206875" cy="5705475"/>
            <wp:effectExtent l="0" t="0" r="3175" b="0"/>
            <wp:docPr id="69" name="Chart 69" descr="This figures contrasts IEA LNG demand forecasts with Shell’s forecasts. Shell’s base case scenario predicts substantially higher growth in gas demand to 2050 (around 1,000 billion cubic metres) compared to IEA’s STEPS scenario (over 600 billion cubic metres). While Shell’s net zero scenario projections to 2050 (over 400 billion cubic metres) are below IEA’s STEPS scenario, projections are slightly less than double than IEA’s APS scenario and more than double for IEA’s NZE scenario.">
              <a:extLst xmlns:a="http://schemas.openxmlformats.org/drawingml/2006/main">
                <a:ext uri="{FF2B5EF4-FFF2-40B4-BE49-F238E27FC236}">
                  <a16:creationId xmlns:a16="http://schemas.microsoft.com/office/drawing/2014/main" id="{59D76CB2-AF83-4FCB-AE29-044ED03EA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CB24B13" w14:textId="6B19BA45" w:rsidR="004D2381" w:rsidRPr="00A62FE8" w:rsidRDefault="004D2381" w:rsidP="004A70E8">
      <w:pPr>
        <w:pStyle w:val="Source"/>
      </w:pPr>
      <w:r w:rsidRPr="00A62FE8">
        <w:t>Source: IEA (202</w:t>
      </w:r>
      <w:r>
        <w:t>3</w:t>
      </w:r>
      <w:r w:rsidR="00274150">
        <w:t>e</w:t>
      </w:r>
      <w:r w:rsidRPr="00A62FE8">
        <w:t>); Shell Energy (202</w:t>
      </w:r>
      <w:r w:rsidR="00274150">
        <w:t>1</w:t>
      </w:r>
      <w:r w:rsidRPr="00A62FE8">
        <w:t>)</w:t>
      </w:r>
    </w:p>
    <w:p w14:paraId="53A12D76" w14:textId="77777777" w:rsidR="004D2381" w:rsidRDefault="004D2381" w:rsidP="00DB47F3">
      <w:pPr>
        <w:spacing w:before="240" w:after="120"/>
        <w:rPr>
          <w:color w:val="373737"/>
          <w:sz w:val="20"/>
        </w:rPr>
      </w:pPr>
    </w:p>
    <w:p w14:paraId="5F4C4F5A" w14:textId="46EBF30C" w:rsidR="00EC7EC7" w:rsidRDefault="00EC7EC7" w:rsidP="004D2381">
      <w:pPr>
        <w:pStyle w:val="Heading1"/>
        <w:pageBreakBefore/>
      </w:pPr>
      <w:bookmarkStart w:id="127" w:name="_Toc165332200"/>
      <w:bookmarkStart w:id="128" w:name="_Toc172794520"/>
      <w:bookmarkEnd w:id="127"/>
      <w:r>
        <w:t>Supply outlook</w:t>
      </w:r>
      <w:bookmarkEnd w:id="128"/>
    </w:p>
    <w:p w14:paraId="0D8D1E25" w14:textId="77777777" w:rsidR="00EC7EC7" w:rsidRPr="000C3116" w:rsidRDefault="00EC7EC7" w:rsidP="000C3116">
      <w:pPr>
        <w:pStyle w:val="Heading2"/>
        <w:numPr>
          <w:ilvl w:val="0"/>
          <w:numId w:val="0"/>
        </w:numPr>
      </w:pPr>
      <w:bookmarkStart w:id="129" w:name="_Toc161153368"/>
      <w:bookmarkStart w:id="130" w:name="_Toc172794521"/>
      <w:r w:rsidRPr="000C3116">
        <w:t>Summary</w:t>
      </w:r>
      <w:bookmarkEnd w:id="129"/>
      <w:bookmarkEnd w:id="130"/>
    </w:p>
    <w:p w14:paraId="7D4E4D3D" w14:textId="77777777" w:rsidR="00974546" w:rsidRDefault="00EC7EC7" w:rsidP="00EC7EC7">
      <w:pPr>
        <w:pStyle w:val="BodyText"/>
      </w:pPr>
      <w:bookmarkStart w:id="131" w:name="_Hlk157603503"/>
      <w:r>
        <w:t>In the near term, there is significant concern and uncertainty around the potential for a shortage</w:t>
      </w:r>
      <w:r w:rsidR="00E86909">
        <w:t xml:space="preserve"> of supply</w:t>
      </w:r>
      <w:r>
        <w:t xml:space="preserve"> over coming years</w:t>
      </w:r>
      <w:r w:rsidR="00717AD2">
        <w:t xml:space="preserve">. </w:t>
      </w:r>
    </w:p>
    <w:p w14:paraId="01A14157" w14:textId="685115B1" w:rsidR="00974546" w:rsidRDefault="00717AD2" w:rsidP="00EC7EC7">
      <w:pPr>
        <w:pStyle w:val="BodyText"/>
      </w:pPr>
      <w:r>
        <w:t xml:space="preserve">On the </w:t>
      </w:r>
      <w:r w:rsidRPr="00313788">
        <w:rPr>
          <w:b/>
          <w:bCs/>
        </w:rPr>
        <w:t>east coast</w:t>
      </w:r>
      <w:r>
        <w:t xml:space="preserve">, </w:t>
      </w:r>
      <w:r w:rsidR="006D5FF2">
        <w:t>major</w:t>
      </w:r>
      <w:r>
        <w:t xml:space="preserve"> </w:t>
      </w:r>
      <w:r w:rsidR="00F803FA">
        <w:t xml:space="preserve">annual </w:t>
      </w:r>
      <w:r>
        <w:t>shortage</w:t>
      </w:r>
      <w:r w:rsidR="00F803FA">
        <w:t>s</w:t>
      </w:r>
      <w:r>
        <w:t xml:space="preserve"> </w:t>
      </w:r>
      <w:r w:rsidR="00F803FA">
        <w:t xml:space="preserve">are </w:t>
      </w:r>
      <w:r w:rsidR="008E548A">
        <w:t xml:space="preserve">expected to </w:t>
      </w:r>
      <w:r>
        <w:t xml:space="preserve">emerge from </w:t>
      </w:r>
      <w:r w:rsidR="00EC7EC7" w:rsidRPr="00C321C4">
        <w:t>2028</w:t>
      </w:r>
      <w:r w:rsidR="00974546">
        <w:t xml:space="preserve"> – that is, the forecast supply levels fall short of expected demand</w:t>
      </w:r>
      <w:r>
        <w:t xml:space="preserve">. </w:t>
      </w:r>
      <w:r w:rsidR="00E86909">
        <w:t>The</w:t>
      </w:r>
      <w:r w:rsidR="00EC7EC7">
        <w:t xml:space="preserve"> supply commitments made by producers under the Gas Market Code are</w:t>
      </w:r>
      <w:r w:rsidR="008E776A">
        <w:t xml:space="preserve"> </w:t>
      </w:r>
      <w:r w:rsidR="00EC7EC7">
        <w:t xml:space="preserve">expected to </w:t>
      </w:r>
      <w:r w:rsidR="00D172FA">
        <w:t xml:space="preserve">reduce the shortfall </w:t>
      </w:r>
      <w:r w:rsidR="00BA61CF">
        <w:t xml:space="preserve">volumes </w:t>
      </w:r>
      <w:r w:rsidR="00D172FA">
        <w:t>going forward</w:t>
      </w:r>
      <w:r w:rsidR="002F7616">
        <w:t>, but to close the gap requires further supply or a reduction in demand.</w:t>
      </w:r>
      <w:r w:rsidR="00EC7EC7">
        <w:t xml:space="preserve"> </w:t>
      </w:r>
    </w:p>
    <w:p w14:paraId="3536666B" w14:textId="4572E200" w:rsidR="00974546" w:rsidRDefault="00974546" w:rsidP="00EC7EC7">
      <w:pPr>
        <w:pStyle w:val="BodyText"/>
      </w:pPr>
      <w:r>
        <w:t>T</w:t>
      </w:r>
      <w:r w:rsidR="00EC7EC7">
        <w:t>he</w:t>
      </w:r>
      <w:r w:rsidR="00451E38">
        <w:t xml:space="preserve">re </w:t>
      </w:r>
      <w:r>
        <w:t xml:space="preserve">is a particular risk of shortfalls in south-eastern states. South-eastern states are </w:t>
      </w:r>
      <w:r w:rsidR="007C1319">
        <w:t>becoming</w:t>
      </w:r>
      <w:r>
        <w:t xml:space="preserve"> increasingly reliant on gas from northern states</w:t>
      </w:r>
      <w:r w:rsidR="007C1319">
        <w:t xml:space="preserve"> as gas production from southern gas fields declines</w:t>
      </w:r>
      <w:r>
        <w:t xml:space="preserve">. Constrained pipeline capacity from Queensland to southern states implies that southern shortfalls will emerge in coming years regardless of additional northern production. There </w:t>
      </w:r>
      <w:r w:rsidR="00451E38">
        <w:t>are</w:t>
      </w:r>
      <w:r w:rsidR="00EC7EC7">
        <w:t xml:space="preserve"> </w:t>
      </w:r>
      <w:r>
        <w:t xml:space="preserve">also </w:t>
      </w:r>
      <w:r w:rsidR="00EC7EC7">
        <w:t xml:space="preserve">risks of </w:t>
      </w:r>
      <w:r>
        <w:t>seasonal supply shortfalls in</w:t>
      </w:r>
      <w:r w:rsidR="00EC7EC7">
        <w:t xml:space="preserve"> </w:t>
      </w:r>
      <w:r>
        <w:t>south-</w:t>
      </w:r>
      <w:r w:rsidR="00EC7EC7">
        <w:t>east</w:t>
      </w:r>
      <w:r>
        <w:t>ern</w:t>
      </w:r>
      <w:r w:rsidR="00EC7EC7">
        <w:t xml:space="preserve"> </w:t>
      </w:r>
      <w:r>
        <w:t>states</w:t>
      </w:r>
      <w:r w:rsidR="00EC7EC7">
        <w:t xml:space="preserve"> </w:t>
      </w:r>
      <w:r w:rsidR="00F0105D">
        <w:t>from 2026</w:t>
      </w:r>
      <w:r w:rsidR="00EC7EC7">
        <w:t xml:space="preserve"> </w:t>
      </w:r>
      <w:r>
        <w:t xml:space="preserve">due to higher </w:t>
      </w:r>
      <w:r w:rsidR="007C1319">
        <w:t xml:space="preserve">winter </w:t>
      </w:r>
      <w:r>
        <w:t xml:space="preserve">demand levels exceeding pipeline capacity from the north in the winter months. </w:t>
      </w:r>
    </w:p>
    <w:p w14:paraId="5975EE5F" w14:textId="41ED7212" w:rsidR="00EC7EC7" w:rsidRDefault="00844355" w:rsidP="00EC7EC7">
      <w:pPr>
        <w:pStyle w:val="BodyText"/>
      </w:pPr>
      <w:r>
        <w:t>East coast supply s</w:t>
      </w:r>
      <w:r w:rsidR="00EC7EC7">
        <w:t>hortfall</w:t>
      </w:r>
      <w:r>
        <w:t xml:space="preserve"> forecasts have been consistent over the last decade</w:t>
      </w:r>
      <w:r w:rsidR="00EC7EC7">
        <w:t xml:space="preserve">, as </w:t>
      </w:r>
      <w:r>
        <w:t>forecasts are based on 2P reserves</w:t>
      </w:r>
      <w:r w:rsidR="004C2300">
        <w:t xml:space="preserve"> (i.e. proven and probable)</w:t>
      </w:r>
      <w:r>
        <w:t xml:space="preserve">. As resources are proved to be commercially viable and </w:t>
      </w:r>
      <w:r w:rsidR="00B802DD">
        <w:t xml:space="preserve">translated to 2P reserves, forecast supply shortfalls have </w:t>
      </w:r>
      <w:r w:rsidR="00974546">
        <w:t xml:space="preserve">typically </w:t>
      </w:r>
      <w:r w:rsidR="00B802DD">
        <w:t>been pushed further out</w:t>
      </w:r>
      <w:r w:rsidR="00EC7EC7">
        <w:t xml:space="preserve">. </w:t>
      </w:r>
      <w:r w:rsidR="007C1319">
        <w:t>However, the circumstances today are different to the past in that they offer fewer options to increase supply in the timeframes required. Chapter 7 explores the most likely supply option, time frames to delivery, and their potential to address regional supply shortages.</w:t>
      </w:r>
      <w:r w:rsidR="002F7616">
        <w:t xml:space="preserve"> There remain risks that supply comes on slower than expected, and that demand proves stronger than expected (as outlined in Chapter 3).</w:t>
      </w:r>
    </w:p>
    <w:p w14:paraId="3870D71E" w14:textId="0B8CEA8E" w:rsidR="00717AD2" w:rsidRDefault="00717AD2" w:rsidP="00EC7EC7">
      <w:pPr>
        <w:pStyle w:val="BodyText"/>
      </w:pPr>
      <w:r w:rsidRPr="00E921E7">
        <w:t xml:space="preserve">On the </w:t>
      </w:r>
      <w:r w:rsidRPr="00181826">
        <w:rPr>
          <w:b/>
        </w:rPr>
        <w:t>west coast</w:t>
      </w:r>
      <w:r w:rsidRPr="00E921E7">
        <w:t>, demand in the near term is likely to exceed new supply so that storage</w:t>
      </w:r>
      <w:r w:rsidR="00B36F30">
        <w:t>s</w:t>
      </w:r>
      <w:r w:rsidRPr="00E921E7">
        <w:t xml:space="preserve"> will </w:t>
      </w:r>
      <w:r w:rsidR="007C1319">
        <w:t>continue</w:t>
      </w:r>
      <w:r w:rsidRPr="00E921E7">
        <w:t xml:space="preserve"> to be run down, with larger shortages emerging from 2030.</w:t>
      </w:r>
      <w:r>
        <w:t xml:space="preserve"> </w:t>
      </w:r>
      <w:r w:rsidR="00E921E7">
        <w:t>The</w:t>
      </w:r>
      <w:r w:rsidR="00E921E7" w:rsidRPr="00863A39">
        <w:t xml:space="preserve"> Western Australian Parliament’s Economics and Industry Standing Committee interim report into the WA Domestic Gas Policy</w:t>
      </w:r>
      <w:r w:rsidR="00E921E7">
        <w:t xml:space="preserve"> found</w:t>
      </w:r>
      <w:r w:rsidR="00E921E7" w:rsidRPr="00863A39">
        <w:t xml:space="preserve"> </w:t>
      </w:r>
      <w:r w:rsidR="00E921E7" w:rsidRPr="00E921E7">
        <w:t>a</w:t>
      </w:r>
      <w:r w:rsidR="00725A20">
        <w:t xml:space="preserve"> </w:t>
      </w:r>
      <w:r w:rsidR="00E921E7" w:rsidRPr="00E921E7">
        <w:t xml:space="preserve">shortfall in the amount of gas being </w:t>
      </w:r>
      <w:r w:rsidR="002B4352">
        <w:t>delivered</w:t>
      </w:r>
      <w:r w:rsidR="00E921E7" w:rsidRPr="00E921E7">
        <w:t xml:space="preserve"> into the local market</w:t>
      </w:r>
      <w:r w:rsidR="00E921E7">
        <w:t xml:space="preserve">. The report concluded </w:t>
      </w:r>
      <w:r w:rsidR="00E921E7" w:rsidRPr="00E921E7">
        <w:t>large</w:t>
      </w:r>
      <w:r w:rsidR="002B4352">
        <w:t xml:space="preserve"> offshore</w:t>
      </w:r>
      <w:r w:rsidR="00E921E7" w:rsidRPr="00E921E7">
        <w:t xml:space="preserve"> producers </w:t>
      </w:r>
      <w:r w:rsidR="00E921E7">
        <w:t xml:space="preserve">have delivered </w:t>
      </w:r>
      <w:r w:rsidR="00E921E7" w:rsidRPr="00E921E7">
        <w:t>about 8</w:t>
      </w:r>
      <w:r w:rsidR="00B10F42">
        <w:t>%</w:t>
      </w:r>
      <w:r w:rsidR="00E921E7" w:rsidRPr="00E921E7">
        <w:t xml:space="preserve"> </w:t>
      </w:r>
      <w:r w:rsidR="00E921E7">
        <w:t>of production to the local market</w:t>
      </w:r>
      <w:r w:rsidR="00E921E7" w:rsidRPr="00E921E7">
        <w:t>, well short of the 15</w:t>
      </w:r>
      <w:r w:rsidR="00B10F42">
        <w:t>%</w:t>
      </w:r>
      <w:r w:rsidR="00E921E7" w:rsidRPr="00E921E7">
        <w:t xml:space="preserve"> domestic reservation requirement</w:t>
      </w:r>
      <w:r w:rsidR="00E921E7">
        <w:t xml:space="preserve"> (the impact of a closer adherence to a 15</w:t>
      </w:r>
      <w:r w:rsidR="00B10F42">
        <w:t>%</w:t>
      </w:r>
      <w:r w:rsidR="002A2B3D">
        <w:t xml:space="preserve"> </w:t>
      </w:r>
      <w:r w:rsidR="00E921E7">
        <w:t>requirement is explored in Chapter 7)</w:t>
      </w:r>
      <w:r w:rsidR="00E921E7" w:rsidRPr="00E921E7">
        <w:t>.</w:t>
      </w:r>
    </w:p>
    <w:p w14:paraId="05E6441D" w14:textId="5E44229E" w:rsidR="00EC7EC7" w:rsidRDefault="007C1319" w:rsidP="00EC7EC7">
      <w:pPr>
        <w:pStyle w:val="BodyText"/>
      </w:pPr>
      <w:r>
        <w:t>These regional s</w:t>
      </w:r>
      <w:r w:rsidR="00EC7EC7">
        <w:t>hortages are expected despite Australia having substantial reserves and resources of natural gas. The volume of gas that can be produced depends largely on how much exploration and development activity occurs to prove up gas fields</w:t>
      </w:r>
      <w:r w:rsidR="009F3F07">
        <w:t>,</w:t>
      </w:r>
      <w:r w:rsidR="00EC7EC7">
        <w:t xml:space="preserve"> and the price at which they become commercial to develop and connect to the grid. Exploration and investment in the gas industry </w:t>
      </w:r>
      <w:r w:rsidR="00B21662">
        <w:t xml:space="preserve">at a national level </w:t>
      </w:r>
      <w:r w:rsidR="00EC7EC7">
        <w:t>has been low over recent years</w:t>
      </w:r>
      <w:r w:rsidR="00B21662">
        <w:t>, so that the pipeline of</w:t>
      </w:r>
      <w:r w:rsidR="00EC7EC7">
        <w:t xml:space="preserve"> supply </w:t>
      </w:r>
      <w:r w:rsidR="00B21662">
        <w:t>coming forward has fallen</w:t>
      </w:r>
      <w:r>
        <w:t>.</w:t>
      </w:r>
    </w:p>
    <w:p w14:paraId="5133ACBA" w14:textId="77777777" w:rsidR="00FA1C89" w:rsidRDefault="00FA1C89" w:rsidP="00FA1C89">
      <w:pPr>
        <w:pStyle w:val="Heading2"/>
        <w:numPr>
          <w:ilvl w:val="1"/>
          <w:numId w:val="27"/>
        </w:numPr>
      </w:pPr>
      <w:bookmarkStart w:id="132" w:name="_Toc172794522"/>
      <w:bookmarkEnd w:id="131"/>
      <w:r>
        <w:t>Near term shortages in gas supply</w:t>
      </w:r>
      <w:bookmarkEnd w:id="132"/>
    </w:p>
    <w:p w14:paraId="07353611" w14:textId="45F0799A" w:rsidR="00EC7EC7" w:rsidRDefault="00EC7EC7" w:rsidP="00EC7EC7">
      <w:pPr>
        <w:pStyle w:val="BodyText"/>
      </w:pPr>
      <w:r w:rsidRPr="002A2B3D">
        <w:t xml:space="preserve">Chapter </w:t>
      </w:r>
      <w:r w:rsidR="002A2B3D">
        <w:t>5</w:t>
      </w:r>
      <w:r>
        <w:t xml:space="preserve"> focuses on gas remaining crucial to Australian energy security. We first present the near-term shortages in gas supply at a national and regional level. We examine available resources and trends in investment.  </w:t>
      </w:r>
    </w:p>
    <w:p w14:paraId="1F67DB2E" w14:textId="3BCBA8A8" w:rsidR="00EC7EC7" w:rsidRDefault="00EC7EC7" w:rsidP="00EC7EC7">
      <w:pPr>
        <w:pStyle w:val="BodyText"/>
      </w:pPr>
      <w:r>
        <w:t xml:space="preserve">In this chapter we use forecasts from the ACCC’s </w:t>
      </w:r>
      <w:r w:rsidRPr="005D2B42">
        <w:rPr>
          <w:i/>
          <w:iCs/>
        </w:rPr>
        <w:t>Gas Inquiry December 2023 interim report</w:t>
      </w:r>
      <w:r>
        <w:t xml:space="preserve">. We recognise that several other Australian gas production forecasts have been produced based on various assumptions by parties including AEMO and EnergyQuest. While these forecasts may </w:t>
      </w:r>
      <w:r w:rsidR="00B21662">
        <w:t>vary slightly</w:t>
      </w:r>
      <w:r>
        <w:t xml:space="preserve">, they do not alter the conclusions contained here. </w:t>
      </w:r>
    </w:p>
    <w:p w14:paraId="188B399B" w14:textId="13C5D3A8" w:rsidR="00EC7EC7" w:rsidRDefault="00EC7EC7" w:rsidP="00EC7EC7">
      <w:pPr>
        <w:pStyle w:val="BodyText"/>
      </w:pPr>
      <w:r>
        <w:t xml:space="preserve">There is significant potential for a shortage of supply, both on the </w:t>
      </w:r>
      <w:r w:rsidR="00006846">
        <w:t>e</w:t>
      </w:r>
      <w:r>
        <w:t xml:space="preserve">ast and </w:t>
      </w:r>
      <w:r w:rsidR="00006846">
        <w:t>w</w:t>
      </w:r>
      <w:r>
        <w:t xml:space="preserve">est </w:t>
      </w:r>
      <w:r w:rsidR="00006846">
        <w:t>c</w:t>
      </w:r>
      <w:r>
        <w:t xml:space="preserve">oast, over coming years. Near term shortages in supply may particularly affect southern gas users in the eastern market, </w:t>
      </w:r>
      <w:r w:rsidR="000A62FD" w:rsidRPr="000A62FD">
        <w:t xml:space="preserve">especially if the </w:t>
      </w:r>
      <w:r>
        <w:t xml:space="preserve">increasing </w:t>
      </w:r>
      <w:r w:rsidR="000A62FD" w:rsidRPr="000A62FD">
        <w:t xml:space="preserve">gas </w:t>
      </w:r>
      <w:r>
        <w:t xml:space="preserve">supplies from the north </w:t>
      </w:r>
      <w:r w:rsidR="00B21662">
        <w:t>are limited by</w:t>
      </w:r>
      <w:r>
        <w:t xml:space="preserve"> capacity constraints within the network over </w:t>
      </w:r>
      <w:r w:rsidR="000A62FD" w:rsidRPr="000A62FD">
        <w:t xml:space="preserve">the </w:t>
      </w:r>
      <w:r>
        <w:t>coming years.</w:t>
      </w:r>
      <w:r w:rsidR="000370BB">
        <w:t xml:space="preserve"> </w:t>
      </w:r>
    </w:p>
    <w:p w14:paraId="302DB12C" w14:textId="2815FE81" w:rsidR="00EC7EC7" w:rsidRPr="00FF67CB" w:rsidRDefault="00EC7EC7" w:rsidP="00EC7EC7">
      <w:pPr>
        <w:pStyle w:val="BodyText"/>
      </w:pPr>
      <w:r w:rsidRPr="00FF67CB">
        <w:t xml:space="preserve">Total Australian gas production (for </w:t>
      </w:r>
      <w:r w:rsidR="00006846">
        <w:t>e</w:t>
      </w:r>
      <w:r w:rsidRPr="00FF67CB">
        <w:t xml:space="preserve">ast coast, </w:t>
      </w:r>
      <w:r w:rsidR="00006846">
        <w:t>w</w:t>
      </w:r>
      <w:r w:rsidRPr="00FF67CB">
        <w:t xml:space="preserve">est coast, and export purposes) reached a historical high level in </w:t>
      </w:r>
      <w:r w:rsidR="006304E6">
        <w:t>2012</w:t>
      </w:r>
      <w:r w:rsidR="00DB5745">
        <w:t>–</w:t>
      </w:r>
      <w:r w:rsidRPr="00FF67CB">
        <w:t>22 at 6,076 PJ</w:t>
      </w:r>
      <w:r w:rsidR="006304E6">
        <w:t xml:space="preserve"> (DCCEEW 2023</w:t>
      </w:r>
      <w:r w:rsidR="009F2182">
        <w:t>d</w:t>
      </w:r>
      <w:r w:rsidR="006304E6">
        <w:t>)</w:t>
      </w:r>
      <w:r w:rsidRPr="00FF67CB">
        <w:t xml:space="preserve">. At current levels of investment, the expected decline in </w:t>
      </w:r>
      <w:r w:rsidR="00162B2E">
        <w:t>east c</w:t>
      </w:r>
      <w:r w:rsidRPr="00FF67CB">
        <w:t xml:space="preserve">oast Australian gas production </w:t>
      </w:r>
      <w:r>
        <w:t xml:space="preserve">from proven </w:t>
      </w:r>
      <w:r w:rsidR="004C2300">
        <w:t>and probable</w:t>
      </w:r>
      <w:r>
        <w:t xml:space="preserve"> (</w:t>
      </w:r>
      <w:r w:rsidR="00D97CB4">
        <w:t xml:space="preserve">i.e. </w:t>
      </w:r>
      <w:r>
        <w:t xml:space="preserve">2P) reserves </w:t>
      </w:r>
      <w:r w:rsidRPr="00FF67CB">
        <w:t>(</w:t>
      </w:r>
      <w:r>
        <w:t>44%</w:t>
      </w:r>
      <w:r w:rsidRPr="00FF67CB">
        <w:t xml:space="preserve"> between 2022 and </w:t>
      </w:r>
      <w:r w:rsidRPr="00CA47F9">
        <w:t>2032</w:t>
      </w:r>
      <w:r w:rsidRPr="00FF67CB">
        <w:t xml:space="preserve">) falls faster than </w:t>
      </w:r>
      <w:r>
        <w:t>the demand under the most ambitious climate scenario in</w:t>
      </w:r>
      <w:r w:rsidR="00162B2E">
        <w:t xml:space="preserve"> both the</w:t>
      </w:r>
      <w:r>
        <w:t xml:space="preserve"> </w:t>
      </w:r>
      <w:r w:rsidR="00162B2E">
        <w:t>east c</w:t>
      </w:r>
      <w:r w:rsidRPr="00FF67CB">
        <w:t>oast (</w:t>
      </w:r>
      <w:r>
        <w:t xml:space="preserve">a </w:t>
      </w:r>
      <w:r w:rsidR="000D4F62">
        <w:t>13</w:t>
      </w:r>
      <w:r>
        <w:t xml:space="preserve">% fall by 2032 under </w:t>
      </w:r>
      <w:r w:rsidRPr="00A91497">
        <w:t>‘Green energy exports’</w:t>
      </w:r>
      <w:r>
        <w:t xml:space="preserve"> </w:t>
      </w:r>
      <w:r w:rsidRPr="00A91497">
        <w:t>scenario</w:t>
      </w:r>
      <w:r w:rsidRPr="007A6C90">
        <w:rPr>
          <w:color w:val="auto"/>
        </w:rPr>
        <w:t xml:space="preserve">) </w:t>
      </w:r>
      <w:r w:rsidRPr="00FF67CB">
        <w:t xml:space="preserve">and </w:t>
      </w:r>
      <w:r w:rsidR="00162B2E">
        <w:t>w</w:t>
      </w:r>
      <w:r w:rsidRPr="00FF67CB">
        <w:t xml:space="preserve">est </w:t>
      </w:r>
      <w:r w:rsidR="00162B2E">
        <w:t>c</w:t>
      </w:r>
      <w:r w:rsidRPr="00FF67CB">
        <w:t xml:space="preserve">oast (a </w:t>
      </w:r>
      <w:r>
        <w:t>less than 1</w:t>
      </w:r>
      <w:r w:rsidRPr="00FF67CB">
        <w:t xml:space="preserve">% fall </w:t>
      </w:r>
      <w:r>
        <w:t>by 2032 under ‘Low’ scenario</w:t>
      </w:r>
      <w:r w:rsidRPr="00FF67CB">
        <w:t>) markets that were canvassed in Chapter 3</w:t>
      </w:r>
      <w:r w:rsidR="00C7148C">
        <w:t xml:space="preserve"> (AEMO 2023</w:t>
      </w:r>
      <w:r w:rsidR="00534B26">
        <w:t>d</w:t>
      </w:r>
      <w:r w:rsidR="00C7148C">
        <w:t>, 2024</w:t>
      </w:r>
      <w:r w:rsidR="00F86FFE">
        <w:t>b</w:t>
      </w:r>
      <w:r w:rsidR="00C7148C">
        <w:t>)</w:t>
      </w:r>
      <w:r w:rsidRPr="00FF67CB">
        <w:t xml:space="preserve">. </w:t>
      </w:r>
    </w:p>
    <w:p w14:paraId="282010A3" w14:textId="4A399E0A" w:rsidR="002F7616" w:rsidRDefault="00EC7EC7" w:rsidP="00EC7EC7">
      <w:pPr>
        <w:pStyle w:val="BodyText"/>
      </w:pPr>
      <w:r w:rsidRPr="00FF67CB">
        <w:t xml:space="preserve">As a result, </w:t>
      </w:r>
      <w:r>
        <w:t>a</w:t>
      </w:r>
      <w:r w:rsidR="00BC11A5">
        <w:t xml:space="preserve"> major</w:t>
      </w:r>
      <w:r>
        <w:t xml:space="preserve"> annual gas supply</w:t>
      </w:r>
      <w:r w:rsidRPr="00FF67CB">
        <w:t xml:space="preserve"> gap</w:t>
      </w:r>
      <w:r>
        <w:rPr>
          <w:rStyle w:val="FootnoteReference"/>
        </w:rPr>
        <w:footnoteReference w:id="11"/>
      </w:r>
      <w:r w:rsidRPr="00FF67CB">
        <w:t xml:space="preserve"> </w:t>
      </w:r>
      <w:r>
        <w:t>is</w:t>
      </w:r>
      <w:r w:rsidRPr="00FF67CB">
        <w:t xml:space="preserve"> expected to emerge by 202</w:t>
      </w:r>
      <w:r>
        <w:t>8</w:t>
      </w:r>
      <w:r w:rsidRPr="00FF67CB">
        <w:t xml:space="preserve"> on the </w:t>
      </w:r>
      <w:r w:rsidR="00162B2E">
        <w:t>east c</w:t>
      </w:r>
      <w:r w:rsidRPr="00FF67CB">
        <w:t xml:space="preserve">oast and </w:t>
      </w:r>
      <w:r>
        <w:t xml:space="preserve">the annual imbalance is expected to grow over time </w:t>
      </w:r>
      <w:r w:rsidRPr="00FF67CB">
        <w:t xml:space="preserve">(Figure </w:t>
      </w:r>
      <w:r w:rsidR="00701494">
        <w:t>5</w:t>
      </w:r>
      <w:r w:rsidRPr="00FF67CB">
        <w:t>.</w:t>
      </w:r>
      <w:r>
        <w:t>1)</w:t>
      </w:r>
      <w:r w:rsidRPr="00FF67CB">
        <w:t xml:space="preserve">. </w:t>
      </w:r>
      <w:r>
        <w:t xml:space="preserve">Note that the gas supply forecast in Figure </w:t>
      </w:r>
      <w:r w:rsidR="002A2B3D">
        <w:t>5</w:t>
      </w:r>
      <w:r>
        <w:t>.1 includes gas from both developed and undeveloped 2P reserves</w:t>
      </w:r>
      <w:r w:rsidR="00654593">
        <w:t xml:space="preserve"> but</w:t>
      </w:r>
      <w:r w:rsidR="002F7616">
        <w:t xml:space="preserve"> does not include </w:t>
      </w:r>
      <w:r w:rsidR="003B6C42">
        <w:t xml:space="preserve">all </w:t>
      </w:r>
      <w:r w:rsidR="002F7616">
        <w:t>additional gas committed through the Code of Conduct processes</w:t>
      </w:r>
      <w:r>
        <w:t xml:space="preserve">. </w:t>
      </w:r>
    </w:p>
    <w:p w14:paraId="4DA08A4F" w14:textId="0DAD8790" w:rsidR="00913707" w:rsidRDefault="00913707" w:rsidP="00EC7EC7">
      <w:pPr>
        <w:pStyle w:val="BodyText"/>
      </w:pPr>
      <w:r w:rsidRPr="00373C13">
        <w:t>The production capacity of the Gippsland, Otway and Bass facilities is expected to continue to decline</w:t>
      </w:r>
      <w:r>
        <w:t xml:space="preserve"> as</w:t>
      </w:r>
      <w:r w:rsidRPr="00373C13">
        <w:t xml:space="preserve"> fields mature. Replacing this capacity which would require the equivalent of a second Iona storage facility or new offshore greenfield developments (tied back to existing infrastructure), to take into consideration relatively high CO</w:t>
      </w:r>
      <w:r w:rsidRPr="005C0A89">
        <w:rPr>
          <w:vertAlign w:val="subscript"/>
        </w:rPr>
        <w:t>2</w:t>
      </w:r>
      <w:r w:rsidRPr="00373C13">
        <w:t xml:space="preserve"> in some fields, as well as the associated capital expenditure. </w:t>
      </w:r>
    </w:p>
    <w:p w14:paraId="63F2B1DC" w14:textId="6BAA1466" w:rsidR="00EC7EC7" w:rsidRDefault="002F7616" w:rsidP="00EC7EC7">
      <w:pPr>
        <w:pStyle w:val="BodyText"/>
      </w:pPr>
      <w:r>
        <w:t>There are also risks that the supply gap may emerge faster or prove larger than forecast.</w:t>
      </w:r>
      <w:r w:rsidR="00EC7EC7">
        <w:t xml:space="preserve"> The forecast may overstate the </w:t>
      </w:r>
      <w:r w:rsidR="000C3116">
        <w:t>near</w:t>
      </w:r>
      <w:r w:rsidR="00970151">
        <w:t>-</w:t>
      </w:r>
      <w:r w:rsidR="000C3116">
        <w:t>term</w:t>
      </w:r>
      <w:r w:rsidR="00EC7EC7">
        <w:t xml:space="preserve"> gas supply potential due to uncertainties in the ability of new gas supply to clear significant regulatory, infrastructure and commercial hurdles (outlined in Chapter 7).</w:t>
      </w:r>
      <w:r w:rsidR="000370BB">
        <w:t xml:space="preserve"> At the same time, there is upside potential for demand (see Chapter 3).</w:t>
      </w:r>
      <w:r>
        <w:t xml:space="preserve"> </w:t>
      </w:r>
      <w:r w:rsidR="00D34D5C">
        <w:t>While d</w:t>
      </w:r>
      <w:r w:rsidR="00D34D5C" w:rsidRPr="00862E9B">
        <w:t xml:space="preserve">emand for gas in the east coast is </w:t>
      </w:r>
      <w:r>
        <w:t>forecast</w:t>
      </w:r>
      <w:r w:rsidR="00D34D5C" w:rsidRPr="00862E9B">
        <w:t xml:space="preserve"> to fall in the medium term as gas substitutes are adopted</w:t>
      </w:r>
      <w:r w:rsidR="00D34D5C">
        <w:t xml:space="preserve">, </w:t>
      </w:r>
      <w:r w:rsidR="00D34D5C" w:rsidRPr="00862E9B">
        <w:t>peak daily gas demand</w:t>
      </w:r>
      <w:r w:rsidR="00D34D5C">
        <w:t xml:space="preserve"> is expected to increase significantly to </w:t>
      </w:r>
      <w:r w:rsidR="00D34D5C" w:rsidRPr="00862E9B">
        <w:t>support electricity generation for peak and firming, especially during winter</w:t>
      </w:r>
      <w:r w:rsidR="00D34D5C">
        <w:t>. R</w:t>
      </w:r>
      <w:r w:rsidR="00D34D5C" w:rsidRPr="00862E9B">
        <w:t>isks such as unexpected coal power station closures</w:t>
      </w:r>
      <w:r w:rsidR="006E64EB">
        <w:t xml:space="preserve"> </w:t>
      </w:r>
      <w:r>
        <w:t>or</w:t>
      </w:r>
      <w:r w:rsidR="006E64EB">
        <w:t xml:space="preserve"> </w:t>
      </w:r>
      <w:r w:rsidR="00D34D5C" w:rsidRPr="00862E9B">
        <w:t>delays in renewable energy deployment</w:t>
      </w:r>
      <w:r w:rsidR="006E64EB">
        <w:t xml:space="preserve"> </w:t>
      </w:r>
      <w:r w:rsidR="00D34D5C" w:rsidRPr="00862E9B">
        <w:t xml:space="preserve">could drive up </w:t>
      </w:r>
      <w:r w:rsidR="00D34D5C">
        <w:t>gas</w:t>
      </w:r>
      <w:r w:rsidR="00D34D5C" w:rsidRPr="00862E9B">
        <w:t xml:space="preserve"> demand further</w:t>
      </w:r>
      <w:r w:rsidR="00D34D5C">
        <w:t>.</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0862C9" w14:paraId="086BFFA3" w14:textId="77777777" w:rsidTr="00D81BB3">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4B43F071" w14:textId="7E09DDEC" w:rsidR="000862C9" w:rsidRPr="00401289" w:rsidRDefault="000862C9" w:rsidP="00556751">
            <w:pPr>
              <w:pStyle w:val="Boxtext"/>
              <w:spacing w:beforeLines="60" w:before="144" w:afterLines="60" w:after="144"/>
              <w:ind w:left="113" w:right="113"/>
              <w:jc w:val="both"/>
              <w:rPr>
                <w:color w:val="auto"/>
              </w:rPr>
            </w:pPr>
            <w:r w:rsidRPr="005458FA">
              <w:rPr>
                <w:b/>
                <w:bCs/>
                <w:color w:val="auto"/>
              </w:rPr>
              <w:t xml:space="preserve">Insight: </w:t>
            </w:r>
            <w:r w:rsidRPr="00CD4494">
              <w:rPr>
                <w:color w:val="auto"/>
              </w:rPr>
              <w:t xml:space="preserve">Annual supply shortfalls are expected in the </w:t>
            </w:r>
            <w:r>
              <w:rPr>
                <w:color w:val="auto"/>
              </w:rPr>
              <w:t>e</w:t>
            </w:r>
            <w:r w:rsidRPr="00CD4494">
              <w:rPr>
                <w:color w:val="auto"/>
              </w:rPr>
              <w:t xml:space="preserve">ast </w:t>
            </w:r>
            <w:r>
              <w:rPr>
                <w:color w:val="auto"/>
              </w:rPr>
              <w:t>c</w:t>
            </w:r>
            <w:r w:rsidRPr="00CD4494">
              <w:rPr>
                <w:color w:val="auto"/>
              </w:rPr>
              <w:t xml:space="preserve">oast market by 2028, and </w:t>
            </w:r>
            <w:r>
              <w:rPr>
                <w:color w:val="auto"/>
              </w:rPr>
              <w:t>the annual supply shortfall is expected to continue in the w</w:t>
            </w:r>
            <w:r w:rsidRPr="00CD4494">
              <w:rPr>
                <w:color w:val="auto"/>
              </w:rPr>
              <w:t xml:space="preserve">est </w:t>
            </w:r>
            <w:r>
              <w:rPr>
                <w:color w:val="auto"/>
              </w:rPr>
              <w:t>c</w:t>
            </w:r>
            <w:r w:rsidRPr="00CD4494">
              <w:rPr>
                <w:color w:val="auto"/>
              </w:rPr>
              <w:t>oast market</w:t>
            </w:r>
            <w:r>
              <w:rPr>
                <w:color w:val="auto"/>
              </w:rPr>
              <w:t xml:space="preserve">, increasing from </w:t>
            </w:r>
            <w:r w:rsidRPr="00CD4494">
              <w:rPr>
                <w:color w:val="auto"/>
              </w:rPr>
              <w:t>2030.</w:t>
            </w:r>
            <w:r>
              <w:rPr>
                <w:color w:val="auto"/>
              </w:rPr>
              <w:t xml:space="preserve"> The balance of risks is such that shortages may emerge earlier, particularly at peak times of year.</w:t>
            </w:r>
          </w:p>
        </w:tc>
      </w:tr>
    </w:tbl>
    <w:p w14:paraId="323AC8DD" w14:textId="2E43F5F5" w:rsidR="000862C9" w:rsidRDefault="000862C9" w:rsidP="00723BFF">
      <w:pPr>
        <w:pStyle w:val="Heading2"/>
        <w:numPr>
          <w:ilvl w:val="1"/>
          <w:numId w:val="3"/>
        </w:numPr>
        <w:spacing w:before="120"/>
      </w:pPr>
      <w:bookmarkStart w:id="133" w:name="_Toc172794523"/>
      <w:r>
        <w:t xml:space="preserve">East </w:t>
      </w:r>
      <w:r w:rsidR="008E5712">
        <w:t>c</w:t>
      </w:r>
      <w:r>
        <w:t>oast supply imbalance</w:t>
      </w:r>
      <w:bookmarkEnd w:id="133"/>
    </w:p>
    <w:p w14:paraId="1438860D" w14:textId="0DD3BFCA" w:rsidR="000862C9" w:rsidRDefault="000862C9" w:rsidP="000862C9">
      <w:pPr>
        <w:pStyle w:val="BodyText"/>
      </w:pPr>
      <w:r>
        <w:t xml:space="preserve">A feature of the east coast shortage is the imbalance between southern state demand and production. Between the north and south there is a firm capacity constraint in the network in the </w:t>
      </w:r>
      <w:r w:rsidRPr="002D5EDC">
        <w:t xml:space="preserve">maximum daily </w:t>
      </w:r>
      <w:r>
        <w:t>quantity (MDQ)</w:t>
      </w:r>
      <w:r w:rsidRPr="002D5EDC">
        <w:t xml:space="preserve"> of the </w:t>
      </w:r>
      <w:r w:rsidR="00D24863">
        <w:t>South West Queensland Pipeline (</w:t>
      </w:r>
      <w:r>
        <w:t>SWQP</w:t>
      </w:r>
      <w:r w:rsidR="00D24863">
        <w:t>)</w:t>
      </w:r>
      <w:r w:rsidRPr="002D5EDC">
        <w:t xml:space="preserve"> </w:t>
      </w:r>
      <w:r w:rsidRPr="002D5EDC">
        <w:softHyphen/>
        <w:t xml:space="preserve">— the only pipeline connecting Queensland </w:t>
      </w:r>
      <w:r>
        <w:t>to the southern states</w:t>
      </w:r>
      <w:r w:rsidRPr="002D5EDC">
        <w:t xml:space="preserve"> — </w:t>
      </w:r>
      <w:r w:rsidR="00B36F30">
        <w:t>of</w:t>
      </w:r>
      <w:r>
        <w:t xml:space="preserve"> 512</w:t>
      </w:r>
      <w:r w:rsidRPr="002D5EDC">
        <w:t xml:space="preserve"> TJ/d</w:t>
      </w:r>
      <w:r w:rsidR="001B50F3">
        <w:t>ay</w:t>
      </w:r>
      <w:r w:rsidRPr="002D5EDC">
        <w:t>.</w:t>
      </w:r>
    </w:p>
    <w:p w14:paraId="6677043C" w14:textId="4816DD7A" w:rsidR="00494329" w:rsidRDefault="004F2029" w:rsidP="00494329">
      <w:pPr>
        <w:pStyle w:val="BodyText"/>
      </w:pPr>
      <w:r>
        <w:t xml:space="preserve">Based on current projections of supply in the south, annual demand from the south is expected to exceed the annual pipeline capacity of </w:t>
      </w:r>
      <w:r w:rsidR="00B36F30">
        <w:t>the</w:t>
      </w:r>
      <w:r>
        <w:t xml:space="preserve"> SWQP by around 40–140 PJ especially from 2028 onwards</w:t>
      </w:r>
      <w:r w:rsidRPr="00433C2E">
        <w:t>.</w:t>
      </w:r>
      <w:r>
        <w:t xml:space="preserve"> However, s</w:t>
      </w:r>
      <w:r w:rsidRPr="00595483">
        <w:t>outhern peak day shor</w:t>
      </w:r>
      <w:r>
        <w:t>t</w:t>
      </w:r>
      <w:r w:rsidRPr="00595483">
        <w:t xml:space="preserve">falls </w:t>
      </w:r>
      <w:r>
        <w:t xml:space="preserve">during winter </w:t>
      </w:r>
      <w:r w:rsidRPr="00595483">
        <w:t xml:space="preserve">are </w:t>
      </w:r>
      <w:r>
        <w:t>expected to exceed the pipeline capacity increasingly from 2026. On these days high</w:t>
      </w:r>
      <w:r w:rsidRPr="00595483">
        <w:t xml:space="preserve"> demand for </w:t>
      </w:r>
      <w:r w:rsidR="008D1436">
        <w:t>gas-powered generation (</w:t>
      </w:r>
      <w:r w:rsidRPr="00595483">
        <w:t>GPG</w:t>
      </w:r>
      <w:r w:rsidR="008D1436">
        <w:t>)</w:t>
      </w:r>
      <w:r w:rsidRPr="00595483">
        <w:t xml:space="preserve"> coincides with substantial residential, commercial, and industrial demand, as cold weather drives up both GPG and residential consumption</w:t>
      </w:r>
      <w:r>
        <w:t>.</w:t>
      </w:r>
      <w:r w:rsidRPr="00675788">
        <w:t xml:space="preserve"> </w:t>
      </w:r>
      <w:r w:rsidRPr="00FF67CB">
        <w:t xml:space="preserve">Peak day shortfalls occur when southern demand on a given day (coloured blue on Figure </w:t>
      </w:r>
      <w:r>
        <w:t>5</w:t>
      </w:r>
      <w:r w:rsidRPr="00FF67CB">
        <w:t>.</w:t>
      </w:r>
      <w:r>
        <w:t>4</w:t>
      </w:r>
      <w:r w:rsidRPr="00FF67CB">
        <w:t xml:space="preserve">) is greater than the collective ability of southern production, </w:t>
      </w:r>
      <w:r>
        <w:t>transportation</w:t>
      </w:r>
      <w:r w:rsidRPr="00FF67CB">
        <w:t>, and storage facilities to meet that demand on that day (</w:t>
      </w:r>
      <w:r w:rsidR="00666C26">
        <w:t xml:space="preserve">solid </w:t>
      </w:r>
      <w:r w:rsidR="008A40DC">
        <w:t>lilac</w:t>
      </w:r>
      <w:r w:rsidRPr="00FF67CB">
        <w:t xml:space="preserve"> line).</w:t>
      </w:r>
      <w:r w:rsidR="00494329" w:rsidRPr="00494329">
        <w:t xml:space="preserve"> </w:t>
      </w:r>
      <w:r w:rsidR="00494329" w:rsidRPr="002D5EDC">
        <w:t xml:space="preserve">As such, </w:t>
      </w:r>
      <w:r w:rsidR="00494329">
        <w:t>excess</w:t>
      </w:r>
      <w:r w:rsidR="00494329" w:rsidRPr="002D5EDC">
        <w:t xml:space="preserve"> Queensland gas will not be able to address </w:t>
      </w:r>
      <w:r w:rsidR="00494329">
        <w:t>south-eastern shortfalls without additional transport capacity. This also highlights the critical role of s</w:t>
      </w:r>
      <w:r w:rsidR="00494329" w:rsidRPr="005656F5">
        <w:t xml:space="preserve">outhern storage </w:t>
      </w:r>
      <w:r w:rsidR="00494329">
        <w:t>in</w:t>
      </w:r>
      <w:r w:rsidR="00494329" w:rsidRPr="005656F5">
        <w:t xml:space="preserve"> address</w:t>
      </w:r>
      <w:r w:rsidR="00494329">
        <w:t>ing the</w:t>
      </w:r>
      <w:r w:rsidR="00494329" w:rsidRPr="005656F5">
        <w:t xml:space="preserve"> peak day shortfalls</w:t>
      </w:r>
      <w:r w:rsidR="00494329">
        <w:t>.</w:t>
      </w:r>
    </w:p>
    <w:p w14:paraId="22CF9746" w14:textId="7D7F6B8A" w:rsidR="00150C16" w:rsidRDefault="00EC7EC7" w:rsidP="00C97679">
      <w:pPr>
        <w:pStyle w:val="Caption"/>
      </w:pPr>
      <w:r>
        <w:t xml:space="preserve">Figure </w:t>
      </w:r>
      <w:r w:rsidR="00341B3B">
        <w:fldChar w:fldCharType="begin"/>
      </w:r>
      <w:r w:rsidR="00341B3B">
        <w:instrText xml:space="preserve"> STYLEREF 1 \s </w:instrText>
      </w:r>
      <w:r w:rsidR="00341B3B">
        <w:fldChar w:fldCharType="separate"/>
      </w:r>
      <w:r w:rsidR="00BF178A">
        <w:rPr>
          <w:noProof/>
        </w:rPr>
        <w:t>5</w:t>
      </w:r>
      <w:r w:rsidR="00341B3B">
        <w:rPr>
          <w:noProof/>
        </w:rPr>
        <w:fldChar w:fldCharType="end"/>
      </w:r>
      <w:r w:rsidR="00150C16">
        <w:t>.</w:t>
      </w:r>
      <w:r w:rsidR="00341B3B">
        <w:fldChar w:fldCharType="begin"/>
      </w:r>
      <w:r w:rsidR="00341B3B">
        <w:instrText xml:space="preserve"> SEQ Figure \* ARABIC \s 1 </w:instrText>
      </w:r>
      <w:r w:rsidR="00341B3B">
        <w:fldChar w:fldCharType="separate"/>
      </w:r>
      <w:r w:rsidR="00BF178A">
        <w:rPr>
          <w:noProof/>
        </w:rPr>
        <w:t>1</w:t>
      </w:r>
      <w:r w:rsidR="00341B3B">
        <w:rPr>
          <w:noProof/>
        </w:rPr>
        <w:fldChar w:fldCharType="end"/>
      </w:r>
      <w:r w:rsidR="00150C16">
        <w:t>: East coast gas supply and demand outlook, 2025 to 2035</w:t>
      </w:r>
    </w:p>
    <w:p w14:paraId="7F259874" w14:textId="44EB212C" w:rsidR="00EC7EC7" w:rsidRDefault="000220BF" w:rsidP="00EC7EC7">
      <w:pPr>
        <w:pStyle w:val="Note"/>
      </w:pPr>
      <w:r>
        <w:rPr>
          <w:noProof/>
        </w:rPr>
        <w:drawing>
          <wp:inline distT="0" distB="0" distL="0" distR="0" wp14:anchorId="433B8B6C" wp14:editId="53318FCE">
            <wp:extent cx="4206875" cy="1838325"/>
            <wp:effectExtent l="0" t="0" r="3175" b="3810"/>
            <wp:docPr id="25" name="Chart 25" descr="The figure presents the annual gas supply and demand outlook for the East coast from 2025 to 2035, in PJs. It reveals a slight decrease in annual gas demand, from approximately 1,900 PJ/year in 2025 to around 1,800 PJ/year in 2035. However, the supply is projected to decline significantly, from roughly 1,800 PJ/year to about 1,100 PJ/year within the same timeframe. It shows a major annual gas supply gap is expected to emerge by 2028 on the east coast and the annual imbalance is expected to grow over time.">
              <a:extLst xmlns:a="http://schemas.openxmlformats.org/drawingml/2006/main">
                <a:ext uri="{FF2B5EF4-FFF2-40B4-BE49-F238E27FC236}">
                  <a16:creationId xmlns:a16="http://schemas.microsoft.com/office/drawing/2014/main" id="{DEA0B569-DC19-4105-9096-0FA7D4F90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0569AA4" w14:textId="06197D33" w:rsidR="00EC7EC7" w:rsidRPr="00640CB5" w:rsidRDefault="00EC7EC7" w:rsidP="009C0AC5">
      <w:pPr>
        <w:pStyle w:val="Source"/>
      </w:pPr>
      <w:r w:rsidRPr="00640CB5">
        <w:t xml:space="preserve">Notes: </w:t>
      </w:r>
      <w:bookmarkStart w:id="134" w:name="_Hlk158800735"/>
      <w:r w:rsidRPr="00640CB5">
        <w:t xml:space="preserve">Forecast supply </w:t>
      </w:r>
      <w:r>
        <w:t>and export demand are</w:t>
      </w:r>
      <w:r w:rsidRPr="00640CB5">
        <w:t xml:space="preserve"> based on aggregate information provided by gas producers to the ACCC as of </w:t>
      </w:r>
      <w:r>
        <w:t>September</w:t>
      </w:r>
      <w:r w:rsidRPr="00640CB5">
        <w:t xml:space="preserve"> 202</w:t>
      </w:r>
      <w:r>
        <w:t>3</w:t>
      </w:r>
      <w:r w:rsidRPr="00640CB5">
        <w:t xml:space="preserve">. </w:t>
      </w:r>
      <w:r w:rsidR="00001697">
        <w:t>D</w:t>
      </w:r>
      <w:r w:rsidRPr="00640CB5">
        <w:t xml:space="preserve">emand </w:t>
      </w:r>
      <w:r>
        <w:t xml:space="preserve">is </w:t>
      </w:r>
      <w:r w:rsidR="0000320E">
        <w:t>based on the</w:t>
      </w:r>
      <w:r>
        <w:t xml:space="preserve"> medium ambition </w:t>
      </w:r>
      <w:r w:rsidRPr="00667191">
        <w:t>Step Chang</w:t>
      </w:r>
      <w:r>
        <w:t>e scenario</w:t>
      </w:r>
      <w:r w:rsidR="0000320E">
        <w:t>.</w:t>
      </w:r>
      <w:r>
        <w:t xml:space="preserve"> </w:t>
      </w:r>
      <w:bookmarkEnd w:id="134"/>
      <w:r w:rsidR="006448D5">
        <w:t xml:space="preserve">The forecast </w:t>
      </w:r>
      <w:r w:rsidR="00E11042">
        <w:t>supply</w:t>
      </w:r>
      <w:r w:rsidR="006448D5">
        <w:t xml:space="preserve"> </w:t>
      </w:r>
      <w:r w:rsidR="00E11042">
        <w:t xml:space="preserve">includes a </w:t>
      </w:r>
      <w:r w:rsidR="00721312">
        <w:t>portion</w:t>
      </w:r>
      <w:r w:rsidR="00E11042">
        <w:t xml:space="preserve"> of</w:t>
      </w:r>
      <w:r w:rsidR="006448D5">
        <w:t xml:space="preserve"> additional gas commitments made by gas producers under the </w:t>
      </w:r>
      <w:r w:rsidR="0020044E">
        <w:t>c</w:t>
      </w:r>
      <w:r w:rsidR="006448D5">
        <w:t>ode.</w:t>
      </w:r>
    </w:p>
    <w:p w14:paraId="75777332" w14:textId="5F05E66E" w:rsidR="00EC7EC7" w:rsidRDefault="00EC7EC7" w:rsidP="009C0AC5">
      <w:pPr>
        <w:pStyle w:val="Source"/>
      </w:pPr>
      <w:r w:rsidRPr="00640CB5">
        <w:t>Source: ACCC (2023)</w:t>
      </w:r>
      <w:r w:rsidR="0030075C">
        <w:t>;</w:t>
      </w:r>
      <w:r w:rsidRPr="00640CB5">
        <w:t xml:space="preserve"> AEMO (202</w:t>
      </w:r>
      <w:r w:rsidR="00001697">
        <w:t>4</w:t>
      </w:r>
      <w:r w:rsidR="00F86FFE">
        <w:t>b</w:t>
      </w:r>
      <w:r w:rsidRPr="00640CB5">
        <w:t>)</w:t>
      </w:r>
    </w:p>
    <w:p w14:paraId="662B59E0" w14:textId="76F43652" w:rsidR="00150C16" w:rsidRDefault="00EC7EC7"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5</w:t>
      </w:r>
      <w:r>
        <w:rPr>
          <w:noProof/>
        </w:rPr>
        <w:fldChar w:fldCharType="end"/>
      </w:r>
      <w:r w:rsidR="00150C16">
        <w:t>.</w:t>
      </w:r>
      <w:r w:rsidR="00341B3B">
        <w:fldChar w:fldCharType="begin"/>
      </w:r>
      <w:r w:rsidR="00341B3B">
        <w:instrText xml:space="preserve"> SEQ Figure \* ARABIC \s 1 </w:instrText>
      </w:r>
      <w:r w:rsidR="00341B3B">
        <w:fldChar w:fldCharType="separate"/>
      </w:r>
      <w:r w:rsidR="00BF178A">
        <w:rPr>
          <w:noProof/>
        </w:rPr>
        <w:t>2</w:t>
      </w:r>
      <w:r w:rsidR="00341B3B">
        <w:rPr>
          <w:noProof/>
        </w:rPr>
        <w:fldChar w:fldCharType="end"/>
      </w:r>
      <w:r w:rsidR="00150C16">
        <w:t>: West coast gas supply and demand outlook, 2023 to 2033</w:t>
      </w:r>
    </w:p>
    <w:p w14:paraId="3272AA2C" w14:textId="4EB6CAAC" w:rsidR="00EC7EC7" w:rsidRDefault="00817883" w:rsidP="00EC7EC7">
      <w:pPr>
        <w:pStyle w:val="Note"/>
      </w:pPr>
      <w:r>
        <w:rPr>
          <w:noProof/>
        </w:rPr>
        <w:drawing>
          <wp:inline distT="0" distB="0" distL="0" distR="0" wp14:anchorId="2B10FF60" wp14:editId="5B2F7655">
            <wp:extent cx="4206875" cy="2865120"/>
            <wp:effectExtent l="0" t="0" r="3175" b="0"/>
            <wp:docPr id="72" name="Chart 72" descr="The figure presents the annual gas supply and demand outlook for the west coast from 2023 to 2033, in PJ. It indicates that the annual demand is projected to exceed the supply from 2024 onwards, with a supply gap expected to persist between 2024 and 2033, the annual imbalance is anticipated to increase significantly from 2030, reaching around 150 PJ in 2033.">
              <a:extLst xmlns:a="http://schemas.openxmlformats.org/drawingml/2006/main">
                <a:ext uri="{FF2B5EF4-FFF2-40B4-BE49-F238E27FC236}">
                  <a16:creationId xmlns:a16="http://schemas.microsoft.com/office/drawing/2014/main" id="{CBB8F7F4-1A02-4E7F-943B-8E9C0FEB3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3F725F6" w14:textId="77777777" w:rsidR="00EC7EC7" w:rsidRPr="00C62F3A" w:rsidRDefault="00EC7EC7" w:rsidP="009C0AC5">
      <w:pPr>
        <w:pStyle w:val="Source"/>
      </w:pPr>
      <w:r>
        <w:t>Notes: Does not account for gas sold as LNG from offshore basins due to data limitation. Both gas supply and demand are based on AEMO’s Expected scenario from WA GSOO (2023).</w:t>
      </w:r>
    </w:p>
    <w:p w14:paraId="6B784640" w14:textId="133CCDEC" w:rsidR="00EC7EC7" w:rsidRPr="00D2614E" w:rsidRDefault="00EC7EC7" w:rsidP="009C0AC5">
      <w:pPr>
        <w:pStyle w:val="Source"/>
      </w:pPr>
      <w:r>
        <w:t xml:space="preserve">Source: AEMO </w:t>
      </w:r>
      <w:r w:rsidR="00442044">
        <w:t>(2023d</w:t>
      </w:r>
      <w:r>
        <w:t>).</w:t>
      </w:r>
    </w:p>
    <w:p w14:paraId="6BCABE02" w14:textId="6C8C0A81" w:rsidR="00817883" w:rsidRDefault="00EC7EC7" w:rsidP="00EC7EC7">
      <w:pPr>
        <w:pStyle w:val="BodyText"/>
      </w:pPr>
      <w:r>
        <w:t xml:space="preserve">Figure </w:t>
      </w:r>
      <w:r w:rsidR="00BD475D">
        <w:t>5</w:t>
      </w:r>
      <w:r>
        <w:t xml:space="preserve">.4 shows that </w:t>
      </w:r>
      <w:r w:rsidR="005D4E87">
        <w:t>s</w:t>
      </w:r>
      <w:r w:rsidRPr="00FF67CB">
        <w:t xml:space="preserve">outhern </w:t>
      </w:r>
      <w:r w:rsidR="00D97CB4">
        <w:t>s</w:t>
      </w:r>
      <w:r w:rsidRPr="00FF67CB">
        <w:t xml:space="preserve">tates are expected to have: a maximum </w:t>
      </w:r>
      <w:r>
        <w:t xml:space="preserve">peak day shortfall </w:t>
      </w:r>
      <w:r w:rsidRPr="00FF67CB">
        <w:t xml:space="preserve">of around </w:t>
      </w:r>
      <w:r w:rsidR="003B581C">
        <w:t>2</w:t>
      </w:r>
      <w:r w:rsidRPr="00FF67CB">
        <w:t>,</w:t>
      </w:r>
      <w:r w:rsidR="003B581C">
        <w:t>0</w:t>
      </w:r>
      <w:r w:rsidRPr="00FF67CB">
        <w:t>00 TJ/d</w:t>
      </w:r>
      <w:r w:rsidR="001B50F3">
        <w:t>ay</w:t>
      </w:r>
      <w:r w:rsidRPr="00FF67CB">
        <w:t xml:space="preserve"> assuming gas is only drawn from </w:t>
      </w:r>
      <w:r w:rsidR="005D4E87">
        <w:t>s</w:t>
      </w:r>
      <w:r w:rsidRPr="00FF67CB">
        <w:t>outhern states’ production (at maximum production)</w:t>
      </w:r>
      <w:r w:rsidR="0030603F">
        <w:t xml:space="preserve"> (AEMO 2024</w:t>
      </w:r>
      <w:r w:rsidR="00F86FFE">
        <w:t>b</w:t>
      </w:r>
      <w:r w:rsidR="0030603F">
        <w:t>)</w:t>
      </w:r>
      <w:r w:rsidRPr="00FF67CB">
        <w:t xml:space="preserve">. This supply gap falls to </w:t>
      </w:r>
      <w:r w:rsidR="00C4771B">
        <w:t>around 800</w:t>
      </w:r>
      <w:r w:rsidRPr="00FF67CB">
        <w:t xml:space="preserve"> TJ/d</w:t>
      </w:r>
      <w:r w:rsidR="001B50F3">
        <w:t>ay</w:t>
      </w:r>
      <w:r w:rsidRPr="00FF67CB">
        <w:t xml:space="preserve"> if SWQP and storage options </w:t>
      </w:r>
      <w:r>
        <w:t>(mainly from Iona, Dandenong</w:t>
      </w:r>
      <w:r w:rsidR="005D6215">
        <w:t>,</w:t>
      </w:r>
      <w:r>
        <w:t xml:space="preserve"> </w:t>
      </w:r>
      <w:r w:rsidR="00F656B1">
        <w:t xml:space="preserve">Golden Beach </w:t>
      </w:r>
      <w:r>
        <w:t>and Newcastle storages),</w:t>
      </w:r>
      <w:r w:rsidR="006317D9">
        <w:rPr>
          <w:rStyle w:val="FootnoteReference"/>
        </w:rPr>
        <w:footnoteReference w:id="12"/>
      </w:r>
      <w:r>
        <w:t xml:space="preserve"> </w:t>
      </w:r>
      <w:r w:rsidRPr="00FF67CB">
        <w:t>are also used.</w:t>
      </w:r>
      <w:r>
        <w:t xml:space="preserve"> Peak day shortfall </w:t>
      </w:r>
      <w:r w:rsidRPr="00B91F62">
        <w:t>will result in increased risk as these actions will likely coincide with very high spot prices, impacting consumers</w:t>
      </w:r>
      <w:r>
        <w:t>.</w:t>
      </w:r>
    </w:p>
    <w:p w14:paraId="5D60494B" w14:textId="0AA756C3" w:rsidR="00494329" w:rsidRDefault="00AE78E8" w:rsidP="00EC7EC7">
      <w:pPr>
        <w:pStyle w:val="BodyText"/>
      </w:pPr>
      <w:r>
        <w:t>However, r</w:t>
      </w:r>
      <w:r w:rsidRPr="00AE78E8">
        <w:t xml:space="preserve">etail gas bills do not </w:t>
      </w:r>
      <w:r w:rsidR="00CE4D4A">
        <w:t>necessarily</w:t>
      </w:r>
      <w:r w:rsidRPr="00AE78E8">
        <w:t xml:space="preserve"> have a direct proportional relationship with </w:t>
      </w:r>
      <w:r w:rsidR="00CE4D4A">
        <w:t xml:space="preserve">wholesale </w:t>
      </w:r>
      <w:r w:rsidRPr="00AE78E8">
        <w:t xml:space="preserve">spot price fluctuations. In Australia, wholesale </w:t>
      </w:r>
      <w:r w:rsidR="00660045">
        <w:t xml:space="preserve">gas </w:t>
      </w:r>
      <w:r w:rsidRPr="00AE78E8">
        <w:t xml:space="preserve">costs generally </w:t>
      </w:r>
      <w:r w:rsidR="00CE4D4A">
        <w:t xml:space="preserve">only </w:t>
      </w:r>
      <w:r w:rsidRPr="00AE78E8">
        <w:t xml:space="preserve">make up around </w:t>
      </w:r>
      <w:r>
        <w:t>27</w:t>
      </w:r>
      <w:r w:rsidRPr="00AE78E8">
        <w:t>% of the retail gas price</w:t>
      </w:r>
      <w:r w:rsidR="00C707AD">
        <w:t xml:space="preserve"> (</w:t>
      </w:r>
      <w:r w:rsidR="001A7DC3">
        <w:t>DISR</w:t>
      </w:r>
      <w:r w:rsidR="00C707AD">
        <w:t xml:space="preserve"> </w:t>
      </w:r>
      <w:r w:rsidR="00C707AD" w:rsidRPr="00C707AD">
        <w:t>2018)</w:t>
      </w:r>
      <w:r w:rsidR="00417357">
        <w:t>.</w:t>
      </w:r>
      <w:r w:rsidRPr="00AE78E8">
        <w:t xml:space="preserve"> </w:t>
      </w:r>
      <w:r>
        <w:t>Also, r</w:t>
      </w:r>
      <w:r w:rsidRPr="00AE78E8">
        <w:t>etailers</w:t>
      </w:r>
      <w:r>
        <w:t xml:space="preserve"> typically </w:t>
      </w:r>
      <w:r w:rsidRPr="00AE78E8">
        <w:t>hedge against spot gas price changes by entering into contracts, which means the effect on retail prices depends on factors such as the retailers' exposure to spot prices, their portfolio structures, and the timing of their contracts</w:t>
      </w:r>
      <w:r w:rsidR="00417357">
        <w:t xml:space="preserve"> (</w:t>
      </w:r>
      <w:r w:rsidR="00417357" w:rsidRPr="00AE78E8">
        <w:t xml:space="preserve">see Chapter 6 for </w:t>
      </w:r>
      <w:r w:rsidR="00417357">
        <w:t>more discussion on gas prices</w:t>
      </w:r>
      <w:r w:rsidR="00417357" w:rsidRPr="00AE78E8">
        <w:t xml:space="preserve">). </w:t>
      </w:r>
    </w:p>
    <w:p w14:paraId="7B56B146" w14:textId="4A0949B9" w:rsidR="00150C16" w:rsidRDefault="00EC7EC7"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5</w:t>
      </w:r>
      <w:r>
        <w:rPr>
          <w:noProof/>
        </w:rPr>
        <w:fldChar w:fldCharType="end"/>
      </w:r>
      <w:r w:rsidR="00150C16">
        <w:t>.</w:t>
      </w:r>
      <w:r w:rsidR="00341B3B">
        <w:fldChar w:fldCharType="begin"/>
      </w:r>
      <w:r w:rsidR="00341B3B">
        <w:instrText xml:space="preserve"> SEQ Figure \* ARABIC \s 1 </w:instrText>
      </w:r>
      <w:r w:rsidR="00341B3B">
        <w:fldChar w:fldCharType="separate"/>
      </w:r>
      <w:r w:rsidR="00BF178A">
        <w:rPr>
          <w:noProof/>
        </w:rPr>
        <w:t>3</w:t>
      </w:r>
      <w:r w:rsidR="00341B3B">
        <w:rPr>
          <w:noProof/>
        </w:rPr>
        <w:fldChar w:fldCharType="end"/>
      </w:r>
      <w:r w:rsidR="00150C16">
        <w:t>: Regional supply outlook, 2025 to 2035</w:t>
      </w:r>
    </w:p>
    <w:p w14:paraId="1DEE48F2" w14:textId="421BDBFB" w:rsidR="00EC7EC7" w:rsidRDefault="008B65C6" w:rsidP="00EC7EC7">
      <w:pPr>
        <w:pStyle w:val="Note"/>
      </w:pPr>
      <w:r>
        <w:rPr>
          <w:noProof/>
        </w:rPr>
        <w:drawing>
          <wp:inline distT="0" distB="0" distL="0" distR="0" wp14:anchorId="5F59785C" wp14:editId="7C27C433">
            <wp:extent cx="4133850" cy="2762250"/>
            <wp:effectExtent l="0" t="0" r="0" b="0"/>
            <wp:docPr id="401486790" name="Chart 1" descr="This figure shows the supply outlook for both southern states and Queensland regions, from 2025 to 2035, in PJ. It indicates that the southern states are expected to experience a gas supply shortfall from 2026 onwards without additional supply from Queensland, based on their 2P gas reserves. Queensland is projected to face a shortfall from 2029. If the gas shortfall in the southern states can be mitigated by supplies from Queensland, an overall gas shortfall on the East Coast is anticipated from 2028 onwards.">
              <a:extLst xmlns:a="http://schemas.openxmlformats.org/drawingml/2006/main">
                <a:ext uri="{FF2B5EF4-FFF2-40B4-BE49-F238E27FC236}">
                  <a16:creationId xmlns:a16="http://schemas.microsoft.com/office/drawing/2014/main" id="{7C6463CB-5D65-43B9-8C80-9B78F5987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9712588" w14:textId="05C2879B" w:rsidR="00EC7EC7" w:rsidRPr="00C62F3A" w:rsidRDefault="00EC7EC7" w:rsidP="007A5388">
      <w:pPr>
        <w:pStyle w:val="Source"/>
      </w:pPr>
      <w:r>
        <w:t xml:space="preserve">Notes: </w:t>
      </w:r>
      <w:r w:rsidRPr="000B322F">
        <w:t xml:space="preserve">Forecast supply </w:t>
      </w:r>
      <w:r w:rsidR="00690323">
        <w:t xml:space="preserve">and Queensland’s demand </w:t>
      </w:r>
      <w:r w:rsidRPr="000B322F">
        <w:t xml:space="preserve">are based on information provided by gas producers to the ACCC as of September 2023. </w:t>
      </w:r>
      <w:r>
        <w:t>Southern states</w:t>
      </w:r>
      <w:r w:rsidRPr="000B322F">
        <w:t xml:space="preserve"> demand is from AEMO’s GSOO </w:t>
      </w:r>
      <w:r w:rsidR="008B65C6" w:rsidRPr="000B322F">
        <w:t>202</w:t>
      </w:r>
      <w:r w:rsidR="008B65C6">
        <w:t>4</w:t>
      </w:r>
      <w:r w:rsidR="008B65C6" w:rsidRPr="000B322F">
        <w:t xml:space="preserve"> </w:t>
      </w:r>
      <w:r w:rsidRPr="000B322F">
        <w:t>(The medium ambition Step Change scenario).</w:t>
      </w:r>
    </w:p>
    <w:p w14:paraId="64B9C665" w14:textId="303E8849" w:rsidR="00EC7EC7" w:rsidRDefault="00EC7EC7" w:rsidP="008F6BCB">
      <w:pPr>
        <w:pStyle w:val="Source"/>
        <w:spacing w:after="120"/>
      </w:pPr>
      <w:r>
        <w:t>Source: ACCC (2023)</w:t>
      </w:r>
      <w:r w:rsidR="00C669E9">
        <w:t>;</w:t>
      </w:r>
      <w:r w:rsidR="00190D57">
        <w:t xml:space="preserve"> AEMO (2024</w:t>
      </w:r>
      <w:r w:rsidR="00F86FFE">
        <w:t>b</w:t>
      </w:r>
      <w:r w:rsidR="00190D57">
        <w:t>)</w:t>
      </w:r>
    </w:p>
    <w:tbl>
      <w:tblPr>
        <w:tblStyle w:val="OCETable"/>
        <w:tblW w:w="0" w:type="auto"/>
        <w:tblLook w:val="04A0" w:firstRow="1" w:lastRow="0" w:firstColumn="1" w:lastColumn="0" w:noHBand="0" w:noVBand="1"/>
      </w:tblPr>
      <w:tblGrid>
        <w:gridCol w:w="6625"/>
      </w:tblGrid>
      <w:tr w:rsidR="00150C16" w14:paraId="1313DD0B" w14:textId="77777777" w:rsidTr="00150C16">
        <w:trPr>
          <w:cnfStyle w:val="100000000000" w:firstRow="1" w:lastRow="0" w:firstColumn="0" w:lastColumn="0" w:oddVBand="0" w:evenVBand="0" w:oddHBand="0" w:evenHBand="0" w:firstRowFirstColumn="0" w:firstRowLastColumn="0" w:lastRowFirstColumn="0" w:lastRowLastColumn="0"/>
        </w:trPr>
        <w:tc>
          <w:tcPr>
            <w:tcW w:w="6625" w:type="dxa"/>
            <w:shd w:val="clear" w:color="auto" w:fill="F1CFCF"/>
          </w:tcPr>
          <w:p w14:paraId="35798C9B" w14:textId="52869593" w:rsidR="00150C16" w:rsidRDefault="00150C16" w:rsidP="00643943">
            <w:pPr>
              <w:pStyle w:val="Boxtext"/>
              <w:spacing w:beforeLines="60" w:before="144" w:afterLines="60" w:after="144"/>
              <w:ind w:left="113" w:right="113"/>
              <w:jc w:val="both"/>
            </w:pPr>
            <w:r w:rsidRPr="00643943">
              <w:rPr>
                <w:b/>
                <w:bCs/>
                <w:color w:val="auto"/>
              </w:rPr>
              <w:t>Insight:</w:t>
            </w:r>
            <w:r w:rsidRPr="00643943">
              <w:rPr>
                <w:color w:val="auto"/>
              </w:rPr>
              <w:t xml:space="preserve"> Capacity constraints in the east coast distribution network mean that a shortage will emerge for southern states from 2028 regardless of additional supply from northern gas fields.</w:t>
            </w:r>
          </w:p>
        </w:tc>
      </w:tr>
    </w:tbl>
    <w:p w14:paraId="269AC869" w14:textId="4522E763" w:rsidR="00150C16" w:rsidRDefault="00150C16" w:rsidP="00C97679">
      <w:pPr>
        <w:pStyle w:val="Caption"/>
      </w:pPr>
      <w:r>
        <w:t xml:space="preserve">Figure </w:t>
      </w:r>
      <w:r w:rsidR="00341B3B">
        <w:fldChar w:fldCharType="begin"/>
      </w:r>
      <w:r w:rsidR="00341B3B">
        <w:instrText xml:space="preserve"> STYLEREF 1 \s </w:instrText>
      </w:r>
      <w:r w:rsidR="00341B3B">
        <w:fldChar w:fldCharType="separate"/>
      </w:r>
      <w:r w:rsidR="00BF178A">
        <w:rPr>
          <w:noProof/>
        </w:rPr>
        <w:t>5</w:t>
      </w:r>
      <w:r w:rsidR="00341B3B">
        <w:rPr>
          <w:noProof/>
        </w:rPr>
        <w:fldChar w:fldCharType="end"/>
      </w:r>
      <w:r>
        <w:t>.</w:t>
      </w:r>
      <w:r w:rsidR="00341B3B">
        <w:fldChar w:fldCharType="begin"/>
      </w:r>
      <w:r w:rsidR="00341B3B">
        <w:instrText xml:space="preserve"> SEQ Figure \* ARABIC \s 1 </w:instrText>
      </w:r>
      <w:r w:rsidR="00341B3B">
        <w:fldChar w:fldCharType="separate"/>
      </w:r>
      <w:r w:rsidR="00BF178A">
        <w:rPr>
          <w:noProof/>
        </w:rPr>
        <w:t>4</w:t>
      </w:r>
      <w:r w:rsidR="00341B3B">
        <w:rPr>
          <w:noProof/>
        </w:rPr>
        <w:fldChar w:fldCharType="end"/>
      </w:r>
      <w:r>
        <w:t>: Forecast daily southern supply shortfalls, 2024 to 2028</w:t>
      </w:r>
    </w:p>
    <w:p w14:paraId="04CA0F57" w14:textId="4B630D7C" w:rsidR="00150C16" w:rsidRPr="00150C16" w:rsidRDefault="00817883" w:rsidP="00150C16">
      <w:pPr>
        <w:pStyle w:val="Source"/>
      </w:pPr>
      <w:r>
        <w:rPr>
          <w:noProof/>
        </w:rPr>
        <w:drawing>
          <wp:inline distT="0" distB="0" distL="0" distR="0" wp14:anchorId="2125AC17" wp14:editId="42324997">
            <wp:extent cx="4206875" cy="4267200"/>
            <wp:effectExtent l="0" t="0" r="3175" b="0"/>
            <wp:docPr id="73" name="Chart 73" descr="This figure shows the forecast daily gas supply shortfalls in southern states, from 2024 to 2028, in TJ/d. It shows that southern states are expected to have significant peak day shortfalls from 2026 onwards (around 500 TJ/d), where the winter peak day demand surpasses the maximum production capacity of the southern states, the South West Queensland Pipeline (SWQP), and all deep and shallow storage capabilities.">
              <a:extLst xmlns:a="http://schemas.openxmlformats.org/drawingml/2006/main">
                <a:ext uri="{FF2B5EF4-FFF2-40B4-BE49-F238E27FC236}">
                  <a16:creationId xmlns:a16="http://schemas.microsoft.com/office/drawing/2014/main" id="{32D67F68-3F7C-45D9-B4AB-CBD439AED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150C16" w:rsidRPr="007A5388">
        <w:t>Source: AEMO (2024</w:t>
      </w:r>
      <w:r w:rsidR="00F86FFE">
        <w:t>b</w:t>
      </w:r>
      <w:r w:rsidR="00150C16" w:rsidRPr="007A5388">
        <w:t>)</w:t>
      </w:r>
    </w:p>
    <w:p w14:paraId="29B1877D" w14:textId="019FAD49" w:rsidR="00EC7EC7" w:rsidRDefault="00EC7EC7" w:rsidP="00EC7EC7">
      <w:pPr>
        <w:pStyle w:val="Heading3"/>
      </w:pPr>
      <w:r>
        <w:t xml:space="preserve">Impact of the Code of Conduct on </w:t>
      </w:r>
      <w:r w:rsidR="00162B2E">
        <w:t>east c</w:t>
      </w:r>
      <w:r>
        <w:t>oast supplies</w:t>
      </w:r>
    </w:p>
    <w:p w14:paraId="1AA7995C" w14:textId="1C55CFDE" w:rsidR="00EC7EC7" w:rsidRPr="00DF2C52" w:rsidRDefault="00EC7EC7" w:rsidP="00EC7EC7">
      <w:pPr>
        <w:pStyle w:val="BodyText"/>
      </w:pPr>
      <w:r>
        <w:t xml:space="preserve">The Australian Government introduced the Gas Market Code (the </w:t>
      </w:r>
      <w:r w:rsidR="0020044E">
        <w:t>c</w:t>
      </w:r>
      <w:r>
        <w:t xml:space="preserve">ode) as part of the Energy Price Relief Plan announced in December 2022. This measure was introduced to ensure east coast gas users can contract for gas at reasonable prices and on reasonable terms. Key elements of the </w:t>
      </w:r>
      <w:r w:rsidR="0020044E">
        <w:t>c</w:t>
      </w:r>
      <w:r>
        <w:t xml:space="preserve">ode relevant to the supply and price of gas for the domestic market include: </w:t>
      </w:r>
    </w:p>
    <w:p w14:paraId="2AB314D2" w14:textId="77777777" w:rsidR="00EC7EC7" w:rsidRDefault="00EC7EC7" w:rsidP="0000320E">
      <w:pPr>
        <w:pStyle w:val="ListBullet2"/>
      </w:pPr>
      <w:r>
        <w:t xml:space="preserve">a price cap, set at $12/GJ to anchor wholesale contract negotiations between gas producers and buyers. </w:t>
      </w:r>
    </w:p>
    <w:p w14:paraId="3332912F" w14:textId="77777777" w:rsidR="00EC7EC7" w:rsidRDefault="00EC7EC7" w:rsidP="0000320E">
      <w:pPr>
        <w:pStyle w:val="ListBullet2"/>
      </w:pPr>
      <w:r>
        <w:t>an exemptions framework to incentivise producers to commit additional supply in the short term and facilitate new investment in the medium term to support access to gas at reasonable prices and on reasonable terms.</w:t>
      </w:r>
    </w:p>
    <w:p w14:paraId="35F88A32" w14:textId="5842D6BC" w:rsidR="00EC7EC7" w:rsidRDefault="00EC7EC7" w:rsidP="00723BFF">
      <w:pPr>
        <w:pStyle w:val="BodyText"/>
        <w:spacing w:before="120"/>
      </w:pPr>
      <w:r>
        <w:t xml:space="preserve">Exemptions under the </w:t>
      </w:r>
      <w:r w:rsidR="0020044E">
        <w:t>c</w:t>
      </w:r>
      <w:r>
        <w:t xml:space="preserve">ode include an exemption from the pricing requirements of the </w:t>
      </w:r>
      <w:r w:rsidR="0020044E">
        <w:t>c</w:t>
      </w:r>
      <w:r>
        <w:t>ode, subject to conditions that support the supply of reasonably priced gas to the domestic market.</w:t>
      </w:r>
    </w:p>
    <w:p w14:paraId="1ADA7D01" w14:textId="60748BF1" w:rsidR="00EC7EC7" w:rsidRDefault="00EC7EC7" w:rsidP="00EC7EC7">
      <w:pPr>
        <w:pStyle w:val="BodyText"/>
      </w:pPr>
      <w:r>
        <w:t xml:space="preserve">As of </w:t>
      </w:r>
      <w:r w:rsidR="007104AE">
        <w:t>30 April</w:t>
      </w:r>
      <w:r>
        <w:t xml:space="preserve"> 2024, four Ministerial exemptions have been granted under the </w:t>
      </w:r>
      <w:r w:rsidR="0020044E">
        <w:t>c</w:t>
      </w:r>
      <w:r>
        <w:t xml:space="preserve">ode. Australian Government analysis suggests that this totals 564 PJ in supply and investment commitments have been made by producers between 2024 and 2033. Further exemptions under the </w:t>
      </w:r>
      <w:r w:rsidR="0020044E">
        <w:t>c</w:t>
      </w:r>
      <w:r>
        <w:t>ode would reduce the projected shortfall in the east coast.</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C7EC7" w14:paraId="7E30A048" w14:textId="77777777" w:rsidTr="00150C16">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4AFA44DD" w14:textId="722990B0" w:rsidR="00EC7EC7" w:rsidRPr="00401289" w:rsidRDefault="00EC7EC7" w:rsidP="00C50D71">
            <w:pPr>
              <w:pStyle w:val="Boxtext"/>
              <w:spacing w:beforeLines="60" w:before="144" w:afterLines="60" w:after="144"/>
              <w:ind w:left="113" w:right="113"/>
              <w:jc w:val="both"/>
              <w:rPr>
                <w:color w:val="auto"/>
              </w:rPr>
            </w:pPr>
            <w:r w:rsidRPr="005458FA">
              <w:rPr>
                <w:b/>
                <w:bCs/>
                <w:color w:val="auto"/>
              </w:rPr>
              <w:t xml:space="preserve">Insight: </w:t>
            </w:r>
            <w:r w:rsidRPr="00CD4494">
              <w:rPr>
                <w:color w:val="auto"/>
              </w:rPr>
              <w:t xml:space="preserve">The </w:t>
            </w:r>
            <w:r w:rsidR="0020044E">
              <w:rPr>
                <w:color w:val="auto"/>
              </w:rPr>
              <w:t>c</w:t>
            </w:r>
            <w:r w:rsidRPr="00CD4494">
              <w:rPr>
                <w:color w:val="auto"/>
              </w:rPr>
              <w:t xml:space="preserve">ode </w:t>
            </w:r>
            <w:r w:rsidR="008454B5">
              <w:rPr>
                <w:color w:val="auto"/>
              </w:rPr>
              <w:t>is</w:t>
            </w:r>
            <w:r w:rsidR="00AE6792" w:rsidRPr="00AE6792">
              <w:rPr>
                <w:color w:val="auto"/>
              </w:rPr>
              <w:t xml:space="preserve"> expected to reduce the shortfall volumes going forward.</w:t>
            </w:r>
            <w:r w:rsidR="006D6770">
              <w:rPr>
                <w:color w:val="auto"/>
              </w:rPr>
              <w:t xml:space="preserve"> </w:t>
            </w:r>
          </w:p>
        </w:tc>
      </w:tr>
    </w:tbl>
    <w:p w14:paraId="78691AA1" w14:textId="737E6814" w:rsidR="00EC7EC7" w:rsidRDefault="00EC7EC7" w:rsidP="00EC7EC7">
      <w:pPr>
        <w:pStyle w:val="Source"/>
        <w:rPr>
          <w:lang w:eastAsia="en-AU"/>
        </w:rPr>
      </w:pPr>
    </w:p>
    <w:p w14:paraId="1DE08494" w14:textId="7A37AF67" w:rsidR="000862C9" w:rsidRDefault="000862C9" w:rsidP="00EC7EC7">
      <w:pPr>
        <w:pStyle w:val="Heading2"/>
        <w:numPr>
          <w:ilvl w:val="1"/>
          <w:numId w:val="3"/>
        </w:numPr>
      </w:pPr>
      <w:bookmarkStart w:id="135" w:name="_Toc172794524"/>
      <w:r>
        <w:t xml:space="preserve">West </w:t>
      </w:r>
      <w:r w:rsidR="00BA249A">
        <w:t>c</w:t>
      </w:r>
      <w:r>
        <w:t>oast supply imbalance</w:t>
      </w:r>
      <w:bookmarkEnd w:id="135"/>
    </w:p>
    <w:p w14:paraId="0455DC68" w14:textId="77777777" w:rsidR="000862C9" w:rsidRDefault="000862C9" w:rsidP="000862C9">
      <w:pPr>
        <w:pStyle w:val="BodyText"/>
      </w:pPr>
      <w:r>
        <w:t xml:space="preserve">In the west coast, the current gas supply gap </w:t>
      </w:r>
      <w:r w:rsidRPr="001E1493">
        <w:t xml:space="preserve">is expected to </w:t>
      </w:r>
      <w:r>
        <w:t xml:space="preserve">remain </w:t>
      </w:r>
      <w:r w:rsidRPr="001E1493">
        <w:t>until 2030 (</w:t>
      </w:r>
      <w:r>
        <w:t xml:space="preserve">which relies on </w:t>
      </w:r>
      <w:r w:rsidRPr="001E1493">
        <w:t xml:space="preserve">gas storage </w:t>
      </w:r>
      <w:r>
        <w:t xml:space="preserve">to continue filling </w:t>
      </w:r>
      <w:r w:rsidRPr="001E1493">
        <w:t>short term gaps</w:t>
      </w:r>
      <w:r>
        <w:t>). Potential supply from committed and expected projects is expected to be up to 11% below forecast demand.</w:t>
      </w:r>
      <w:r w:rsidDel="002F7616">
        <w:t xml:space="preserve"> </w:t>
      </w:r>
      <w:r>
        <w:t xml:space="preserve">From 2030, the </w:t>
      </w:r>
      <w:r w:rsidRPr="00DF716C">
        <w:t xml:space="preserve">annual imbalance </w:t>
      </w:r>
      <w:r>
        <w:t>is expected to grow substantially due to the increase in GPG demand (Figure 5.2).</w:t>
      </w:r>
    </w:p>
    <w:p w14:paraId="6CF5279E" w14:textId="77777777" w:rsidR="000862C9" w:rsidRDefault="000862C9" w:rsidP="000862C9">
      <w:pPr>
        <w:pStyle w:val="BodyText"/>
      </w:pPr>
      <w:r>
        <w:t>Western Australia relies on a small number of large projects some of which are in decline.</w:t>
      </w:r>
      <w:r w:rsidRPr="00A639C4">
        <w:t xml:space="preserve"> </w:t>
      </w:r>
      <w:r>
        <w:t xml:space="preserve">The demand and supply balance in Western Australia is tightening due to delays in project development and changing demand patterns. Pricing may be put under pressure as the market tightens. </w:t>
      </w:r>
    </w:p>
    <w:p w14:paraId="2DB7D0FD" w14:textId="77777777" w:rsidR="000862C9" w:rsidRDefault="000862C9" w:rsidP="000862C9">
      <w:pPr>
        <w:pStyle w:val="BodyText"/>
      </w:pPr>
      <w:r>
        <w:t>Demand proving lower than expected may also reduce the shortage. The decision by Alcoa to close the Kwinana Alumina Refinery (a large industrial user) will also help delay the expected shortfall beyond current forecasts.</w:t>
      </w:r>
    </w:p>
    <w:p w14:paraId="4BA32A22" w14:textId="77777777" w:rsidR="000862C9" w:rsidRDefault="000862C9" w:rsidP="000862C9">
      <w:pPr>
        <w:pStyle w:val="BodyText"/>
      </w:pPr>
      <w:r>
        <w:t>Demand remains uncertain.</w:t>
      </w:r>
      <w:r w:rsidRPr="00C353DA">
        <w:t xml:space="preserve"> </w:t>
      </w:r>
      <w:r>
        <w:t>D</w:t>
      </w:r>
      <w:r w:rsidRPr="00C353DA">
        <w:t xml:space="preserve">emand picks up in 2028 </w:t>
      </w:r>
      <w:r>
        <w:t xml:space="preserve">as the </w:t>
      </w:r>
      <w:r w:rsidRPr="00C353DA">
        <w:t xml:space="preserve">Perdaman Karratha Urea </w:t>
      </w:r>
      <w:r>
        <w:t>P</w:t>
      </w:r>
      <w:r w:rsidRPr="00C353DA">
        <w:t>roject begins production and grows again with coal</w:t>
      </w:r>
      <w:r>
        <w:t>-</w:t>
      </w:r>
      <w:r w:rsidRPr="00C353DA">
        <w:t>fired generation retirements. The timing of the Woodside’s H2Perth hydrogen project also creates uncertainty in terms of future demand.</w:t>
      </w:r>
    </w:p>
    <w:p w14:paraId="07D3340B" w14:textId="2BC2DF7D" w:rsidR="00C026F4" w:rsidRDefault="000862C9" w:rsidP="00C026F4">
      <w:pPr>
        <w:pStyle w:val="BodyText"/>
      </w:pPr>
      <w:r>
        <w:t>The timing of lithium downstream processing will also impact demand. There are four developments aimed at processing hard rock spodumene into lithium hydroxide. But the current lithium market is under significant pricing pressure discouraging downstream investment (and even spodumene supply cuts) and technical difficulties associated with processing lithium hydroxide further adds to uncertainty.</w:t>
      </w:r>
    </w:p>
    <w:p w14:paraId="51A4BF00" w14:textId="7EE59B77" w:rsidR="00C026F4" w:rsidRPr="00863A39" w:rsidRDefault="00C026F4" w:rsidP="00974710">
      <w:pPr>
        <w:pStyle w:val="BodyText"/>
      </w:pPr>
      <w:r w:rsidRPr="00863A39">
        <w:t>While peak day shortfalls</w:t>
      </w:r>
      <w:r>
        <w:t xml:space="preserve"> </w:t>
      </w:r>
      <w:r w:rsidR="00524187" w:rsidRPr="002D5EDC">
        <w:t>—</w:t>
      </w:r>
      <w:r w:rsidRPr="00863A39">
        <w:t xml:space="preserve"> due to network capacity constraints</w:t>
      </w:r>
      <w:r>
        <w:t xml:space="preserve"> </w:t>
      </w:r>
      <w:r w:rsidR="00524187" w:rsidRPr="002D5EDC">
        <w:t>—</w:t>
      </w:r>
      <w:r w:rsidRPr="00863A39">
        <w:t xml:space="preserve"> are a </w:t>
      </w:r>
      <w:r>
        <w:t xml:space="preserve">near term </w:t>
      </w:r>
      <w:r w:rsidRPr="00863A39">
        <w:t xml:space="preserve">consideration for the </w:t>
      </w:r>
      <w:r>
        <w:t>e</w:t>
      </w:r>
      <w:r w:rsidRPr="00863A39">
        <w:t xml:space="preserve">ast </w:t>
      </w:r>
      <w:r>
        <w:t>c</w:t>
      </w:r>
      <w:r w:rsidRPr="00863A39">
        <w:t xml:space="preserve">oast market, this </w:t>
      </w:r>
      <w:r w:rsidRPr="00863A39" w:rsidDel="00D10273">
        <w:t xml:space="preserve">is not </w:t>
      </w:r>
      <w:r w:rsidR="00D10273">
        <w:t>a concern on</w:t>
      </w:r>
      <w:r w:rsidRPr="00863A39">
        <w:t xml:space="preserve"> the </w:t>
      </w:r>
      <w:r>
        <w:t>w</w:t>
      </w:r>
      <w:r w:rsidRPr="00863A39">
        <w:t xml:space="preserve">est </w:t>
      </w:r>
      <w:r>
        <w:t>c</w:t>
      </w:r>
      <w:r w:rsidRPr="00863A39">
        <w:t xml:space="preserve">oast. </w:t>
      </w:r>
      <w:r>
        <w:t xml:space="preserve">The </w:t>
      </w:r>
      <w:r w:rsidRPr="00863A39">
        <w:t>Dampier to Bunbury Natural Gas Pipeline (DBNGP)</w:t>
      </w:r>
      <w:r>
        <w:t xml:space="preserve"> is WA’s </w:t>
      </w:r>
      <w:r w:rsidRPr="00863A39">
        <w:t>most important gas pipeline</w:t>
      </w:r>
      <w:r>
        <w:t>,</w:t>
      </w:r>
      <w:r w:rsidRPr="00863A39">
        <w:t xml:space="preserve"> deliver</w:t>
      </w:r>
      <w:r>
        <w:t>ing</w:t>
      </w:r>
      <w:r w:rsidRPr="00863A39">
        <w:t xml:space="preserve"> gas from WA’s main gas fields (Northern Carnarvon/Roebuck Basin) to its </w:t>
      </w:r>
      <w:r>
        <w:t xml:space="preserve">largest </w:t>
      </w:r>
      <w:r w:rsidRPr="00863A39">
        <w:t>demand centre (Perth). The pipeline has a capacity of 845 TJ/d</w:t>
      </w:r>
      <w:r w:rsidR="001B50F3">
        <w:t>ay</w:t>
      </w:r>
      <w:r w:rsidRPr="00863A39">
        <w:t xml:space="preserve"> and can deliver over 1 PJ a day. The capacity of the pipeline exceeds WA’s forecast daily gas supply gap out to 2033 (ranging from 0 to 360 TJ/d</w:t>
      </w:r>
      <w:r w:rsidR="001B50F3">
        <w:t>ay</w:t>
      </w:r>
      <w:r w:rsidRPr="00863A39">
        <w:t xml:space="preserve"> out to 2033). In addition, DBNGP has been connected to another important transmission pipeline </w:t>
      </w:r>
      <w:r w:rsidR="00524187" w:rsidRPr="002D5EDC">
        <w:t>—</w:t>
      </w:r>
      <w:r w:rsidRPr="00863A39">
        <w:t xml:space="preserve"> the Goldfield Gas Pipeline in July 2023, which provides </w:t>
      </w:r>
      <w:r w:rsidR="00161F43">
        <w:t xml:space="preserve">an </w:t>
      </w:r>
      <w:r w:rsidRPr="00863A39">
        <w:t xml:space="preserve">alternative gas supply route for consumers in the </w:t>
      </w:r>
      <w:r>
        <w:t xml:space="preserve">Southern </w:t>
      </w:r>
      <w:r w:rsidRPr="00D50059">
        <w:t xml:space="preserve">Goldfields </w:t>
      </w:r>
      <w:r w:rsidRPr="00863A39">
        <w:t>region.</w:t>
      </w:r>
    </w:p>
    <w:p w14:paraId="50618204" w14:textId="60EF2571" w:rsidR="00EC7EC7" w:rsidRDefault="004908B3" w:rsidP="00723BFF">
      <w:pPr>
        <w:pStyle w:val="Heading2"/>
        <w:numPr>
          <w:ilvl w:val="1"/>
          <w:numId w:val="3"/>
        </w:numPr>
        <w:spacing w:before="180"/>
      </w:pPr>
      <w:bookmarkStart w:id="136" w:name="_Toc165332398"/>
      <w:bookmarkStart w:id="137" w:name="_Toc172794525"/>
      <w:bookmarkEnd w:id="136"/>
      <w:r>
        <w:t>A</w:t>
      </w:r>
      <w:r w:rsidR="00EC7EC7">
        <w:t>ustralia’s gas resources</w:t>
      </w:r>
      <w:bookmarkEnd w:id="137"/>
    </w:p>
    <w:p w14:paraId="40857D01" w14:textId="77777777" w:rsidR="00EC7EC7" w:rsidRDefault="00EC7EC7" w:rsidP="00EC7EC7">
      <w:pPr>
        <w:pStyle w:val="BodyText"/>
      </w:pPr>
      <w:r>
        <w:t>The Australian gas production and supply system comprises four key components, all of which play a crucial role in delivering gas from source to end-users:</w:t>
      </w:r>
    </w:p>
    <w:p w14:paraId="5C196707" w14:textId="77777777" w:rsidR="00EC7EC7" w:rsidRPr="00380144" w:rsidRDefault="00EC7EC7" w:rsidP="00060CC5">
      <w:pPr>
        <w:pStyle w:val="ListBullet"/>
        <w:numPr>
          <w:ilvl w:val="0"/>
          <w:numId w:val="4"/>
        </w:numPr>
      </w:pPr>
      <w:r w:rsidRPr="0063584D">
        <w:rPr>
          <w:b/>
          <w:bCs/>
        </w:rPr>
        <w:t>basins</w:t>
      </w:r>
      <w:r w:rsidRPr="00380144">
        <w:t xml:space="preserve">: </w:t>
      </w:r>
      <w:r w:rsidRPr="00226EA7">
        <w:t>geological provinces represented by a series of sediment formations (on- or offshore) that commonly contain natural gas resources and serve as the primary source of gas extraction</w:t>
      </w:r>
      <w:r>
        <w:t>.</w:t>
      </w:r>
    </w:p>
    <w:p w14:paraId="55926550" w14:textId="77777777" w:rsidR="00EC7EC7" w:rsidRPr="00226EA7" w:rsidRDefault="00EC7EC7" w:rsidP="00060CC5">
      <w:pPr>
        <w:pStyle w:val="ListBullet"/>
        <w:numPr>
          <w:ilvl w:val="0"/>
          <w:numId w:val="4"/>
        </w:numPr>
      </w:pPr>
      <w:r w:rsidRPr="0063584D">
        <w:rPr>
          <w:b/>
          <w:bCs/>
        </w:rPr>
        <w:t>fields</w:t>
      </w:r>
      <w:r w:rsidRPr="00380144">
        <w:t xml:space="preserve">: </w:t>
      </w:r>
      <w:r w:rsidRPr="00226EA7">
        <w:t>accumulations of natural gas in defined structures within basins. Commercial quantities of natural gas are being developed by the drilling of production wells.</w:t>
      </w:r>
      <w:r w:rsidRPr="00226EA7">
        <w:rPr>
          <w:rStyle w:val="FootnoteReference"/>
        </w:rPr>
        <w:footnoteReference w:id="13"/>
      </w:r>
    </w:p>
    <w:p w14:paraId="6C458BDF" w14:textId="77777777" w:rsidR="00EC7EC7" w:rsidRPr="00380144" w:rsidRDefault="00EC7EC7" w:rsidP="00060CC5">
      <w:pPr>
        <w:pStyle w:val="ListBullet"/>
        <w:numPr>
          <w:ilvl w:val="0"/>
          <w:numId w:val="4"/>
        </w:numPr>
      </w:pPr>
      <w:r w:rsidRPr="0063584D">
        <w:rPr>
          <w:b/>
          <w:bCs/>
        </w:rPr>
        <w:t>processing facilities</w:t>
      </w:r>
      <w:r w:rsidRPr="00380144">
        <w:t xml:space="preserve">: </w:t>
      </w:r>
      <w:r w:rsidRPr="00226EA7">
        <w:t>remove impurities from gas like water, hydrogen sulphide and carbon dioxide and prepare for transportation.</w:t>
      </w:r>
    </w:p>
    <w:p w14:paraId="4313D3BC" w14:textId="77777777" w:rsidR="00EC7EC7" w:rsidRDefault="00EC7EC7" w:rsidP="00060CC5">
      <w:pPr>
        <w:pStyle w:val="ListBullet"/>
        <w:numPr>
          <w:ilvl w:val="0"/>
          <w:numId w:val="4"/>
        </w:numPr>
      </w:pPr>
      <w:r w:rsidRPr="0063584D">
        <w:rPr>
          <w:b/>
          <w:bCs/>
        </w:rPr>
        <w:t>transportation and storage facilities</w:t>
      </w:r>
      <w:r w:rsidRPr="00766310">
        <w:rPr>
          <w:b/>
        </w:rPr>
        <w:t>:</w:t>
      </w:r>
      <w:r w:rsidRPr="00863B61">
        <w:rPr>
          <w:b/>
          <w:bCs/>
        </w:rPr>
        <w:t xml:space="preserve"> </w:t>
      </w:r>
      <w:r w:rsidRPr="000F7C8C">
        <w:t>gas pipelines</w:t>
      </w:r>
      <w:r>
        <w:t xml:space="preserve"> transport gas along a network, and gas storage facilities manage variable demand.</w:t>
      </w:r>
    </w:p>
    <w:p w14:paraId="6AAEB886" w14:textId="40219790" w:rsidR="00EC7EC7" w:rsidRPr="00226EA7" w:rsidRDefault="00EC7EC7" w:rsidP="00EC7EC7">
      <w:pPr>
        <w:pStyle w:val="BodyText"/>
      </w:pPr>
      <w:r w:rsidRPr="00226EA7">
        <w:t xml:space="preserve">The level of gas resources that </w:t>
      </w:r>
      <w:r>
        <w:t>are</w:t>
      </w:r>
      <w:r w:rsidRPr="00226EA7">
        <w:t xml:space="preserve"> held in basins and fields is generally reported as the </w:t>
      </w:r>
      <w:r w:rsidRPr="00380144">
        <w:rPr>
          <w:i/>
          <w:iCs/>
        </w:rPr>
        <w:t>best estimates</w:t>
      </w:r>
      <w:r w:rsidRPr="00226EA7">
        <w:t xml:space="preserve"> of </w:t>
      </w:r>
      <w:r w:rsidRPr="00380144">
        <w:t>reserves</w:t>
      </w:r>
      <w:r w:rsidRPr="00226EA7">
        <w:t xml:space="preserve"> (referred to as ‘</w:t>
      </w:r>
      <w:r w:rsidRPr="00380144">
        <w:t>2P</w:t>
      </w:r>
      <w:r w:rsidRPr="00226EA7">
        <w:t>’</w:t>
      </w:r>
      <w:r w:rsidR="00B745B9">
        <w:t xml:space="preserve"> – </w:t>
      </w:r>
      <w:r w:rsidRPr="00226EA7" w:rsidDel="00B745B9">
        <w:t>p</w:t>
      </w:r>
      <w:r w:rsidRPr="00226EA7">
        <w:t>roven and probable</w:t>
      </w:r>
      <w:r w:rsidR="00161F43">
        <w:t>-</w:t>
      </w:r>
      <w:r w:rsidRPr="00226EA7">
        <w:t xml:space="preserve"> these are commercially recoverable and have been justified for </w:t>
      </w:r>
      <w:r w:rsidR="00161F43">
        <w:t>development)</w:t>
      </w:r>
      <w:r>
        <w:t xml:space="preserve"> </w:t>
      </w:r>
      <w:r w:rsidRPr="00226EA7">
        <w:t xml:space="preserve">and </w:t>
      </w:r>
      <w:r w:rsidRPr="00380144">
        <w:rPr>
          <w:i/>
          <w:iCs/>
        </w:rPr>
        <w:t>best estimates</w:t>
      </w:r>
      <w:r w:rsidRPr="00226EA7">
        <w:t xml:space="preserve"> of </w:t>
      </w:r>
      <w:r w:rsidRPr="00380144">
        <w:t>contingent resources</w:t>
      </w:r>
      <w:r w:rsidRPr="00226EA7">
        <w:t xml:space="preserve"> (referred to as ‘</w:t>
      </w:r>
      <w:r w:rsidRPr="00380144">
        <w:t>2C</w:t>
      </w:r>
      <w:r w:rsidRPr="00226EA7">
        <w:t>’, these resources are potentially recoverable but not considered mature enough for commercial development due to technological or business hurdles).</w:t>
      </w:r>
      <w:r w:rsidRPr="00226EA7">
        <w:rPr>
          <w:vertAlign w:val="superscript"/>
        </w:rPr>
        <w:footnoteReference w:id="14"/>
      </w:r>
      <w:r w:rsidRPr="00226EA7">
        <w:t xml:space="preserve"> </w:t>
      </w:r>
    </w:p>
    <w:p w14:paraId="4BE9D5BB" w14:textId="77777777" w:rsidR="00EC7EC7" w:rsidRDefault="00EC7EC7" w:rsidP="00EC7EC7">
      <w:pPr>
        <w:pStyle w:val="BodyText"/>
      </w:pPr>
      <w:r>
        <w:t xml:space="preserve">The level of supply to end users will depend not only on the level of reserves and extraction rate, but also on the ability to process and move gas from the field to the end user. This chapter outlines what is known about Australia’s gas reserves and the capacity of the gas network, as well as issues likely to arise in the future. </w:t>
      </w:r>
    </w:p>
    <w:p w14:paraId="64B933BC" w14:textId="77777777" w:rsidR="00EC7EC7" w:rsidRPr="006934C6" w:rsidRDefault="00EC7EC7" w:rsidP="00EC7EC7">
      <w:pPr>
        <w:pStyle w:val="Heading3"/>
      </w:pPr>
      <w:r w:rsidRPr="006934C6">
        <w:t>Australia has substantial gas resource</w:t>
      </w:r>
      <w:r>
        <w:t>s concentrated in a few locations</w:t>
      </w:r>
    </w:p>
    <w:p w14:paraId="3002941B" w14:textId="0ADDD09E" w:rsidR="00EC7EC7" w:rsidRDefault="00EC7EC7" w:rsidP="00EC7EC7">
      <w:pPr>
        <w:pStyle w:val="BodyText"/>
      </w:pPr>
      <w:r w:rsidRPr="00E468E8">
        <w:t xml:space="preserve">Table </w:t>
      </w:r>
      <w:r w:rsidR="00FE7B7D">
        <w:t>5</w:t>
      </w:r>
      <w:r w:rsidR="004908B3">
        <w:t>.1</w:t>
      </w:r>
      <w:r w:rsidRPr="00E468E8">
        <w:t xml:space="preserve"> and Figures </w:t>
      </w:r>
      <w:r w:rsidR="00FE7B7D">
        <w:t>5</w:t>
      </w:r>
      <w:r w:rsidRPr="00E468E8">
        <w:t>.</w:t>
      </w:r>
      <w:r>
        <w:t>5</w:t>
      </w:r>
      <w:r w:rsidRPr="00E468E8">
        <w:t xml:space="preserve"> and </w:t>
      </w:r>
      <w:r w:rsidR="00FE7B7D">
        <w:t>5</w:t>
      </w:r>
      <w:r w:rsidRPr="00E468E8">
        <w:t>.</w:t>
      </w:r>
      <w:r>
        <w:t>6</w:t>
      </w:r>
      <w:r w:rsidRPr="00E468E8">
        <w:t xml:space="preserve"> present the levels of 2P reserves and 2C resources by market, sub-region and basin, </w:t>
      </w:r>
      <w:r w:rsidR="00161F43">
        <w:t xml:space="preserve">and </w:t>
      </w:r>
      <w:r w:rsidRPr="00E468E8">
        <w:t>the level of production in 2022</w:t>
      </w:r>
      <w:bookmarkStart w:id="138" w:name="_Hlk151473593"/>
      <w:r>
        <w:t>.</w:t>
      </w:r>
    </w:p>
    <w:p w14:paraId="6DF89D5B" w14:textId="73EA9C3E" w:rsidR="00EC7EC7" w:rsidRDefault="00EC7EC7" w:rsidP="00C97679">
      <w:pPr>
        <w:pStyle w:val="Caption"/>
      </w:pPr>
      <w:r>
        <w:t xml:space="preserve">Table </w:t>
      </w:r>
      <w:r>
        <w:rPr>
          <w:noProof/>
        </w:rPr>
        <w:fldChar w:fldCharType="begin"/>
      </w:r>
      <w:r>
        <w:rPr>
          <w:noProof/>
        </w:rPr>
        <w:instrText xml:space="preserve"> STYLEREF 1 \s </w:instrText>
      </w:r>
      <w:r>
        <w:rPr>
          <w:noProof/>
        </w:rPr>
        <w:fldChar w:fldCharType="separate"/>
      </w:r>
      <w:r w:rsidR="00BF178A">
        <w:rPr>
          <w:noProof/>
        </w:rPr>
        <w:t>5</w:t>
      </w:r>
      <w:r>
        <w:rPr>
          <w:noProof/>
        </w:rPr>
        <w:fldChar w:fldCharType="end"/>
      </w:r>
      <w:r>
        <w:rPr>
          <w:noProof/>
        </w:rPr>
        <w:t>.</w:t>
      </w:r>
      <w:r w:rsidR="007C4AA7" w:rsidDel="00E97249">
        <w:rPr>
          <w:noProof/>
        </w:rPr>
        <w:t>1</w:t>
      </w:r>
      <w:r w:rsidRPr="000618FB">
        <w:t xml:space="preserve">: </w:t>
      </w:r>
      <w:r>
        <w:t xml:space="preserve">Gas reserves and resources, by region and market </w:t>
      </w:r>
    </w:p>
    <w:tbl>
      <w:tblPr>
        <w:tblStyle w:val="OCETable"/>
        <w:tblW w:w="7088" w:type="dxa"/>
        <w:tblLayout w:type="fixed"/>
        <w:tblLook w:val="04A0" w:firstRow="1" w:lastRow="0" w:firstColumn="1" w:lastColumn="0" w:noHBand="0" w:noVBand="1"/>
      </w:tblPr>
      <w:tblGrid>
        <w:gridCol w:w="1771"/>
        <w:gridCol w:w="1751"/>
        <w:gridCol w:w="2055"/>
        <w:gridCol w:w="1511"/>
      </w:tblGrid>
      <w:tr w:rsidR="00EC7EC7" w:rsidRPr="0008395C" w14:paraId="5159F932" w14:textId="77777777" w:rsidTr="00C50D71">
        <w:trPr>
          <w:cnfStyle w:val="100000000000" w:firstRow="1" w:lastRow="0" w:firstColumn="0" w:lastColumn="0" w:oddVBand="0" w:evenVBand="0" w:oddHBand="0" w:evenHBand="0" w:firstRowFirstColumn="0" w:firstRowLastColumn="0" w:lastRowFirstColumn="0" w:lastRowLastColumn="0"/>
          <w:trHeight w:val="851"/>
        </w:trPr>
        <w:tc>
          <w:tcPr>
            <w:tcW w:w="1771" w:type="dxa"/>
          </w:tcPr>
          <w:p w14:paraId="75B9AC2F" w14:textId="77777777" w:rsidR="00EC7EC7" w:rsidRPr="00380144" w:rsidRDefault="00EC7EC7" w:rsidP="00C50D71">
            <w:pPr>
              <w:pStyle w:val="Tableheader"/>
              <w:rPr>
                <w:sz w:val="16"/>
                <w:szCs w:val="16"/>
              </w:rPr>
            </w:pPr>
            <w:r w:rsidRPr="00380144">
              <w:rPr>
                <w:sz w:val="16"/>
                <w:szCs w:val="16"/>
              </w:rPr>
              <w:t>Market</w:t>
            </w:r>
          </w:p>
        </w:tc>
        <w:tc>
          <w:tcPr>
            <w:tcW w:w="1751" w:type="dxa"/>
          </w:tcPr>
          <w:p w14:paraId="6F0F784A" w14:textId="77777777" w:rsidR="00EC7EC7" w:rsidRPr="00380144" w:rsidRDefault="00EC7EC7" w:rsidP="00C50D71">
            <w:pPr>
              <w:pStyle w:val="Tableheader"/>
              <w:rPr>
                <w:sz w:val="16"/>
                <w:szCs w:val="16"/>
              </w:rPr>
            </w:pPr>
            <w:r w:rsidRPr="00380144">
              <w:rPr>
                <w:sz w:val="16"/>
                <w:szCs w:val="16"/>
              </w:rPr>
              <w:t>Reserves</w:t>
            </w:r>
            <w:r>
              <w:rPr>
                <w:sz w:val="16"/>
                <w:szCs w:val="16"/>
              </w:rPr>
              <w:t xml:space="preserve"> </w:t>
            </w:r>
            <w:r w:rsidRPr="00380144">
              <w:rPr>
                <w:sz w:val="16"/>
                <w:szCs w:val="16"/>
              </w:rPr>
              <w:t>(2P) (PJ)</w:t>
            </w:r>
          </w:p>
        </w:tc>
        <w:tc>
          <w:tcPr>
            <w:tcW w:w="2055" w:type="dxa"/>
          </w:tcPr>
          <w:p w14:paraId="3F869A68" w14:textId="77777777" w:rsidR="00EC7EC7" w:rsidRPr="00380144" w:rsidRDefault="00EC7EC7" w:rsidP="00C50D71">
            <w:pPr>
              <w:pStyle w:val="Tableheader"/>
              <w:rPr>
                <w:sz w:val="16"/>
                <w:szCs w:val="16"/>
              </w:rPr>
            </w:pPr>
            <w:r>
              <w:rPr>
                <w:sz w:val="16"/>
                <w:szCs w:val="16"/>
              </w:rPr>
              <w:t xml:space="preserve">Contingent </w:t>
            </w:r>
            <w:r w:rsidRPr="00380144">
              <w:rPr>
                <w:sz w:val="16"/>
                <w:szCs w:val="16"/>
              </w:rPr>
              <w:t>Resources (2C) (PJ)</w:t>
            </w:r>
          </w:p>
        </w:tc>
        <w:tc>
          <w:tcPr>
            <w:tcW w:w="1511" w:type="dxa"/>
          </w:tcPr>
          <w:p w14:paraId="29DE546F" w14:textId="77777777" w:rsidR="00EC7EC7" w:rsidRPr="00380144" w:rsidRDefault="00EC7EC7" w:rsidP="00C50D71">
            <w:pPr>
              <w:pStyle w:val="Tableheader"/>
              <w:rPr>
                <w:sz w:val="16"/>
                <w:szCs w:val="16"/>
              </w:rPr>
            </w:pPr>
            <w:r w:rsidRPr="00380144">
              <w:rPr>
                <w:sz w:val="16"/>
                <w:szCs w:val="16"/>
              </w:rPr>
              <w:t>2022 Production (PJ)</w:t>
            </w:r>
          </w:p>
        </w:tc>
      </w:tr>
      <w:tr w:rsidR="00EC7EC7" w:rsidRPr="0008395C" w14:paraId="3F32A597" w14:textId="77777777" w:rsidTr="00C50D71">
        <w:trPr>
          <w:cnfStyle w:val="000000100000" w:firstRow="0" w:lastRow="0" w:firstColumn="0" w:lastColumn="0" w:oddVBand="0" w:evenVBand="0" w:oddHBand="1" w:evenHBand="0" w:firstRowFirstColumn="0" w:firstRowLastColumn="0" w:lastRowFirstColumn="0" w:lastRowLastColumn="0"/>
          <w:trHeight w:val="304"/>
        </w:trPr>
        <w:tc>
          <w:tcPr>
            <w:tcW w:w="1771" w:type="dxa"/>
            <w:vAlign w:val="center"/>
          </w:tcPr>
          <w:p w14:paraId="03B9C8F6" w14:textId="211D23C7" w:rsidR="00EC7EC7" w:rsidRPr="00380144" w:rsidRDefault="00EC7EC7" w:rsidP="00C50D71">
            <w:pPr>
              <w:pStyle w:val="Tabletext"/>
              <w:rPr>
                <w:b/>
                <w:bCs/>
                <w:i/>
                <w:sz w:val="16"/>
                <w:szCs w:val="16"/>
              </w:rPr>
            </w:pPr>
            <w:r w:rsidRPr="00380144">
              <w:rPr>
                <w:b/>
                <w:bCs/>
                <w:i/>
                <w:sz w:val="16"/>
                <w:szCs w:val="16"/>
              </w:rPr>
              <w:t xml:space="preserve">West </w:t>
            </w:r>
            <w:r w:rsidR="00006846">
              <w:rPr>
                <w:b/>
                <w:bCs/>
                <w:i/>
                <w:sz w:val="16"/>
                <w:szCs w:val="16"/>
              </w:rPr>
              <w:t>c</w:t>
            </w:r>
            <w:r w:rsidRPr="00380144">
              <w:rPr>
                <w:b/>
                <w:bCs/>
                <w:i/>
                <w:sz w:val="16"/>
                <w:szCs w:val="16"/>
              </w:rPr>
              <w:t>oast</w:t>
            </w:r>
          </w:p>
        </w:tc>
        <w:tc>
          <w:tcPr>
            <w:tcW w:w="1751" w:type="dxa"/>
            <w:vAlign w:val="center"/>
          </w:tcPr>
          <w:p w14:paraId="095F3806" w14:textId="77777777" w:rsidR="00EC7EC7" w:rsidRPr="00AB1075" w:rsidRDefault="00EC7EC7" w:rsidP="00C50D71">
            <w:pPr>
              <w:pStyle w:val="Tabletext"/>
              <w:rPr>
                <w:i/>
                <w:sz w:val="16"/>
                <w:szCs w:val="16"/>
              </w:rPr>
            </w:pPr>
            <w:r>
              <w:rPr>
                <w:i/>
                <w:sz w:val="16"/>
                <w:szCs w:val="16"/>
              </w:rPr>
              <w:t>69,054</w:t>
            </w:r>
          </w:p>
        </w:tc>
        <w:tc>
          <w:tcPr>
            <w:tcW w:w="2055" w:type="dxa"/>
            <w:vAlign w:val="center"/>
          </w:tcPr>
          <w:p w14:paraId="24F4E991" w14:textId="77777777" w:rsidR="00EC7EC7" w:rsidRPr="00AB1075" w:rsidRDefault="00EC7EC7" w:rsidP="00C50D71">
            <w:pPr>
              <w:pStyle w:val="Tabletext"/>
              <w:rPr>
                <w:i/>
                <w:sz w:val="16"/>
                <w:szCs w:val="16"/>
              </w:rPr>
            </w:pPr>
            <w:r>
              <w:rPr>
                <w:i/>
                <w:sz w:val="16"/>
                <w:szCs w:val="16"/>
              </w:rPr>
              <w:t>101,190</w:t>
            </w:r>
          </w:p>
        </w:tc>
        <w:tc>
          <w:tcPr>
            <w:tcW w:w="1511" w:type="dxa"/>
            <w:vAlign w:val="center"/>
          </w:tcPr>
          <w:p w14:paraId="62B119AB" w14:textId="77777777" w:rsidR="00EC7EC7" w:rsidRPr="00AB1075" w:rsidRDefault="00EC7EC7" w:rsidP="00C50D71">
            <w:pPr>
              <w:pStyle w:val="Tabletext"/>
              <w:rPr>
                <w:i/>
                <w:sz w:val="16"/>
                <w:szCs w:val="16"/>
              </w:rPr>
            </w:pPr>
            <w:r>
              <w:rPr>
                <w:i/>
                <w:sz w:val="16"/>
                <w:szCs w:val="16"/>
              </w:rPr>
              <w:t>3,554</w:t>
            </w:r>
          </w:p>
        </w:tc>
      </w:tr>
      <w:tr w:rsidR="00EC7EC7" w:rsidRPr="0008395C" w14:paraId="09FDE47F" w14:textId="77777777" w:rsidTr="00C50D71">
        <w:trPr>
          <w:cnfStyle w:val="000000010000" w:firstRow="0" w:lastRow="0" w:firstColumn="0" w:lastColumn="0" w:oddVBand="0" w:evenVBand="0" w:oddHBand="0" w:evenHBand="1" w:firstRowFirstColumn="0" w:firstRowLastColumn="0" w:lastRowFirstColumn="0" w:lastRowLastColumn="0"/>
          <w:trHeight w:val="304"/>
        </w:trPr>
        <w:tc>
          <w:tcPr>
            <w:tcW w:w="1771" w:type="dxa"/>
            <w:vAlign w:val="center"/>
          </w:tcPr>
          <w:p w14:paraId="15075DFC" w14:textId="77777777" w:rsidR="00EC7EC7" w:rsidRPr="00AB1075" w:rsidRDefault="00EC7EC7" w:rsidP="00C50D71">
            <w:pPr>
              <w:pStyle w:val="Tabletext"/>
              <w:rPr>
                <w:i/>
                <w:sz w:val="16"/>
                <w:szCs w:val="16"/>
              </w:rPr>
            </w:pPr>
            <w:r w:rsidRPr="00AB1075">
              <w:rPr>
                <w:i/>
                <w:sz w:val="16"/>
                <w:szCs w:val="16"/>
              </w:rPr>
              <w:t>Western Australia</w:t>
            </w:r>
          </w:p>
        </w:tc>
        <w:tc>
          <w:tcPr>
            <w:tcW w:w="1751" w:type="dxa"/>
            <w:vAlign w:val="center"/>
          </w:tcPr>
          <w:p w14:paraId="56AD5500" w14:textId="77777777" w:rsidR="00EC7EC7" w:rsidRPr="00AB1075" w:rsidRDefault="00EC7EC7" w:rsidP="00C50D71">
            <w:pPr>
              <w:pStyle w:val="Tabletext"/>
              <w:rPr>
                <w:i/>
                <w:color w:val="auto"/>
                <w:sz w:val="16"/>
                <w:szCs w:val="16"/>
              </w:rPr>
            </w:pPr>
            <w:r w:rsidRPr="00AB1075">
              <w:rPr>
                <w:i/>
                <w:sz w:val="16"/>
                <w:szCs w:val="16"/>
              </w:rPr>
              <w:t>53,149</w:t>
            </w:r>
          </w:p>
        </w:tc>
        <w:tc>
          <w:tcPr>
            <w:tcW w:w="2055" w:type="dxa"/>
            <w:vAlign w:val="center"/>
          </w:tcPr>
          <w:p w14:paraId="52A2D3A4" w14:textId="77777777" w:rsidR="00EC7EC7" w:rsidRPr="00AB1075" w:rsidRDefault="00EC7EC7" w:rsidP="00C50D71">
            <w:pPr>
              <w:pStyle w:val="Tabletext"/>
              <w:rPr>
                <w:i/>
                <w:color w:val="auto"/>
                <w:sz w:val="16"/>
                <w:szCs w:val="16"/>
              </w:rPr>
            </w:pPr>
            <w:r w:rsidRPr="00AB1075">
              <w:rPr>
                <w:i/>
                <w:sz w:val="16"/>
                <w:szCs w:val="16"/>
              </w:rPr>
              <w:t>47,164</w:t>
            </w:r>
          </w:p>
        </w:tc>
        <w:tc>
          <w:tcPr>
            <w:tcW w:w="1511" w:type="dxa"/>
            <w:vAlign w:val="center"/>
          </w:tcPr>
          <w:p w14:paraId="4B9E10F8" w14:textId="77777777" w:rsidR="00EC7EC7" w:rsidRPr="00AB1075" w:rsidRDefault="00EC7EC7" w:rsidP="00C50D71">
            <w:pPr>
              <w:pStyle w:val="Tabletext"/>
              <w:rPr>
                <w:i/>
                <w:color w:val="auto"/>
                <w:sz w:val="16"/>
                <w:szCs w:val="16"/>
              </w:rPr>
            </w:pPr>
            <w:r w:rsidRPr="00AB1075">
              <w:rPr>
                <w:i/>
                <w:sz w:val="16"/>
                <w:szCs w:val="16"/>
              </w:rPr>
              <w:t>3,093</w:t>
            </w:r>
          </w:p>
        </w:tc>
      </w:tr>
      <w:tr w:rsidR="00EC7EC7" w:rsidRPr="0008395C" w14:paraId="1D434360" w14:textId="77777777" w:rsidTr="00C50D71">
        <w:trPr>
          <w:cnfStyle w:val="000000100000" w:firstRow="0" w:lastRow="0" w:firstColumn="0" w:lastColumn="0" w:oddVBand="0" w:evenVBand="0" w:oddHBand="1" w:evenHBand="0" w:firstRowFirstColumn="0" w:firstRowLastColumn="0" w:lastRowFirstColumn="0" w:lastRowLastColumn="0"/>
          <w:trHeight w:val="304"/>
        </w:trPr>
        <w:tc>
          <w:tcPr>
            <w:tcW w:w="1771" w:type="dxa"/>
            <w:vAlign w:val="center"/>
          </w:tcPr>
          <w:p w14:paraId="6C338CEA" w14:textId="77777777" w:rsidR="00EC7EC7" w:rsidRPr="00380144" w:rsidRDefault="00EC7EC7" w:rsidP="00C50D71">
            <w:pPr>
              <w:pStyle w:val="Tabletext"/>
              <w:rPr>
                <w:i/>
                <w:sz w:val="16"/>
                <w:szCs w:val="16"/>
              </w:rPr>
            </w:pPr>
            <w:r w:rsidRPr="00380144">
              <w:rPr>
                <w:i/>
                <w:sz w:val="16"/>
                <w:szCs w:val="16"/>
              </w:rPr>
              <w:t>Bonaparte/Browse</w:t>
            </w:r>
            <w:r w:rsidRPr="00380144">
              <w:rPr>
                <w:i/>
                <w:sz w:val="16"/>
                <w:szCs w:val="16"/>
                <w:vertAlign w:val="superscript"/>
              </w:rPr>
              <w:t>a</w:t>
            </w:r>
          </w:p>
        </w:tc>
        <w:tc>
          <w:tcPr>
            <w:tcW w:w="1751" w:type="dxa"/>
            <w:vAlign w:val="center"/>
          </w:tcPr>
          <w:p w14:paraId="10B1D05E" w14:textId="77777777" w:rsidR="00EC7EC7" w:rsidRPr="00380144" w:rsidRDefault="00EC7EC7" w:rsidP="00C50D71">
            <w:pPr>
              <w:pStyle w:val="Tabletext"/>
              <w:rPr>
                <w:i/>
                <w:color w:val="auto"/>
                <w:sz w:val="16"/>
                <w:szCs w:val="16"/>
              </w:rPr>
            </w:pPr>
            <w:r w:rsidRPr="00380144">
              <w:rPr>
                <w:i/>
                <w:sz w:val="16"/>
                <w:szCs w:val="16"/>
              </w:rPr>
              <w:t>15,905</w:t>
            </w:r>
          </w:p>
        </w:tc>
        <w:tc>
          <w:tcPr>
            <w:tcW w:w="2055" w:type="dxa"/>
            <w:vAlign w:val="center"/>
          </w:tcPr>
          <w:p w14:paraId="1093543C" w14:textId="77777777" w:rsidR="00EC7EC7" w:rsidRPr="00380144" w:rsidRDefault="00EC7EC7" w:rsidP="00C50D71">
            <w:pPr>
              <w:pStyle w:val="Tabletext"/>
              <w:rPr>
                <w:i/>
                <w:color w:val="auto"/>
                <w:sz w:val="16"/>
                <w:szCs w:val="16"/>
              </w:rPr>
            </w:pPr>
            <w:r w:rsidRPr="00380144">
              <w:rPr>
                <w:i/>
                <w:sz w:val="16"/>
                <w:szCs w:val="16"/>
              </w:rPr>
              <w:t>54,026</w:t>
            </w:r>
          </w:p>
        </w:tc>
        <w:tc>
          <w:tcPr>
            <w:tcW w:w="1511" w:type="dxa"/>
            <w:vAlign w:val="center"/>
          </w:tcPr>
          <w:p w14:paraId="7F132A1B" w14:textId="77777777" w:rsidR="00EC7EC7" w:rsidRPr="00380144" w:rsidRDefault="00EC7EC7" w:rsidP="00C50D71">
            <w:pPr>
              <w:pStyle w:val="Tabletext"/>
              <w:rPr>
                <w:i/>
                <w:color w:val="auto"/>
                <w:sz w:val="16"/>
                <w:szCs w:val="16"/>
              </w:rPr>
            </w:pPr>
            <w:r w:rsidRPr="00380144">
              <w:rPr>
                <w:i/>
                <w:sz w:val="16"/>
                <w:szCs w:val="16"/>
              </w:rPr>
              <w:t>461</w:t>
            </w:r>
          </w:p>
        </w:tc>
      </w:tr>
      <w:tr w:rsidR="00EC7EC7" w:rsidRPr="0008395C" w14:paraId="08E71C71" w14:textId="77777777" w:rsidTr="00C50D71">
        <w:trPr>
          <w:cnfStyle w:val="000000010000" w:firstRow="0" w:lastRow="0" w:firstColumn="0" w:lastColumn="0" w:oddVBand="0" w:evenVBand="0" w:oddHBand="0" w:evenHBand="1" w:firstRowFirstColumn="0" w:firstRowLastColumn="0" w:lastRowFirstColumn="0" w:lastRowLastColumn="0"/>
          <w:trHeight w:val="225"/>
        </w:trPr>
        <w:tc>
          <w:tcPr>
            <w:tcW w:w="1771" w:type="dxa"/>
            <w:vAlign w:val="center"/>
          </w:tcPr>
          <w:p w14:paraId="387C6D34" w14:textId="76FD5E29" w:rsidR="00EC7EC7" w:rsidRPr="00006846" w:rsidRDefault="00EC7EC7" w:rsidP="00C50D71">
            <w:pPr>
              <w:pStyle w:val="Tabletext"/>
              <w:rPr>
                <w:b/>
                <w:bCs/>
                <w:sz w:val="16"/>
                <w:szCs w:val="16"/>
              </w:rPr>
            </w:pPr>
            <w:r w:rsidRPr="00006846">
              <w:rPr>
                <w:b/>
                <w:bCs/>
                <w:sz w:val="16"/>
                <w:szCs w:val="16"/>
              </w:rPr>
              <w:t xml:space="preserve">East </w:t>
            </w:r>
            <w:r w:rsidR="00006846">
              <w:rPr>
                <w:b/>
                <w:bCs/>
                <w:sz w:val="16"/>
                <w:szCs w:val="16"/>
              </w:rPr>
              <w:t>c</w:t>
            </w:r>
            <w:r w:rsidRPr="00006846">
              <w:rPr>
                <w:b/>
                <w:bCs/>
                <w:sz w:val="16"/>
                <w:szCs w:val="16"/>
              </w:rPr>
              <w:t>oast</w:t>
            </w:r>
          </w:p>
        </w:tc>
        <w:tc>
          <w:tcPr>
            <w:tcW w:w="1751" w:type="dxa"/>
            <w:vAlign w:val="center"/>
          </w:tcPr>
          <w:p w14:paraId="187627A1" w14:textId="77777777" w:rsidR="00EC7EC7" w:rsidRPr="00380144" w:rsidRDefault="00EC7EC7" w:rsidP="00C50D71">
            <w:pPr>
              <w:pStyle w:val="Tabletext"/>
              <w:rPr>
                <w:color w:val="auto"/>
                <w:sz w:val="16"/>
                <w:szCs w:val="16"/>
              </w:rPr>
            </w:pPr>
            <w:r w:rsidRPr="00380144">
              <w:rPr>
                <w:sz w:val="16"/>
                <w:szCs w:val="16"/>
              </w:rPr>
              <w:t>32,814</w:t>
            </w:r>
          </w:p>
        </w:tc>
        <w:tc>
          <w:tcPr>
            <w:tcW w:w="2055" w:type="dxa"/>
            <w:vAlign w:val="center"/>
          </w:tcPr>
          <w:p w14:paraId="07DB06C3" w14:textId="77777777" w:rsidR="00EC7EC7" w:rsidRPr="00380144" w:rsidRDefault="00EC7EC7" w:rsidP="00C50D71">
            <w:pPr>
              <w:pStyle w:val="Tabletext"/>
              <w:rPr>
                <w:color w:val="auto"/>
                <w:sz w:val="16"/>
                <w:szCs w:val="16"/>
              </w:rPr>
            </w:pPr>
            <w:r w:rsidRPr="00380144">
              <w:rPr>
                <w:sz w:val="16"/>
                <w:szCs w:val="16"/>
              </w:rPr>
              <w:t>41,100</w:t>
            </w:r>
          </w:p>
        </w:tc>
        <w:tc>
          <w:tcPr>
            <w:tcW w:w="1511" w:type="dxa"/>
            <w:vAlign w:val="center"/>
          </w:tcPr>
          <w:p w14:paraId="789F0DF3" w14:textId="77777777" w:rsidR="00EC7EC7" w:rsidRPr="00380144" w:rsidRDefault="00EC7EC7" w:rsidP="00C50D71">
            <w:pPr>
              <w:pStyle w:val="Tabletext"/>
              <w:rPr>
                <w:color w:val="auto"/>
                <w:sz w:val="16"/>
                <w:szCs w:val="16"/>
              </w:rPr>
            </w:pPr>
            <w:r w:rsidRPr="00380144">
              <w:rPr>
                <w:sz w:val="16"/>
                <w:szCs w:val="16"/>
              </w:rPr>
              <w:t>1,939</w:t>
            </w:r>
          </w:p>
        </w:tc>
      </w:tr>
      <w:tr w:rsidR="00EC7EC7" w:rsidRPr="0008395C" w14:paraId="2314680B" w14:textId="77777777" w:rsidTr="00C50D71">
        <w:trPr>
          <w:cnfStyle w:val="000000100000" w:firstRow="0" w:lastRow="0" w:firstColumn="0" w:lastColumn="0" w:oddVBand="0" w:evenVBand="0" w:oddHBand="1" w:evenHBand="0" w:firstRowFirstColumn="0" w:firstRowLastColumn="0" w:lastRowFirstColumn="0" w:lastRowLastColumn="0"/>
          <w:trHeight w:val="304"/>
        </w:trPr>
        <w:tc>
          <w:tcPr>
            <w:tcW w:w="1771" w:type="dxa"/>
            <w:vAlign w:val="center"/>
          </w:tcPr>
          <w:p w14:paraId="253AC397" w14:textId="77777777" w:rsidR="00EC7EC7" w:rsidRPr="00380144" w:rsidRDefault="00EC7EC7" w:rsidP="00C50D71">
            <w:pPr>
              <w:pStyle w:val="Tabletext"/>
              <w:rPr>
                <w:i/>
                <w:sz w:val="16"/>
                <w:szCs w:val="16"/>
              </w:rPr>
            </w:pPr>
            <w:r w:rsidRPr="00380144">
              <w:rPr>
                <w:i/>
                <w:sz w:val="16"/>
                <w:szCs w:val="16"/>
              </w:rPr>
              <w:t>Southern states</w:t>
            </w:r>
          </w:p>
        </w:tc>
        <w:tc>
          <w:tcPr>
            <w:tcW w:w="1751" w:type="dxa"/>
            <w:vAlign w:val="center"/>
          </w:tcPr>
          <w:p w14:paraId="5A6E3598" w14:textId="77777777" w:rsidR="00EC7EC7" w:rsidRPr="00380144" w:rsidRDefault="00EC7EC7" w:rsidP="00C50D71">
            <w:pPr>
              <w:pStyle w:val="Tabletext"/>
              <w:rPr>
                <w:i/>
                <w:color w:val="auto"/>
                <w:sz w:val="16"/>
                <w:szCs w:val="16"/>
              </w:rPr>
            </w:pPr>
            <w:r w:rsidRPr="00380144">
              <w:rPr>
                <w:i/>
                <w:sz w:val="16"/>
                <w:szCs w:val="16"/>
              </w:rPr>
              <w:t>2,318</w:t>
            </w:r>
          </w:p>
        </w:tc>
        <w:tc>
          <w:tcPr>
            <w:tcW w:w="2055" w:type="dxa"/>
            <w:vAlign w:val="center"/>
          </w:tcPr>
          <w:p w14:paraId="510AFBD5" w14:textId="77777777" w:rsidR="00EC7EC7" w:rsidRPr="00380144" w:rsidRDefault="00EC7EC7" w:rsidP="00C50D71">
            <w:pPr>
              <w:pStyle w:val="Tabletext"/>
              <w:rPr>
                <w:i/>
                <w:color w:val="auto"/>
                <w:sz w:val="16"/>
                <w:szCs w:val="16"/>
              </w:rPr>
            </w:pPr>
            <w:r w:rsidRPr="00380144">
              <w:rPr>
                <w:i/>
                <w:sz w:val="16"/>
                <w:szCs w:val="16"/>
              </w:rPr>
              <w:t>5,929</w:t>
            </w:r>
          </w:p>
        </w:tc>
        <w:tc>
          <w:tcPr>
            <w:tcW w:w="1511" w:type="dxa"/>
            <w:vAlign w:val="center"/>
          </w:tcPr>
          <w:p w14:paraId="2D6BFEA2" w14:textId="77777777" w:rsidR="00EC7EC7" w:rsidRPr="00380144" w:rsidRDefault="00EC7EC7" w:rsidP="00C50D71">
            <w:pPr>
              <w:pStyle w:val="Tabletext"/>
              <w:rPr>
                <w:i/>
                <w:color w:val="auto"/>
                <w:sz w:val="16"/>
                <w:szCs w:val="16"/>
              </w:rPr>
            </w:pPr>
            <w:r w:rsidRPr="00380144">
              <w:rPr>
                <w:i/>
                <w:sz w:val="16"/>
                <w:szCs w:val="16"/>
              </w:rPr>
              <w:t>367</w:t>
            </w:r>
          </w:p>
        </w:tc>
      </w:tr>
      <w:tr w:rsidR="00EC7EC7" w:rsidRPr="0008395C" w14:paraId="2727B730" w14:textId="77777777" w:rsidTr="00C50D71">
        <w:trPr>
          <w:cnfStyle w:val="000000010000" w:firstRow="0" w:lastRow="0" w:firstColumn="0" w:lastColumn="0" w:oddVBand="0" w:evenVBand="0" w:oddHBand="0" w:evenHBand="1" w:firstRowFirstColumn="0" w:firstRowLastColumn="0" w:lastRowFirstColumn="0" w:lastRowLastColumn="0"/>
          <w:trHeight w:val="323"/>
        </w:trPr>
        <w:tc>
          <w:tcPr>
            <w:tcW w:w="1771" w:type="dxa"/>
            <w:vAlign w:val="center"/>
          </w:tcPr>
          <w:p w14:paraId="60E823A5" w14:textId="77777777" w:rsidR="00EC7EC7" w:rsidRPr="00380144" w:rsidRDefault="00EC7EC7" w:rsidP="00C50D71">
            <w:pPr>
              <w:pStyle w:val="Tabletext"/>
              <w:rPr>
                <w:i/>
                <w:sz w:val="16"/>
                <w:szCs w:val="16"/>
              </w:rPr>
            </w:pPr>
            <w:r w:rsidRPr="00380144">
              <w:rPr>
                <w:i/>
                <w:sz w:val="16"/>
                <w:szCs w:val="16"/>
              </w:rPr>
              <w:t>Queensland</w:t>
            </w:r>
          </w:p>
        </w:tc>
        <w:tc>
          <w:tcPr>
            <w:tcW w:w="1751" w:type="dxa"/>
            <w:vAlign w:val="center"/>
          </w:tcPr>
          <w:p w14:paraId="44AC4CE1" w14:textId="77777777" w:rsidR="00EC7EC7" w:rsidRPr="00380144" w:rsidRDefault="00EC7EC7" w:rsidP="00C50D71">
            <w:pPr>
              <w:pStyle w:val="Tabletext"/>
              <w:rPr>
                <w:i/>
                <w:color w:val="auto"/>
                <w:sz w:val="16"/>
                <w:szCs w:val="16"/>
              </w:rPr>
            </w:pPr>
            <w:r w:rsidRPr="00380144">
              <w:rPr>
                <w:i/>
                <w:sz w:val="16"/>
                <w:szCs w:val="16"/>
              </w:rPr>
              <w:t>30,276</w:t>
            </w:r>
          </w:p>
        </w:tc>
        <w:tc>
          <w:tcPr>
            <w:tcW w:w="2055" w:type="dxa"/>
            <w:vAlign w:val="center"/>
          </w:tcPr>
          <w:p w14:paraId="210E28B6" w14:textId="77777777" w:rsidR="00EC7EC7" w:rsidRPr="00380144" w:rsidRDefault="00EC7EC7" w:rsidP="00C50D71">
            <w:pPr>
              <w:pStyle w:val="Tabletext"/>
              <w:rPr>
                <w:i/>
                <w:color w:val="auto"/>
                <w:sz w:val="16"/>
                <w:szCs w:val="16"/>
              </w:rPr>
            </w:pPr>
            <w:r w:rsidRPr="00380144">
              <w:rPr>
                <w:i/>
                <w:sz w:val="16"/>
                <w:szCs w:val="16"/>
              </w:rPr>
              <w:t>29,383</w:t>
            </w:r>
          </w:p>
        </w:tc>
        <w:tc>
          <w:tcPr>
            <w:tcW w:w="1511" w:type="dxa"/>
            <w:vAlign w:val="center"/>
          </w:tcPr>
          <w:p w14:paraId="373C80D8" w14:textId="77777777" w:rsidR="00EC7EC7" w:rsidRPr="00380144" w:rsidRDefault="00EC7EC7" w:rsidP="00C50D71">
            <w:pPr>
              <w:pStyle w:val="Tabletext"/>
              <w:rPr>
                <w:i/>
                <w:color w:val="auto"/>
                <w:sz w:val="16"/>
                <w:szCs w:val="16"/>
              </w:rPr>
            </w:pPr>
            <w:r w:rsidRPr="00380144">
              <w:rPr>
                <w:i/>
                <w:sz w:val="16"/>
                <w:szCs w:val="16"/>
              </w:rPr>
              <w:t>1,557</w:t>
            </w:r>
          </w:p>
        </w:tc>
      </w:tr>
      <w:tr w:rsidR="00EC7EC7" w:rsidRPr="0008395C" w14:paraId="5F328E6A" w14:textId="77777777" w:rsidTr="00C50D71">
        <w:trPr>
          <w:cnfStyle w:val="000000100000" w:firstRow="0" w:lastRow="0" w:firstColumn="0" w:lastColumn="0" w:oddVBand="0" w:evenVBand="0" w:oddHBand="1" w:evenHBand="0" w:firstRowFirstColumn="0" w:firstRowLastColumn="0" w:lastRowFirstColumn="0" w:lastRowLastColumn="0"/>
          <w:trHeight w:val="304"/>
        </w:trPr>
        <w:tc>
          <w:tcPr>
            <w:tcW w:w="1771" w:type="dxa"/>
            <w:vAlign w:val="center"/>
          </w:tcPr>
          <w:p w14:paraId="39AB6250" w14:textId="77777777" w:rsidR="00EC7EC7" w:rsidRPr="00380144" w:rsidRDefault="00EC7EC7" w:rsidP="00C50D71">
            <w:pPr>
              <w:pStyle w:val="Tabletext"/>
              <w:rPr>
                <w:i/>
                <w:sz w:val="16"/>
                <w:szCs w:val="16"/>
              </w:rPr>
            </w:pPr>
            <w:r w:rsidRPr="00380144">
              <w:rPr>
                <w:i/>
                <w:sz w:val="16"/>
                <w:szCs w:val="16"/>
              </w:rPr>
              <w:t>Northern Territory</w:t>
            </w:r>
          </w:p>
        </w:tc>
        <w:tc>
          <w:tcPr>
            <w:tcW w:w="1751" w:type="dxa"/>
            <w:vAlign w:val="center"/>
          </w:tcPr>
          <w:p w14:paraId="7EE7618A" w14:textId="77777777" w:rsidR="00EC7EC7" w:rsidRPr="00380144" w:rsidRDefault="00EC7EC7" w:rsidP="00C50D71">
            <w:pPr>
              <w:pStyle w:val="Tabletext"/>
              <w:rPr>
                <w:i/>
                <w:color w:val="auto"/>
                <w:sz w:val="16"/>
                <w:szCs w:val="16"/>
              </w:rPr>
            </w:pPr>
            <w:r w:rsidRPr="00380144">
              <w:rPr>
                <w:i/>
                <w:sz w:val="16"/>
                <w:szCs w:val="16"/>
              </w:rPr>
              <w:t>220</w:t>
            </w:r>
          </w:p>
        </w:tc>
        <w:tc>
          <w:tcPr>
            <w:tcW w:w="2055" w:type="dxa"/>
            <w:vAlign w:val="center"/>
          </w:tcPr>
          <w:p w14:paraId="0D95DA1B" w14:textId="77777777" w:rsidR="00EC7EC7" w:rsidRPr="00380144" w:rsidRDefault="00EC7EC7" w:rsidP="00C50D71">
            <w:pPr>
              <w:pStyle w:val="Tabletext"/>
              <w:rPr>
                <w:i/>
                <w:color w:val="auto"/>
                <w:sz w:val="16"/>
                <w:szCs w:val="16"/>
              </w:rPr>
            </w:pPr>
            <w:r w:rsidRPr="00380144">
              <w:rPr>
                <w:i/>
                <w:sz w:val="16"/>
                <w:szCs w:val="16"/>
              </w:rPr>
              <w:t>5,788</w:t>
            </w:r>
          </w:p>
        </w:tc>
        <w:tc>
          <w:tcPr>
            <w:tcW w:w="1511" w:type="dxa"/>
            <w:vAlign w:val="center"/>
          </w:tcPr>
          <w:p w14:paraId="48DCF1BC" w14:textId="77777777" w:rsidR="00EC7EC7" w:rsidRPr="00380144" w:rsidRDefault="00EC7EC7" w:rsidP="00C50D71">
            <w:pPr>
              <w:pStyle w:val="Tabletext"/>
              <w:rPr>
                <w:i/>
                <w:color w:val="auto"/>
                <w:sz w:val="16"/>
                <w:szCs w:val="16"/>
              </w:rPr>
            </w:pPr>
            <w:r w:rsidRPr="00380144">
              <w:rPr>
                <w:i/>
                <w:sz w:val="16"/>
                <w:szCs w:val="16"/>
              </w:rPr>
              <w:t>15</w:t>
            </w:r>
          </w:p>
        </w:tc>
      </w:tr>
      <w:tr w:rsidR="00EC7EC7" w:rsidRPr="0008395C" w14:paraId="36DB694D" w14:textId="77777777" w:rsidTr="00C50D71">
        <w:trPr>
          <w:cnfStyle w:val="000000010000" w:firstRow="0" w:lastRow="0" w:firstColumn="0" w:lastColumn="0" w:oddVBand="0" w:evenVBand="0" w:oddHBand="0" w:evenHBand="1" w:firstRowFirstColumn="0" w:firstRowLastColumn="0" w:lastRowFirstColumn="0" w:lastRowLastColumn="0"/>
          <w:trHeight w:val="304"/>
        </w:trPr>
        <w:tc>
          <w:tcPr>
            <w:tcW w:w="1771" w:type="dxa"/>
            <w:vAlign w:val="center"/>
          </w:tcPr>
          <w:p w14:paraId="318E5F89" w14:textId="77777777" w:rsidR="00EC7EC7" w:rsidRPr="00380144" w:rsidRDefault="00EC7EC7" w:rsidP="00C50D71">
            <w:pPr>
              <w:pStyle w:val="Tabletext"/>
              <w:rPr>
                <w:b/>
                <w:bCs/>
                <w:sz w:val="16"/>
                <w:szCs w:val="16"/>
              </w:rPr>
            </w:pPr>
            <w:r w:rsidRPr="00380144">
              <w:rPr>
                <w:b/>
                <w:bCs/>
                <w:sz w:val="16"/>
                <w:szCs w:val="16"/>
              </w:rPr>
              <w:t>Total</w:t>
            </w:r>
          </w:p>
        </w:tc>
        <w:tc>
          <w:tcPr>
            <w:tcW w:w="1751" w:type="dxa"/>
            <w:vAlign w:val="center"/>
          </w:tcPr>
          <w:p w14:paraId="3DF3DB3E" w14:textId="77777777" w:rsidR="00EC7EC7" w:rsidRPr="00380144" w:rsidRDefault="00EC7EC7" w:rsidP="00C50D71">
            <w:pPr>
              <w:pStyle w:val="Tabletext"/>
              <w:rPr>
                <w:b/>
                <w:bCs/>
                <w:color w:val="auto"/>
                <w:sz w:val="16"/>
                <w:szCs w:val="16"/>
              </w:rPr>
            </w:pPr>
            <w:r w:rsidRPr="00380144">
              <w:rPr>
                <w:b/>
                <w:sz w:val="16"/>
                <w:szCs w:val="16"/>
              </w:rPr>
              <w:t>101,868</w:t>
            </w:r>
          </w:p>
        </w:tc>
        <w:tc>
          <w:tcPr>
            <w:tcW w:w="2055" w:type="dxa"/>
            <w:vAlign w:val="center"/>
          </w:tcPr>
          <w:p w14:paraId="4F2EB682" w14:textId="77777777" w:rsidR="00EC7EC7" w:rsidRPr="00380144" w:rsidRDefault="00EC7EC7" w:rsidP="00C50D71">
            <w:pPr>
              <w:pStyle w:val="Tabletext"/>
              <w:rPr>
                <w:b/>
                <w:bCs/>
                <w:color w:val="auto"/>
                <w:sz w:val="16"/>
                <w:szCs w:val="16"/>
              </w:rPr>
            </w:pPr>
            <w:r w:rsidRPr="00380144">
              <w:rPr>
                <w:b/>
                <w:sz w:val="16"/>
                <w:szCs w:val="16"/>
              </w:rPr>
              <w:t>142,290</w:t>
            </w:r>
          </w:p>
        </w:tc>
        <w:tc>
          <w:tcPr>
            <w:tcW w:w="1511" w:type="dxa"/>
            <w:vAlign w:val="center"/>
          </w:tcPr>
          <w:p w14:paraId="4E1C8306" w14:textId="77777777" w:rsidR="00EC7EC7" w:rsidRPr="00380144" w:rsidRDefault="00EC7EC7" w:rsidP="00C50D71">
            <w:pPr>
              <w:pStyle w:val="Tabletext"/>
              <w:rPr>
                <w:b/>
                <w:bCs/>
                <w:color w:val="auto"/>
                <w:sz w:val="16"/>
                <w:szCs w:val="16"/>
              </w:rPr>
            </w:pPr>
            <w:r w:rsidRPr="00380144">
              <w:rPr>
                <w:b/>
                <w:sz w:val="16"/>
                <w:szCs w:val="16"/>
              </w:rPr>
              <w:t>5,493</w:t>
            </w:r>
          </w:p>
        </w:tc>
      </w:tr>
    </w:tbl>
    <w:p w14:paraId="1A638CEF" w14:textId="38AF68D4" w:rsidR="00EC7EC7" w:rsidRPr="00C62F3A" w:rsidRDefault="00EC7EC7" w:rsidP="000220BF">
      <w:pPr>
        <w:pStyle w:val="Source"/>
        <w:spacing w:before="60"/>
      </w:pPr>
      <w:r w:rsidRPr="007D6026">
        <w:t xml:space="preserve">Notes: The 2P </w:t>
      </w:r>
      <w:r>
        <w:t xml:space="preserve">reserves </w:t>
      </w:r>
      <w:r w:rsidRPr="007D6026">
        <w:t xml:space="preserve">and 2C </w:t>
      </w:r>
      <w:r>
        <w:t>resources</w:t>
      </w:r>
      <w:r w:rsidRPr="007D6026">
        <w:t xml:space="preserve"> </w:t>
      </w:r>
      <w:r>
        <w:t xml:space="preserve">data are </w:t>
      </w:r>
      <w:r w:rsidRPr="007D6026">
        <w:t xml:space="preserve">reported at the end of March 2023 and during the year 2021, respectively. </w:t>
      </w:r>
      <w:r w:rsidR="00DB0191" w:rsidRPr="007D6026">
        <w:t>A</w:t>
      </w:r>
      <w:r w:rsidRPr="007D6026">
        <w:t xml:space="preserve">: </w:t>
      </w:r>
      <w:r>
        <w:t>B</w:t>
      </w:r>
      <w:r w:rsidRPr="007D6026">
        <w:t>onaparte/Browse Basins include Browse-</w:t>
      </w:r>
      <w:r w:rsidR="00D601D7" w:rsidRPr="00D601D7">
        <w:rPr>
          <w:lang w:val="en-US"/>
        </w:rPr>
        <w:t xml:space="preserve"> </w:t>
      </w:r>
      <w:r w:rsidRPr="1FB327FE">
        <w:rPr>
          <w:lang w:val="en-US"/>
        </w:rPr>
        <w:t>Ichthys</w:t>
      </w:r>
      <w:r w:rsidRPr="007D6026">
        <w:t xml:space="preserve"> project, and Bonaparte’s Blacktip and Darwin LNG projects.</w:t>
      </w:r>
      <w:r>
        <w:t xml:space="preserve"> Northern Territory consists of Amadeus and McArthur and Beetaloo sub-basin</w:t>
      </w:r>
      <w:r w:rsidR="00722CAE">
        <w:t xml:space="preserve"> (note that gas from Browse-Ichthys is processed in NT and can be supplied as emergency gas to Darwin).</w:t>
      </w:r>
      <w:r>
        <w:t xml:space="preserve"> Southern states include </w:t>
      </w:r>
      <w:r w:rsidR="005F31C9">
        <w:t>NSW</w:t>
      </w:r>
      <w:r>
        <w:t xml:space="preserve"> (including the </w:t>
      </w:r>
      <w:r w:rsidR="005F31C9">
        <w:t>ACT</w:t>
      </w:r>
      <w:r>
        <w:t>), South Australia, Victoria and Tasmania. Reserves are based on 2P reserves and production as of 2022.</w:t>
      </w:r>
    </w:p>
    <w:p w14:paraId="78227E1E" w14:textId="2AD9E6C0" w:rsidR="00EC7EC7" w:rsidRPr="0070009E" w:rsidRDefault="00EC7EC7" w:rsidP="0053600E">
      <w:pPr>
        <w:pStyle w:val="Source"/>
      </w:pPr>
      <w:r w:rsidRPr="007D6026">
        <w:t>Sources: EnergyQuest</w:t>
      </w:r>
      <w:r>
        <w:t xml:space="preserve"> (2023</w:t>
      </w:r>
      <w:r w:rsidR="006F4486">
        <w:t>c</w:t>
      </w:r>
      <w:r>
        <w:t>)</w:t>
      </w:r>
      <w:r w:rsidR="003F3AB0">
        <w:t>;</w:t>
      </w:r>
      <w:r w:rsidRPr="007D6026">
        <w:t xml:space="preserve"> G</w:t>
      </w:r>
      <w:r>
        <w:t>eoscience Australia</w:t>
      </w:r>
      <w:r w:rsidR="00A06860">
        <w:t xml:space="preserve"> (2023)</w:t>
      </w:r>
    </w:p>
    <w:p w14:paraId="5E4D482C" w14:textId="59F7D96C" w:rsidR="00EC7EC7" w:rsidRPr="00816B41" w:rsidRDefault="00EC7EC7" w:rsidP="00C97679">
      <w:pPr>
        <w:pStyle w:val="Caption"/>
      </w:pPr>
      <w:r>
        <w:br w:type="column"/>
      </w:r>
      <w:r w:rsidRPr="00816B41">
        <w:t xml:space="preserve">Figure </w:t>
      </w:r>
      <w:r w:rsidRPr="00816B41">
        <w:rPr>
          <w:noProof/>
        </w:rPr>
        <w:fldChar w:fldCharType="begin"/>
      </w:r>
      <w:r w:rsidRPr="00816B41">
        <w:rPr>
          <w:noProof/>
        </w:rPr>
        <w:instrText xml:space="preserve"> STYLEREF 1 \s </w:instrText>
      </w:r>
      <w:r w:rsidRPr="00816B41">
        <w:rPr>
          <w:noProof/>
        </w:rPr>
        <w:fldChar w:fldCharType="separate"/>
      </w:r>
      <w:r w:rsidR="00BF178A">
        <w:rPr>
          <w:noProof/>
        </w:rPr>
        <w:t>5</w:t>
      </w:r>
      <w:r w:rsidRPr="00816B41">
        <w:rPr>
          <w:noProof/>
        </w:rPr>
        <w:fldChar w:fldCharType="end"/>
      </w:r>
      <w:r w:rsidRPr="00816B41">
        <w:rPr>
          <w:noProof/>
        </w:rPr>
        <w:t>.</w:t>
      </w:r>
      <w:r>
        <w:rPr>
          <w:noProof/>
        </w:rPr>
        <w:t>5</w:t>
      </w:r>
      <w:r w:rsidRPr="00816B41">
        <w:t>: 2P</w:t>
      </w:r>
      <w:r>
        <w:t xml:space="preserve"> reserves</w:t>
      </w:r>
      <w:r w:rsidRPr="00816B41">
        <w:t xml:space="preserve"> and 2C resources by region and type</w:t>
      </w:r>
    </w:p>
    <w:p w14:paraId="55D6A2D0" w14:textId="5156041B" w:rsidR="00EC7EC7" w:rsidRPr="0051332E" w:rsidRDefault="00EC7EC7" w:rsidP="00EC7EC7">
      <w:pPr>
        <w:pStyle w:val="Note"/>
      </w:pPr>
      <w:r w:rsidRPr="00224C53">
        <w:rPr>
          <w:noProof/>
        </w:rPr>
        <w:t xml:space="preserve"> </w:t>
      </w:r>
      <w:r w:rsidR="00817883">
        <w:rPr>
          <w:noProof/>
        </w:rPr>
        <w:drawing>
          <wp:inline distT="0" distB="0" distL="0" distR="0" wp14:anchorId="441E3794" wp14:editId="6D03C13E">
            <wp:extent cx="4206875" cy="4124325"/>
            <wp:effectExtent l="0" t="0" r="3175" b="0"/>
            <wp:docPr id="74" name="Chart 74" descr="This figure shows Australian 2P gas reserves and 2C gas resources by region and type, in petajoule (PJ). Australia's total 2P gas reserves amount to 101,868 PJ, with conventional gas constituting 72% and unconventional gas making up 28%. Of the 142,290 PJ of 2C resources in 2021, 73% are found in conventional gas fields and 27% are in unconventional gas fields. The figure highlights that 97% of Australia’s 2P reserves are concentrated in Western Australia, Queensland, and the Northern Territory. In contrast, over two-thirds of the southern states’ total gas resources—and 86% of the region’s 2P reserves—have been depleted.">
              <a:extLst xmlns:a="http://schemas.openxmlformats.org/drawingml/2006/main">
                <a:ext uri="{FF2B5EF4-FFF2-40B4-BE49-F238E27FC236}">
                  <a16:creationId xmlns:a16="http://schemas.microsoft.com/office/drawing/2014/main" id="{D18CE198-28D6-4EC7-A8E7-F1ACE4BE3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630F5CF" w14:textId="3A6A787F" w:rsidR="00EC7EC7" w:rsidRDefault="00EC7EC7" w:rsidP="0053600E">
      <w:pPr>
        <w:pStyle w:val="Source"/>
      </w:pPr>
      <w:r>
        <w:t>Notes:</w:t>
      </w:r>
      <w:r w:rsidRPr="002C6C52">
        <w:t xml:space="preserve"> The 2P reserves and 2C resources data are reported at the end of March 2023 and during the year 2021, respectively</w:t>
      </w:r>
      <w:r>
        <w:t xml:space="preserve">. 2P reserves, 2C resources and accumulative production </w:t>
      </w:r>
      <w:r w:rsidR="008D638D">
        <w:t xml:space="preserve">figures cannot be presented </w:t>
      </w:r>
      <w:r>
        <w:t>for the same period due to data limitation. Bonaparte/Browse Basins are included in NT’s calculated resources. Australian gas resources can be classified into conventional and unconventional categories based on their geology and reservoir type. Unconventional gas resources: such as Coal Seam Gas (CSG) which is trapped within coal seams or coal beds and requires specialised or advanced techniques to extract such as hydraulic simulation techniques, and also includes shale or tight gas.</w:t>
      </w:r>
    </w:p>
    <w:p w14:paraId="3F52BD6C" w14:textId="3C23D67C" w:rsidR="00EC7EC7" w:rsidRDefault="00EC7EC7" w:rsidP="0053600E">
      <w:pPr>
        <w:pStyle w:val="Source"/>
      </w:pPr>
      <w:r w:rsidRPr="0051332E">
        <w:t xml:space="preserve">Source: </w:t>
      </w:r>
      <w:r w:rsidR="00FB0BB2">
        <w:t>GA</w:t>
      </w:r>
      <w:r w:rsidR="00A06860">
        <w:t xml:space="preserve"> (2023)</w:t>
      </w:r>
      <w:r w:rsidR="00253CF6">
        <w:t>;</w:t>
      </w:r>
      <w:r>
        <w:t xml:space="preserve"> </w:t>
      </w:r>
      <w:r w:rsidRPr="00C116D9">
        <w:t>EnergyQuest</w:t>
      </w:r>
      <w:r>
        <w:t xml:space="preserve"> (2023</w:t>
      </w:r>
      <w:r w:rsidR="006F4486">
        <w:t>c</w:t>
      </w:r>
      <w:r>
        <w:t>)</w:t>
      </w:r>
    </w:p>
    <w:p w14:paraId="5C5F1B33" w14:textId="77777777" w:rsidR="004244D7" w:rsidRDefault="004244D7" w:rsidP="00723BFF">
      <w:pPr>
        <w:pStyle w:val="BodyText"/>
        <w:spacing w:before="120"/>
        <w:rPr>
          <w:lang w:eastAsia="en-AU"/>
        </w:rPr>
      </w:pPr>
      <w:r>
        <w:t>Australia has substantial levels of gas resources: a total of 101,868 PJ in 2P gas reserves as of March 2023 (Table 5.1).</w:t>
      </w:r>
      <w:r>
        <w:rPr>
          <w:rStyle w:val="FootnoteReference"/>
        </w:rPr>
        <w:footnoteReference w:id="15"/>
      </w:r>
      <w:r>
        <w:t xml:space="preserve"> 72% of 2P reserves are conventional gas (72,905 PJ) and 28% are unconventional gas (28,962 PJ, Figure 5.5). Out of 142,290 PJ of 2C resources in 2021, 73% are located in conventional gas fields (104,532 PJ) and 27% are in unconventional gas fields (37,758 PJ).</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815435" w14:paraId="754E8C81" w14:textId="77777777" w:rsidTr="00F002E2">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47A3541C" w14:textId="77777777" w:rsidR="004244D7" w:rsidRPr="00401289" w:rsidRDefault="004244D7" w:rsidP="00F002E2">
            <w:pPr>
              <w:pStyle w:val="Boxtext"/>
              <w:spacing w:beforeLines="60" w:before="144" w:afterLines="60" w:after="144"/>
              <w:ind w:left="113" w:right="113"/>
              <w:jc w:val="both"/>
              <w:rPr>
                <w:color w:val="auto"/>
              </w:rPr>
            </w:pPr>
            <w:r w:rsidRPr="00462946">
              <w:rPr>
                <w:b/>
                <w:bCs/>
                <w:color w:val="auto"/>
              </w:rPr>
              <w:t xml:space="preserve">Insight: </w:t>
            </w:r>
            <w:r w:rsidRPr="00462946">
              <w:rPr>
                <w:color w:val="auto"/>
              </w:rPr>
              <w:t xml:space="preserve">Australia has substantial reserves. Reserves in the </w:t>
            </w:r>
            <w:r>
              <w:rPr>
                <w:color w:val="auto"/>
              </w:rPr>
              <w:t>s</w:t>
            </w:r>
            <w:r w:rsidRPr="00462946">
              <w:rPr>
                <w:color w:val="auto"/>
              </w:rPr>
              <w:t>outh</w:t>
            </w:r>
            <w:r>
              <w:rPr>
                <w:color w:val="auto"/>
              </w:rPr>
              <w:t>e</w:t>
            </w:r>
            <w:r w:rsidRPr="00462946">
              <w:rPr>
                <w:color w:val="auto"/>
              </w:rPr>
              <w:t>ast are 86% depleted, but significant reserves remain in WA (33% depleted), Queensland (33% depleted) and NT (only 4% depleted). However, the majority of gas resources are located geographically far from key demand centres and have limited infrastructure connecting them to the network.</w:t>
            </w:r>
            <w:r>
              <w:rPr>
                <w:color w:val="auto"/>
              </w:rPr>
              <w:t xml:space="preserve"> </w:t>
            </w:r>
            <w:r w:rsidRPr="00462946">
              <w:rPr>
                <w:color w:val="auto"/>
              </w:rPr>
              <w:t>There is also substantial unexplored territory both onshore and offshore that has geological potential for gas basins, some of which is located clos</w:t>
            </w:r>
            <w:r>
              <w:rPr>
                <w:color w:val="auto"/>
              </w:rPr>
              <w:t>e</w:t>
            </w:r>
            <w:r w:rsidRPr="00462946">
              <w:rPr>
                <w:color w:val="auto"/>
              </w:rPr>
              <w:t xml:space="preserve"> to demand centres.</w:t>
            </w:r>
          </w:p>
        </w:tc>
      </w:tr>
    </w:tbl>
    <w:p w14:paraId="790DEBD6" w14:textId="2B7CE619" w:rsidR="004244D7" w:rsidRDefault="004244D7" w:rsidP="004244D7">
      <w:pPr>
        <w:pStyle w:val="BodyText"/>
        <w:spacing w:before="120"/>
      </w:pPr>
      <w:r>
        <w:t>While Australia has substantial levels of gas resources, they are concentrated in certain locations. The vast majority (97%) of A</w:t>
      </w:r>
      <w:r w:rsidRPr="00DE7BF3">
        <w:t>ustralia</w:t>
      </w:r>
      <w:r>
        <w:t>’s 2P</w:t>
      </w:r>
      <w:r w:rsidRPr="00DE7BF3">
        <w:t xml:space="preserve"> </w:t>
      </w:r>
      <w:r>
        <w:t>reserves</w:t>
      </w:r>
      <w:r w:rsidRPr="00DE7BF3">
        <w:t xml:space="preserve"> </w:t>
      </w:r>
      <w:r>
        <w:t xml:space="preserve">are concentrated </w:t>
      </w:r>
      <w:r w:rsidRPr="00DE7BF3">
        <w:t xml:space="preserve">in </w:t>
      </w:r>
      <w:r>
        <w:t>Western Australia</w:t>
      </w:r>
      <w:r w:rsidRPr="00DE7BF3">
        <w:t xml:space="preserve">, Queensland, and </w:t>
      </w:r>
      <w:r>
        <w:t xml:space="preserve">the </w:t>
      </w:r>
      <w:r w:rsidRPr="00DE7BF3">
        <w:t>Northern Territory</w:t>
      </w:r>
      <w:r>
        <w:t>, which places the majority of the Australian 2P (and 2C) gas reserves (resources) geographically far from key domestic demand centres in southern states</w:t>
      </w:r>
      <w:r w:rsidR="004B2855">
        <w:t xml:space="preserve"> (GA 2023, EnergyQuest 2023</w:t>
      </w:r>
      <w:r w:rsidR="003402BE">
        <w:t>c</w:t>
      </w:r>
      <w:r w:rsidR="004B2855">
        <w:t>).</w:t>
      </w:r>
    </w:p>
    <w:p w14:paraId="261D60B0" w14:textId="77777777" w:rsidR="004244D7" w:rsidRDefault="004244D7" w:rsidP="004244D7">
      <w:pPr>
        <w:pStyle w:val="BodyText"/>
      </w:pPr>
      <w:r>
        <w:t xml:space="preserve">More than two-thirds of southern states’ total gas resources (and 86% of the region’s 2P reserves) have been depleted. At the current </w:t>
      </w:r>
      <w:r w:rsidRPr="00225035">
        <w:t>production level</w:t>
      </w:r>
      <w:r>
        <w:t>, existing southern 2P reserves</w:t>
      </w:r>
      <w:r w:rsidRPr="00225035">
        <w:t xml:space="preserve"> will </w:t>
      </w:r>
      <w:r>
        <w:t xml:space="preserve">be largely </w:t>
      </w:r>
      <w:r w:rsidRPr="00225035">
        <w:t>deplete</w:t>
      </w:r>
      <w:r>
        <w:t>d</w:t>
      </w:r>
      <w:r w:rsidRPr="00225035">
        <w:t xml:space="preserve"> within </w:t>
      </w:r>
      <w:r>
        <w:t>10</w:t>
      </w:r>
      <w:r w:rsidRPr="00225035">
        <w:t xml:space="preserve"> years.</w:t>
      </w:r>
      <w:r>
        <w:rPr>
          <w:rStyle w:val="FootnoteReference"/>
        </w:rPr>
        <w:footnoteReference w:id="16"/>
      </w:r>
      <w:r>
        <w:t xml:space="preserve"> </w:t>
      </w:r>
      <w:r w:rsidRPr="007E7EF1">
        <w:t>After th</w:t>
      </w:r>
      <w:r>
        <w:t>e</w:t>
      </w:r>
      <w:r w:rsidRPr="007E7EF1">
        <w:t xml:space="preserve"> depletion, the southern states </w:t>
      </w:r>
      <w:r>
        <w:t xml:space="preserve">face the prospect of developing new reserves or becoming </w:t>
      </w:r>
      <w:r w:rsidRPr="007E7EF1">
        <w:t xml:space="preserve">wholly dependent on gas transported from northern gas fields or LNG import terminals to meet domestic demand. To be viable, </w:t>
      </w:r>
      <w:r>
        <w:t>all such</w:t>
      </w:r>
      <w:r w:rsidRPr="007E7EF1">
        <w:t xml:space="preserve"> options involve </w:t>
      </w:r>
      <w:r>
        <w:t xml:space="preserve">considerable </w:t>
      </w:r>
      <w:r w:rsidRPr="007E7EF1">
        <w:t>investment and costs</w:t>
      </w:r>
      <w:r>
        <w:t>.</w:t>
      </w:r>
    </w:p>
    <w:p w14:paraId="501301CC" w14:textId="77777777" w:rsidR="004244D7" w:rsidRDefault="004244D7" w:rsidP="004244D7">
      <w:pPr>
        <w:pStyle w:val="BodyText"/>
      </w:pPr>
      <w:r>
        <w:t xml:space="preserve">In contrast, around one-third of total gas resources in Western Australia and Queensland have been exploited. Whereas the Northern Territory has only used 4% of its gas reserves (Figure 5.5 &amp; 5.6). </w:t>
      </w:r>
    </w:p>
    <w:p w14:paraId="0438E25A" w14:textId="72465B49" w:rsidR="004244D7" w:rsidRDefault="004244D7" w:rsidP="004244D7">
      <w:pPr>
        <w:pStyle w:val="BodyText"/>
      </w:pPr>
      <w:r>
        <w:t>For 2P reserves and 2C resources, judging the potential of gas fields is inherently risky and overestimating the potential reserves can lead to shortages where long-term contracts are involved. In some cases, e</w:t>
      </w:r>
      <w:r w:rsidRPr="001741CD">
        <w:t xml:space="preserve">xpected reserves from initial estimates of dedicated LNG supply have not proven accurate. The east coast has </w:t>
      </w:r>
      <w:r w:rsidR="00BD393C">
        <w:t>‘</w:t>
      </w:r>
      <w:r w:rsidRPr="001741CD">
        <w:t>lost</w:t>
      </w:r>
      <w:r w:rsidR="00BD393C">
        <w:t>’</w:t>
      </w:r>
      <w:r w:rsidRPr="001741CD">
        <w:t xml:space="preserve"> more than one train of LNG worth of gas (</w:t>
      </w:r>
      <w:r w:rsidR="008A40DC">
        <w:t xml:space="preserve">over </w:t>
      </w:r>
      <w:r w:rsidRPr="001741CD">
        <w:t>10,000 PJ) in the transition from initial contingent gas resources estimates to current stated proved reserves.</w:t>
      </w:r>
      <w:r>
        <w:t xml:space="preserve"> </w:t>
      </w:r>
    </w:p>
    <w:p w14:paraId="1550581C" w14:textId="77777777" w:rsidR="004244D7" w:rsidRDefault="004244D7" w:rsidP="00060CC5">
      <w:pPr>
        <w:pStyle w:val="Heading3"/>
      </w:pPr>
      <w:r>
        <w:t>Prospective resources</w:t>
      </w:r>
    </w:p>
    <w:p w14:paraId="5BBC5154" w14:textId="77777777" w:rsidR="00060CC5" w:rsidRDefault="004244D7" w:rsidP="00060CC5">
      <w:pPr>
        <w:pStyle w:val="BodyText"/>
      </w:pPr>
      <w:r>
        <w:t>In addition to 2P reserves and 2C resources, Australia hosts an unquantified level of prospective gas resources currently undiscovered.</w:t>
      </w:r>
      <w:r>
        <w:rPr>
          <w:rStyle w:val="FootnoteReference"/>
        </w:rPr>
        <w:footnoteReference w:id="17"/>
      </w:r>
      <w:r>
        <w:t xml:space="preserve"> South Australia, Queensland, and the Northern Territory are east coast onshore locations that could all </w:t>
      </w:r>
      <w:r w:rsidRPr="00CF61D2">
        <w:t xml:space="preserve">be </w:t>
      </w:r>
      <w:r>
        <w:t>the site of potential future basins (areas of purple shading in Figure 5.7). Little is known about the size, commerciality, and emissions profile of these prospective resources.</w:t>
      </w:r>
      <w:r>
        <w:rPr>
          <w:rStyle w:val="FootnoteReference"/>
        </w:rPr>
        <w:footnoteReference w:id="18"/>
      </w:r>
    </w:p>
    <w:p w14:paraId="7F7929E5" w14:textId="4B445F1D" w:rsidR="00BC0461" w:rsidRDefault="00BC0461" w:rsidP="00060CC5">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5</w:t>
      </w:r>
      <w:r>
        <w:rPr>
          <w:noProof/>
        </w:rPr>
        <w:fldChar w:fldCharType="end"/>
      </w:r>
      <w:r>
        <w:rPr>
          <w:noProof/>
        </w:rPr>
        <w:t>.6</w:t>
      </w:r>
      <w:r w:rsidRPr="00CA7131">
        <w:t>:</w:t>
      </w:r>
      <w:r>
        <w:t xml:space="preserve"> East coast prospective onshore gas resources</w:t>
      </w:r>
      <w:r w:rsidR="008A40DC">
        <w:t>, 2023</w:t>
      </w:r>
    </w:p>
    <w:p w14:paraId="664932DF" w14:textId="604F5F0D" w:rsidR="00BC0461" w:rsidRDefault="00BC0461" w:rsidP="00BC0461">
      <w:pPr>
        <w:pStyle w:val="Note"/>
        <w:jc w:val="center"/>
      </w:pPr>
      <w:r>
        <w:rPr>
          <w:noProof/>
        </w:rPr>
        <w:drawing>
          <wp:inline distT="0" distB="0" distL="0" distR="0" wp14:anchorId="7E567A0A" wp14:editId="485359DC">
            <wp:extent cx="3753958" cy="5046453"/>
            <wp:effectExtent l="0" t="0" r="0" b="1905"/>
            <wp:docPr id="24" name="Picture 24" descr="This map displays east coast perspective onshore gas resources. In East coast, producing gas basins are Otway basins, Bass basin, Bowen-Surat basin, Sydney basin, Cooper basin, Gunnedah basin, Amadeus basin and Gloucester basin. Non-producing basins with contingent resources are Eromanga basin, McArthur basin, Beetaloo Sub-basin, Galilee basin and Maryborough basin. Non-producing basins with perspective resources include Officer basin, Georgina basin and Adavale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map displays east coast perspective onshore gas resources. In East coast, producing gas basins are Otway basins, Bass basin, Bowen-Surat basin, Sydney basin, Cooper basin, Gunnedah basin, Amadeus basin and Gloucester basin. Non-producing basins with contingent resources are Eromanga basin, McArthur basin, Beetaloo Sub-basin, Galilee basin and Maryborough basin. Non-producing basins with perspective resources include Officer basin, Georgina basin and Adavale basin."/>
                    <pic:cNvPicPr/>
                  </pic:nvPicPr>
                  <pic:blipFill>
                    <a:blip r:embed="rId92"/>
                    <a:stretch>
                      <a:fillRect/>
                    </a:stretch>
                  </pic:blipFill>
                  <pic:spPr>
                    <a:xfrm>
                      <a:off x="0" y="0"/>
                      <a:ext cx="3760351" cy="5055047"/>
                    </a:xfrm>
                    <a:prstGeom prst="rect">
                      <a:avLst/>
                    </a:prstGeom>
                  </pic:spPr>
                </pic:pic>
              </a:graphicData>
            </a:graphic>
          </wp:inline>
        </w:drawing>
      </w:r>
    </w:p>
    <w:p w14:paraId="39219F71" w14:textId="24684162" w:rsidR="00060CC5" w:rsidRDefault="00BC0461" w:rsidP="001548BB">
      <w:pPr>
        <w:pStyle w:val="Source"/>
        <w:sectPr w:rsidR="00060CC5" w:rsidSect="008A223A">
          <w:type w:val="continuous"/>
          <w:pgSz w:w="16838" w:h="11906" w:orient="landscape" w:code="9"/>
          <w:pgMar w:top="709" w:right="1440" w:bottom="568" w:left="1440" w:header="709" w:footer="709" w:gutter="0"/>
          <w:cols w:num="2" w:space="708"/>
          <w:docGrid w:linePitch="360"/>
        </w:sectPr>
      </w:pPr>
      <w:r>
        <w:t>Notes: This map is intended to be a high-level representation only.</w:t>
      </w:r>
      <w:r w:rsidR="001548BB">
        <w:br/>
        <w:t>Source: DISR created the map based on data from GA</w:t>
      </w:r>
    </w:p>
    <w:p w14:paraId="1E2DFF84" w14:textId="7463B558" w:rsidR="00BC0461" w:rsidRDefault="00BC0461"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5</w:t>
      </w:r>
      <w:r>
        <w:rPr>
          <w:noProof/>
        </w:rPr>
        <w:fldChar w:fldCharType="end"/>
      </w:r>
      <w:r>
        <w:rPr>
          <w:noProof/>
        </w:rPr>
        <w:t>.7</w:t>
      </w:r>
      <w:r w:rsidRPr="00CA7131">
        <w:t xml:space="preserve">: </w:t>
      </w:r>
      <w:r w:rsidRPr="00705043">
        <w:t xml:space="preserve">Australian </w:t>
      </w:r>
      <w:r w:rsidR="001B50F3">
        <w:t>g</w:t>
      </w:r>
      <w:r w:rsidRPr="00705043">
        <w:t xml:space="preserve">as </w:t>
      </w:r>
      <w:r w:rsidR="001B50F3">
        <w:t>b</w:t>
      </w:r>
      <w:r w:rsidRPr="00705043">
        <w:t xml:space="preserve">asins, </w:t>
      </w:r>
      <w:r w:rsidR="001B50F3">
        <w:t>p</w:t>
      </w:r>
      <w:r w:rsidRPr="00705043">
        <w:t xml:space="preserve">ipelines and LNG </w:t>
      </w:r>
      <w:r w:rsidR="001B50F3">
        <w:t>f</w:t>
      </w:r>
      <w:r w:rsidRPr="00705043">
        <w:t>acilities</w:t>
      </w:r>
      <w:r>
        <w:rPr>
          <w:rStyle w:val="FootnoteReference"/>
        </w:rPr>
        <w:footnoteReference w:id="19"/>
      </w:r>
      <w:r>
        <w:t xml:space="preserve"> </w:t>
      </w:r>
    </w:p>
    <w:p w14:paraId="65B025FF" w14:textId="6E6E0ADB" w:rsidR="00C97679" w:rsidRDefault="00BC0461" w:rsidP="00C97679">
      <w:pPr>
        <w:pStyle w:val="Note"/>
        <w:keepNext w:val="0"/>
        <w:rPr>
          <w:noProof/>
        </w:rPr>
      </w:pPr>
      <w:r>
        <w:rPr>
          <w:noProof/>
        </w:rPr>
        <w:drawing>
          <wp:inline distT="0" distB="0" distL="0" distR="0" wp14:anchorId="0F6D6E34" wp14:editId="701F0C8A">
            <wp:extent cx="8162925" cy="5654151"/>
            <wp:effectExtent l="0" t="0" r="0" b="3810"/>
            <wp:docPr id="9" name="Picture 9" descr="This map displays the gas basins, major pipelines, and LNG facilities in Australia. It details basin names, cumulative production, 2P gas reserves, and 2C gas resources, with the estimated end-year for 2P gas reserves noted beside each basin. The Northern Territory, Queensland, and the Southern states are interconnected via major pipelines. In Western Australia, major pipelines connect the key demand centres to the gas supply facilities. Gas processing facilities are concentrated near Wallumbilla in Queensland, southern Melbourne, and North west shelf in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map displays the gas basins, major pipelines, and LNG facilities in Australia. It details basin names, cumulative production, 2P gas reserves, and 2C gas resources, with the estimated end-year for 2P gas reserves noted beside each basin. The Northern Territory, Queensland, and the Southern states are interconnected via major pipelines. In Western Australia, major pipelines connect the key demand centres to the gas supply facilities. Gas processing facilities are concentrated near Wallumbilla in Queensland, southern Melbourne, and North west shelf in Western Australia. "/>
                    <pic:cNvPicPr/>
                  </pic:nvPicPr>
                  <pic:blipFill>
                    <a:blip r:embed="rId93"/>
                    <a:stretch>
                      <a:fillRect/>
                    </a:stretch>
                  </pic:blipFill>
                  <pic:spPr>
                    <a:xfrm>
                      <a:off x="0" y="0"/>
                      <a:ext cx="8218979" cy="5692978"/>
                    </a:xfrm>
                    <a:prstGeom prst="rect">
                      <a:avLst/>
                    </a:prstGeom>
                  </pic:spPr>
                </pic:pic>
              </a:graphicData>
            </a:graphic>
          </wp:inline>
        </w:drawing>
      </w:r>
      <w:r>
        <w:rPr>
          <w:noProof/>
        </w:rPr>
        <w:t xml:space="preserve"> </w:t>
      </w:r>
    </w:p>
    <w:p w14:paraId="59EE7D0E" w14:textId="77777777" w:rsidR="00060CC5" w:rsidRDefault="00060CC5">
      <w:pPr>
        <w:spacing w:after="200" w:line="276" w:lineRule="auto"/>
        <w:rPr>
          <w:noProof/>
        </w:rPr>
        <w:sectPr w:rsidR="00060CC5" w:rsidSect="00060CC5">
          <w:type w:val="continuous"/>
          <w:pgSz w:w="16838" w:h="11906" w:orient="landscape" w:code="9"/>
          <w:pgMar w:top="709" w:right="1440" w:bottom="568" w:left="1440" w:header="709" w:footer="709" w:gutter="0"/>
          <w:cols w:space="708"/>
          <w:docGrid w:linePitch="360"/>
        </w:sectPr>
      </w:pPr>
    </w:p>
    <w:p w14:paraId="54A3AF7E" w14:textId="77777777" w:rsidR="004244D7" w:rsidRDefault="004244D7" w:rsidP="004244D7">
      <w:pPr>
        <w:pStyle w:val="Heading2"/>
        <w:numPr>
          <w:ilvl w:val="1"/>
          <w:numId w:val="3"/>
        </w:numPr>
        <w:spacing w:before="240"/>
      </w:pPr>
      <w:bookmarkStart w:id="139" w:name="_Toc172794526"/>
      <w:r>
        <w:t>Investment trends and outlook</w:t>
      </w:r>
      <w:bookmarkEnd w:id="139"/>
    </w:p>
    <w:p w14:paraId="53AC8386" w14:textId="1AFE22C7" w:rsidR="00BC0461" w:rsidRDefault="004244D7" w:rsidP="004244D7">
      <w:pPr>
        <w:pStyle w:val="BodyText"/>
      </w:pPr>
      <w:r>
        <w:t>Both maintaining production and accessing prospective resources is dependent on the exploration spending on released acreage (among other things). However, exploration expenditure has declined significantly in recent times, with WA reporting the lowest spend in the last 25 years</w:t>
      </w:r>
      <w:r w:rsidR="000E7DEE">
        <w:t xml:space="preserve"> (ABS 2023</w:t>
      </w:r>
      <w:r w:rsidR="00B457BA">
        <w:t>a</w:t>
      </w:r>
      <w:r w:rsidR="000E7DEE">
        <w:t>)</w:t>
      </w:r>
      <w:r>
        <w:t>.</w:t>
      </w:r>
    </w:p>
    <w:p w14:paraId="7D367DF4" w14:textId="5A85A234" w:rsidR="004244D7" w:rsidRDefault="004244D7" w:rsidP="004244D7">
      <w:pPr>
        <w:pStyle w:val="BodyText"/>
      </w:pPr>
      <w:r w:rsidRPr="003C0383">
        <w:t xml:space="preserve">This </w:t>
      </w:r>
      <w:r>
        <w:t>decline</w:t>
      </w:r>
      <w:r w:rsidRPr="003C0383">
        <w:t xml:space="preserve"> can be observed in three inter-related areas, including:</w:t>
      </w:r>
    </w:p>
    <w:p w14:paraId="2E8B05D5" w14:textId="77777777" w:rsidR="004244D7" w:rsidRDefault="004244D7" w:rsidP="004244D7">
      <w:pPr>
        <w:pStyle w:val="ListBullet"/>
        <w:numPr>
          <w:ilvl w:val="0"/>
          <w:numId w:val="4"/>
        </w:numPr>
      </w:pPr>
      <w:r w:rsidRPr="007E7EF1">
        <w:t xml:space="preserve">less offshore acreage being released, fewer bids made and awarded (in terms of both numbers and area, Figure </w:t>
      </w:r>
      <w:r>
        <w:t>5</w:t>
      </w:r>
      <w:r w:rsidRPr="007E7EF1">
        <w:t>.</w:t>
      </w:r>
      <w:r>
        <w:t>8</w:t>
      </w:r>
      <w:r w:rsidRPr="007E7EF1">
        <w:t>)</w:t>
      </w:r>
      <w:r>
        <w:t>;</w:t>
      </w:r>
    </w:p>
    <w:p w14:paraId="266B9086" w14:textId="77777777" w:rsidR="004244D7" w:rsidRDefault="004244D7" w:rsidP="004244D7">
      <w:pPr>
        <w:pStyle w:val="ListBullet"/>
        <w:numPr>
          <w:ilvl w:val="0"/>
          <w:numId w:val="4"/>
        </w:numPr>
      </w:pPr>
      <w:r w:rsidRPr="007E7EF1">
        <w:t>low rates of exploration spending</w:t>
      </w:r>
      <w:r>
        <w:t>, particular for offshore projects</w:t>
      </w:r>
      <w:r w:rsidRPr="007E7EF1">
        <w:t xml:space="preserve"> (measured by petroleum expenditure, Figure </w:t>
      </w:r>
      <w:r>
        <w:t>5</w:t>
      </w:r>
      <w:r w:rsidRPr="007E7EF1">
        <w:t>.</w:t>
      </w:r>
      <w:r>
        <w:t>9</w:t>
      </w:r>
      <w:r w:rsidRPr="007E7EF1">
        <w:t>)</w:t>
      </w:r>
      <w:r>
        <w:t>; and</w:t>
      </w:r>
    </w:p>
    <w:p w14:paraId="6C3EDB43" w14:textId="15605F63" w:rsidR="004244D7" w:rsidRDefault="004244D7" w:rsidP="00FE49A7">
      <w:pPr>
        <w:pStyle w:val="ListBullet"/>
        <w:numPr>
          <w:ilvl w:val="0"/>
          <w:numId w:val="4"/>
        </w:numPr>
      </w:pPr>
      <w:r w:rsidRPr="007E7EF1">
        <w:t xml:space="preserve">increasing time taken to award acreage once it has been released for exploration (as measured by time taken to issue a permit, Figure </w:t>
      </w:r>
      <w:r>
        <w:t>5</w:t>
      </w:r>
      <w:r w:rsidRPr="007E7EF1">
        <w:t>.</w:t>
      </w:r>
      <w:r>
        <w:t>10</w:t>
      </w:r>
      <w:r w:rsidRPr="007E7EF1">
        <w:t>)</w:t>
      </w:r>
      <w:r>
        <w:t>.</w:t>
      </w:r>
    </w:p>
    <w:p w14:paraId="06282556" w14:textId="77777777" w:rsidR="004244D7" w:rsidRDefault="004244D7" w:rsidP="00FE49A7">
      <w:pPr>
        <w:pStyle w:val="ListBullet3"/>
        <w:numPr>
          <w:ilvl w:val="0"/>
          <w:numId w:val="0"/>
        </w:numPr>
        <w:spacing w:before="120" w:after="120"/>
      </w:pPr>
      <w:r>
        <w:t xml:space="preserve">The causes of Australia’s low gas investment in exploration are multifaceted. The exploration and production industry experienced a downturn due to the pandemic and impending oil market crash, and the inflationary environment that followed. Also, investment has been limited as Australian LNG projects are currently in their production phase. International companies may also be focused on lower cost and lower risk fields in other countries. </w:t>
      </w:r>
    </w:p>
    <w:p w14:paraId="5D156727" w14:textId="5C42C91D" w:rsidR="004244D7" w:rsidRDefault="004244D7"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5</w:t>
      </w:r>
      <w:r>
        <w:rPr>
          <w:noProof/>
        </w:rPr>
        <w:fldChar w:fldCharType="end"/>
      </w:r>
      <w:r>
        <w:rPr>
          <w:noProof/>
        </w:rPr>
        <w:t>.8</w:t>
      </w:r>
      <w:r>
        <w:t xml:space="preserve">: </w:t>
      </w:r>
      <w:r w:rsidRPr="004B1FE1">
        <w:t>Awar</w:t>
      </w:r>
      <w:r>
        <w:t>d</w:t>
      </w:r>
      <w:r w:rsidRPr="004B1FE1">
        <w:t xml:space="preserve">ed </w:t>
      </w:r>
      <w:r>
        <w:t>o</w:t>
      </w:r>
      <w:r w:rsidRPr="004B1FE1">
        <w:t>ffshore acreages by count, 2011</w:t>
      </w:r>
      <w:r w:rsidR="004C117A">
        <w:t xml:space="preserve"> to </w:t>
      </w:r>
      <w:r>
        <w:t>20</w:t>
      </w:r>
      <w:r w:rsidRPr="004B1FE1">
        <w:t>22</w:t>
      </w:r>
    </w:p>
    <w:p w14:paraId="19231B49" w14:textId="77777777" w:rsidR="004244D7" w:rsidRPr="00C62F3A" w:rsidRDefault="004244D7" w:rsidP="004244D7">
      <w:pPr>
        <w:pStyle w:val="Note"/>
      </w:pPr>
      <w:r>
        <w:rPr>
          <w:noProof/>
        </w:rPr>
        <w:drawing>
          <wp:inline distT="0" distB="0" distL="0" distR="0" wp14:anchorId="7F7D3195" wp14:editId="210448C0">
            <wp:extent cx="4467225" cy="1981200"/>
            <wp:effectExtent l="0" t="0" r="0" b="0"/>
            <wp:docPr id="12" name="Chart 12" descr="This figure shows the total number of offshore acreage exploration permits awarded and total acreage area awarded from 2011 to 2022. It indicates a consistent decline in both the number of permits awarded and the total acreage area over this period. Specifically, total number of awarded permits declined sharply from 19 in 2011 to 4 in 2022 and total acreage awarded also significantly decreased from the peak of around 160,000 Km2 in 2013 to around 10,000 Km2 in 2022.">
              <a:extLst xmlns:a="http://schemas.openxmlformats.org/drawingml/2006/main">
                <a:ext uri="{FF2B5EF4-FFF2-40B4-BE49-F238E27FC236}">
                  <a16:creationId xmlns:a16="http://schemas.microsoft.com/office/drawing/2014/main" id="{232807AB-7EFB-46FE-6DAD-964EDC5FD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2DA8A5F" w14:textId="77777777" w:rsidR="004244D7" w:rsidRDefault="004244D7" w:rsidP="00DC674E">
      <w:pPr>
        <w:pStyle w:val="Source"/>
      </w:pPr>
      <w:r>
        <w:t xml:space="preserve">Notes: Based on </w:t>
      </w:r>
      <w:bookmarkStart w:id="140" w:name="_Hlk165644449"/>
      <w:r>
        <w:t>offshore petroleum exploration acreage release reports</w:t>
      </w:r>
      <w:bookmarkEnd w:id="140"/>
      <w:r>
        <w:t>.</w:t>
      </w:r>
    </w:p>
    <w:p w14:paraId="44FB49F5" w14:textId="5D4B2070" w:rsidR="004244D7" w:rsidRDefault="004244D7" w:rsidP="00DC674E">
      <w:pPr>
        <w:pStyle w:val="Source"/>
      </w:pPr>
      <w:r>
        <w:t>Source: DISR</w:t>
      </w:r>
      <w:r w:rsidR="00FC2216">
        <w:t xml:space="preserve"> </w:t>
      </w:r>
      <w:r w:rsidR="009B65DD">
        <w:t xml:space="preserve">(unpublished </w:t>
      </w:r>
      <w:r w:rsidR="005E5C64">
        <w:t>c</w:t>
      </w:r>
      <w:r w:rsidR="009B65DD">
        <w:t>)</w:t>
      </w:r>
      <w:r w:rsidR="005E5C64">
        <w:t xml:space="preserve"> analysis of </w:t>
      </w:r>
      <w:r w:rsidR="005E5C64" w:rsidRPr="005E5C64">
        <w:t>petroleum exploration acreage database</w:t>
      </w:r>
    </w:p>
    <w:p w14:paraId="0068F474" w14:textId="3467465E" w:rsidR="004244D7" w:rsidRDefault="004244D7" w:rsidP="00C97679">
      <w:pPr>
        <w:pStyle w:val="Caption"/>
      </w:pPr>
      <w:r>
        <w:t xml:space="preserve">Figure </w:t>
      </w:r>
      <w:r w:rsidR="00341B3B">
        <w:fldChar w:fldCharType="begin"/>
      </w:r>
      <w:r w:rsidR="00341B3B">
        <w:instrText xml:space="preserve"> STYLEREF 1 \s </w:instrText>
      </w:r>
      <w:r w:rsidR="00341B3B">
        <w:fldChar w:fldCharType="separate"/>
      </w:r>
      <w:r w:rsidR="00BF178A">
        <w:rPr>
          <w:noProof/>
        </w:rPr>
        <w:t>5</w:t>
      </w:r>
      <w:r w:rsidR="00341B3B">
        <w:rPr>
          <w:noProof/>
        </w:rPr>
        <w:fldChar w:fldCharType="end"/>
      </w:r>
      <w:r>
        <w:t>.9: Oil and Gas exploration expenditure, by type, 20</w:t>
      </w:r>
      <w:r w:rsidR="00AD7351">
        <w:t>00</w:t>
      </w:r>
      <w:r w:rsidR="004C117A">
        <w:t xml:space="preserve"> to </w:t>
      </w:r>
      <w:r>
        <w:t>2023</w:t>
      </w:r>
    </w:p>
    <w:p w14:paraId="5576AD41" w14:textId="77777777" w:rsidR="004244D7" w:rsidRDefault="004244D7" w:rsidP="004244D7">
      <w:pPr>
        <w:pStyle w:val="Note"/>
      </w:pPr>
      <w:r>
        <w:rPr>
          <w:noProof/>
        </w:rPr>
        <w:drawing>
          <wp:inline distT="0" distB="0" distL="0" distR="0" wp14:anchorId="1695BE5C" wp14:editId="2C623B1A">
            <wp:extent cx="4206875" cy="2304000"/>
            <wp:effectExtent l="0" t="0" r="3175" b="1270"/>
            <wp:docPr id="13" name="Chart 13" descr="This figure shows yearly oil and gas exploration expenditure by type from 2011 to 2023, in Australian dollars. The figure shows that total offshore and onshore oil and gas exploration expenditures peaked in 2014 at over $4,500 million and then declined sharply, reaching its lowest point of less than $1,000 million in 2022. Conversely, the expenditure for onshore gas exploration has shown a consistent increase since 2016, reaching over A$664 million in 2023, which is more than double the amount of 2016. ">
              <a:extLst xmlns:a="http://schemas.openxmlformats.org/drawingml/2006/main">
                <a:ext uri="{FF2B5EF4-FFF2-40B4-BE49-F238E27FC236}">
                  <a16:creationId xmlns:a16="http://schemas.microsoft.com/office/drawing/2014/main" id="{496DAC9C-7810-04B4-CF4E-1F6FE9FC1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4E16969" w14:textId="5D50E904" w:rsidR="004244D7" w:rsidRDefault="004244D7" w:rsidP="00DC674E">
      <w:pPr>
        <w:pStyle w:val="Source"/>
      </w:pPr>
      <w:r>
        <w:t xml:space="preserve">Source: </w:t>
      </w:r>
      <w:r w:rsidR="009A71DD">
        <w:t>ABS</w:t>
      </w:r>
      <w:r>
        <w:t xml:space="preserve"> (2023</w:t>
      </w:r>
      <w:r w:rsidR="009A71DD">
        <w:t>a</w:t>
      </w:r>
      <w:r>
        <w:t xml:space="preserve">) </w:t>
      </w:r>
    </w:p>
    <w:bookmarkEnd w:id="138"/>
    <w:p w14:paraId="3624573A" w14:textId="773301A8" w:rsidR="00EC7EC7" w:rsidRDefault="00EC7EC7" w:rsidP="00C97679">
      <w:pPr>
        <w:pStyle w:val="Caption"/>
      </w:pPr>
      <w:r>
        <w:t xml:space="preserve">Figure </w:t>
      </w:r>
      <w:r w:rsidR="00341B3B">
        <w:fldChar w:fldCharType="begin"/>
      </w:r>
      <w:r w:rsidR="00341B3B">
        <w:instrText xml:space="preserve"> STYLEREF 1 \s </w:instrText>
      </w:r>
      <w:r w:rsidR="00341B3B">
        <w:fldChar w:fldCharType="separate"/>
      </w:r>
      <w:r w:rsidR="00BF178A">
        <w:rPr>
          <w:noProof/>
        </w:rPr>
        <w:t>5</w:t>
      </w:r>
      <w:r w:rsidR="00341B3B">
        <w:rPr>
          <w:noProof/>
        </w:rPr>
        <w:fldChar w:fldCharType="end"/>
      </w:r>
      <w:r>
        <w:t>.10: Average days taken to issue permit for offshore a</w:t>
      </w:r>
      <w:r w:rsidRPr="00B20C3A">
        <w:t>creages</w:t>
      </w:r>
      <w:r>
        <w:t>, 2013</w:t>
      </w:r>
      <w:r w:rsidR="004C117A">
        <w:t xml:space="preserve"> to </w:t>
      </w:r>
      <w:r>
        <w:t>2022</w:t>
      </w:r>
    </w:p>
    <w:p w14:paraId="2B33107B" w14:textId="6EAC0AEC" w:rsidR="00EC7EC7" w:rsidRDefault="00817883" w:rsidP="00EC7EC7">
      <w:pPr>
        <w:pStyle w:val="Note"/>
      </w:pPr>
      <w:r>
        <w:rPr>
          <w:noProof/>
        </w:rPr>
        <w:drawing>
          <wp:inline distT="0" distB="0" distL="0" distR="0" wp14:anchorId="592BF957" wp14:editId="1070855B">
            <wp:extent cx="4206875" cy="2304000"/>
            <wp:effectExtent l="0" t="0" r="3175" b="1270"/>
            <wp:docPr id="79" name="Chart 79" descr="This figure shows average days taken to issue permit for offshore acreages in Australia from 2013 to 2022. It reveals a general upward trend in the average number of days required to issue a permit, increasing from approximately 200 days in 2013 to around 380 days in 2022. ">
              <a:extLst xmlns:a="http://schemas.openxmlformats.org/drawingml/2006/main">
                <a:ext uri="{FF2B5EF4-FFF2-40B4-BE49-F238E27FC236}">
                  <a16:creationId xmlns:a16="http://schemas.microsoft.com/office/drawing/2014/main" id="{5FF2C775-A3C0-4F73-9957-7939B85AC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10C124D" w14:textId="77777777" w:rsidR="00EC7EC7" w:rsidRPr="00C62F3A" w:rsidRDefault="00EC7EC7" w:rsidP="00DC674E">
      <w:pPr>
        <w:pStyle w:val="Source"/>
      </w:pPr>
      <w:r>
        <w:t>Notes: The duration is calculated based on permit award dates and the bidding close dates.</w:t>
      </w:r>
    </w:p>
    <w:p w14:paraId="37C17110" w14:textId="55934B12" w:rsidR="00BC0461" w:rsidRDefault="00EC7EC7" w:rsidP="00DC674E">
      <w:pPr>
        <w:pStyle w:val="Source"/>
        <w:rPr>
          <w:color w:val="373737"/>
          <w:sz w:val="20"/>
        </w:rPr>
      </w:pPr>
      <w:r>
        <w:t xml:space="preserve">Source: </w:t>
      </w:r>
      <w:r w:rsidR="009B65DD">
        <w:t xml:space="preserve">DISR (unpublished </w:t>
      </w:r>
      <w:r w:rsidR="005E5C64">
        <w:t>d</w:t>
      </w:r>
      <w:r w:rsidR="009B65DD">
        <w:t xml:space="preserve">) analysis of </w:t>
      </w:r>
      <w:r w:rsidRPr="007E365B">
        <w:t>National Offshore Petroleum Titles Administrato</w:t>
      </w:r>
      <w:r>
        <w:t>r</w:t>
      </w:r>
      <w:r w:rsidR="00995DF7">
        <w:t xml:space="preserve"> </w:t>
      </w:r>
      <w:r w:rsidR="009B65DD" w:rsidRPr="009B65DD">
        <w:t xml:space="preserve">data </w:t>
      </w:r>
      <w:r w:rsidR="00BC0461">
        <w:br w:type="page"/>
      </w:r>
    </w:p>
    <w:p w14:paraId="76AC6A77" w14:textId="44BD931C" w:rsidR="00EC7EC7" w:rsidRDefault="00EC7EC7" w:rsidP="00EC7EC7">
      <w:pPr>
        <w:pStyle w:val="BodyText"/>
      </w:pPr>
      <w:r>
        <w:t xml:space="preserve">Stakeholder consultation has indicated that the range of factors that might contribute to low investment levels may include: </w:t>
      </w:r>
    </w:p>
    <w:p w14:paraId="4F7D5FD3" w14:textId="4491ACAE" w:rsidR="00EC7EC7" w:rsidRDefault="00EC7EC7" w:rsidP="00EC7EC7">
      <w:pPr>
        <w:pStyle w:val="ListBullet"/>
        <w:numPr>
          <w:ilvl w:val="0"/>
          <w:numId w:val="4"/>
        </w:numPr>
        <w:jc w:val="left"/>
      </w:pPr>
      <w:r>
        <w:t>G</w:t>
      </w:r>
      <w:r w:rsidRPr="00A92315">
        <w:t>lobal developments</w:t>
      </w:r>
      <w:r>
        <w:t xml:space="preserve">, such as cyclical (and structural) movements in oil and gas markets and prices, a generalised poor environment for access to project finance, the attractiveness and availability of new gas investment opportunities in other </w:t>
      </w:r>
      <w:r w:rsidR="005808B7">
        <w:t>parts of the world</w:t>
      </w:r>
      <w:r>
        <w:t>, and advances in substitutes to gas such as renewable energy technologies</w:t>
      </w:r>
      <w:r w:rsidR="00A240C6">
        <w:t>;</w:t>
      </w:r>
    </w:p>
    <w:p w14:paraId="17D20097" w14:textId="5A7CB236" w:rsidR="00EC7EC7" w:rsidRDefault="00EC7EC7" w:rsidP="00EC7EC7">
      <w:pPr>
        <w:pStyle w:val="ListBullet"/>
        <w:numPr>
          <w:ilvl w:val="0"/>
          <w:numId w:val="4"/>
        </w:numPr>
        <w:jc w:val="left"/>
      </w:pPr>
      <w:r>
        <w:t>C</w:t>
      </w:r>
      <w:r w:rsidRPr="0021732B">
        <w:t xml:space="preserve">ommonwealth and </w:t>
      </w:r>
      <w:r w:rsidR="0020044E">
        <w:t>s</w:t>
      </w:r>
      <w:r w:rsidRPr="0021732B">
        <w:t xml:space="preserve">tate government </w:t>
      </w:r>
      <w:r>
        <w:t xml:space="preserve">project </w:t>
      </w:r>
      <w:r w:rsidRPr="0021732B">
        <w:t>approval processes</w:t>
      </w:r>
      <w:r>
        <w:t>;</w:t>
      </w:r>
    </w:p>
    <w:p w14:paraId="6E6D59A6" w14:textId="1EEBD5EC" w:rsidR="00EC7EC7" w:rsidRDefault="00EC7EC7" w:rsidP="00EC7EC7">
      <w:pPr>
        <w:pStyle w:val="ListBullet"/>
        <w:numPr>
          <w:ilvl w:val="0"/>
          <w:numId w:val="4"/>
        </w:numPr>
        <w:jc w:val="left"/>
      </w:pPr>
      <w:r>
        <w:t xml:space="preserve">Prominent legal challenges to large projects, such as to drilling and fracking in the Beetaloo sub-basin by resources </w:t>
      </w:r>
      <w:r w:rsidR="00712847">
        <w:t>compan</w:t>
      </w:r>
      <w:r w:rsidR="00915A65">
        <w:t>ies</w:t>
      </w:r>
      <w:r w:rsidR="00A240C6">
        <w:t>;</w:t>
      </w:r>
    </w:p>
    <w:p w14:paraId="7415295E" w14:textId="351D7829" w:rsidR="00EC7EC7" w:rsidRDefault="00EC7EC7" w:rsidP="00EC7EC7">
      <w:pPr>
        <w:pStyle w:val="ListBullet"/>
        <w:numPr>
          <w:ilvl w:val="0"/>
          <w:numId w:val="4"/>
        </w:numPr>
        <w:jc w:val="left"/>
      </w:pPr>
      <w:r>
        <w:t>The concentrated Australian market for gas production and transmission, which along with large levels of undeveloped reserves in discovered resources may contribute to ‘gas hoarding’ behaviour</w:t>
      </w:r>
      <w:r w:rsidR="00A240C6">
        <w:t>;</w:t>
      </w:r>
    </w:p>
    <w:p w14:paraId="6AE0E2EC" w14:textId="1DF89696" w:rsidR="00EC7EC7" w:rsidRDefault="00EC7EC7" w:rsidP="00EC7EC7">
      <w:pPr>
        <w:pStyle w:val="ListBullet"/>
        <w:numPr>
          <w:ilvl w:val="0"/>
          <w:numId w:val="4"/>
        </w:numPr>
        <w:jc w:val="left"/>
      </w:pPr>
      <w:r>
        <w:t>State government interventions that affect gas supply and demand, such as Victorian bans on exploration and production of onshore unconventional gas and Victorian</w:t>
      </w:r>
      <w:r w:rsidR="003C0383">
        <w:t>/</w:t>
      </w:r>
      <w:r>
        <w:t>ACT bans on new gas connections</w:t>
      </w:r>
      <w:r w:rsidR="00A240C6">
        <w:t>;</w:t>
      </w:r>
    </w:p>
    <w:p w14:paraId="506E679A" w14:textId="7CCDA7BE" w:rsidR="00EC7EC7" w:rsidRDefault="00EC7EC7" w:rsidP="00EC7EC7">
      <w:pPr>
        <w:pStyle w:val="ListBullet"/>
        <w:numPr>
          <w:ilvl w:val="0"/>
          <w:numId w:val="4"/>
        </w:numPr>
        <w:jc w:val="left"/>
      </w:pPr>
      <w:r>
        <w:t xml:space="preserve">The cumulative effect of Australian government interventions such as the Australian Domestic Gas Security Mechanism (ADGSM), </w:t>
      </w:r>
      <w:r w:rsidR="00A87654">
        <w:t xml:space="preserve">the </w:t>
      </w:r>
      <w:r w:rsidR="0020044E">
        <w:t>c</w:t>
      </w:r>
      <w:r>
        <w:t>ode, Safeguard Mechanism and changes to tax regimes</w:t>
      </w:r>
      <w:r w:rsidR="00A240C6">
        <w:t>;</w:t>
      </w:r>
    </w:p>
    <w:p w14:paraId="36896021" w14:textId="6D840EB1" w:rsidR="00EC7EC7" w:rsidRDefault="00EC7EC7" w:rsidP="00EC7EC7">
      <w:pPr>
        <w:pStyle w:val="ListBullet"/>
        <w:numPr>
          <w:ilvl w:val="0"/>
          <w:numId w:val="4"/>
        </w:numPr>
        <w:jc w:val="left"/>
      </w:pPr>
      <w:r>
        <w:t>A perceived decline in the social license required for the gas industry to operate in Australia (and associated access to project finance from banks and other institutions)</w:t>
      </w:r>
      <w:r w:rsidR="00A240C6">
        <w:t>.</w:t>
      </w:r>
    </w:p>
    <w:p w14:paraId="5BF6F0A3" w14:textId="6971E5F0" w:rsidR="009242B0" w:rsidRDefault="009242B0" w:rsidP="00F46D0D">
      <w:pPr>
        <w:pStyle w:val="BodyText"/>
        <w:spacing w:before="120"/>
      </w:pPr>
      <w:r>
        <w:t>The gas industry has also raised concerns over how changes in the regulatory environment at a State and Federal level reduce incentives to invest. They argue a stable regulatory environment is required to enable long term investments, and in particular</w:t>
      </w:r>
      <w:r w:rsidR="001C1C40">
        <w:t>,</w:t>
      </w:r>
      <w:r>
        <w:t xml:space="preserve"> that interventions that limit the upside returns to investment limit incentives.</w:t>
      </w:r>
    </w:p>
    <w:p w14:paraId="4F399C04" w14:textId="0688467C" w:rsidR="00EC7EC7" w:rsidRDefault="00EC7EC7" w:rsidP="00EC7EC7">
      <w:pPr>
        <w:pStyle w:val="BodyText"/>
        <w:rPr>
          <w:lang w:eastAsia="en-AU"/>
        </w:rPr>
      </w:pPr>
      <w:r>
        <w:t>Compared to history, Australia would need to maintain a higher level of exploration to</w:t>
      </w:r>
      <w:r w:rsidR="00BC0461">
        <w:t xml:space="preserve"> maintain current production levels than in the past. Unconventional g</w:t>
      </w:r>
      <w:r w:rsidR="00BC0461" w:rsidRPr="00AA3367">
        <w:t xml:space="preserve">as fields </w:t>
      </w:r>
      <w:r w:rsidR="00BC0461">
        <w:t>need continual investment to maintain output levels. T</w:t>
      </w:r>
      <w:r w:rsidR="00BC0461" w:rsidRPr="00C85D9C">
        <w:t xml:space="preserve">he </w:t>
      </w:r>
      <w:r w:rsidR="00BC0461">
        <w:t xml:space="preserve">CSIRO report that the </w:t>
      </w:r>
      <w:r w:rsidR="00BC0461" w:rsidRPr="00C85D9C">
        <w:t>average drilled well will supply conventional gas for 2</w:t>
      </w:r>
      <w:r w:rsidR="00BC0461">
        <w:t>0</w:t>
      </w:r>
      <w:r w:rsidR="00BC0461" w:rsidRPr="00C85D9C">
        <w:t>-3</w:t>
      </w:r>
      <w:r w:rsidR="00BC0461">
        <w:t>0</w:t>
      </w:r>
      <w:r w:rsidR="00BC0461" w:rsidRPr="00C85D9C">
        <w:t xml:space="preserve"> years, and unconventional gas investments are typically of shorter duration</w:t>
      </w:r>
      <w:r w:rsidR="00BC0461">
        <w:t xml:space="preserve"> (10</w:t>
      </w:r>
      <w:r w:rsidR="00DB5745">
        <w:t>–</w:t>
      </w:r>
      <w:r w:rsidR="00BC0461">
        <w:t>20 years). It follows those lower levels of investment lead to lower production levels after a short delay</w:t>
      </w:r>
      <w:r>
        <w:t>.</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C7EC7" w14:paraId="111AB366" w14:textId="77777777" w:rsidTr="00CE4D4A">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702330F9" w14:textId="5767CE28" w:rsidR="00EC7EC7" w:rsidRPr="00401289" w:rsidRDefault="00EC7EC7" w:rsidP="00C50D71">
            <w:pPr>
              <w:pStyle w:val="Boxtext"/>
              <w:spacing w:beforeLines="60" w:before="144" w:afterLines="60" w:after="144"/>
              <w:ind w:left="113" w:right="113"/>
              <w:jc w:val="both"/>
              <w:rPr>
                <w:color w:val="auto"/>
              </w:rPr>
            </w:pPr>
            <w:r w:rsidRPr="005458FA">
              <w:rPr>
                <w:b/>
                <w:bCs/>
                <w:color w:val="auto"/>
              </w:rPr>
              <w:t xml:space="preserve">Insight: </w:t>
            </w:r>
            <w:r w:rsidRPr="00CD4494">
              <w:rPr>
                <w:color w:val="auto"/>
              </w:rPr>
              <w:t>Australia will need to see much higher levels of investment in exploration and development before production levels can increase</w:t>
            </w:r>
            <w:r>
              <w:rPr>
                <w:color w:val="auto"/>
              </w:rPr>
              <w:t>.</w:t>
            </w:r>
          </w:p>
        </w:tc>
      </w:tr>
    </w:tbl>
    <w:p w14:paraId="7533AF3B" w14:textId="4DF6DE97" w:rsidR="00EC7EC7" w:rsidRDefault="00EC7EC7" w:rsidP="00EC7EC7">
      <w:pPr>
        <w:spacing w:after="120"/>
        <w:rPr>
          <w:color w:val="373737"/>
          <w:sz w:val="20"/>
        </w:rPr>
      </w:pPr>
    </w:p>
    <w:p w14:paraId="12C620FF" w14:textId="77777777" w:rsidR="00EC7EC7" w:rsidRDefault="00EC7EC7">
      <w:pPr>
        <w:spacing w:after="200" w:line="276" w:lineRule="auto"/>
        <w:rPr>
          <w:color w:val="373737"/>
          <w:sz w:val="20"/>
        </w:rPr>
      </w:pPr>
      <w:r>
        <w:rPr>
          <w:color w:val="373737"/>
          <w:sz w:val="20"/>
        </w:rPr>
        <w:br w:type="page"/>
      </w:r>
    </w:p>
    <w:p w14:paraId="02C61E68" w14:textId="42921EBD" w:rsidR="00EC7EC7" w:rsidRDefault="00EC7EC7" w:rsidP="00BC1806">
      <w:pPr>
        <w:pStyle w:val="Heading1"/>
        <w:pageBreakBefore/>
      </w:pPr>
      <w:bookmarkStart w:id="141" w:name="_Toc172794527"/>
      <w:bookmarkStart w:id="142" w:name="_Hlk157584389"/>
      <w:bookmarkStart w:id="143" w:name="_Hlk156820928"/>
      <w:r>
        <w:t xml:space="preserve">Competition, </w:t>
      </w:r>
      <w:r w:rsidR="005C5515">
        <w:t>c</w:t>
      </w:r>
      <w:r>
        <w:t xml:space="preserve">osts and </w:t>
      </w:r>
      <w:r w:rsidR="005C5515">
        <w:t>p</w:t>
      </w:r>
      <w:r>
        <w:t>ricing</w:t>
      </w:r>
      <w:bookmarkEnd w:id="141"/>
    </w:p>
    <w:p w14:paraId="05892BBD" w14:textId="4E89D56E" w:rsidR="00EC7EC7" w:rsidRDefault="00EC7EC7" w:rsidP="00861B4A">
      <w:pPr>
        <w:pStyle w:val="Heading2"/>
        <w:numPr>
          <w:ilvl w:val="0"/>
          <w:numId w:val="0"/>
        </w:numPr>
        <w:spacing w:before="120"/>
      </w:pPr>
      <w:bookmarkStart w:id="144" w:name="_Toc161153375"/>
      <w:bookmarkStart w:id="145" w:name="_Toc172794528"/>
      <w:r>
        <w:t>East</w:t>
      </w:r>
      <w:r w:rsidRPr="0035640A">
        <w:t xml:space="preserve"> </w:t>
      </w:r>
      <w:r w:rsidR="00FE49A7">
        <w:t>c</w:t>
      </w:r>
      <w:r w:rsidRPr="0035640A">
        <w:t xml:space="preserve">oast </w:t>
      </w:r>
      <w:r>
        <w:t>s</w:t>
      </w:r>
      <w:r w:rsidRPr="009B1D8E">
        <w:t>ummary</w:t>
      </w:r>
      <w:bookmarkEnd w:id="144"/>
      <w:bookmarkEnd w:id="145"/>
    </w:p>
    <w:p w14:paraId="7A5FAEBA" w14:textId="3B659D26" w:rsidR="00EC7EC7" w:rsidRDefault="00EC7EC7" w:rsidP="00EC7EC7">
      <w:pPr>
        <w:pStyle w:val="BodyText"/>
      </w:pPr>
      <w:bookmarkStart w:id="146" w:name="_Hlk158239307"/>
      <w:bookmarkStart w:id="147" w:name="_Hlk156996224"/>
      <w:r>
        <w:t xml:space="preserve">The </w:t>
      </w:r>
      <w:r w:rsidR="008E5712">
        <w:t>e</w:t>
      </w:r>
      <w:r>
        <w:t xml:space="preserve">ast </w:t>
      </w:r>
      <w:r w:rsidR="008E5712">
        <w:t>c</w:t>
      </w:r>
      <w:r>
        <w:t>oast market faces challenges in terms of high levels of concentration (implying low competition) and cost increases that will put upward pressure on pricing over coming years</w:t>
      </w:r>
      <w:r w:rsidRPr="00D97EE6">
        <w:t xml:space="preserve">. </w:t>
      </w:r>
      <w:bookmarkEnd w:id="146"/>
      <w:r w:rsidRPr="00D97EE6">
        <w:t xml:space="preserve">While the gas shortfall forecast for south-eastern Australia this decade has eased following </w:t>
      </w:r>
      <w:r w:rsidR="00F8678A">
        <w:t xml:space="preserve">a </w:t>
      </w:r>
      <w:r w:rsidR="008E20B5">
        <w:t>r</w:t>
      </w:r>
      <w:r w:rsidR="00F8678A">
        <w:t>ange of policy interventions</w:t>
      </w:r>
      <w:r w:rsidRPr="00D97EE6">
        <w:t>, upward pressure on prices will remain.</w:t>
      </w:r>
      <w:r w:rsidR="00CF383D">
        <w:t xml:space="preserve"> </w:t>
      </w:r>
      <w:r w:rsidR="00CF383D" w:rsidRPr="00CF383D">
        <w:t>As well as impacting the price consumers pay directly for gas, price pressures will likely also put pressure on electricity pricing</w:t>
      </w:r>
      <w:r w:rsidRPr="00D97EE6">
        <w:t>.</w:t>
      </w:r>
    </w:p>
    <w:p w14:paraId="43BF07D4" w14:textId="5BE444A3" w:rsidR="00EC7EC7" w:rsidRDefault="00EC7EC7" w:rsidP="00EC7EC7">
      <w:pPr>
        <w:pStyle w:val="BodyText"/>
      </w:pPr>
      <w:r>
        <w:t xml:space="preserve">Recent initiatives to allocate more onshore exploration permits to junior explorers and non-LNG aligned producers support greater diversity. However, concentration </w:t>
      </w:r>
      <w:r w:rsidR="0021265B">
        <w:t xml:space="preserve">at the production stage </w:t>
      </w:r>
      <w:r>
        <w:t xml:space="preserve">remains high, with </w:t>
      </w:r>
      <w:r w:rsidRPr="00D97EE6">
        <w:t>88%</w:t>
      </w:r>
      <w:r>
        <w:t xml:space="preserve"> of production controlled by the top 5 producers.</w:t>
      </w:r>
    </w:p>
    <w:p w14:paraId="129C1AB9" w14:textId="1FDDBC6C" w:rsidR="00EC7EC7" w:rsidRDefault="00EC7EC7" w:rsidP="00EC7EC7">
      <w:pPr>
        <w:pStyle w:val="BodyText"/>
      </w:pPr>
      <w:r>
        <w:t xml:space="preserve">Costs of production are increasing as existing field productivity declines. </w:t>
      </w:r>
      <w:r w:rsidR="0021265B">
        <w:t xml:space="preserve">Costs of gas delivered to the wholesale market have averaged above $10 </w:t>
      </w:r>
      <w:r w:rsidR="00795596">
        <w:t>from 2021</w:t>
      </w:r>
      <w:r w:rsidR="0021265B">
        <w:t xml:space="preserve">. </w:t>
      </w:r>
      <w:r w:rsidRPr="00813E57">
        <w:t xml:space="preserve">The cost curve for the </w:t>
      </w:r>
      <w:r>
        <w:t>east</w:t>
      </w:r>
      <w:r w:rsidRPr="00813E57">
        <w:t xml:space="preserve"> </w:t>
      </w:r>
      <w:r>
        <w:t>coast</w:t>
      </w:r>
      <w:r w:rsidRPr="00813E57">
        <w:t xml:space="preserve"> gas market, particularly for non-LNG dedicated production, is relatively steep.</w:t>
      </w:r>
      <w:r>
        <w:t xml:space="preserve"> The largest reserves of low-cost supply are contracted to LNG production. High potential fields </w:t>
      </w:r>
      <w:r w:rsidR="0021265B">
        <w:t xml:space="preserve">for commercial production </w:t>
      </w:r>
      <w:r>
        <w:t xml:space="preserve">have estimated average production and transport costs </w:t>
      </w:r>
      <w:r w:rsidRPr="008F6BCB">
        <w:t>of between $</w:t>
      </w:r>
      <w:r w:rsidR="003C5353" w:rsidRPr="008F6BCB">
        <w:t xml:space="preserve">9 </w:t>
      </w:r>
      <w:r w:rsidRPr="008F6BCB">
        <w:t>and $</w:t>
      </w:r>
      <w:r w:rsidR="003C5353" w:rsidRPr="008F6BCB">
        <w:t>13</w:t>
      </w:r>
      <w:r w:rsidRPr="008F6BCB">
        <w:t xml:space="preserve"> delivered</w:t>
      </w:r>
      <w:r>
        <w:t xml:space="preserve"> to Melbourne.</w:t>
      </w:r>
    </w:p>
    <w:p w14:paraId="09B9E25C" w14:textId="0B259528" w:rsidR="00EC7EC7" w:rsidRDefault="00EC7EC7" w:rsidP="00EC7EC7">
      <w:pPr>
        <w:pStyle w:val="BodyText"/>
      </w:pPr>
      <w:r>
        <w:t>Other factors also put pressure on prices. As southern gas fields deplete</w:t>
      </w:r>
      <w:r w:rsidR="00FE297D">
        <w:t>,</w:t>
      </w:r>
      <w:r>
        <w:t xml:space="preserve"> the southern shortage will need to be met via northern gas fields or via </w:t>
      </w:r>
      <w:r w:rsidR="00BE2A6B">
        <w:t xml:space="preserve">interstate or international </w:t>
      </w:r>
      <w:r>
        <w:t>imports. Transport costs will unavoidably increase, both due to increased distance and the need for further investment in network capacity. Demand spikes through winter may increasingly be met via LNG transport from interstate or internationally at a higher cost than today.</w:t>
      </w:r>
    </w:p>
    <w:p w14:paraId="17500899" w14:textId="21FCCDF5" w:rsidR="00E900AA" w:rsidRDefault="00E900AA" w:rsidP="00E900AA">
      <w:pPr>
        <w:pStyle w:val="BodyText"/>
        <w:rPr>
          <w:rFonts w:asciiTheme="minorHAnsi" w:hAnsiTheme="minorHAnsi"/>
        </w:rPr>
      </w:pPr>
      <w:r>
        <w:t xml:space="preserve">International prices are the key driver of </w:t>
      </w:r>
      <w:r w:rsidR="00BD393C">
        <w:t>‘</w:t>
      </w:r>
      <w:r>
        <w:t>contract</w:t>
      </w:r>
      <w:r w:rsidR="00BD393C">
        <w:t>’</w:t>
      </w:r>
      <w:r>
        <w:t xml:space="preserve"> prices in the east coast market. Over the next five years, i</w:t>
      </w:r>
      <w:r>
        <w:rPr>
          <w:rFonts w:asciiTheme="minorHAnsi" w:hAnsiTheme="minorHAnsi"/>
        </w:rPr>
        <w:t xml:space="preserve">nternational prices are expected to soften as new LNG supply comes online. </w:t>
      </w:r>
      <w:r>
        <w:t xml:space="preserve">However, despite the </w:t>
      </w:r>
      <w:r w:rsidR="0020044E">
        <w:t>c</w:t>
      </w:r>
      <w:r>
        <w:t xml:space="preserve">ode and easing international prices, upward </w:t>
      </w:r>
      <w:r>
        <w:rPr>
          <w:rFonts w:asciiTheme="minorHAnsi" w:hAnsiTheme="minorHAnsi"/>
        </w:rPr>
        <w:t xml:space="preserve">pressure on domestic costs is likely to persist. </w:t>
      </w:r>
      <w:r>
        <w:t>Future prices will be determined by a range of factors including international prices, the costs associated with flexible capacity and storage, new transport infrastructure and LNG regassification facilities if import terminals are constructed.</w:t>
      </w:r>
    </w:p>
    <w:p w14:paraId="5D36DBEB" w14:textId="07D0784B" w:rsidR="00EC7EC7" w:rsidRDefault="00EC7EC7" w:rsidP="00EC7EC7">
      <w:pPr>
        <w:pStyle w:val="BodyText"/>
        <w:rPr>
          <w:lang w:val="en"/>
        </w:rPr>
      </w:pPr>
      <w:r>
        <w:t>Price uncertainty and volatility is also expected to remain high over the energy transition</w:t>
      </w:r>
      <w:r w:rsidR="009F2A7D">
        <w:t xml:space="preserve"> period</w:t>
      </w:r>
      <w:r>
        <w:t>.</w:t>
      </w:r>
      <w:r w:rsidRPr="00627E13">
        <w:t xml:space="preserve"> </w:t>
      </w:r>
      <w:r>
        <w:t>In 2023</w:t>
      </w:r>
      <w:r w:rsidR="009F2A7D">
        <w:t>,</w:t>
      </w:r>
      <w:r>
        <w:t xml:space="preserve"> gas prices were less volatile and more subdued as international prices fell, </w:t>
      </w:r>
      <w:r w:rsidR="00ED0285">
        <w:t>southeast</w:t>
      </w:r>
      <w:r>
        <w:t xml:space="preserve"> Australia experienced a</w:t>
      </w:r>
      <w:r w:rsidRPr="00CD55A8">
        <w:t xml:space="preserve"> mild winter</w:t>
      </w:r>
      <w:r>
        <w:t xml:space="preserve">, coupled with stronger use of swaps </w:t>
      </w:r>
      <w:r w:rsidRPr="00556816">
        <w:rPr>
          <w:lang w:val="en"/>
        </w:rPr>
        <w:t>with LNG producers and retailers</w:t>
      </w:r>
      <w:r>
        <w:rPr>
          <w:lang w:val="en"/>
        </w:rPr>
        <w:t>. A sharp winter or outage at a coal fired power station would see volatility pick up again in the market.</w:t>
      </w:r>
    </w:p>
    <w:p w14:paraId="6B7BA43A" w14:textId="08AFFFE6" w:rsidR="00D80470" w:rsidRPr="000220BF" w:rsidRDefault="00D80470" w:rsidP="00EC7EC7">
      <w:pPr>
        <w:pStyle w:val="BodyText"/>
      </w:pPr>
      <w:r w:rsidRPr="000220BF">
        <w:t>Beyond 2024, while international LNG prices are expected to ease, cost increases will continue to place pressure on domestic prices. Overall, risks to prices are on the upside</w:t>
      </w:r>
      <w:r w:rsidR="00735E3D" w:rsidRPr="000220BF">
        <w:t>.</w:t>
      </w:r>
    </w:p>
    <w:p w14:paraId="1C9FA6F5" w14:textId="4ADA9CBA" w:rsidR="00EC7EC7" w:rsidRDefault="00EC7EC7" w:rsidP="00EC7EC7">
      <w:pPr>
        <w:pStyle w:val="Heading2"/>
        <w:numPr>
          <w:ilvl w:val="0"/>
          <w:numId w:val="0"/>
        </w:numPr>
      </w:pPr>
      <w:bookmarkStart w:id="148" w:name="_Toc161153376"/>
      <w:bookmarkStart w:id="149" w:name="_Toc172794529"/>
      <w:r>
        <w:t>West</w:t>
      </w:r>
      <w:r w:rsidRPr="0035640A">
        <w:t xml:space="preserve"> </w:t>
      </w:r>
      <w:r w:rsidR="00FE49A7">
        <w:t>c</w:t>
      </w:r>
      <w:r w:rsidR="00655B3D" w:rsidRPr="0035640A">
        <w:t xml:space="preserve">oast </w:t>
      </w:r>
      <w:r>
        <w:t>s</w:t>
      </w:r>
      <w:r w:rsidRPr="009B1D8E">
        <w:t>ummary</w:t>
      </w:r>
      <w:bookmarkEnd w:id="148"/>
      <w:bookmarkEnd w:id="149"/>
    </w:p>
    <w:p w14:paraId="33D4BDA7" w14:textId="5FC012D8" w:rsidR="00EC7EC7" w:rsidRDefault="005C4328" w:rsidP="00EC7EC7">
      <w:pPr>
        <w:pStyle w:val="BodyText"/>
      </w:pPr>
      <w:r>
        <w:t xml:space="preserve">Compared to eastern </w:t>
      </w:r>
      <w:r w:rsidR="007C527F">
        <w:t>S</w:t>
      </w:r>
      <w:r>
        <w:t xml:space="preserve">tates, </w:t>
      </w:r>
      <w:r w:rsidR="00EC7EC7">
        <w:t>Western Australia</w:t>
      </w:r>
      <w:r w:rsidR="00795596">
        <w:t>n</w:t>
      </w:r>
      <w:r w:rsidR="007F5B54">
        <w:t xml:space="preserve"> </w:t>
      </w:r>
      <w:r w:rsidR="00EC7EC7">
        <w:t xml:space="preserve">domestic </w:t>
      </w:r>
      <w:r>
        <w:t xml:space="preserve">prices have been </w:t>
      </w:r>
      <w:r w:rsidR="00EC7EC7">
        <w:t xml:space="preserve">relatively low. Lower prices reflect a lower cost of production </w:t>
      </w:r>
      <w:r w:rsidR="00EC7EC7" w:rsidRPr="00465FE5">
        <w:t xml:space="preserve">and </w:t>
      </w:r>
      <w:r w:rsidRPr="008072E6">
        <w:t>gas prices have not historically been set by LNG netback pricing</w:t>
      </w:r>
      <w:r w:rsidR="00795596">
        <w:t>.</w:t>
      </w:r>
      <w:r w:rsidR="00EC7EC7" w:rsidDel="00AF355F">
        <w:t xml:space="preserve"> </w:t>
      </w:r>
    </w:p>
    <w:p w14:paraId="740F1DDE" w14:textId="3C7D3650" w:rsidR="00E900AA" w:rsidRDefault="00EC7EC7" w:rsidP="00EC7EC7">
      <w:pPr>
        <w:pStyle w:val="BodyText"/>
      </w:pPr>
      <w:r>
        <w:t>However, the demand and supply balance in Western Australia is tightening due to delays in project development and changing demand patterns. Pricing may be put under pressure as the market tightens</w:t>
      </w:r>
      <w:r w:rsidR="0021265B">
        <w:t xml:space="preserve"> further in coming years</w:t>
      </w:r>
      <w:r>
        <w:t xml:space="preserve">. </w:t>
      </w:r>
      <w:r w:rsidR="0021265B">
        <w:t>The Western Australia domestic gas market is projected to remain in deficit between 2024 and 2029, with potential supply from committed and expected projects up to 11% below forecast demand</w:t>
      </w:r>
      <w:r>
        <w:t xml:space="preserve">. </w:t>
      </w:r>
    </w:p>
    <w:p w14:paraId="03ACEBA6" w14:textId="77777777" w:rsidR="00FA1C89" w:rsidRDefault="00FA1C89" w:rsidP="00FA1C89">
      <w:pPr>
        <w:pStyle w:val="Heading2"/>
      </w:pPr>
      <w:bookmarkStart w:id="150" w:name="_Toc172794530"/>
      <w:bookmarkStart w:id="151" w:name="_Hlk157502485"/>
      <w:bookmarkEnd w:id="142"/>
      <w:bookmarkEnd w:id="147"/>
      <w:r>
        <w:t>Upstream competition and market concentration</w:t>
      </w:r>
      <w:bookmarkEnd w:id="150"/>
    </w:p>
    <w:p w14:paraId="19FBC6EB" w14:textId="6767746B" w:rsidR="00EC7EC7" w:rsidRDefault="00EC7EC7" w:rsidP="00EC7EC7">
      <w:pPr>
        <w:pStyle w:val="BodyText"/>
      </w:pPr>
      <w:r>
        <w:t xml:space="preserve">Previous chapters discussed demand and supply absent from pricing. However, demand and supply are crucially dependent on prices today and future price expectations. The level of competition within the market also impacts pricing and how quickly supply can respond to price incentives. </w:t>
      </w:r>
      <w:r w:rsidR="00E76DB0">
        <w:t>T</w:t>
      </w:r>
      <w:r>
        <w:t xml:space="preserve">his chapter </w:t>
      </w:r>
      <w:r w:rsidR="00EC4504">
        <w:t>discuss</w:t>
      </w:r>
      <w:r w:rsidR="00E76DB0">
        <w:t>es</w:t>
      </w:r>
      <w:r>
        <w:t xml:space="preserve"> the level of competition in upstream production, the costs of production, and discuss recent trends and the outlook for pricing.</w:t>
      </w:r>
    </w:p>
    <w:p w14:paraId="3E43EF96" w14:textId="252E4383" w:rsidR="00EC4504" w:rsidRDefault="00EC4504" w:rsidP="00EC4504">
      <w:pPr>
        <w:pStyle w:val="BodyText"/>
      </w:pPr>
      <w:bookmarkStart w:id="152" w:name="_Hlk156996242"/>
      <w:r>
        <w:t xml:space="preserve">Investment in new gas supply has been well below historical </w:t>
      </w:r>
      <w:r w:rsidRPr="00CA7B0B">
        <w:t>levels (</w:t>
      </w:r>
      <w:r>
        <w:t>Figure 1.</w:t>
      </w:r>
      <w:r w:rsidR="00EB5CD2">
        <w:t>8</w:t>
      </w:r>
      <w:r w:rsidRPr="00CA7B0B">
        <w:t>). T</w:t>
      </w:r>
      <w:r>
        <w:t>here are a range of factors that can contribute to this</w:t>
      </w:r>
      <w:r w:rsidR="00A01DE3">
        <w:t>,</w:t>
      </w:r>
      <w:r>
        <w:t xml:space="preserve"> including permitting</w:t>
      </w:r>
      <w:r w:rsidR="00A01DE3">
        <w:t>, e</w:t>
      </w:r>
      <w:r>
        <w:t>xpectations of future demand and pricing</w:t>
      </w:r>
      <w:r w:rsidR="00A01DE3">
        <w:t>, and</w:t>
      </w:r>
      <w:r>
        <w:t xml:space="preserve"> </w:t>
      </w:r>
      <w:r w:rsidR="00A01DE3">
        <w:t>a</w:t>
      </w:r>
      <w:r>
        <w:t xml:space="preserve"> lack of competition.</w:t>
      </w:r>
      <w:r w:rsidRPr="00EC4504">
        <w:t xml:space="preserve"> </w:t>
      </w:r>
      <w:r>
        <w:t>Competition to produce gas is important to bring on additional supply in a timely and efficient manner.</w:t>
      </w:r>
    </w:p>
    <w:p w14:paraId="214C8D8A" w14:textId="35EFD47C" w:rsidR="00EC7EC7" w:rsidRDefault="00EC4504" w:rsidP="00EC7EC7">
      <w:pPr>
        <w:pStyle w:val="BodyText"/>
      </w:pPr>
      <w:r>
        <w:t xml:space="preserve">The economics of production tend to imply high concentration and potentially lower levels of competition. </w:t>
      </w:r>
      <w:r w:rsidR="00EC7EC7" w:rsidRPr="00CD55A8">
        <w:t>The gas industry</w:t>
      </w:r>
      <w:r w:rsidR="00EC7EC7">
        <w:t xml:space="preserve"> globally</w:t>
      </w:r>
      <w:r w:rsidR="00EC7EC7" w:rsidRPr="00CD55A8">
        <w:t xml:space="preserve"> is characterised by high cost, high risk exploration (akin to R&amp;D expenditure), long uncertain development and approval lead times, </w:t>
      </w:r>
      <w:r w:rsidR="00EC7EC7">
        <w:t xml:space="preserve">and production decisions </w:t>
      </w:r>
      <w:r>
        <w:t xml:space="preserve">that </w:t>
      </w:r>
      <w:r w:rsidR="00EC7EC7">
        <w:t xml:space="preserve">involve long lead times (which is linked to the high fixed cost, low variable cost nature of </w:t>
      </w:r>
      <w:r w:rsidR="00033218">
        <w:t xml:space="preserve">offshore </w:t>
      </w:r>
      <w:r w:rsidR="00EC7EC7">
        <w:t>production)</w:t>
      </w:r>
      <w:r w:rsidR="00EC7EC7" w:rsidRPr="00CD55A8">
        <w:t>.</w:t>
      </w:r>
      <w:r w:rsidR="00EC7EC7">
        <w:t xml:space="preserve"> In Australia, it is common for gas fields and upstream infrastructure to be built by joint ventures to manage risk.</w:t>
      </w:r>
    </w:p>
    <w:p w14:paraId="4AA11905" w14:textId="7A75F862" w:rsidR="00EC7EC7" w:rsidRDefault="00EC7EC7" w:rsidP="00EC7EC7">
      <w:pPr>
        <w:pStyle w:val="BodyText"/>
      </w:pPr>
      <w:r>
        <w:t>Governments can influence the level of concentration</w:t>
      </w:r>
      <w:r w:rsidR="00EC4504">
        <w:t xml:space="preserve"> via the licencing regime</w:t>
      </w:r>
      <w:r>
        <w:t xml:space="preserve">. Gas reserves are owned by the Crown and allocation to producers is managed by the </w:t>
      </w:r>
      <w:r w:rsidR="0020044E">
        <w:t>g</w:t>
      </w:r>
      <w:r>
        <w:t xml:space="preserve">overnment </w:t>
      </w:r>
      <w:r w:rsidR="00310676" w:rsidRPr="002D5EDC">
        <w:t>—</w:t>
      </w:r>
      <w:r>
        <w:t xml:space="preserve"> with the Commonwealth allocating offshore tenements and </w:t>
      </w:r>
      <w:r w:rsidR="00FF01BA">
        <w:t>s</w:t>
      </w:r>
      <w:r>
        <w:t xml:space="preserve">tates and </w:t>
      </w:r>
      <w:r w:rsidR="00FF01BA">
        <w:t>t</w:t>
      </w:r>
      <w:r>
        <w:t xml:space="preserve">erritories allocating onshore tenements. Various time-limited and tradeable licences exist: exploration licences, retention leases and production licences. </w:t>
      </w:r>
      <w:bookmarkStart w:id="153" w:name="_Hlk156996283"/>
      <w:bookmarkEnd w:id="152"/>
      <w:r>
        <w:t>Companies and joint ventures bid for exploration licences. At or prior to expiry, the company may apply for a production lease (if it is commercial to begin production immediately) or a retention lease (to retain control of the tenement even though it is not yet commercial to begin production).</w:t>
      </w:r>
    </w:p>
    <w:p w14:paraId="22C11493" w14:textId="23A2D467" w:rsidR="00EC7EC7" w:rsidRDefault="00EC7EC7" w:rsidP="00EC7EC7">
      <w:pPr>
        <w:pStyle w:val="BodyText"/>
      </w:pPr>
      <w:r>
        <w:t xml:space="preserve">Gas market participants have suggested changes to licencing regimes to </w:t>
      </w:r>
      <w:r w:rsidR="00310676">
        <w:t>rai</w:t>
      </w:r>
      <w:r>
        <w:t xml:space="preserve">se competition and incentivise new supply </w:t>
      </w:r>
      <w:r w:rsidR="0078425B">
        <w:t xml:space="preserve">which </w:t>
      </w:r>
      <w:r>
        <w:t xml:space="preserve">may be warranted. In particular, limiting the duration of licences or the ability to renew has been suggested </w:t>
      </w:r>
      <w:r w:rsidR="00310676" w:rsidRPr="002D5EDC">
        <w:t>—</w:t>
      </w:r>
      <w:r>
        <w:t xml:space="preserve"> this would prevent potential supply sources from being warehoused.</w:t>
      </w:r>
    </w:p>
    <w:p w14:paraId="643F20AB" w14:textId="78669872" w:rsidR="00EC7EC7" w:rsidRPr="00EC4627" w:rsidRDefault="00EC7EC7" w:rsidP="005B5AEC">
      <w:pPr>
        <w:pStyle w:val="Heading3"/>
        <w:spacing w:before="120"/>
      </w:pPr>
      <w:r w:rsidRPr="00EC4627">
        <w:t xml:space="preserve">Concentration in </w:t>
      </w:r>
      <w:r>
        <w:t>east</w:t>
      </w:r>
      <w:r w:rsidRPr="00EC4627">
        <w:t xml:space="preserve"> </w:t>
      </w:r>
      <w:r>
        <w:t>coast</w:t>
      </w:r>
      <w:r w:rsidRPr="00EC4627">
        <w:t xml:space="preserve"> </w:t>
      </w:r>
      <w:r>
        <w:t>m</w:t>
      </w:r>
      <w:r w:rsidRPr="00EC4627">
        <w:t>arkets</w:t>
      </w:r>
    </w:p>
    <w:p w14:paraId="64D53515" w14:textId="77777777" w:rsidR="00EC7EC7" w:rsidRDefault="00EC7EC7" w:rsidP="00EC7EC7">
      <w:pPr>
        <w:pStyle w:val="BodyText"/>
      </w:pPr>
      <w:r>
        <w:t xml:space="preserve">In its 2021 </w:t>
      </w:r>
      <w:r w:rsidRPr="002D426F">
        <w:rPr>
          <w:i/>
          <w:iCs/>
        </w:rPr>
        <w:t xml:space="preserve">Review of Upstream competition and the timeliness of supply on the </w:t>
      </w:r>
      <w:r>
        <w:rPr>
          <w:i/>
          <w:iCs/>
        </w:rPr>
        <w:t>east</w:t>
      </w:r>
      <w:r w:rsidRPr="002D426F">
        <w:rPr>
          <w:i/>
          <w:iCs/>
        </w:rPr>
        <w:t xml:space="preserve"> </w:t>
      </w:r>
      <w:r>
        <w:rPr>
          <w:i/>
          <w:iCs/>
        </w:rPr>
        <w:t>coast</w:t>
      </w:r>
      <w:r>
        <w:t xml:space="preserve">, the ACCC found that market concentration was not a concern at the exploration stage. However, market concentration increases significantly once gas production commences. Figure 6.1 demonstrates the top 5 suppliers on the east coast market own 89% of production, 83% of 2P reserves but only 68% of 2C resources. </w:t>
      </w:r>
    </w:p>
    <w:p w14:paraId="62625539" w14:textId="29F889C3" w:rsidR="00EC7EC7" w:rsidRDefault="00EC7EC7" w:rsidP="00C97679">
      <w:pPr>
        <w:pStyle w:val="Caption"/>
      </w:pPr>
      <w:r>
        <w:t xml:space="preserve">Figure </w:t>
      </w:r>
      <w:r>
        <w:rPr>
          <w:rFonts w:eastAsia="Times New Roman" w:cstheme="majorHAnsi"/>
          <w:szCs w:val="20"/>
          <w:lang w:val="en"/>
        </w:rPr>
        <w:fldChar w:fldCharType="begin"/>
      </w:r>
      <w:r>
        <w:rPr>
          <w:rFonts w:eastAsia="Times New Roman" w:cstheme="majorHAnsi"/>
          <w:szCs w:val="20"/>
          <w:lang w:val="en"/>
        </w:rPr>
        <w:instrText xml:space="preserve"> STYLEREF 1 \s </w:instrText>
      </w:r>
      <w:r>
        <w:rPr>
          <w:rFonts w:eastAsia="Times New Roman" w:cstheme="majorHAnsi"/>
          <w:szCs w:val="20"/>
          <w:lang w:val="en"/>
        </w:rPr>
        <w:fldChar w:fldCharType="separate"/>
      </w:r>
      <w:r w:rsidR="00BF178A">
        <w:rPr>
          <w:rFonts w:eastAsia="Times New Roman" w:cstheme="majorHAnsi"/>
          <w:noProof/>
          <w:szCs w:val="20"/>
          <w:lang w:val="en"/>
        </w:rPr>
        <w:t>6</w:t>
      </w:r>
      <w:r>
        <w:rPr>
          <w:rFonts w:eastAsia="Times New Roman" w:cstheme="majorHAnsi"/>
          <w:szCs w:val="20"/>
          <w:lang w:val="en"/>
        </w:rPr>
        <w:fldChar w:fldCharType="end"/>
      </w:r>
      <w:r>
        <w:rPr>
          <w:rFonts w:eastAsia="Times New Roman" w:cstheme="majorHAnsi"/>
          <w:szCs w:val="20"/>
          <w:lang w:val="en"/>
        </w:rPr>
        <w:t>.</w:t>
      </w:r>
      <w:r w:rsidR="006877E8">
        <w:rPr>
          <w:rFonts w:eastAsia="Times New Roman" w:cstheme="majorHAnsi"/>
          <w:szCs w:val="20"/>
          <w:lang w:val="en"/>
        </w:rPr>
        <w:fldChar w:fldCharType="begin"/>
      </w:r>
      <w:r w:rsidR="006877E8">
        <w:rPr>
          <w:rFonts w:eastAsia="Times New Roman" w:cstheme="majorHAnsi"/>
          <w:szCs w:val="20"/>
          <w:lang w:val="en"/>
        </w:rPr>
        <w:instrText xml:space="preserve"> SEQ Figure \* ARABIC \s 1 </w:instrText>
      </w:r>
      <w:r w:rsidR="006877E8">
        <w:rPr>
          <w:rFonts w:eastAsia="Times New Roman" w:cstheme="majorHAnsi"/>
          <w:szCs w:val="20"/>
          <w:lang w:val="en"/>
        </w:rPr>
        <w:fldChar w:fldCharType="separate"/>
      </w:r>
      <w:r w:rsidR="00BF178A">
        <w:rPr>
          <w:rFonts w:eastAsia="Times New Roman" w:cstheme="majorHAnsi"/>
          <w:noProof/>
          <w:szCs w:val="20"/>
          <w:lang w:val="en"/>
        </w:rPr>
        <w:t>1</w:t>
      </w:r>
      <w:r w:rsidR="006877E8">
        <w:rPr>
          <w:rFonts w:eastAsia="Times New Roman" w:cstheme="majorHAnsi"/>
          <w:szCs w:val="20"/>
          <w:lang w:val="en"/>
        </w:rPr>
        <w:fldChar w:fldCharType="end"/>
      </w:r>
      <w:r>
        <w:t xml:space="preserve">: </w:t>
      </w:r>
      <w:r w:rsidRPr="00C44673">
        <w:t>Producers share of 2C resources, 2P reserves and production</w:t>
      </w:r>
      <w:r w:rsidR="00515CBE">
        <w:t xml:space="preserve">, as of 30 June 2020 </w:t>
      </w:r>
    </w:p>
    <w:p w14:paraId="716C4971" w14:textId="47B54477" w:rsidR="003B7106" w:rsidRDefault="0014570E" w:rsidP="003B7106">
      <w:pPr>
        <w:pStyle w:val="Note"/>
        <w:spacing w:before="60"/>
      </w:pPr>
      <w:r>
        <w:rPr>
          <w:noProof/>
        </w:rPr>
        <w:drawing>
          <wp:inline distT="0" distB="0" distL="0" distR="0" wp14:anchorId="56A258DD" wp14:editId="438A2BD8">
            <wp:extent cx="4252595" cy="4084320"/>
            <wp:effectExtent l="0" t="0" r="0" b="0"/>
            <wp:docPr id="21" name="Chart 21" descr="This figure shows gas producers’ share of 2C resources, 2P reserves and production in the East coast market as of 30 June 2020. It shows that the top five suppliers on the East coast market own 68% of 2C gas resources, 83% of 2P gas reserves and 89% of the gas production. APLNG, QCLNG and GLNG are consistently among the top five suppliers for 2C gas resources, 2P gas reserves and production. ">
              <a:extLst xmlns:a="http://schemas.openxmlformats.org/drawingml/2006/main">
                <a:ext uri="{FF2B5EF4-FFF2-40B4-BE49-F238E27FC236}">
                  <a16:creationId xmlns:a16="http://schemas.microsoft.com/office/drawing/2014/main" id="{0BB91A51-D0F8-3370-F50E-3C79B7208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EC7EC7">
        <w:br/>
      </w:r>
      <w:r w:rsidR="003B7106" w:rsidRPr="003B7106">
        <w:rPr>
          <w:lang w:eastAsia="en-AU"/>
        </w:rPr>
        <w:t>Notes: These suppliers at the time only have interests in 2C resources.</w:t>
      </w:r>
    </w:p>
    <w:p w14:paraId="624A56CE" w14:textId="0633F880" w:rsidR="00EC7EC7" w:rsidRPr="009F5380" w:rsidRDefault="00EC7EC7" w:rsidP="00E22960">
      <w:pPr>
        <w:pStyle w:val="Source"/>
        <w:rPr>
          <w:lang w:eastAsia="en-AU"/>
        </w:rPr>
      </w:pPr>
      <w:r>
        <w:rPr>
          <w:lang w:eastAsia="en-AU"/>
        </w:rPr>
        <w:t xml:space="preserve">Source: </w:t>
      </w:r>
      <w:r w:rsidR="0058673D" w:rsidRPr="005C5515">
        <w:rPr>
          <w:lang w:eastAsia="en-AU"/>
        </w:rPr>
        <w:t xml:space="preserve">ACCC </w:t>
      </w:r>
      <w:r w:rsidR="000102D3">
        <w:rPr>
          <w:rStyle w:val="ui-provider"/>
        </w:rPr>
        <w:t>(2021)</w:t>
      </w:r>
    </w:p>
    <w:p w14:paraId="58F10642" w14:textId="15892962" w:rsidR="00EC7EC7" w:rsidRDefault="00EC7EC7" w:rsidP="00EC7EC7">
      <w:pPr>
        <w:pStyle w:val="BodyText"/>
      </w:pPr>
      <w:r>
        <w:t>The LNG producers are particularly dominant, jointly controlling 83% of 2P reserves and 79% of production, either through direct ownership or purchases from associated entities.</w:t>
      </w:r>
    </w:p>
    <w:p w14:paraId="318A019F" w14:textId="3754A56D" w:rsidR="00EC7EC7" w:rsidRDefault="00EC7EC7" w:rsidP="00EC7EC7">
      <w:pPr>
        <w:pStyle w:val="BodyText"/>
      </w:pPr>
      <w:r>
        <w:t xml:space="preserve">The ACCC found diversity in ownership of 2C resources </w:t>
      </w:r>
      <w:r w:rsidR="00EC4504">
        <w:t>has benefited from</w:t>
      </w:r>
      <w:r>
        <w:t xml:space="preserve"> actions taken by the Queensland and South Australian Governments to </w:t>
      </w:r>
      <w:r w:rsidR="00310676">
        <w:t>ra</w:t>
      </w:r>
      <w:r>
        <w:t>ise diversity by awarding more tenements to junior explorers over recent years. However, junior producers have been less likely to develop fields themselves once resources were proven. Economies of scale for larger producers</w:t>
      </w:r>
      <w:r w:rsidR="00310676">
        <w:t xml:space="preserve"> </w:t>
      </w:r>
      <w:r w:rsidR="00310676" w:rsidRPr="002D5EDC">
        <w:t>—</w:t>
      </w:r>
      <w:r>
        <w:t xml:space="preserve"> due to access to capital and existing infrastructure</w:t>
      </w:r>
      <w:r w:rsidR="00310676">
        <w:t xml:space="preserve"> </w:t>
      </w:r>
      <w:r w:rsidR="00310676" w:rsidRPr="002D5EDC">
        <w:t>—</w:t>
      </w:r>
      <w:r>
        <w:t xml:space="preserve"> enable larger producers to outbid junior</w:t>
      </w:r>
      <w:r w:rsidR="00310676">
        <w:t>s</w:t>
      </w:r>
      <w:r>
        <w:t xml:space="preserve"> in the development phase.</w:t>
      </w:r>
    </w:p>
    <w:p w14:paraId="166CFCF7" w14:textId="2A99C31C" w:rsidR="00EC7EC7" w:rsidRPr="00450945" w:rsidRDefault="00EC7EC7" w:rsidP="00EC7EC7">
      <w:pPr>
        <w:pStyle w:val="BodyText"/>
      </w:pPr>
      <w:r>
        <w:t>The ACCC did not recommend changes to licencing but did recommend that governments consider regulation to reduce access barriers faced by smaller producers to upstream infrastructure owned by other producers as a potential way to increase competition within basins.</w:t>
      </w:r>
      <w:r w:rsidRPr="00450945">
        <w:t xml:space="preserve"> </w:t>
      </w:r>
    </w:p>
    <w:p w14:paraId="6E315F27" w14:textId="77777777" w:rsidR="00EC7EC7" w:rsidRDefault="00EC7EC7" w:rsidP="00EC7EC7">
      <w:pPr>
        <w:pStyle w:val="BodyText"/>
      </w:pPr>
      <w:bookmarkStart w:id="154" w:name="_Hlk157502520"/>
      <w:bookmarkEnd w:id="151"/>
      <w:r w:rsidRPr="009F5380">
        <w:t>Governments’ reservation policies (and other policies) also influence the market structure. Onshore</w:t>
      </w:r>
      <w:r w:rsidRPr="00556816">
        <w:t xml:space="preserve"> fields in Queensland are licenced on the basis of domestic or export production</w:t>
      </w:r>
      <w:r>
        <w:t xml:space="preserve">. </w:t>
      </w:r>
      <w:r w:rsidRPr="00556816">
        <w:t xml:space="preserve">In Western Australia, </w:t>
      </w:r>
      <w:r>
        <w:t>15%</w:t>
      </w:r>
      <w:r w:rsidRPr="00556816">
        <w:t xml:space="preserve"> of production </w:t>
      </w:r>
      <w:r>
        <w:t xml:space="preserve">from exports </w:t>
      </w:r>
      <w:r w:rsidRPr="00556816">
        <w:t>is required to be delivered to the domestic market.</w:t>
      </w:r>
    </w:p>
    <w:p w14:paraId="771C49AF" w14:textId="78ABC783" w:rsidR="00EC7EC7" w:rsidRDefault="0081417C" w:rsidP="00EC7EC7">
      <w:pPr>
        <w:pStyle w:val="BodyText"/>
      </w:pPr>
      <w:bookmarkStart w:id="155" w:name="_Hlk156996380"/>
      <w:bookmarkEnd w:id="153"/>
      <w:r>
        <w:t>ACCC’s (2021)</w:t>
      </w:r>
      <w:r w:rsidR="00EC7EC7">
        <w:t xml:space="preserve"> review of the </w:t>
      </w:r>
      <w:r w:rsidR="00EC7EC7" w:rsidRPr="007064A4">
        <w:rPr>
          <w:i/>
          <w:iCs/>
        </w:rPr>
        <w:t>Australian Market Supply Condition</w:t>
      </w:r>
      <w:r w:rsidR="00EC7EC7">
        <w:t xml:space="preserve"> </w:t>
      </w:r>
      <w:r w:rsidR="00FF69AF">
        <w:t xml:space="preserve">(Supply Condition) </w:t>
      </w:r>
      <w:r w:rsidR="00EC7EC7">
        <w:t>that applies to acreage release in Queensland found for small to medium</w:t>
      </w:r>
      <w:r w:rsidR="00F50E9B">
        <w:t>-</w:t>
      </w:r>
      <w:r w:rsidR="00EC7EC7">
        <w:t>sized explorers and producers, the Supply Condition improved their competitiveness for land release tender.</w:t>
      </w:r>
    </w:p>
    <w:p w14:paraId="557131C3" w14:textId="7DDF6140" w:rsidR="00734EE3" w:rsidRPr="005C0A89" w:rsidRDefault="00EC7EC7" w:rsidP="005C0A89">
      <w:pPr>
        <w:pStyle w:val="BodyText"/>
      </w:pPr>
      <w:r>
        <w:t xml:space="preserve">The review also found the </w:t>
      </w:r>
      <w:r w:rsidRPr="00FE49A7">
        <w:t>Supply Condition</w:t>
      </w:r>
      <w:r>
        <w:t xml:space="preserve"> would struggle</w:t>
      </w:r>
      <w:r w:rsidR="00523A71">
        <w:t xml:space="preserve"> to deliver gas to the east coast gas market during peak winter periods </w:t>
      </w:r>
      <w:r w:rsidDel="002F208D">
        <w:t>given the relatively higher percentage of Queensland demand to LNG users and infrastructure constraints</w:t>
      </w:r>
      <w:r w:rsidR="00523A71">
        <w:t>.</w:t>
      </w:r>
      <w:r w:rsidDel="008A67A8">
        <w:t xml:space="preserve"> </w:t>
      </w:r>
      <w:r>
        <w:t xml:space="preserve">Gas swaps, recommended in the </w:t>
      </w:r>
      <w:r w:rsidR="00523A71">
        <w:t>Supply Condition r</w:t>
      </w:r>
      <w:r w:rsidRPr="005C0A89">
        <w:t>eview</w:t>
      </w:r>
      <w:r>
        <w:t>, are assisting to match supply and demand peaks and troughs.</w:t>
      </w:r>
      <w:r w:rsidR="00734EE3">
        <w:t xml:space="preserve"> T</w:t>
      </w:r>
      <w:r w:rsidR="00734EE3" w:rsidRPr="005C0A89">
        <w:t xml:space="preserve">erm swap agreements </w:t>
      </w:r>
      <w:r w:rsidR="00734EE3">
        <w:t>also increase the</w:t>
      </w:r>
      <w:r w:rsidR="00734EE3" w:rsidRPr="005C0A89">
        <w:t xml:space="preserve"> certainty of supply </w:t>
      </w:r>
      <w:r w:rsidR="00734EE3">
        <w:t xml:space="preserve">and </w:t>
      </w:r>
      <w:r w:rsidR="00734EE3" w:rsidRPr="005C0A89">
        <w:t>will help market participants to sign up for increase</w:t>
      </w:r>
      <w:r w:rsidR="00734EE3">
        <w:t>d</w:t>
      </w:r>
      <w:r w:rsidR="00734EE3" w:rsidRPr="005C0A89">
        <w:t xml:space="preserve"> pipeline capacity.</w:t>
      </w:r>
    </w:p>
    <w:p w14:paraId="371DACC2" w14:textId="58403B51" w:rsidR="00734EE3" w:rsidRPr="005C0A89" w:rsidRDefault="00EC7EC7" w:rsidP="005C0A89">
      <w:pPr>
        <w:pStyle w:val="BodyText"/>
      </w:pPr>
      <w:r>
        <w:t xml:space="preserve">The review also found the </w:t>
      </w:r>
      <w:r w:rsidRPr="00FE49A7">
        <w:t>Supply Condition</w:t>
      </w:r>
      <w:r>
        <w:t xml:space="preserve"> would struggle</w:t>
      </w:r>
      <w:r w:rsidR="00523A71">
        <w:t xml:space="preserve"> to deliver gas to the east coast gas market during peak winter periods </w:t>
      </w:r>
      <w:r w:rsidDel="002F208D">
        <w:t>given the relatively higher percentage of Queensland demand to LNG users and infrastructure constraints</w:t>
      </w:r>
      <w:r w:rsidR="00523A71">
        <w:t>.</w:t>
      </w:r>
      <w:r w:rsidDel="008A67A8">
        <w:t xml:space="preserve"> </w:t>
      </w:r>
      <w:r>
        <w:t xml:space="preserve">Gas swaps, recommended in the </w:t>
      </w:r>
      <w:r w:rsidR="00523A71">
        <w:t>Supply Condition r</w:t>
      </w:r>
      <w:r w:rsidRPr="005C0A89">
        <w:t>eview</w:t>
      </w:r>
      <w:r>
        <w:t>, are assisting to match supply and demand peaks and troughs.</w:t>
      </w:r>
      <w:r w:rsidR="00734EE3">
        <w:t xml:space="preserve"> T</w:t>
      </w:r>
      <w:r w:rsidR="00734EE3" w:rsidRPr="005C0A89">
        <w:t xml:space="preserve">erm swap agreements </w:t>
      </w:r>
      <w:r w:rsidR="00734EE3">
        <w:t>also increase the</w:t>
      </w:r>
      <w:r w:rsidR="00734EE3" w:rsidRPr="005C0A89">
        <w:t xml:space="preserve"> certainty of supply </w:t>
      </w:r>
      <w:r w:rsidR="00734EE3">
        <w:t xml:space="preserve">and </w:t>
      </w:r>
      <w:r w:rsidR="00734EE3" w:rsidRPr="005C0A89">
        <w:t>will help market participants to sign up for increase</w:t>
      </w:r>
      <w:r w:rsidR="00734EE3">
        <w:t>d</w:t>
      </w:r>
      <w:r w:rsidR="00734EE3" w:rsidRPr="005C0A89">
        <w:t xml:space="preserve"> pipeline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CFCF"/>
        <w:tblLook w:val="04A0" w:firstRow="1" w:lastRow="0" w:firstColumn="1" w:lastColumn="0" w:noHBand="0" w:noVBand="1"/>
      </w:tblPr>
      <w:tblGrid>
        <w:gridCol w:w="6615"/>
      </w:tblGrid>
      <w:tr w:rsidR="00496CEA" w14:paraId="10C454DB" w14:textId="77777777" w:rsidTr="00D81BB3">
        <w:tc>
          <w:tcPr>
            <w:tcW w:w="6615" w:type="dxa"/>
            <w:shd w:val="clear" w:color="auto" w:fill="F1CFCF"/>
          </w:tcPr>
          <w:p w14:paraId="05545EC5" w14:textId="48C74615" w:rsidR="00496CEA" w:rsidRDefault="00496CEA" w:rsidP="005C0A89">
            <w:pPr>
              <w:pStyle w:val="Boxtext"/>
              <w:spacing w:beforeLines="60" w:before="144" w:afterLines="60" w:after="144"/>
              <w:ind w:left="113" w:right="113"/>
              <w:jc w:val="both"/>
            </w:pPr>
            <w:r w:rsidRPr="00496CEA">
              <w:rPr>
                <w:b/>
                <w:bCs/>
              </w:rPr>
              <w:t>Insight:</w:t>
            </w:r>
            <w:r w:rsidRPr="00496CEA">
              <w:t xml:space="preserve"> Strict enforcement of retention leases and domestic gas reservation policies will increase supply</w:t>
            </w:r>
            <w:r w:rsidR="00523A71">
              <w:t>.</w:t>
            </w:r>
          </w:p>
        </w:tc>
      </w:tr>
    </w:tbl>
    <w:p w14:paraId="4C7EB8A6" w14:textId="07D30E60" w:rsidR="00D23949" w:rsidRDefault="00D23949" w:rsidP="00EC7EC7">
      <w:pPr>
        <w:pStyle w:val="BodyText"/>
      </w:pPr>
      <w:bookmarkStart w:id="156" w:name="_Toc165332406"/>
      <w:bookmarkEnd w:id="156"/>
    </w:p>
    <w:p w14:paraId="1EA0C2AA" w14:textId="77777777" w:rsidR="00D23949" w:rsidRDefault="00D23949" w:rsidP="00EC7EC7">
      <w:pPr>
        <w:pStyle w:val="BodyText"/>
      </w:pPr>
    </w:p>
    <w:p w14:paraId="474D26E2" w14:textId="77777777" w:rsidR="00D23949" w:rsidRDefault="00D23949" w:rsidP="00D23949">
      <w:pPr>
        <w:pStyle w:val="Heading2"/>
        <w:numPr>
          <w:ilvl w:val="1"/>
          <w:numId w:val="35"/>
        </w:numPr>
        <w:spacing w:before="180"/>
      </w:pPr>
      <w:bookmarkStart w:id="157" w:name="_Toc172794531"/>
      <w:r>
        <w:t>Wholesale gas costs</w:t>
      </w:r>
      <w:bookmarkEnd w:id="157"/>
    </w:p>
    <w:p w14:paraId="65608FF7" w14:textId="7DB93ACB" w:rsidR="00D23949" w:rsidRDefault="00D23949" w:rsidP="00EC7EC7">
      <w:pPr>
        <w:pStyle w:val="BodyText"/>
      </w:pPr>
      <w:r>
        <w:t xml:space="preserve">Costs of upstream production and delivery to the wholesale market are relevant for determining pricing and supply. In most markets, the marginal cost of producers will be a key determinant of the market clearing price and level of supply. </w:t>
      </w:r>
    </w:p>
    <w:p w14:paraId="5C18FA37" w14:textId="4EE6A0B8" w:rsidR="00EC7EC7" w:rsidRDefault="00EC7EC7" w:rsidP="00EC7EC7">
      <w:pPr>
        <w:pStyle w:val="BodyText"/>
      </w:pPr>
      <w:r w:rsidRPr="00450945">
        <w:t>The major components of the cost of wholesale gas include wellhead and field costs, processing</w:t>
      </w:r>
      <w:r w:rsidR="00523A71">
        <w:t xml:space="preserve"> costs</w:t>
      </w:r>
      <w:r w:rsidRPr="00450945">
        <w:t xml:space="preserve">, and </w:t>
      </w:r>
      <w:r w:rsidR="00523A71">
        <w:t xml:space="preserve">the </w:t>
      </w:r>
      <w:r w:rsidRPr="00450945">
        <w:t>deliver</w:t>
      </w:r>
      <w:r w:rsidR="00523A71">
        <w:t>y</w:t>
      </w:r>
      <w:r w:rsidRPr="00450945">
        <w:t xml:space="preserve"> </w:t>
      </w:r>
      <w:r w:rsidR="00523A71">
        <w:t xml:space="preserve">of </w:t>
      </w:r>
      <w:r w:rsidRPr="00450945">
        <w:t xml:space="preserve">gas to the nearest network hub. The costs of retailing gas to consumers reflect the need to hedge against price and volume variability, access to </w:t>
      </w:r>
      <w:r>
        <w:t>pipeline infrastructure</w:t>
      </w:r>
      <w:r w:rsidRPr="00450945">
        <w:t>, compliance costs and the costs associated with running a retail business</w:t>
      </w:r>
      <w:r w:rsidR="00523A71">
        <w:t xml:space="preserve"> (</w:t>
      </w:r>
      <w:r>
        <w:t xml:space="preserve">Box </w:t>
      </w:r>
      <w:r w:rsidRPr="00BE3621">
        <w:t>6.1</w:t>
      </w:r>
      <w:r w:rsidR="00523A71">
        <w:t>)</w:t>
      </w:r>
      <w:r>
        <w:t>.</w:t>
      </w:r>
    </w:p>
    <w:tbl>
      <w:tblPr>
        <w:tblStyle w:val="OCETable"/>
        <w:tblW w:w="6804" w:type="dxa"/>
        <w:shd w:val="clear" w:color="auto" w:fill="DEE8F1"/>
        <w:tblLayout w:type="fixed"/>
        <w:tblCellMar>
          <w:top w:w="85" w:type="dxa"/>
          <w:bottom w:w="85" w:type="dxa"/>
        </w:tblCellMar>
        <w:tblLook w:val="04A0" w:firstRow="1" w:lastRow="0" w:firstColumn="1" w:lastColumn="0" w:noHBand="0" w:noVBand="1"/>
      </w:tblPr>
      <w:tblGrid>
        <w:gridCol w:w="6804"/>
      </w:tblGrid>
      <w:tr w:rsidR="00EC7EC7" w14:paraId="7F08CEA3" w14:textId="77777777" w:rsidTr="00AA38BB">
        <w:trPr>
          <w:cnfStyle w:val="100000000000" w:firstRow="1" w:lastRow="0" w:firstColumn="0" w:lastColumn="0" w:oddVBand="0" w:evenVBand="0" w:oddHBand="0" w:evenHBand="0" w:firstRowFirstColumn="0" w:firstRowLastColumn="0" w:lastRowFirstColumn="0" w:lastRowLastColumn="0"/>
          <w:trHeight w:val="63"/>
        </w:trPr>
        <w:tc>
          <w:tcPr>
            <w:tcW w:w="0" w:type="pct"/>
            <w:shd w:val="clear" w:color="auto" w:fill="DEE8F1"/>
          </w:tcPr>
          <w:p w14:paraId="5CCC4829" w14:textId="7302BEDD" w:rsidR="00EC7EC7" w:rsidRPr="00D97EE6" w:rsidRDefault="00EC7EC7" w:rsidP="00AA38BB">
            <w:pPr>
              <w:pStyle w:val="Boxtext"/>
              <w:spacing w:beforeLines="30" w:before="72" w:afterLines="60" w:after="144"/>
              <w:ind w:left="119" w:right="113"/>
              <w:jc w:val="both"/>
              <w:rPr>
                <w:b/>
                <w:bCs/>
                <w:color w:val="auto"/>
              </w:rPr>
            </w:pPr>
            <w:bookmarkStart w:id="158" w:name="_Hlk156996484"/>
            <w:bookmarkEnd w:id="154"/>
            <w:bookmarkEnd w:id="155"/>
            <w:r w:rsidRPr="00D97EE6">
              <w:rPr>
                <w:b/>
                <w:bCs/>
                <w:color w:val="auto"/>
              </w:rPr>
              <w:br w:type="column"/>
            </w:r>
            <w:r w:rsidRPr="00D97EE6">
              <w:rPr>
                <w:b/>
                <w:bCs/>
                <w:color w:val="auto"/>
              </w:rPr>
              <w:br w:type="column"/>
            </w:r>
            <w:r w:rsidRPr="006556DE">
              <w:rPr>
                <w:b/>
                <w:bCs/>
                <w:color w:val="005CAF" w:themeColor="accent1"/>
              </w:rPr>
              <w:t>Box 6.1: Factors that influence cost of production</w:t>
            </w:r>
          </w:p>
          <w:p w14:paraId="23F943F5" w14:textId="0E4DF54D" w:rsidR="00EC7EC7" w:rsidRPr="00766310" w:rsidRDefault="00EC7EC7" w:rsidP="00766310">
            <w:pPr>
              <w:pStyle w:val="Boxtext"/>
              <w:spacing w:beforeLines="60" w:before="144" w:afterLines="60" w:after="144"/>
              <w:ind w:left="113" w:right="113"/>
              <w:rPr>
                <w:b/>
                <w:color w:val="373737"/>
              </w:rPr>
            </w:pPr>
            <w:r w:rsidRPr="00766310">
              <w:rPr>
                <w:b/>
                <w:color w:val="373737"/>
              </w:rPr>
              <w:t xml:space="preserve">Wholesale gas costs </w:t>
            </w:r>
          </w:p>
          <w:p w14:paraId="179613D8" w14:textId="20EE60B2" w:rsidR="00EC7EC7" w:rsidRPr="00766310" w:rsidRDefault="00EC7EC7" w:rsidP="00766310">
            <w:pPr>
              <w:pStyle w:val="Boxtext"/>
              <w:spacing w:beforeLines="60" w:before="144" w:afterLines="60" w:after="144"/>
              <w:ind w:left="113" w:right="113"/>
              <w:rPr>
                <w:color w:val="373737"/>
              </w:rPr>
            </w:pPr>
            <w:r w:rsidRPr="00766310">
              <w:rPr>
                <w:color w:val="373737"/>
              </w:rPr>
              <w:t>Costs include permitting, exploration, appraisal and pilot programs, development of extraction and pipeline infrastructure, processing, operational costs, corporate overheads, cost of capital, abandonment and restoration costs, tax and royalties.</w:t>
            </w:r>
            <w:r w:rsidR="004163C0">
              <w:rPr>
                <w:color w:val="373737"/>
              </w:rPr>
              <w:t xml:space="preserve"> </w:t>
            </w:r>
            <w:r w:rsidRPr="00766310">
              <w:rPr>
                <w:color w:val="373737"/>
              </w:rPr>
              <w:t>Factors that affect the cost variability of gas extraction depend on the nature of the field reserves (cost</w:t>
            </w:r>
            <w:r w:rsidR="00285E28">
              <w:rPr>
                <w:color w:val="373737"/>
              </w:rPr>
              <w:t>s</w:t>
            </w:r>
            <w:r w:rsidRPr="00766310">
              <w:rPr>
                <w:color w:val="373737"/>
              </w:rPr>
              <w:t xml:space="preserve"> will still vary with the permeability and porosity of the rock, plus saturation and reservoir structure). Offshore production is also </w:t>
            </w:r>
            <w:r w:rsidR="004163C0">
              <w:rPr>
                <w:color w:val="373737"/>
              </w:rPr>
              <w:t>affected</w:t>
            </w:r>
            <w:r w:rsidRPr="00766310">
              <w:rPr>
                <w:color w:val="373737"/>
              </w:rPr>
              <w:t xml:space="preserve"> by water and reservoir depth. Costs associated coal seam gas</w:t>
            </w:r>
            <w:r w:rsidR="00217454">
              <w:rPr>
                <w:color w:val="373737"/>
              </w:rPr>
              <w:t xml:space="preserve"> include</w:t>
            </w:r>
            <w:r w:rsidRPr="00766310">
              <w:rPr>
                <w:color w:val="373737"/>
              </w:rPr>
              <w:t xml:space="preserve"> permeability, gas saturation, seam thickness and depth. These factors influence the extraction technique and well spacing. </w:t>
            </w:r>
            <w:r w:rsidR="004163C0">
              <w:rPr>
                <w:color w:val="373737"/>
              </w:rPr>
              <w:t>Last</w:t>
            </w:r>
            <w:r w:rsidRPr="00766310">
              <w:rPr>
                <w:color w:val="373737"/>
              </w:rPr>
              <w:t>ly, distance to the network will affect gathering cost</w:t>
            </w:r>
            <w:r w:rsidR="004163C0">
              <w:rPr>
                <w:color w:val="373737"/>
              </w:rPr>
              <w:t>s</w:t>
            </w:r>
            <w:r w:rsidRPr="00766310">
              <w:rPr>
                <w:color w:val="373737"/>
              </w:rPr>
              <w:t xml:space="preserve"> and upstream infrastructure.</w:t>
            </w:r>
          </w:p>
          <w:p w14:paraId="73840C59" w14:textId="0B3F5C33" w:rsidR="00EC7EC7" w:rsidRPr="00766310" w:rsidRDefault="00EC7EC7" w:rsidP="00766310">
            <w:pPr>
              <w:pStyle w:val="Boxtext"/>
              <w:spacing w:beforeLines="60" w:before="144" w:afterLines="60" w:after="144"/>
              <w:ind w:left="113" w:right="113"/>
              <w:rPr>
                <w:b/>
                <w:color w:val="373737"/>
              </w:rPr>
            </w:pPr>
            <w:r w:rsidRPr="00766310">
              <w:rPr>
                <w:b/>
                <w:color w:val="373737"/>
              </w:rPr>
              <w:t>Retailers</w:t>
            </w:r>
            <w:r w:rsidR="00285E28">
              <w:rPr>
                <w:b/>
                <w:color w:val="373737"/>
              </w:rPr>
              <w:t>’</w:t>
            </w:r>
            <w:r w:rsidRPr="00766310">
              <w:rPr>
                <w:b/>
                <w:color w:val="373737"/>
              </w:rPr>
              <w:t xml:space="preserve"> gas costs</w:t>
            </w:r>
          </w:p>
          <w:p w14:paraId="2BDAAC18" w14:textId="07AD400A" w:rsidR="00EC7EC7" w:rsidRPr="00D97EE6" w:rsidRDefault="00EC7EC7" w:rsidP="00766310">
            <w:pPr>
              <w:pStyle w:val="Boxtext"/>
              <w:spacing w:beforeLines="60" w:before="144" w:afterLines="60" w:after="144"/>
              <w:ind w:left="113" w:right="113"/>
              <w:rPr>
                <w:color w:val="auto"/>
              </w:rPr>
            </w:pPr>
            <w:r w:rsidRPr="00766310">
              <w:rPr>
                <w:color w:val="373737"/>
              </w:rPr>
              <w:t>Retailers’ costs are higher than for producers</w:t>
            </w:r>
            <w:r w:rsidR="00285E28">
              <w:rPr>
                <w:color w:val="373737"/>
              </w:rPr>
              <w:t>,</w:t>
            </w:r>
            <w:r w:rsidRPr="00766310">
              <w:rPr>
                <w:color w:val="373737"/>
              </w:rPr>
              <w:t xml:space="preserve"> reflecting the significant additional services they supply to their clients. Retailers typically manage a range of risks for clients, including gas supply and demand risks, pricing risks and delivery risks. The costs associated include costs procuring wholesale gas (including any market participation fees), market and regulatory compliance costs, transport and storage costs</w:t>
            </w:r>
            <w:r w:rsidR="00285E28">
              <w:rPr>
                <w:color w:val="373737"/>
              </w:rPr>
              <w:t>,</w:t>
            </w:r>
            <w:r w:rsidRPr="00766310">
              <w:rPr>
                <w:color w:val="373737"/>
              </w:rPr>
              <w:t xml:space="preserve"> and the costs of operating a retail business.</w:t>
            </w:r>
          </w:p>
        </w:tc>
      </w:tr>
    </w:tbl>
    <w:p w14:paraId="7ABA1948" w14:textId="5D10F627" w:rsidR="00EC4504" w:rsidRDefault="00EC4504" w:rsidP="00FE49A7">
      <w:pPr>
        <w:pStyle w:val="BodyText"/>
        <w:spacing w:before="120"/>
      </w:pPr>
      <w:r>
        <w:t>Looking forward, c</w:t>
      </w:r>
      <w:r w:rsidR="00EC7EC7">
        <w:t xml:space="preserve">osts </w:t>
      </w:r>
      <w:r>
        <w:t xml:space="preserve">on the east coast </w:t>
      </w:r>
      <w:r w:rsidR="00EC7EC7">
        <w:t>are expected to increase</w:t>
      </w:r>
      <w:r w:rsidR="00EC7EC7" w:rsidDel="00EC4504">
        <w:t xml:space="preserve"> </w:t>
      </w:r>
      <w:r w:rsidR="00EC7EC7">
        <w:t>for three underlying reasons: cost inflation associated with production coupled with declining field productivity</w:t>
      </w:r>
      <w:r w:rsidR="00285E28">
        <w:t>,</w:t>
      </w:r>
      <w:r w:rsidR="00EC7EC7">
        <w:t xml:space="preserve"> the increasing infrastructure costs associated with the need to transport more gas between northern and </w:t>
      </w:r>
      <w:r w:rsidR="00AF6D02">
        <w:t>southeast</w:t>
      </w:r>
      <w:r w:rsidR="00EC7EC7">
        <w:t xml:space="preserve"> Australia to meet the anticipated </w:t>
      </w:r>
      <w:r w:rsidR="00285E28">
        <w:t xml:space="preserve">gas shortfall in </w:t>
      </w:r>
      <w:r w:rsidR="00EC7EC7">
        <w:t>southern states</w:t>
      </w:r>
      <w:r w:rsidR="00285E28">
        <w:t>,</w:t>
      </w:r>
      <w:r w:rsidR="00EC7EC7">
        <w:t xml:space="preserve"> and the cost of abating emissions as required under the </w:t>
      </w:r>
      <w:r w:rsidR="00EC7EC7" w:rsidRPr="007A197E">
        <w:rPr>
          <w:i/>
          <w:iCs/>
        </w:rPr>
        <w:t>Commonwealth Safeguard Mechanism</w:t>
      </w:r>
      <w:r w:rsidR="00EC7EC7">
        <w:t xml:space="preserve"> (as outlined in Chapter 5). Retail costs will also increase in line with wholesale cost increases.</w:t>
      </w:r>
    </w:p>
    <w:p w14:paraId="0FEC2CB8" w14:textId="104D03D7" w:rsidR="00EC7EC7" w:rsidRDefault="00EC7EC7" w:rsidP="00EC7EC7">
      <w:pPr>
        <w:pStyle w:val="BodyText"/>
        <w:spacing w:before="60"/>
      </w:pPr>
      <w:r>
        <w:t>In Western Australia, costs of domestic gas production will be under less pressure than the east coast. WA gas fields are more productive, contain more liquids and require less sustaining capital expenditure as they are primarily larger offshore gas fields. The costs of capital expenditure are also spread across both LNG and domestic gas production, as gas is typically supplied to the market from LNG producers, and thus benefit from economies of scale.</w:t>
      </w:r>
      <w:r w:rsidR="00B75382">
        <w:t xml:space="preserve"> Average costs in Western Australia are expected to continue increas</w:t>
      </w:r>
      <w:r w:rsidR="00285E28">
        <w:t>ing</w:t>
      </w:r>
      <w:r w:rsidR="00B75382">
        <w:t xml:space="preserve"> when factoring in </w:t>
      </w:r>
      <w:r w:rsidR="00D06E89">
        <w:t>whole</w:t>
      </w:r>
      <w:r w:rsidR="00285E28">
        <w:t>-</w:t>
      </w:r>
      <w:r w:rsidR="00D06E89">
        <w:t>of</w:t>
      </w:r>
      <w:r w:rsidR="00285E28">
        <w:t>-</w:t>
      </w:r>
      <w:r w:rsidR="00D06E89">
        <w:t>project costs used for under-development projects</w:t>
      </w:r>
      <w:r w:rsidR="00B75382">
        <w:t xml:space="preserve"> and efforts to address field depletion</w:t>
      </w:r>
      <w:r w:rsidR="00EC4504">
        <w:t>.</w:t>
      </w:r>
    </w:p>
    <w:p w14:paraId="727C38BA" w14:textId="0D1B3B5F" w:rsidR="00EC7EC7" w:rsidRDefault="00EC7EC7" w:rsidP="00EC7EC7">
      <w:pPr>
        <w:pStyle w:val="BodyText"/>
      </w:pPr>
      <w:r>
        <w:t>AEMO</w:t>
      </w:r>
      <w:r w:rsidR="0015552C">
        <w:t xml:space="preserve"> (</w:t>
      </w:r>
      <w:r w:rsidR="004B302B">
        <w:t>2023</w:t>
      </w:r>
      <w:r w:rsidR="0015552C">
        <w:t>)</w:t>
      </w:r>
      <w:r>
        <w:t xml:space="preserve"> projects the real costs of production in the West</w:t>
      </w:r>
      <w:r w:rsidR="00285E28">
        <w:t>ern</w:t>
      </w:r>
      <w:r>
        <w:t xml:space="preserve"> Australian domestic gas market ($2.90/GJ in 2023 compared with $10/GJ in Queensland) to increase by just over 4% in the coming decade.</w:t>
      </w:r>
      <w:r w:rsidR="00EC4504">
        <w:t xml:space="preserve"> Risks due to supply shortages are likely tilted to the upside.</w:t>
      </w:r>
    </w:p>
    <w:p w14:paraId="22992604" w14:textId="36880DF7" w:rsidR="00EC7EC7" w:rsidRPr="00437844" w:rsidRDefault="00EC7EC7" w:rsidP="00FE49A7">
      <w:pPr>
        <w:pStyle w:val="Heading3"/>
        <w:spacing w:before="120"/>
      </w:pPr>
      <w:r>
        <w:t xml:space="preserve">Production costs on </w:t>
      </w:r>
      <w:r w:rsidR="00162B2E">
        <w:t xml:space="preserve">the </w:t>
      </w:r>
      <w:r w:rsidR="001E0E52">
        <w:t>e</w:t>
      </w:r>
      <w:r w:rsidR="00162B2E">
        <w:t xml:space="preserve">ast </w:t>
      </w:r>
      <w:r w:rsidR="001E0E52">
        <w:t>c</w:t>
      </w:r>
      <w:r>
        <w:t>oast</w:t>
      </w:r>
    </w:p>
    <w:p w14:paraId="68543766" w14:textId="3ADB71F4" w:rsidR="00EC7EC7" w:rsidRDefault="00EC7EC7" w:rsidP="00EC7EC7">
      <w:pPr>
        <w:pStyle w:val="BodyText"/>
      </w:pPr>
      <w:r>
        <w:t>As above, wholesale costs include costs of exploration, production and distribution to the hub</w:t>
      </w:r>
      <w:r w:rsidR="00285E28">
        <w:t>. T</w:t>
      </w:r>
      <w:r>
        <w:t xml:space="preserve">he marginal costs </w:t>
      </w:r>
      <w:r w:rsidR="00DA651F">
        <w:t>are</w:t>
      </w:r>
      <w:r>
        <w:t xml:space="preserve"> typically taken to be the primary hub for Queensland, Wallumbilla, because the marginal cost of production is determined by Queensland supplies.</w:t>
      </w:r>
    </w:p>
    <w:p w14:paraId="0CDB21A7" w14:textId="5550215E" w:rsidR="00EC4504" w:rsidRDefault="00EC4504" w:rsidP="00EC7EC7">
      <w:pPr>
        <w:pStyle w:val="BodyText"/>
      </w:pPr>
      <w:r>
        <w:t>A range of costs are experienced on the east coast</w:t>
      </w:r>
      <w:r w:rsidR="00217454">
        <w:t xml:space="preserve">. </w:t>
      </w:r>
      <w:r w:rsidR="00EC7EC7" w:rsidRPr="00C44673">
        <w:t>In 202</w:t>
      </w:r>
      <w:r w:rsidR="00EC7EC7">
        <w:t>3</w:t>
      </w:r>
      <w:r w:rsidR="00EC7EC7" w:rsidRPr="00C44673">
        <w:t xml:space="preserve">, volume-weighted average production costs </w:t>
      </w:r>
      <w:r w:rsidR="00EC7EC7">
        <w:t xml:space="preserve">for Queensland producers </w:t>
      </w:r>
      <w:r w:rsidR="00EC7EC7" w:rsidRPr="00C44673">
        <w:t xml:space="preserve">(wellhead production costs plus delivery costs to Wallumbilla) were </w:t>
      </w:r>
      <w:r w:rsidR="00EC7EC7">
        <w:t xml:space="preserve">measured at </w:t>
      </w:r>
      <w:r w:rsidR="00EC7EC7" w:rsidRPr="00C44673">
        <w:t>$</w:t>
      </w:r>
      <w:r w:rsidR="00EC7EC7">
        <w:t>7.61</w:t>
      </w:r>
      <w:r w:rsidR="00EC7EC7" w:rsidRPr="00C44673">
        <w:t>/GJ (Table 6.1).</w:t>
      </w:r>
    </w:p>
    <w:p w14:paraId="47092B9E" w14:textId="01316554" w:rsidR="00EC4504" w:rsidRDefault="00EC7EC7" w:rsidP="00EC7EC7">
      <w:pPr>
        <w:pStyle w:val="BodyText"/>
      </w:pPr>
      <w:r w:rsidRPr="00C44673">
        <w:t>In 202</w:t>
      </w:r>
      <w:r>
        <w:t>3</w:t>
      </w:r>
      <w:r w:rsidRPr="00C44673">
        <w:t xml:space="preserve">, volume-weighted average production costs </w:t>
      </w:r>
      <w:r>
        <w:t xml:space="preserve">for Queensland producers </w:t>
      </w:r>
      <w:r w:rsidRPr="00C44673">
        <w:t xml:space="preserve">(wellhead production costs plus delivery costs to Wallumbilla) were </w:t>
      </w:r>
      <w:r>
        <w:t xml:space="preserve">measured at </w:t>
      </w:r>
      <w:r w:rsidRPr="00C44673">
        <w:t>$</w:t>
      </w:r>
      <w:r>
        <w:t>7.61</w:t>
      </w:r>
      <w:r w:rsidRPr="00C44673">
        <w:t>/GJ (Table 6.1).</w:t>
      </w:r>
    </w:p>
    <w:p w14:paraId="45D69631" w14:textId="569485B7" w:rsidR="00EC7EC7" w:rsidRDefault="00EC7EC7" w:rsidP="00EC7EC7">
      <w:pPr>
        <w:pStyle w:val="BodyText"/>
      </w:pPr>
      <w:r>
        <w:t>Once the Queensland tenements controlled by LNG exporters are excluded to derive a cost of production for domestic gas, the volume</w:t>
      </w:r>
      <w:r w:rsidR="0090449A">
        <w:t>-</w:t>
      </w:r>
      <w:r>
        <w:t xml:space="preserve">weighted average cost is $9.44/GJ. </w:t>
      </w:r>
      <w:r w:rsidRPr="00AA5059">
        <w:t>Tenements held by exporters have an average cost of production and delivery to Wallumbilla of under $</w:t>
      </w:r>
      <w:r>
        <w:t>4</w:t>
      </w:r>
      <w:r w:rsidRPr="00AA5059">
        <w:t>.00/GJ.</w:t>
      </w:r>
    </w:p>
    <w:p w14:paraId="544CBF4D" w14:textId="31C25479" w:rsidR="00EC7EC7" w:rsidRDefault="00EC7EC7" w:rsidP="00EC7EC7">
      <w:pPr>
        <w:pStyle w:val="BodyText"/>
      </w:pPr>
      <w:r>
        <w:t>The lower costs of production for exporters reflect a combination of economies of scale and, most importantly, having permits in the most productive gas fields in the Surat and Bowen Basins.</w:t>
      </w:r>
    </w:p>
    <w:p w14:paraId="1F53D43A" w14:textId="77AF5C23" w:rsidR="00EC7EC7" w:rsidRPr="006901EC" w:rsidRDefault="00EC4504">
      <w:pPr>
        <w:pStyle w:val="BodyText"/>
      </w:pPr>
      <w:r w:rsidRPr="00E4506E">
        <w:t>Victorian weighted average production costs were under $3.00</w:t>
      </w:r>
      <w:r w:rsidRPr="00E4506E" w:rsidDel="00413612">
        <w:t xml:space="preserve"> </w:t>
      </w:r>
      <w:r w:rsidRPr="00E4506E">
        <w:t>/GJ, reflecting low costs of conventional (but depleting) gas production in the Bass Stra</w:t>
      </w:r>
      <w:r>
        <w:t>it</w:t>
      </w:r>
      <w:r w:rsidRPr="00E4506E">
        <w:t xml:space="preserve">. More recently developed fields </w:t>
      </w:r>
      <w:r w:rsidR="004E030E">
        <w:t>had</w:t>
      </w:r>
      <w:r w:rsidRPr="00E4506E">
        <w:t xml:space="preserve"> higher cost</w:t>
      </w:r>
      <w:r w:rsidR="004E030E">
        <w:t>s</w:t>
      </w:r>
      <w:r w:rsidRPr="00E4506E">
        <w:t xml:space="preserve"> rang</w:t>
      </w:r>
      <w:r w:rsidR="004E030E">
        <w:t>ing</w:t>
      </w:r>
      <w:r w:rsidRPr="00E4506E">
        <w:t xml:space="preserve"> </w:t>
      </w:r>
      <w:r w:rsidR="004E030E">
        <w:t>from</w:t>
      </w:r>
      <w:r w:rsidRPr="00E4506E">
        <w:t xml:space="preserve"> $3.50 to $3.80/GJ. </w:t>
      </w:r>
      <w:r>
        <w:t xml:space="preserve">However, </w:t>
      </w:r>
      <w:r w:rsidRPr="007F7A25">
        <w:t xml:space="preserve">Bass Strait </w:t>
      </w:r>
      <w:r w:rsidRPr="00E4506E">
        <w:t>is expect</w:t>
      </w:r>
      <w:r>
        <w:t>ing</w:t>
      </w:r>
      <w:r w:rsidRPr="00E4506E">
        <w:t xml:space="preserve"> </w:t>
      </w:r>
      <w:r>
        <w:t xml:space="preserve">a </w:t>
      </w:r>
      <w:r w:rsidRPr="00E4506E">
        <w:t>near 50% fall in producing wells by 2025.</w:t>
      </w:r>
      <w:r>
        <w:t xml:space="preserve"> </w:t>
      </w:r>
      <w:r w:rsidR="00EC7EC7">
        <w:t>Supply from new</w:t>
      </w:r>
      <w:r>
        <w:t>er</w:t>
      </w:r>
      <w:r w:rsidR="00EC7EC7">
        <w:t xml:space="preserve"> offshore Victorian gas fields or tie backs to existing hubs </w:t>
      </w:r>
      <w:r>
        <w:t xml:space="preserve">tend to </w:t>
      </w:r>
      <w:r w:rsidR="00EC7EC7">
        <w:t>be significantly higher than existing average costs</w:t>
      </w:r>
      <w:r w:rsidR="004E030E">
        <w:t>. This is</w:t>
      </w:r>
      <w:r w:rsidR="00795596">
        <w:t xml:space="preserve"> </w:t>
      </w:r>
      <w:r w:rsidR="00795596" w:rsidRPr="00795596">
        <w:t>due to a combination of factors</w:t>
      </w:r>
      <w:r w:rsidR="004E030E">
        <w:t>,</w:t>
      </w:r>
      <w:r w:rsidR="00795596" w:rsidRPr="00795596">
        <w:t xml:space="preserve"> including smaller field size</w:t>
      </w:r>
      <w:r w:rsidR="004E030E">
        <w:t>s</w:t>
      </w:r>
      <w:r w:rsidR="00795596" w:rsidRPr="00795596">
        <w:t>, higher levels of impurities requiring more expensive processing, and higher development costs compared to historical average cost</w:t>
      </w:r>
      <w:r w:rsidR="004E030E">
        <w:t>s</w:t>
      </w:r>
      <w:r w:rsidR="00EC7EC7">
        <w:t>.</w:t>
      </w:r>
      <w:r w:rsidR="00F864BE">
        <w:t xml:space="preserve"> </w:t>
      </w:r>
      <w:r w:rsidR="00FC3483" w:rsidRPr="00373C13">
        <w:t xml:space="preserve">Tying new offshore Victorian fields into existing infrastructure and building new processing plants does not increase supply capacity </w:t>
      </w:r>
      <w:r w:rsidR="004E030E">
        <w:t xml:space="preserve">– it </w:t>
      </w:r>
      <w:r w:rsidR="00FC3483" w:rsidRPr="00373C13">
        <w:t>simply maintains it and increasingly adds to costs.</w:t>
      </w:r>
    </w:p>
    <w:p w14:paraId="6E017415" w14:textId="264E1E93" w:rsidR="00EC7EC7" w:rsidRDefault="00EC7EC7" w:rsidP="00C97679">
      <w:pPr>
        <w:pStyle w:val="Caption"/>
      </w:pPr>
      <w:r>
        <w:t xml:space="preserve">Table </w:t>
      </w:r>
      <w:r w:rsidR="00341B3B">
        <w:fldChar w:fldCharType="begin"/>
      </w:r>
      <w:r w:rsidR="00341B3B">
        <w:instrText xml:space="preserve"> STYLEREF 1 \s </w:instrText>
      </w:r>
      <w:r w:rsidR="00341B3B">
        <w:fldChar w:fldCharType="separate"/>
      </w:r>
      <w:r w:rsidR="00BF178A">
        <w:rPr>
          <w:noProof/>
        </w:rPr>
        <w:t>6</w:t>
      </w:r>
      <w:r w:rsidR="00341B3B">
        <w:rPr>
          <w:noProof/>
        </w:rPr>
        <w:fldChar w:fldCharType="end"/>
      </w:r>
      <w:r w:rsidR="000565F6">
        <w:t>.</w:t>
      </w:r>
      <w:r w:rsidR="00341B3B">
        <w:fldChar w:fldCharType="begin"/>
      </w:r>
      <w:r w:rsidR="00341B3B">
        <w:instrText xml:space="preserve"> SEQ Table \* ARABIC \s 1 </w:instrText>
      </w:r>
      <w:r w:rsidR="00341B3B">
        <w:fldChar w:fldCharType="separate"/>
      </w:r>
      <w:r w:rsidR="00BF178A">
        <w:rPr>
          <w:noProof/>
        </w:rPr>
        <w:t>1</w:t>
      </w:r>
      <w:r w:rsidR="00341B3B">
        <w:rPr>
          <w:noProof/>
        </w:rPr>
        <w:fldChar w:fldCharType="end"/>
      </w:r>
      <w:r w:rsidRPr="000618FB">
        <w:t xml:space="preserve">: </w:t>
      </w:r>
      <w:r w:rsidRPr="00EC4627">
        <w:t>Weighted</w:t>
      </w:r>
      <w:r w:rsidR="00554C0F">
        <w:t xml:space="preserve"> </w:t>
      </w:r>
      <w:r w:rsidRPr="00EC4627">
        <w:t>average costs of production from Queensland, 202</w:t>
      </w:r>
      <w:r>
        <w:t>3</w:t>
      </w:r>
      <w:r w:rsidRPr="00EC4627">
        <w:t>, $/GJ (ex-</w:t>
      </w:r>
      <w:r w:rsidR="00217454">
        <w:t>plant</w:t>
      </w:r>
      <w:r w:rsidRPr="00EC4627">
        <w:t xml:space="preserve"> and including delivery costs)</w:t>
      </w:r>
    </w:p>
    <w:tbl>
      <w:tblPr>
        <w:tblStyle w:val="OCETable"/>
        <w:tblW w:w="5000" w:type="pct"/>
        <w:tblLayout w:type="fixed"/>
        <w:tblLook w:val="04A0" w:firstRow="1" w:lastRow="0" w:firstColumn="1" w:lastColumn="0" w:noHBand="0" w:noVBand="1"/>
      </w:tblPr>
      <w:tblGrid>
        <w:gridCol w:w="1503"/>
        <w:gridCol w:w="730"/>
        <w:gridCol w:w="731"/>
        <w:gridCol w:w="730"/>
        <w:gridCol w:w="731"/>
        <w:gridCol w:w="731"/>
        <w:gridCol w:w="1469"/>
      </w:tblGrid>
      <w:tr w:rsidR="00EC7EC7" w14:paraId="76032F15" w14:textId="77777777" w:rsidTr="00C50D71">
        <w:trPr>
          <w:cnfStyle w:val="100000000000" w:firstRow="1" w:lastRow="0" w:firstColumn="0" w:lastColumn="0" w:oddVBand="0" w:evenVBand="0" w:oddHBand="0" w:evenHBand="0" w:firstRowFirstColumn="0" w:firstRowLastColumn="0" w:lastRowFirstColumn="0" w:lastRowLastColumn="0"/>
        </w:trPr>
        <w:tc>
          <w:tcPr>
            <w:tcW w:w="1503" w:type="dxa"/>
          </w:tcPr>
          <w:p w14:paraId="278B922C" w14:textId="77777777" w:rsidR="00EC7EC7" w:rsidRDefault="00EC7EC7" w:rsidP="00C50D71">
            <w:pPr>
              <w:pStyle w:val="Tableheader"/>
              <w:rPr>
                <w:lang w:eastAsia="en-AU"/>
              </w:rPr>
            </w:pPr>
          </w:p>
        </w:tc>
        <w:tc>
          <w:tcPr>
            <w:tcW w:w="730" w:type="dxa"/>
          </w:tcPr>
          <w:p w14:paraId="307376A8" w14:textId="77777777" w:rsidR="00EC7EC7" w:rsidRDefault="00EC7EC7" w:rsidP="00C50D71">
            <w:pPr>
              <w:pStyle w:val="Tableheader"/>
              <w:rPr>
                <w:lang w:eastAsia="en-AU"/>
              </w:rPr>
            </w:pPr>
            <w:r w:rsidRPr="008F29A4">
              <w:t>Ex-plant</w:t>
            </w:r>
          </w:p>
        </w:tc>
        <w:tc>
          <w:tcPr>
            <w:tcW w:w="731" w:type="dxa"/>
          </w:tcPr>
          <w:p w14:paraId="589BC83F" w14:textId="77777777" w:rsidR="00EC7EC7" w:rsidRDefault="00EC7EC7" w:rsidP="00C50D71">
            <w:pPr>
              <w:pStyle w:val="Tableheader"/>
              <w:rPr>
                <w:lang w:eastAsia="en-AU"/>
              </w:rPr>
            </w:pPr>
            <w:r w:rsidRPr="008F29A4">
              <w:t>W</w:t>
            </w:r>
            <w:r>
              <w:t>al. GSH</w:t>
            </w:r>
          </w:p>
        </w:tc>
        <w:tc>
          <w:tcPr>
            <w:tcW w:w="730" w:type="dxa"/>
          </w:tcPr>
          <w:p w14:paraId="6B5E0215" w14:textId="77777777" w:rsidR="00EC7EC7" w:rsidRDefault="00EC7EC7" w:rsidP="00C50D71">
            <w:pPr>
              <w:pStyle w:val="Tableheader"/>
              <w:rPr>
                <w:lang w:eastAsia="en-AU"/>
              </w:rPr>
            </w:pPr>
            <w:r w:rsidRPr="008F29A4">
              <w:t>Syd.</w:t>
            </w:r>
          </w:p>
        </w:tc>
        <w:tc>
          <w:tcPr>
            <w:tcW w:w="731" w:type="dxa"/>
          </w:tcPr>
          <w:p w14:paraId="1082E0BC" w14:textId="77777777" w:rsidR="00EC7EC7" w:rsidRDefault="00EC7EC7" w:rsidP="00C50D71">
            <w:pPr>
              <w:pStyle w:val="Tableheader"/>
              <w:rPr>
                <w:lang w:eastAsia="en-AU"/>
              </w:rPr>
            </w:pPr>
            <w:r w:rsidRPr="008F29A4">
              <w:t>Melb.</w:t>
            </w:r>
          </w:p>
        </w:tc>
        <w:tc>
          <w:tcPr>
            <w:tcW w:w="731" w:type="dxa"/>
          </w:tcPr>
          <w:p w14:paraId="07F43E94" w14:textId="77777777" w:rsidR="00EC7EC7" w:rsidRDefault="00EC7EC7" w:rsidP="00C50D71">
            <w:pPr>
              <w:pStyle w:val="Tableheader"/>
              <w:rPr>
                <w:lang w:eastAsia="en-AU"/>
              </w:rPr>
            </w:pPr>
            <w:r w:rsidRPr="008F29A4">
              <w:t>Adel.</w:t>
            </w:r>
          </w:p>
        </w:tc>
        <w:tc>
          <w:tcPr>
            <w:tcW w:w="1469" w:type="dxa"/>
          </w:tcPr>
          <w:p w14:paraId="401162AC" w14:textId="77777777" w:rsidR="00EC7EC7" w:rsidRDefault="00EC7EC7" w:rsidP="00C50D71">
            <w:pPr>
              <w:pStyle w:val="Tableheader"/>
              <w:rPr>
                <w:lang w:eastAsia="en-AU"/>
              </w:rPr>
            </w:pPr>
            <w:r w:rsidRPr="008F29A4">
              <w:t>Reserves and selected resources (PJ)</w:t>
            </w:r>
          </w:p>
        </w:tc>
      </w:tr>
      <w:tr w:rsidR="00EC7EC7" w14:paraId="351B17DB" w14:textId="77777777" w:rsidTr="00C50D71">
        <w:trPr>
          <w:cnfStyle w:val="000000100000" w:firstRow="0" w:lastRow="0" w:firstColumn="0" w:lastColumn="0" w:oddVBand="0" w:evenVBand="0" w:oddHBand="1" w:evenHBand="0" w:firstRowFirstColumn="0" w:firstRowLastColumn="0" w:lastRowFirstColumn="0" w:lastRowLastColumn="0"/>
        </w:trPr>
        <w:tc>
          <w:tcPr>
            <w:tcW w:w="1503" w:type="dxa"/>
          </w:tcPr>
          <w:p w14:paraId="73322738" w14:textId="77777777" w:rsidR="00EC7EC7" w:rsidRDefault="00EC7EC7" w:rsidP="00C50D71">
            <w:pPr>
              <w:pStyle w:val="Tabletext"/>
              <w:rPr>
                <w:lang w:eastAsia="en-AU"/>
              </w:rPr>
            </w:pPr>
            <w:r>
              <w:rPr>
                <w:lang w:eastAsia="en-AU"/>
              </w:rPr>
              <w:t>Including LNG projects</w:t>
            </w:r>
          </w:p>
        </w:tc>
        <w:tc>
          <w:tcPr>
            <w:tcW w:w="730" w:type="dxa"/>
          </w:tcPr>
          <w:p w14:paraId="66179371" w14:textId="77777777" w:rsidR="00EC7EC7" w:rsidRDefault="00EC7EC7" w:rsidP="00C50D71">
            <w:pPr>
              <w:pStyle w:val="Tabletext"/>
              <w:rPr>
                <w:lang w:eastAsia="en-AU"/>
              </w:rPr>
            </w:pPr>
            <w:r>
              <w:rPr>
                <w:lang w:eastAsia="en-AU"/>
              </w:rPr>
              <w:t>6.80</w:t>
            </w:r>
          </w:p>
        </w:tc>
        <w:tc>
          <w:tcPr>
            <w:tcW w:w="731" w:type="dxa"/>
          </w:tcPr>
          <w:p w14:paraId="318038E2" w14:textId="77777777" w:rsidR="00EC7EC7" w:rsidRDefault="00EC7EC7" w:rsidP="00C50D71">
            <w:pPr>
              <w:pStyle w:val="Tabletext"/>
              <w:rPr>
                <w:lang w:eastAsia="en-AU"/>
              </w:rPr>
            </w:pPr>
            <w:r>
              <w:rPr>
                <w:lang w:eastAsia="en-AU"/>
              </w:rPr>
              <w:t>7.61</w:t>
            </w:r>
          </w:p>
        </w:tc>
        <w:tc>
          <w:tcPr>
            <w:tcW w:w="730" w:type="dxa"/>
          </w:tcPr>
          <w:p w14:paraId="1F12FFFC" w14:textId="77777777" w:rsidR="00EC7EC7" w:rsidRDefault="00EC7EC7" w:rsidP="00C50D71">
            <w:pPr>
              <w:pStyle w:val="Tabletext"/>
              <w:rPr>
                <w:lang w:eastAsia="en-AU"/>
              </w:rPr>
            </w:pPr>
            <w:r>
              <w:rPr>
                <w:lang w:eastAsia="en-AU"/>
              </w:rPr>
              <w:t>9.20</w:t>
            </w:r>
          </w:p>
        </w:tc>
        <w:tc>
          <w:tcPr>
            <w:tcW w:w="731" w:type="dxa"/>
          </w:tcPr>
          <w:p w14:paraId="36F31DC5" w14:textId="77777777" w:rsidR="00EC7EC7" w:rsidRDefault="00EC7EC7" w:rsidP="00C50D71">
            <w:pPr>
              <w:pStyle w:val="Tabletext"/>
              <w:rPr>
                <w:lang w:eastAsia="en-AU"/>
              </w:rPr>
            </w:pPr>
            <w:r>
              <w:rPr>
                <w:lang w:eastAsia="en-AU"/>
              </w:rPr>
              <w:t>9.57</w:t>
            </w:r>
          </w:p>
        </w:tc>
        <w:tc>
          <w:tcPr>
            <w:tcW w:w="731" w:type="dxa"/>
          </w:tcPr>
          <w:p w14:paraId="27C9E363" w14:textId="77777777" w:rsidR="00EC7EC7" w:rsidRDefault="00EC7EC7" w:rsidP="00C50D71">
            <w:pPr>
              <w:pStyle w:val="Tabletext"/>
              <w:rPr>
                <w:lang w:eastAsia="en-AU"/>
              </w:rPr>
            </w:pPr>
            <w:r>
              <w:rPr>
                <w:lang w:eastAsia="en-AU"/>
              </w:rPr>
              <w:t>9.30</w:t>
            </w:r>
          </w:p>
        </w:tc>
        <w:tc>
          <w:tcPr>
            <w:tcW w:w="1469" w:type="dxa"/>
          </w:tcPr>
          <w:p w14:paraId="0725181F" w14:textId="77777777" w:rsidR="00EC7EC7" w:rsidRDefault="00EC7EC7" w:rsidP="00C50D71">
            <w:pPr>
              <w:pStyle w:val="Tabletext"/>
              <w:rPr>
                <w:lang w:eastAsia="en-AU"/>
              </w:rPr>
            </w:pPr>
            <w:r>
              <w:rPr>
                <w:lang w:eastAsia="en-AU"/>
              </w:rPr>
              <w:t>33,735</w:t>
            </w:r>
          </w:p>
        </w:tc>
      </w:tr>
      <w:tr w:rsidR="00EC7EC7" w14:paraId="6CD08260" w14:textId="77777777" w:rsidTr="00C50D71">
        <w:trPr>
          <w:cnfStyle w:val="000000010000" w:firstRow="0" w:lastRow="0" w:firstColumn="0" w:lastColumn="0" w:oddVBand="0" w:evenVBand="0" w:oddHBand="0" w:evenHBand="1" w:firstRowFirstColumn="0" w:firstRowLastColumn="0" w:lastRowFirstColumn="0" w:lastRowLastColumn="0"/>
        </w:trPr>
        <w:tc>
          <w:tcPr>
            <w:tcW w:w="1503" w:type="dxa"/>
          </w:tcPr>
          <w:p w14:paraId="6B6F080B" w14:textId="77777777" w:rsidR="00EC7EC7" w:rsidRDefault="00EC7EC7" w:rsidP="00C50D71">
            <w:pPr>
              <w:pStyle w:val="Tabletext"/>
              <w:rPr>
                <w:lang w:eastAsia="en-AU"/>
              </w:rPr>
            </w:pPr>
            <w:r>
              <w:rPr>
                <w:lang w:eastAsia="en-AU"/>
              </w:rPr>
              <w:t>Excluding LNG projects</w:t>
            </w:r>
          </w:p>
        </w:tc>
        <w:tc>
          <w:tcPr>
            <w:tcW w:w="730" w:type="dxa"/>
          </w:tcPr>
          <w:p w14:paraId="1D9485E2" w14:textId="77777777" w:rsidR="00EC7EC7" w:rsidRDefault="00EC7EC7" w:rsidP="00C50D71">
            <w:pPr>
              <w:pStyle w:val="Tabletext"/>
              <w:rPr>
                <w:lang w:eastAsia="en-AU"/>
              </w:rPr>
            </w:pPr>
            <w:r>
              <w:rPr>
                <w:lang w:eastAsia="en-AU"/>
              </w:rPr>
              <w:t>6.51</w:t>
            </w:r>
          </w:p>
        </w:tc>
        <w:tc>
          <w:tcPr>
            <w:tcW w:w="731" w:type="dxa"/>
          </w:tcPr>
          <w:p w14:paraId="65E0FA8D" w14:textId="77777777" w:rsidR="00EC7EC7" w:rsidRDefault="00EC7EC7" w:rsidP="00C50D71">
            <w:pPr>
              <w:pStyle w:val="Tabletext"/>
              <w:rPr>
                <w:lang w:eastAsia="en-AU"/>
              </w:rPr>
            </w:pPr>
            <w:r>
              <w:rPr>
                <w:lang w:eastAsia="en-AU"/>
              </w:rPr>
              <w:t>9.44</w:t>
            </w:r>
          </w:p>
        </w:tc>
        <w:tc>
          <w:tcPr>
            <w:tcW w:w="730" w:type="dxa"/>
          </w:tcPr>
          <w:p w14:paraId="02F8F00F" w14:textId="77777777" w:rsidR="00EC7EC7" w:rsidRDefault="00EC7EC7" w:rsidP="00C50D71">
            <w:pPr>
              <w:pStyle w:val="Tabletext"/>
              <w:rPr>
                <w:lang w:eastAsia="en-AU"/>
              </w:rPr>
            </w:pPr>
            <w:r>
              <w:rPr>
                <w:lang w:eastAsia="en-AU"/>
              </w:rPr>
              <w:t>8.60</w:t>
            </w:r>
          </w:p>
        </w:tc>
        <w:tc>
          <w:tcPr>
            <w:tcW w:w="731" w:type="dxa"/>
          </w:tcPr>
          <w:p w14:paraId="231E1417" w14:textId="77777777" w:rsidR="00EC7EC7" w:rsidRDefault="00EC7EC7" w:rsidP="00C50D71">
            <w:pPr>
              <w:pStyle w:val="Tabletext"/>
              <w:rPr>
                <w:lang w:eastAsia="en-AU"/>
              </w:rPr>
            </w:pPr>
            <w:r>
              <w:rPr>
                <w:lang w:eastAsia="en-AU"/>
              </w:rPr>
              <w:t>8.60</w:t>
            </w:r>
          </w:p>
        </w:tc>
        <w:tc>
          <w:tcPr>
            <w:tcW w:w="731" w:type="dxa"/>
          </w:tcPr>
          <w:p w14:paraId="53F58961" w14:textId="77777777" w:rsidR="00EC7EC7" w:rsidRDefault="00EC7EC7" w:rsidP="00C50D71">
            <w:pPr>
              <w:pStyle w:val="Tabletext"/>
              <w:rPr>
                <w:lang w:eastAsia="en-AU"/>
              </w:rPr>
            </w:pPr>
            <w:r>
              <w:rPr>
                <w:lang w:eastAsia="en-AU"/>
              </w:rPr>
              <w:t>8.74</w:t>
            </w:r>
          </w:p>
        </w:tc>
        <w:tc>
          <w:tcPr>
            <w:tcW w:w="1469" w:type="dxa"/>
          </w:tcPr>
          <w:p w14:paraId="0DA4229C" w14:textId="77777777" w:rsidR="00EC7EC7" w:rsidRDefault="00EC7EC7" w:rsidP="00C50D71">
            <w:pPr>
              <w:pStyle w:val="Tabletext"/>
              <w:rPr>
                <w:lang w:eastAsia="en-AU"/>
              </w:rPr>
            </w:pPr>
            <w:r>
              <w:rPr>
                <w:lang w:eastAsia="en-AU"/>
              </w:rPr>
              <w:t>7,126</w:t>
            </w:r>
          </w:p>
        </w:tc>
      </w:tr>
      <w:tr w:rsidR="00EC7EC7" w14:paraId="514077E3" w14:textId="77777777" w:rsidTr="00C50D71">
        <w:trPr>
          <w:cnfStyle w:val="000000100000" w:firstRow="0" w:lastRow="0" w:firstColumn="0" w:lastColumn="0" w:oddVBand="0" w:evenVBand="0" w:oddHBand="1" w:evenHBand="0" w:firstRowFirstColumn="0" w:firstRowLastColumn="0" w:lastRowFirstColumn="0" w:lastRowLastColumn="0"/>
        </w:trPr>
        <w:tc>
          <w:tcPr>
            <w:tcW w:w="1503" w:type="dxa"/>
          </w:tcPr>
          <w:p w14:paraId="16269690" w14:textId="77777777" w:rsidR="00EC7EC7" w:rsidRDefault="00EC7EC7" w:rsidP="00C50D71">
            <w:pPr>
              <w:pStyle w:val="Tabletext"/>
              <w:rPr>
                <w:lang w:eastAsia="en-AU"/>
              </w:rPr>
            </w:pPr>
            <w:r>
              <w:rPr>
                <w:lang w:eastAsia="en-AU"/>
              </w:rPr>
              <w:t>Change since 2020</w:t>
            </w:r>
          </w:p>
        </w:tc>
        <w:tc>
          <w:tcPr>
            <w:tcW w:w="730" w:type="dxa"/>
          </w:tcPr>
          <w:p w14:paraId="616AC530" w14:textId="77777777" w:rsidR="00EC7EC7" w:rsidRDefault="00EC7EC7" w:rsidP="00C50D71">
            <w:pPr>
              <w:pStyle w:val="Tabletext"/>
              <w:rPr>
                <w:lang w:eastAsia="en-AU"/>
              </w:rPr>
            </w:pPr>
            <w:r>
              <w:rPr>
                <w:lang w:eastAsia="en-AU"/>
              </w:rPr>
              <w:t>- 4%</w:t>
            </w:r>
          </w:p>
        </w:tc>
        <w:tc>
          <w:tcPr>
            <w:tcW w:w="731" w:type="dxa"/>
          </w:tcPr>
          <w:p w14:paraId="581BA917" w14:textId="77777777" w:rsidR="00EC7EC7" w:rsidRDefault="00EC7EC7" w:rsidP="00C50D71">
            <w:pPr>
              <w:pStyle w:val="Tabletext"/>
              <w:rPr>
                <w:lang w:eastAsia="en-AU"/>
              </w:rPr>
            </w:pPr>
            <w:r>
              <w:rPr>
                <w:lang w:eastAsia="en-AU"/>
              </w:rPr>
              <w:t>24%</w:t>
            </w:r>
          </w:p>
        </w:tc>
        <w:tc>
          <w:tcPr>
            <w:tcW w:w="730" w:type="dxa"/>
          </w:tcPr>
          <w:p w14:paraId="3832AB5A" w14:textId="77777777" w:rsidR="00EC7EC7" w:rsidRDefault="00EC7EC7" w:rsidP="00C50D71">
            <w:pPr>
              <w:pStyle w:val="Tabletext"/>
              <w:rPr>
                <w:lang w:eastAsia="en-AU"/>
              </w:rPr>
            </w:pPr>
            <w:r>
              <w:rPr>
                <w:lang w:eastAsia="en-AU"/>
              </w:rPr>
              <w:t>- 6%</w:t>
            </w:r>
          </w:p>
        </w:tc>
        <w:tc>
          <w:tcPr>
            <w:tcW w:w="731" w:type="dxa"/>
          </w:tcPr>
          <w:p w14:paraId="0AE466ED" w14:textId="77777777" w:rsidR="00EC7EC7" w:rsidRDefault="00EC7EC7" w:rsidP="00C50D71">
            <w:pPr>
              <w:pStyle w:val="Tabletext"/>
              <w:rPr>
                <w:lang w:eastAsia="en-AU"/>
              </w:rPr>
            </w:pPr>
            <w:r>
              <w:rPr>
                <w:lang w:eastAsia="en-AU"/>
              </w:rPr>
              <w:t>- 10%</w:t>
            </w:r>
          </w:p>
        </w:tc>
        <w:tc>
          <w:tcPr>
            <w:tcW w:w="731" w:type="dxa"/>
          </w:tcPr>
          <w:p w14:paraId="774D53A8" w14:textId="77777777" w:rsidR="00EC7EC7" w:rsidRDefault="00EC7EC7" w:rsidP="00C50D71">
            <w:pPr>
              <w:pStyle w:val="Tabletext"/>
              <w:rPr>
                <w:lang w:eastAsia="en-AU"/>
              </w:rPr>
            </w:pPr>
            <w:r>
              <w:rPr>
                <w:lang w:eastAsia="en-AU"/>
              </w:rPr>
              <w:t>- 6%</w:t>
            </w:r>
          </w:p>
        </w:tc>
        <w:tc>
          <w:tcPr>
            <w:tcW w:w="1469" w:type="dxa"/>
          </w:tcPr>
          <w:p w14:paraId="6C8F51C2" w14:textId="77777777" w:rsidR="00EC7EC7" w:rsidRDefault="00EC7EC7" w:rsidP="00C50D71">
            <w:pPr>
              <w:pStyle w:val="Tabletext"/>
              <w:rPr>
                <w:lang w:eastAsia="en-AU"/>
              </w:rPr>
            </w:pPr>
          </w:p>
        </w:tc>
      </w:tr>
    </w:tbl>
    <w:p w14:paraId="2C23E798" w14:textId="7E8B7D03" w:rsidR="00EC7EC7" w:rsidRDefault="00EC7EC7" w:rsidP="00E22960">
      <w:pPr>
        <w:pStyle w:val="Source"/>
        <w:rPr>
          <w:lang w:eastAsia="en-AU"/>
        </w:rPr>
      </w:pPr>
      <w:r>
        <w:rPr>
          <w:lang w:eastAsia="en-AU"/>
        </w:rPr>
        <w:t xml:space="preserve">Notes: </w:t>
      </w:r>
      <w:r w:rsidRPr="00EC4627">
        <w:rPr>
          <w:lang w:eastAsia="en-AU"/>
        </w:rPr>
        <w:t>Ex-plant costs refer to production costs at wellhead.</w:t>
      </w:r>
    </w:p>
    <w:p w14:paraId="787882B0" w14:textId="0379FCEC" w:rsidR="00EC7EC7" w:rsidRPr="00EC4627" w:rsidRDefault="00EC7EC7" w:rsidP="00E22960">
      <w:pPr>
        <w:pStyle w:val="Source"/>
        <w:rPr>
          <w:lang w:eastAsia="en-AU"/>
        </w:rPr>
      </w:pPr>
      <w:r>
        <w:rPr>
          <w:lang w:eastAsia="en-AU"/>
        </w:rPr>
        <w:t xml:space="preserve">Source: </w:t>
      </w:r>
      <w:r w:rsidRPr="00EC4627">
        <w:rPr>
          <w:lang w:eastAsia="en-AU"/>
        </w:rPr>
        <w:t xml:space="preserve">EnergyQuest </w:t>
      </w:r>
      <w:r>
        <w:rPr>
          <w:lang w:eastAsia="en-AU"/>
        </w:rPr>
        <w:t>(2023</w:t>
      </w:r>
      <w:r w:rsidR="0050313C">
        <w:rPr>
          <w:lang w:eastAsia="en-AU"/>
        </w:rPr>
        <w:t>a</w:t>
      </w:r>
      <w:r>
        <w:rPr>
          <w:lang w:eastAsia="en-AU"/>
        </w:rPr>
        <w:t xml:space="preserve">) </w:t>
      </w:r>
    </w:p>
    <w:p w14:paraId="10E1C43B" w14:textId="25EC7D9D" w:rsidR="00BB2F0B" w:rsidRDefault="00BB2F0B" w:rsidP="00C97679">
      <w:pPr>
        <w:pStyle w:val="Caption"/>
      </w:pPr>
      <w:r w:rsidRPr="008F6BCB">
        <w:t xml:space="preserve">Table </w:t>
      </w:r>
      <w:r w:rsidR="00341B3B" w:rsidRPr="008F6BCB">
        <w:fldChar w:fldCharType="begin"/>
      </w:r>
      <w:r w:rsidR="00341B3B" w:rsidRPr="008F6BCB">
        <w:instrText xml:space="preserve"> STYLEREF 1 \s </w:instrText>
      </w:r>
      <w:r w:rsidR="00341B3B" w:rsidRPr="008F6BCB">
        <w:fldChar w:fldCharType="separate"/>
      </w:r>
      <w:r w:rsidR="00BF178A">
        <w:rPr>
          <w:noProof/>
        </w:rPr>
        <w:t>6</w:t>
      </w:r>
      <w:r w:rsidR="00341B3B" w:rsidRPr="008F6BCB">
        <w:rPr>
          <w:noProof/>
        </w:rPr>
        <w:fldChar w:fldCharType="end"/>
      </w:r>
      <w:r w:rsidR="000565F6" w:rsidRPr="008F6BCB">
        <w:t>.</w:t>
      </w:r>
      <w:r w:rsidR="00341B3B" w:rsidRPr="008F6BCB">
        <w:fldChar w:fldCharType="begin"/>
      </w:r>
      <w:r w:rsidR="00341B3B" w:rsidRPr="008F6BCB">
        <w:instrText xml:space="preserve"> SEQ Table \* ARABIC \s 1 </w:instrText>
      </w:r>
      <w:r w:rsidR="00341B3B" w:rsidRPr="008F6BCB">
        <w:fldChar w:fldCharType="separate"/>
      </w:r>
      <w:r w:rsidR="00BF178A">
        <w:rPr>
          <w:noProof/>
        </w:rPr>
        <w:t>2</w:t>
      </w:r>
      <w:r w:rsidR="00341B3B" w:rsidRPr="008F6BCB">
        <w:rPr>
          <w:noProof/>
        </w:rPr>
        <w:fldChar w:fldCharType="end"/>
      </w:r>
      <w:r w:rsidRPr="008F6BCB">
        <w:t>: Estimated delivery costs by destination, $/GJ</w:t>
      </w:r>
    </w:p>
    <w:tbl>
      <w:tblPr>
        <w:tblStyle w:val="OCETable"/>
        <w:tblW w:w="5029" w:type="pct"/>
        <w:tblLayout w:type="fixed"/>
        <w:tblLook w:val="04A0" w:firstRow="1" w:lastRow="0" w:firstColumn="1" w:lastColumn="0" w:noHBand="0" w:noVBand="1"/>
      </w:tblPr>
      <w:tblGrid>
        <w:gridCol w:w="1560"/>
        <w:gridCol w:w="1020"/>
        <w:gridCol w:w="1021"/>
        <w:gridCol w:w="1020"/>
        <w:gridCol w:w="1021"/>
        <w:gridCol w:w="1021"/>
      </w:tblGrid>
      <w:tr w:rsidR="00C64EAC" w14:paraId="663C2641" w14:textId="77777777" w:rsidTr="00F86FFE">
        <w:trPr>
          <w:cnfStyle w:val="100000000000" w:firstRow="1" w:lastRow="0" w:firstColumn="0" w:lastColumn="0" w:oddVBand="0" w:evenVBand="0" w:oddHBand="0" w:evenHBand="0" w:firstRowFirstColumn="0" w:firstRowLastColumn="0" w:lastRowFirstColumn="0" w:lastRowLastColumn="0"/>
        </w:trPr>
        <w:tc>
          <w:tcPr>
            <w:tcW w:w="1560" w:type="dxa"/>
          </w:tcPr>
          <w:p w14:paraId="4031B744" w14:textId="77777777" w:rsidR="00C64EAC" w:rsidRDefault="00C64EAC" w:rsidP="00F002E2">
            <w:pPr>
              <w:pStyle w:val="Tableheader"/>
              <w:rPr>
                <w:lang w:eastAsia="en-AU"/>
              </w:rPr>
            </w:pPr>
            <w:r w:rsidRPr="006C2396">
              <w:t xml:space="preserve"> Basin</w:t>
            </w:r>
          </w:p>
        </w:tc>
        <w:tc>
          <w:tcPr>
            <w:tcW w:w="1020" w:type="dxa"/>
          </w:tcPr>
          <w:p w14:paraId="4E508F82" w14:textId="480598A1" w:rsidR="00C64EAC" w:rsidRDefault="00C64EAC" w:rsidP="00F002E2">
            <w:pPr>
              <w:pStyle w:val="Tableheader"/>
              <w:rPr>
                <w:lang w:eastAsia="en-AU"/>
              </w:rPr>
            </w:pPr>
            <w:r>
              <w:t>Wallum-billa</w:t>
            </w:r>
          </w:p>
        </w:tc>
        <w:tc>
          <w:tcPr>
            <w:tcW w:w="1021" w:type="dxa"/>
          </w:tcPr>
          <w:p w14:paraId="039E45F9" w14:textId="03260D96" w:rsidR="00C64EAC" w:rsidRDefault="00C64EAC" w:rsidP="00F002E2">
            <w:pPr>
              <w:pStyle w:val="Tableheader"/>
              <w:rPr>
                <w:lang w:eastAsia="en-AU"/>
              </w:rPr>
            </w:pPr>
            <w:r w:rsidRPr="006C2396">
              <w:t xml:space="preserve"> </w:t>
            </w:r>
            <w:r>
              <w:t>Adelaide</w:t>
            </w:r>
          </w:p>
        </w:tc>
        <w:tc>
          <w:tcPr>
            <w:tcW w:w="1020" w:type="dxa"/>
          </w:tcPr>
          <w:p w14:paraId="69EF0977" w14:textId="2A773ED9" w:rsidR="00C64EAC" w:rsidRDefault="00C64EAC" w:rsidP="00F002E2">
            <w:pPr>
              <w:pStyle w:val="Tableheader"/>
              <w:rPr>
                <w:lang w:eastAsia="en-AU"/>
              </w:rPr>
            </w:pPr>
            <w:r>
              <w:t>Melb. (Max)</w:t>
            </w:r>
          </w:p>
        </w:tc>
        <w:tc>
          <w:tcPr>
            <w:tcW w:w="1021" w:type="dxa"/>
          </w:tcPr>
          <w:p w14:paraId="3E8CFF95" w14:textId="616838F7" w:rsidR="00C64EAC" w:rsidRDefault="00C64EAC" w:rsidP="00F002E2">
            <w:pPr>
              <w:pStyle w:val="Tableheader"/>
            </w:pPr>
            <w:r>
              <w:t>Melb. (Min)</w:t>
            </w:r>
          </w:p>
        </w:tc>
        <w:tc>
          <w:tcPr>
            <w:tcW w:w="1021" w:type="dxa"/>
          </w:tcPr>
          <w:p w14:paraId="124B1A49" w14:textId="2D9815E7" w:rsidR="00C64EAC" w:rsidRDefault="00C64EAC" w:rsidP="00F002E2">
            <w:pPr>
              <w:pStyle w:val="Tableheader"/>
              <w:rPr>
                <w:lang w:eastAsia="en-AU"/>
              </w:rPr>
            </w:pPr>
            <w:r>
              <w:t>Sydney</w:t>
            </w:r>
          </w:p>
        </w:tc>
      </w:tr>
      <w:tr w:rsidR="00C64EAC" w14:paraId="6FA23FAA" w14:textId="77777777" w:rsidTr="00F86FFE">
        <w:trPr>
          <w:cnfStyle w:val="000000100000" w:firstRow="0" w:lastRow="0" w:firstColumn="0" w:lastColumn="0" w:oddVBand="0" w:evenVBand="0" w:oddHBand="1" w:evenHBand="0" w:firstRowFirstColumn="0" w:firstRowLastColumn="0" w:lastRowFirstColumn="0" w:lastRowLastColumn="0"/>
        </w:trPr>
        <w:tc>
          <w:tcPr>
            <w:tcW w:w="1560" w:type="dxa"/>
          </w:tcPr>
          <w:p w14:paraId="2C946D3F" w14:textId="77777777" w:rsidR="00C64EAC" w:rsidRDefault="00C64EAC" w:rsidP="00C64EAC">
            <w:pPr>
              <w:pStyle w:val="Tabletext"/>
              <w:rPr>
                <w:lang w:eastAsia="en-AU"/>
              </w:rPr>
            </w:pPr>
            <w:r w:rsidRPr="001B2A04">
              <w:t>Amadeus</w:t>
            </w:r>
          </w:p>
        </w:tc>
        <w:tc>
          <w:tcPr>
            <w:tcW w:w="1020" w:type="dxa"/>
            <w:tcBorders>
              <w:top w:val="nil"/>
              <w:left w:val="nil"/>
              <w:bottom w:val="nil"/>
              <w:right w:val="nil"/>
            </w:tcBorders>
            <w:shd w:val="clear" w:color="000000" w:fill="DEE8F1"/>
            <w:vAlign w:val="center"/>
          </w:tcPr>
          <w:p w14:paraId="552FD75D" w14:textId="36ED8B43" w:rsidR="00C64EAC" w:rsidRDefault="00C64EAC" w:rsidP="00C64EAC">
            <w:pPr>
              <w:pStyle w:val="Tabletext"/>
              <w:rPr>
                <w:lang w:eastAsia="en-AU"/>
              </w:rPr>
            </w:pPr>
            <w:r>
              <w:rPr>
                <w:rFonts w:ascii="Arial" w:hAnsi="Arial"/>
              </w:rPr>
              <w:t>4.25</w:t>
            </w:r>
          </w:p>
        </w:tc>
        <w:tc>
          <w:tcPr>
            <w:tcW w:w="1021" w:type="dxa"/>
            <w:tcBorders>
              <w:top w:val="nil"/>
              <w:left w:val="nil"/>
              <w:bottom w:val="nil"/>
              <w:right w:val="nil"/>
            </w:tcBorders>
            <w:shd w:val="clear" w:color="000000" w:fill="DEE8F1"/>
            <w:vAlign w:val="center"/>
          </w:tcPr>
          <w:p w14:paraId="2765DD95" w14:textId="52044B80" w:rsidR="00C64EAC" w:rsidRDefault="00C64EAC" w:rsidP="00C64EAC">
            <w:pPr>
              <w:pStyle w:val="Tabletext"/>
              <w:rPr>
                <w:lang w:eastAsia="en-AU"/>
              </w:rPr>
            </w:pPr>
            <w:r>
              <w:rPr>
                <w:rFonts w:ascii="Arial" w:hAnsi="Arial"/>
              </w:rPr>
              <w:t>5.78</w:t>
            </w:r>
          </w:p>
        </w:tc>
        <w:tc>
          <w:tcPr>
            <w:tcW w:w="1020" w:type="dxa"/>
            <w:tcBorders>
              <w:top w:val="nil"/>
              <w:left w:val="nil"/>
              <w:bottom w:val="nil"/>
              <w:right w:val="nil"/>
            </w:tcBorders>
            <w:shd w:val="clear" w:color="000000" w:fill="DEE8F1"/>
            <w:vAlign w:val="center"/>
          </w:tcPr>
          <w:p w14:paraId="09F26BF5" w14:textId="09D15641" w:rsidR="00C64EAC" w:rsidRDefault="00C64EAC" w:rsidP="00C64EAC">
            <w:pPr>
              <w:pStyle w:val="Tabletext"/>
              <w:rPr>
                <w:lang w:eastAsia="en-AU"/>
              </w:rPr>
            </w:pPr>
            <w:r>
              <w:rPr>
                <w:rFonts w:ascii="Arial" w:hAnsi="Arial"/>
              </w:rPr>
              <w:t>5.87</w:t>
            </w:r>
          </w:p>
        </w:tc>
        <w:tc>
          <w:tcPr>
            <w:tcW w:w="1021" w:type="dxa"/>
            <w:tcBorders>
              <w:top w:val="nil"/>
              <w:left w:val="nil"/>
              <w:bottom w:val="nil"/>
              <w:right w:val="nil"/>
            </w:tcBorders>
            <w:shd w:val="clear" w:color="000000" w:fill="DEE8F1"/>
            <w:vAlign w:val="center"/>
          </w:tcPr>
          <w:p w14:paraId="737DC83B" w14:textId="3EE6AC8B" w:rsidR="00C64EAC" w:rsidRPr="00D4635F" w:rsidRDefault="00C64EAC" w:rsidP="00C64EAC">
            <w:pPr>
              <w:pStyle w:val="Tabletext"/>
            </w:pPr>
            <w:r>
              <w:rPr>
                <w:rFonts w:ascii="Arial" w:hAnsi="Arial"/>
              </w:rPr>
              <w:t>4.61</w:t>
            </w:r>
          </w:p>
        </w:tc>
        <w:tc>
          <w:tcPr>
            <w:tcW w:w="1021" w:type="dxa"/>
            <w:tcBorders>
              <w:top w:val="nil"/>
              <w:left w:val="nil"/>
              <w:bottom w:val="nil"/>
              <w:right w:val="nil"/>
            </w:tcBorders>
            <w:shd w:val="clear" w:color="000000" w:fill="DEE8F1"/>
            <w:vAlign w:val="center"/>
          </w:tcPr>
          <w:p w14:paraId="34244CC7" w14:textId="32761B6D" w:rsidR="00C64EAC" w:rsidRDefault="00C64EAC" w:rsidP="00C64EAC">
            <w:pPr>
              <w:pStyle w:val="Tabletext"/>
              <w:rPr>
                <w:lang w:eastAsia="en-AU"/>
              </w:rPr>
            </w:pPr>
            <w:r>
              <w:rPr>
                <w:rFonts w:ascii="Arial" w:hAnsi="Arial"/>
              </w:rPr>
              <w:t>4.48</w:t>
            </w:r>
          </w:p>
        </w:tc>
      </w:tr>
      <w:tr w:rsidR="00C64EAC" w14:paraId="3169B97C" w14:textId="77777777" w:rsidTr="00F86FFE">
        <w:trPr>
          <w:cnfStyle w:val="000000010000" w:firstRow="0" w:lastRow="0" w:firstColumn="0" w:lastColumn="0" w:oddVBand="0" w:evenVBand="0" w:oddHBand="0" w:evenHBand="1" w:firstRowFirstColumn="0" w:firstRowLastColumn="0" w:lastRowFirstColumn="0" w:lastRowLastColumn="0"/>
        </w:trPr>
        <w:tc>
          <w:tcPr>
            <w:tcW w:w="1560" w:type="dxa"/>
          </w:tcPr>
          <w:p w14:paraId="3E7140A3" w14:textId="555FF54F" w:rsidR="00C64EAC" w:rsidRDefault="00C64EAC" w:rsidP="00C64EAC">
            <w:pPr>
              <w:pStyle w:val="Tabletext"/>
              <w:rPr>
                <w:lang w:eastAsia="en-AU"/>
              </w:rPr>
            </w:pPr>
            <w:r w:rsidRPr="001B2A04">
              <w:t>Bass</w:t>
            </w:r>
            <w:r>
              <w:t xml:space="preserve"> (OP)</w:t>
            </w:r>
          </w:p>
        </w:tc>
        <w:tc>
          <w:tcPr>
            <w:tcW w:w="1020" w:type="dxa"/>
            <w:tcBorders>
              <w:top w:val="nil"/>
              <w:left w:val="nil"/>
              <w:bottom w:val="nil"/>
              <w:right w:val="nil"/>
            </w:tcBorders>
            <w:shd w:val="clear" w:color="000000" w:fill="FFFFFF"/>
            <w:vAlign w:val="center"/>
          </w:tcPr>
          <w:p w14:paraId="19C98C00" w14:textId="7806F0A6" w:rsidR="00C64EAC" w:rsidRDefault="00C64EAC" w:rsidP="00C64EAC">
            <w:pPr>
              <w:pStyle w:val="Tabletext"/>
              <w:rPr>
                <w:lang w:eastAsia="en-AU"/>
              </w:rPr>
            </w:pPr>
            <w:r>
              <w:rPr>
                <w:rFonts w:ascii="Arial" w:hAnsi="Arial"/>
              </w:rPr>
              <w:t>4.04</w:t>
            </w:r>
          </w:p>
        </w:tc>
        <w:tc>
          <w:tcPr>
            <w:tcW w:w="1021" w:type="dxa"/>
            <w:tcBorders>
              <w:top w:val="nil"/>
              <w:left w:val="nil"/>
              <w:bottom w:val="nil"/>
              <w:right w:val="nil"/>
            </w:tcBorders>
            <w:shd w:val="clear" w:color="000000" w:fill="FFFFFF"/>
            <w:vAlign w:val="center"/>
          </w:tcPr>
          <w:p w14:paraId="640CAD38" w14:textId="3D4AF828" w:rsidR="00C64EAC" w:rsidRDefault="00C64EAC" w:rsidP="00C64EAC">
            <w:pPr>
              <w:pStyle w:val="Tabletext"/>
              <w:rPr>
                <w:lang w:eastAsia="en-AU"/>
              </w:rPr>
            </w:pPr>
            <w:r>
              <w:rPr>
                <w:rFonts w:ascii="Arial" w:hAnsi="Arial"/>
              </w:rPr>
              <w:t>1.37</w:t>
            </w:r>
          </w:p>
        </w:tc>
        <w:tc>
          <w:tcPr>
            <w:tcW w:w="1020" w:type="dxa"/>
            <w:tcBorders>
              <w:top w:val="nil"/>
              <w:left w:val="nil"/>
              <w:bottom w:val="nil"/>
              <w:right w:val="nil"/>
            </w:tcBorders>
            <w:shd w:val="clear" w:color="000000" w:fill="FFFFFF"/>
            <w:vAlign w:val="center"/>
          </w:tcPr>
          <w:p w14:paraId="555E39A6" w14:textId="001EE715" w:rsidR="00C64EAC" w:rsidRDefault="00C64EAC" w:rsidP="00C64EAC">
            <w:pPr>
              <w:pStyle w:val="Tabletext"/>
              <w:rPr>
                <w:lang w:eastAsia="en-AU"/>
              </w:rPr>
            </w:pPr>
            <w:r>
              <w:rPr>
                <w:rFonts w:ascii="Arial" w:hAnsi="Arial"/>
              </w:rPr>
              <w:t>1.87</w:t>
            </w:r>
          </w:p>
        </w:tc>
        <w:tc>
          <w:tcPr>
            <w:tcW w:w="1021" w:type="dxa"/>
            <w:tcBorders>
              <w:top w:val="nil"/>
              <w:left w:val="nil"/>
              <w:bottom w:val="nil"/>
              <w:right w:val="nil"/>
            </w:tcBorders>
            <w:shd w:val="clear" w:color="000000" w:fill="FFFFFF"/>
            <w:vAlign w:val="center"/>
          </w:tcPr>
          <w:p w14:paraId="76C4D9C2" w14:textId="3C93CE38" w:rsidR="00C64EAC" w:rsidRPr="00D4635F" w:rsidRDefault="00C64EAC" w:rsidP="00C64EAC">
            <w:pPr>
              <w:pStyle w:val="Tabletext"/>
            </w:pPr>
            <w:r>
              <w:rPr>
                <w:rFonts w:ascii="Arial" w:hAnsi="Arial"/>
              </w:rPr>
              <w:t>0.13</w:t>
            </w:r>
          </w:p>
        </w:tc>
        <w:tc>
          <w:tcPr>
            <w:tcW w:w="1021" w:type="dxa"/>
            <w:tcBorders>
              <w:top w:val="nil"/>
              <w:left w:val="nil"/>
              <w:bottom w:val="nil"/>
              <w:right w:val="nil"/>
            </w:tcBorders>
            <w:shd w:val="clear" w:color="000000" w:fill="FFFFFF"/>
            <w:vAlign w:val="center"/>
          </w:tcPr>
          <w:p w14:paraId="1AD67C42" w14:textId="0D5B2007" w:rsidR="00C64EAC" w:rsidRDefault="00C64EAC" w:rsidP="00C64EAC">
            <w:pPr>
              <w:pStyle w:val="Tabletext"/>
              <w:rPr>
                <w:lang w:eastAsia="en-AU"/>
              </w:rPr>
            </w:pPr>
            <w:r>
              <w:rPr>
                <w:rFonts w:ascii="Arial" w:hAnsi="Arial"/>
              </w:rPr>
              <w:t>1.77</w:t>
            </w:r>
          </w:p>
        </w:tc>
      </w:tr>
      <w:tr w:rsidR="00C64EAC" w14:paraId="7DF5F0E7" w14:textId="77777777" w:rsidTr="00F86FFE">
        <w:trPr>
          <w:cnfStyle w:val="000000100000" w:firstRow="0" w:lastRow="0" w:firstColumn="0" w:lastColumn="0" w:oddVBand="0" w:evenVBand="0" w:oddHBand="1" w:evenHBand="0" w:firstRowFirstColumn="0" w:firstRowLastColumn="0" w:lastRowFirstColumn="0" w:lastRowLastColumn="0"/>
        </w:trPr>
        <w:tc>
          <w:tcPr>
            <w:tcW w:w="1560" w:type="dxa"/>
          </w:tcPr>
          <w:p w14:paraId="1A9DF84A" w14:textId="7788F8A0" w:rsidR="00C64EAC" w:rsidRPr="001B2A04" w:rsidRDefault="00C64EAC" w:rsidP="00C64EAC">
            <w:pPr>
              <w:pStyle w:val="Tabletext"/>
            </w:pPr>
            <w:r>
              <w:t>Bass (AP)</w:t>
            </w:r>
          </w:p>
        </w:tc>
        <w:tc>
          <w:tcPr>
            <w:tcW w:w="1020" w:type="dxa"/>
            <w:tcBorders>
              <w:top w:val="nil"/>
              <w:left w:val="nil"/>
              <w:bottom w:val="nil"/>
              <w:right w:val="nil"/>
            </w:tcBorders>
            <w:shd w:val="clear" w:color="000000" w:fill="DEE8F1"/>
            <w:vAlign w:val="center"/>
          </w:tcPr>
          <w:p w14:paraId="394AEEA6" w14:textId="7BE85AB2" w:rsidR="00C64EAC" w:rsidRPr="00D4635F" w:rsidRDefault="00C64EAC" w:rsidP="00C64EAC">
            <w:pPr>
              <w:pStyle w:val="Tabletext"/>
            </w:pPr>
            <w:r>
              <w:rPr>
                <w:rFonts w:ascii="Arial" w:hAnsi="Arial"/>
              </w:rPr>
              <w:t> </w:t>
            </w:r>
          </w:p>
        </w:tc>
        <w:tc>
          <w:tcPr>
            <w:tcW w:w="1021" w:type="dxa"/>
            <w:tcBorders>
              <w:top w:val="nil"/>
              <w:left w:val="nil"/>
              <w:bottom w:val="nil"/>
              <w:right w:val="nil"/>
            </w:tcBorders>
            <w:shd w:val="clear" w:color="000000" w:fill="DEE8F1"/>
            <w:vAlign w:val="center"/>
          </w:tcPr>
          <w:p w14:paraId="0AB21FE3" w14:textId="1BEC5AAC" w:rsidR="00C64EAC" w:rsidRPr="00D4635F" w:rsidRDefault="00C64EAC" w:rsidP="00C64EAC">
            <w:pPr>
              <w:pStyle w:val="Tabletext"/>
            </w:pPr>
            <w:r>
              <w:rPr>
                <w:rFonts w:ascii="Arial" w:hAnsi="Arial"/>
              </w:rPr>
              <w:t> </w:t>
            </w:r>
          </w:p>
        </w:tc>
        <w:tc>
          <w:tcPr>
            <w:tcW w:w="1020" w:type="dxa"/>
            <w:tcBorders>
              <w:top w:val="nil"/>
              <w:left w:val="nil"/>
              <w:bottom w:val="nil"/>
              <w:right w:val="nil"/>
            </w:tcBorders>
            <w:shd w:val="clear" w:color="000000" w:fill="DEE8F1"/>
            <w:vAlign w:val="center"/>
          </w:tcPr>
          <w:p w14:paraId="6E7E092D" w14:textId="555F43A3" w:rsidR="00C64EAC" w:rsidRPr="00D4635F" w:rsidRDefault="00C64EAC" w:rsidP="00C64EAC">
            <w:pPr>
              <w:pStyle w:val="Tabletext"/>
            </w:pPr>
            <w:r>
              <w:rPr>
                <w:rFonts w:ascii="Arial" w:hAnsi="Arial"/>
              </w:rPr>
              <w:t> </w:t>
            </w:r>
          </w:p>
        </w:tc>
        <w:tc>
          <w:tcPr>
            <w:tcW w:w="1021" w:type="dxa"/>
            <w:tcBorders>
              <w:top w:val="nil"/>
              <w:left w:val="nil"/>
              <w:bottom w:val="nil"/>
              <w:right w:val="nil"/>
            </w:tcBorders>
            <w:shd w:val="clear" w:color="000000" w:fill="DEE8F1"/>
            <w:vAlign w:val="center"/>
          </w:tcPr>
          <w:p w14:paraId="7432E8A6" w14:textId="42B2A52C" w:rsidR="00C64EAC" w:rsidRPr="00D4635F" w:rsidRDefault="00C64EAC" w:rsidP="00C64EAC">
            <w:pPr>
              <w:pStyle w:val="Tabletext"/>
            </w:pPr>
            <w:r>
              <w:rPr>
                <w:rFonts w:ascii="Arial" w:hAnsi="Arial"/>
              </w:rPr>
              <w:t> </w:t>
            </w:r>
          </w:p>
        </w:tc>
        <w:tc>
          <w:tcPr>
            <w:tcW w:w="1021" w:type="dxa"/>
            <w:tcBorders>
              <w:top w:val="nil"/>
              <w:left w:val="nil"/>
              <w:bottom w:val="nil"/>
              <w:right w:val="nil"/>
            </w:tcBorders>
            <w:shd w:val="clear" w:color="000000" w:fill="DEE8F1"/>
            <w:vAlign w:val="center"/>
          </w:tcPr>
          <w:p w14:paraId="60141852" w14:textId="5A776478" w:rsidR="00C64EAC" w:rsidRPr="00D4635F" w:rsidRDefault="00C64EAC" w:rsidP="00C64EAC">
            <w:pPr>
              <w:pStyle w:val="Tabletext"/>
            </w:pPr>
            <w:r>
              <w:rPr>
                <w:rFonts w:ascii="Arial" w:hAnsi="Arial"/>
              </w:rPr>
              <w:t>1.55</w:t>
            </w:r>
          </w:p>
        </w:tc>
      </w:tr>
      <w:tr w:rsidR="00C64EAC" w14:paraId="6597BFC3" w14:textId="77777777" w:rsidTr="00F86FFE">
        <w:trPr>
          <w:cnfStyle w:val="000000010000" w:firstRow="0" w:lastRow="0" w:firstColumn="0" w:lastColumn="0" w:oddVBand="0" w:evenVBand="0" w:oddHBand="0" w:evenHBand="1" w:firstRowFirstColumn="0" w:firstRowLastColumn="0" w:lastRowFirstColumn="0" w:lastRowLastColumn="0"/>
        </w:trPr>
        <w:tc>
          <w:tcPr>
            <w:tcW w:w="1560" w:type="dxa"/>
          </w:tcPr>
          <w:p w14:paraId="3FFD84CA" w14:textId="77777777" w:rsidR="00C64EAC" w:rsidRDefault="00C64EAC" w:rsidP="00C64EAC">
            <w:pPr>
              <w:pStyle w:val="Tabletext"/>
              <w:rPr>
                <w:lang w:eastAsia="en-AU"/>
              </w:rPr>
            </w:pPr>
            <w:r w:rsidRPr="001B2A04">
              <w:t>Bonaparte</w:t>
            </w:r>
          </w:p>
        </w:tc>
        <w:tc>
          <w:tcPr>
            <w:tcW w:w="1020" w:type="dxa"/>
            <w:tcBorders>
              <w:top w:val="nil"/>
              <w:left w:val="nil"/>
              <w:bottom w:val="nil"/>
              <w:right w:val="nil"/>
            </w:tcBorders>
            <w:shd w:val="clear" w:color="000000" w:fill="FFFFFF"/>
            <w:vAlign w:val="center"/>
          </w:tcPr>
          <w:p w14:paraId="7BDC22CE" w14:textId="3156477B" w:rsidR="00C64EAC" w:rsidRDefault="00C64EAC" w:rsidP="00C64EAC">
            <w:pPr>
              <w:pStyle w:val="Tabletext"/>
              <w:rPr>
                <w:lang w:eastAsia="en-AU"/>
              </w:rPr>
            </w:pPr>
            <w:r>
              <w:rPr>
                <w:rFonts w:ascii="Arial" w:hAnsi="Arial"/>
              </w:rPr>
              <w:t>5.02</w:t>
            </w:r>
          </w:p>
        </w:tc>
        <w:tc>
          <w:tcPr>
            <w:tcW w:w="1021" w:type="dxa"/>
            <w:tcBorders>
              <w:top w:val="nil"/>
              <w:left w:val="nil"/>
              <w:bottom w:val="nil"/>
              <w:right w:val="nil"/>
            </w:tcBorders>
            <w:shd w:val="clear" w:color="000000" w:fill="FFFFFF"/>
            <w:vAlign w:val="center"/>
          </w:tcPr>
          <w:p w14:paraId="4730287B" w14:textId="56010523" w:rsidR="00C64EAC" w:rsidRDefault="00C64EAC" w:rsidP="00C64EAC">
            <w:pPr>
              <w:pStyle w:val="Tabletext"/>
              <w:rPr>
                <w:lang w:eastAsia="en-AU"/>
              </w:rPr>
            </w:pPr>
            <w:r>
              <w:rPr>
                <w:rFonts w:ascii="Arial" w:hAnsi="Arial"/>
              </w:rPr>
              <w:t>6.55</w:t>
            </w:r>
          </w:p>
        </w:tc>
        <w:tc>
          <w:tcPr>
            <w:tcW w:w="1020" w:type="dxa"/>
            <w:tcBorders>
              <w:top w:val="nil"/>
              <w:left w:val="nil"/>
              <w:bottom w:val="nil"/>
              <w:right w:val="nil"/>
            </w:tcBorders>
            <w:shd w:val="clear" w:color="000000" w:fill="FFFFFF"/>
            <w:vAlign w:val="center"/>
          </w:tcPr>
          <w:p w14:paraId="1D8DC30A" w14:textId="002EE630" w:rsidR="00C64EAC" w:rsidRDefault="00C64EAC" w:rsidP="00C64EAC">
            <w:pPr>
              <w:pStyle w:val="Tabletext"/>
              <w:rPr>
                <w:lang w:eastAsia="en-AU"/>
              </w:rPr>
            </w:pPr>
            <w:r>
              <w:rPr>
                <w:rFonts w:ascii="Arial" w:hAnsi="Arial"/>
              </w:rPr>
              <w:t>6.64</w:t>
            </w:r>
          </w:p>
        </w:tc>
        <w:tc>
          <w:tcPr>
            <w:tcW w:w="1021" w:type="dxa"/>
            <w:tcBorders>
              <w:top w:val="nil"/>
              <w:left w:val="nil"/>
              <w:bottom w:val="nil"/>
              <w:right w:val="nil"/>
            </w:tcBorders>
            <w:shd w:val="clear" w:color="000000" w:fill="FFFFFF"/>
            <w:vAlign w:val="center"/>
          </w:tcPr>
          <w:p w14:paraId="2A3D9A3E" w14:textId="22416414" w:rsidR="00C64EAC" w:rsidRPr="00D4635F" w:rsidRDefault="00C64EAC" w:rsidP="00C64EAC">
            <w:pPr>
              <w:pStyle w:val="Tabletext"/>
            </w:pPr>
            <w:r>
              <w:rPr>
                <w:rFonts w:ascii="Arial" w:hAnsi="Arial"/>
              </w:rPr>
              <w:t>5.38</w:t>
            </w:r>
          </w:p>
        </w:tc>
        <w:tc>
          <w:tcPr>
            <w:tcW w:w="1021" w:type="dxa"/>
            <w:tcBorders>
              <w:top w:val="nil"/>
              <w:left w:val="nil"/>
              <w:bottom w:val="nil"/>
              <w:right w:val="nil"/>
            </w:tcBorders>
            <w:shd w:val="clear" w:color="000000" w:fill="FFFFFF"/>
            <w:vAlign w:val="center"/>
          </w:tcPr>
          <w:p w14:paraId="62800DA1" w14:textId="41A9264A" w:rsidR="00C64EAC" w:rsidRDefault="00C64EAC" w:rsidP="00C64EAC">
            <w:pPr>
              <w:pStyle w:val="Tabletext"/>
              <w:rPr>
                <w:lang w:eastAsia="en-AU"/>
              </w:rPr>
            </w:pPr>
            <w:r>
              <w:rPr>
                <w:rFonts w:ascii="Arial" w:hAnsi="Arial"/>
              </w:rPr>
              <w:t>5.25</w:t>
            </w:r>
          </w:p>
        </w:tc>
      </w:tr>
      <w:tr w:rsidR="00C64EAC" w14:paraId="43706517" w14:textId="77777777" w:rsidTr="00F86FFE">
        <w:trPr>
          <w:cnfStyle w:val="000000100000" w:firstRow="0" w:lastRow="0" w:firstColumn="0" w:lastColumn="0" w:oddVBand="0" w:evenVBand="0" w:oddHBand="1" w:evenHBand="0" w:firstRowFirstColumn="0" w:firstRowLastColumn="0" w:lastRowFirstColumn="0" w:lastRowLastColumn="0"/>
        </w:trPr>
        <w:tc>
          <w:tcPr>
            <w:tcW w:w="1560" w:type="dxa"/>
          </w:tcPr>
          <w:p w14:paraId="09A499B9" w14:textId="77777777" w:rsidR="00C64EAC" w:rsidRDefault="00C64EAC" w:rsidP="00C64EAC">
            <w:pPr>
              <w:pStyle w:val="Tabletext"/>
              <w:rPr>
                <w:lang w:eastAsia="en-AU"/>
              </w:rPr>
            </w:pPr>
            <w:r w:rsidRPr="001B2A04">
              <w:t>Bowen-Surat</w:t>
            </w:r>
          </w:p>
        </w:tc>
        <w:tc>
          <w:tcPr>
            <w:tcW w:w="1020" w:type="dxa"/>
            <w:tcBorders>
              <w:top w:val="nil"/>
              <w:left w:val="nil"/>
              <w:bottom w:val="nil"/>
              <w:right w:val="nil"/>
            </w:tcBorders>
            <w:shd w:val="clear" w:color="000000" w:fill="DEE8F1"/>
            <w:vAlign w:val="center"/>
          </w:tcPr>
          <w:p w14:paraId="0AAA07AE" w14:textId="112EB0A3" w:rsidR="00C64EAC" w:rsidRPr="003B316B" w:rsidRDefault="00C64EAC" w:rsidP="00C64EAC">
            <w:pPr>
              <w:pStyle w:val="Tabletext"/>
            </w:pPr>
            <w:r>
              <w:rPr>
                <w:rFonts w:ascii="Arial" w:hAnsi="Arial"/>
              </w:rPr>
              <w:t>0.00</w:t>
            </w:r>
          </w:p>
        </w:tc>
        <w:tc>
          <w:tcPr>
            <w:tcW w:w="1021" w:type="dxa"/>
            <w:tcBorders>
              <w:top w:val="nil"/>
              <w:left w:val="nil"/>
              <w:bottom w:val="nil"/>
              <w:right w:val="nil"/>
            </w:tcBorders>
            <w:shd w:val="clear" w:color="000000" w:fill="DEE8F1"/>
            <w:vAlign w:val="center"/>
          </w:tcPr>
          <w:p w14:paraId="37F55DE7" w14:textId="473B2931" w:rsidR="00C64EAC" w:rsidRPr="003B316B" w:rsidRDefault="00C64EAC" w:rsidP="00C64EAC">
            <w:pPr>
              <w:pStyle w:val="Tabletext"/>
            </w:pPr>
            <w:r>
              <w:rPr>
                <w:rFonts w:ascii="Arial" w:hAnsi="Arial"/>
              </w:rPr>
              <w:t>2.36</w:t>
            </w:r>
          </w:p>
        </w:tc>
        <w:tc>
          <w:tcPr>
            <w:tcW w:w="1020" w:type="dxa"/>
            <w:tcBorders>
              <w:top w:val="nil"/>
              <w:left w:val="nil"/>
              <w:bottom w:val="nil"/>
              <w:right w:val="nil"/>
            </w:tcBorders>
            <w:shd w:val="clear" w:color="000000" w:fill="DEE8F1"/>
            <w:vAlign w:val="center"/>
          </w:tcPr>
          <w:p w14:paraId="5B202987" w14:textId="43A81DAF" w:rsidR="00C64EAC" w:rsidRPr="003B316B" w:rsidRDefault="00C64EAC" w:rsidP="00C64EAC">
            <w:pPr>
              <w:pStyle w:val="Tabletext"/>
            </w:pPr>
            <w:r>
              <w:rPr>
                <w:rFonts w:ascii="Arial" w:hAnsi="Arial"/>
              </w:rPr>
              <w:t>3.72</w:t>
            </w:r>
          </w:p>
        </w:tc>
        <w:tc>
          <w:tcPr>
            <w:tcW w:w="1021" w:type="dxa"/>
            <w:tcBorders>
              <w:top w:val="nil"/>
              <w:left w:val="nil"/>
              <w:bottom w:val="nil"/>
              <w:right w:val="nil"/>
            </w:tcBorders>
            <w:shd w:val="clear" w:color="000000" w:fill="DEE8F1"/>
            <w:vAlign w:val="center"/>
          </w:tcPr>
          <w:p w14:paraId="54AAB96D" w14:textId="23879718" w:rsidR="00C64EAC" w:rsidRPr="00D4635F" w:rsidRDefault="00C64EAC" w:rsidP="00C64EAC">
            <w:pPr>
              <w:pStyle w:val="Tabletext"/>
            </w:pPr>
            <w:r>
              <w:rPr>
                <w:rFonts w:ascii="Arial" w:hAnsi="Arial"/>
              </w:rPr>
              <w:t>2.46</w:t>
            </w:r>
          </w:p>
        </w:tc>
        <w:tc>
          <w:tcPr>
            <w:tcW w:w="1021" w:type="dxa"/>
            <w:tcBorders>
              <w:top w:val="nil"/>
              <w:left w:val="nil"/>
              <w:bottom w:val="nil"/>
              <w:right w:val="nil"/>
            </w:tcBorders>
            <w:shd w:val="clear" w:color="000000" w:fill="DEE8F1"/>
            <w:vAlign w:val="center"/>
          </w:tcPr>
          <w:p w14:paraId="7BE60C3C" w14:textId="23BC495D" w:rsidR="00C64EAC" w:rsidRDefault="00C64EAC" w:rsidP="00C64EAC">
            <w:pPr>
              <w:pStyle w:val="Tabletext"/>
              <w:rPr>
                <w:lang w:eastAsia="en-AU"/>
              </w:rPr>
            </w:pPr>
            <w:r>
              <w:rPr>
                <w:rFonts w:ascii="Arial" w:hAnsi="Arial"/>
              </w:rPr>
              <w:t>2.33</w:t>
            </w:r>
          </w:p>
        </w:tc>
      </w:tr>
      <w:tr w:rsidR="00C64EAC" w14:paraId="3D512C16" w14:textId="77777777" w:rsidTr="00F86FFE">
        <w:trPr>
          <w:cnfStyle w:val="000000010000" w:firstRow="0" w:lastRow="0" w:firstColumn="0" w:lastColumn="0" w:oddVBand="0" w:evenVBand="0" w:oddHBand="0" w:evenHBand="1" w:firstRowFirstColumn="0" w:firstRowLastColumn="0" w:lastRowFirstColumn="0" w:lastRowLastColumn="0"/>
        </w:trPr>
        <w:tc>
          <w:tcPr>
            <w:tcW w:w="1560" w:type="dxa"/>
          </w:tcPr>
          <w:p w14:paraId="49E2F09B" w14:textId="77777777" w:rsidR="00C64EAC" w:rsidRDefault="00C64EAC" w:rsidP="00C64EAC">
            <w:pPr>
              <w:pStyle w:val="Tabletext"/>
              <w:rPr>
                <w:lang w:eastAsia="en-AU"/>
              </w:rPr>
            </w:pPr>
            <w:r w:rsidRPr="001B2A04">
              <w:t>Cooper</w:t>
            </w:r>
          </w:p>
        </w:tc>
        <w:tc>
          <w:tcPr>
            <w:tcW w:w="1020" w:type="dxa"/>
            <w:tcBorders>
              <w:top w:val="nil"/>
              <w:left w:val="nil"/>
              <w:bottom w:val="nil"/>
              <w:right w:val="nil"/>
            </w:tcBorders>
            <w:shd w:val="clear" w:color="000000" w:fill="FFFFFF"/>
            <w:vAlign w:val="center"/>
          </w:tcPr>
          <w:p w14:paraId="22354E91" w14:textId="09573FDE" w:rsidR="00C64EAC" w:rsidRPr="003B316B" w:rsidRDefault="00C64EAC" w:rsidP="00C64EAC">
            <w:pPr>
              <w:pStyle w:val="Tabletext"/>
            </w:pPr>
            <w:r>
              <w:rPr>
                <w:rFonts w:ascii="Arial" w:hAnsi="Arial"/>
              </w:rPr>
              <w:t>1.46</w:t>
            </w:r>
          </w:p>
        </w:tc>
        <w:tc>
          <w:tcPr>
            <w:tcW w:w="1021" w:type="dxa"/>
            <w:tcBorders>
              <w:top w:val="nil"/>
              <w:left w:val="nil"/>
              <w:bottom w:val="nil"/>
              <w:right w:val="nil"/>
            </w:tcBorders>
            <w:shd w:val="clear" w:color="000000" w:fill="FFFFFF"/>
            <w:vAlign w:val="center"/>
          </w:tcPr>
          <w:p w14:paraId="7213C57F" w14:textId="7339DB45" w:rsidR="00C64EAC" w:rsidRPr="003B316B" w:rsidRDefault="00C64EAC" w:rsidP="00C64EAC">
            <w:pPr>
              <w:pStyle w:val="Tabletext"/>
            </w:pPr>
            <w:r>
              <w:rPr>
                <w:rFonts w:ascii="Arial" w:hAnsi="Arial"/>
              </w:rPr>
              <w:t>0.90</w:t>
            </w:r>
          </w:p>
        </w:tc>
        <w:tc>
          <w:tcPr>
            <w:tcW w:w="1020" w:type="dxa"/>
            <w:tcBorders>
              <w:top w:val="nil"/>
              <w:left w:val="nil"/>
              <w:bottom w:val="nil"/>
              <w:right w:val="nil"/>
            </w:tcBorders>
            <w:shd w:val="clear" w:color="000000" w:fill="FFFFFF"/>
            <w:vAlign w:val="center"/>
          </w:tcPr>
          <w:p w14:paraId="7B8C9B82" w14:textId="0D9DEC0B" w:rsidR="00C64EAC" w:rsidRPr="003B316B" w:rsidRDefault="00C64EAC" w:rsidP="00C64EAC">
            <w:pPr>
              <w:pStyle w:val="Tabletext"/>
            </w:pPr>
            <w:r>
              <w:rPr>
                <w:rFonts w:ascii="Arial" w:hAnsi="Arial"/>
              </w:rPr>
              <w:t>2.72</w:t>
            </w:r>
          </w:p>
        </w:tc>
        <w:tc>
          <w:tcPr>
            <w:tcW w:w="1021" w:type="dxa"/>
            <w:tcBorders>
              <w:top w:val="nil"/>
              <w:left w:val="nil"/>
              <w:bottom w:val="nil"/>
              <w:right w:val="nil"/>
            </w:tcBorders>
            <w:shd w:val="clear" w:color="000000" w:fill="FFFFFF"/>
            <w:vAlign w:val="center"/>
          </w:tcPr>
          <w:p w14:paraId="34A48607" w14:textId="7E750CC7" w:rsidR="00C64EAC" w:rsidRPr="00D4635F" w:rsidRDefault="00C64EAC" w:rsidP="00C64EAC">
            <w:pPr>
              <w:pStyle w:val="Tabletext"/>
            </w:pPr>
            <w:r>
              <w:rPr>
                <w:rFonts w:ascii="Arial" w:hAnsi="Arial"/>
              </w:rPr>
              <w:t>1.47</w:t>
            </w:r>
          </w:p>
        </w:tc>
        <w:tc>
          <w:tcPr>
            <w:tcW w:w="1021" w:type="dxa"/>
            <w:tcBorders>
              <w:top w:val="nil"/>
              <w:left w:val="nil"/>
              <w:bottom w:val="nil"/>
              <w:right w:val="nil"/>
            </w:tcBorders>
            <w:shd w:val="clear" w:color="000000" w:fill="FFFFFF"/>
            <w:vAlign w:val="center"/>
          </w:tcPr>
          <w:p w14:paraId="5C36CC87" w14:textId="6B7823A1" w:rsidR="00C64EAC" w:rsidRDefault="00C64EAC" w:rsidP="00C64EAC">
            <w:pPr>
              <w:pStyle w:val="Tabletext"/>
              <w:rPr>
                <w:lang w:eastAsia="en-AU"/>
              </w:rPr>
            </w:pPr>
            <w:r>
              <w:rPr>
                <w:rFonts w:ascii="Arial" w:hAnsi="Arial"/>
              </w:rPr>
              <w:t>1.34</w:t>
            </w:r>
          </w:p>
        </w:tc>
      </w:tr>
      <w:tr w:rsidR="00C64EAC" w14:paraId="5BFEB4B5" w14:textId="77777777" w:rsidTr="00F86FFE">
        <w:trPr>
          <w:cnfStyle w:val="000000100000" w:firstRow="0" w:lastRow="0" w:firstColumn="0" w:lastColumn="0" w:oddVBand="0" w:evenVBand="0" w:oddHBand="1" w:evenHBand="0" w:firstRowFirstColumn="0" w:firstRowLastColumn="0" w:lastRowFirstColumn="0" w:lastRowLastColumn="0"/>
        </w:trPr>
        <w:tc>
          <w:tcPr>
            <w:tcW w:w="1560" w:type="dxa"/>
          </w:tcPr>
          <w:p w14:paraId="6E15280C" w14:textId="31600CF5" w:rsidR="00C64EAC" w:rsidRDefault="00C64EAC" w:rsidP="00C64EAC">
            <w:pPr>
              <w:pStyle w:val="Tabletext"/>
              <w:rPr>
                <w:lang w:eastAsia="en-AU"/>
              </w:rPr>
            </w:pPr>
            <w:r w:rsidRPr="001B2A04">
              <w:t>Gippsland</w:t>
            </w:r>
            <w:r>
              <w:t xml:space="preserve"> (OP)</w:t>
            </w:r>
          </w:p>
        </w:tc>
        <w:tc>
          <w:tcPr>
            <w:tcW w:w="1020" w:type="dxa"/>
            <w:tcBorders>
              <w:top w:val="nil"/>
              <w:left w:val="nil"/>
              <w:bottom w:val="nil"/>
              <w:right w:val="nil"/>
            </w:tcBorders>
            <w:shd w:val="clear" w:color="000000" w:fill="DEE8F1"/>
            <w:vAlign w:val="center"/>
          </w:tcPr>
          <w:p w14:paraId="3CAE4F51" w14:textId="7AFBC2B5" w:rsidR="00C64EAC" w:rsidRPr="003B316B" w:rsidRDefault="00C64EAC" w:rsidP="00C64EAC">
            <w:pPr>
              <w:pStyle w:val="Tabletext"/>
            </w:pPr>
            <w:r>
              <w:rPr>
                <w:rFonts w:ascii="Arial" w:hAnsi="Arial"/>
              </w:rPr>
              <w:t>4.59</w:t>
            </w:r>
          </w:p>
        </w:tc>
        <w:tc>
          <w:tcPr>
            <w:tcW w:w="1021" w:type="dxa"/>
            <w:tcBorders>
              <w:top w:val="nil"/>
              <w:left w:val="nil"/>
              <w:bottom w:val="nil"/>
              <w:right w:val="nil"/>
            </w:tcBorders>
            <w:shd w:val="clear" w:color="000000" w:fill="DEE8F1"/>
            <w:vAlign w:val="center"/>
          </w:tcPr>
          <w:p w14:paraId="0625B31E" w14:textId="27699743" w:rsidR="00C64EAC" w:rsidRPr="003B316B" w:rsidRDefault="00C64EAC" w:rsidP="00C64EAC">
            <w:pPr>
              <w:pStyle w:val="Tabletext"/>
            </w:pPr>
            <w:r>
              <w:rPr>
                <w:rFonts w:ascii="Arial" w:hAnsi="Arial"/>
              </w:rPr>
              <w:t>1.37</w:t>
            </w:r>
          </w:p>
        </w:tc>
        <w:tc>
          <w:tcPr>
            <w:tcW w:w="1020" w:type="dxa"/>
            <w:tcBorders>
              <w:top w:val="nil"/>
              <w:left w:val="nil"/>
              <w:bottom w:val="nil"/>
              <w:right w:val="nil"/>
            </w:tcBorders>
            <w:shd w:val="clear" w:color="000000" w:fill="DEE8F1"/>
            <w:vAlign w:val="center"/>
          </w:tcPr>
          <w:p w14:paraId="6F552D75" w14:textId="18DCA269" w:rsidR="00C64EAC" w:rsidRPr="003B316B" w:rsidRDefault="00C64EAC" w:rsidP="00C64EAC">
            <w:pPr>
              <w:pStyle w:val="Tabletext"/>
            </w:pPr>
            <w:r>
              <w:rPr>
                <w:rFonts w:ascii="Arial" w:hAnsi="Arial"/>
              </w:rPr>
              <w:t>1.87</w:t>
            </w:r>
          </w:p>
        </w:tc>
        <w:tc>
          <w:tcPr>
            <w:tcW w:w="1021" w:type="dxa"/>
            <w:tcBorders>
              <w:top w:val="nil"/>
              <w:left w:val="nil"/>
              <w:bottom w:val="nil"/>
              <w:right w:val="nil"/>
            </w:tcBorders>
            <w:shd w:val="clear" w:color="000000" w:fill="DEE8F1"/>
            <w:vAlign w:val="center"/>
          </w:tcPr>
          <w:p w14:paraId="57E1CD0D" w14:textId="634F4B0B" w:rsidR="00C64EAC" w:rsidRPr="00D4635F" w:rsidRDefault="00C64EAC" w:rsidP="00C64EAC">
            <w:pPr>
              <w:pStyle w:val="Tabletext"/>
            </w:pPr>
            <w:r>
              <w:rPr>
                <w:rFonts w:ascii="Arial" w:hAnsi="Arial"/>
              </w:rPr>
              <w:t>0.13</w:t>
            </w:r>
          </w:p>
        </w:tc>
        <w:tc>
          <w:tcPr>
            <w:tcW w:w="1021" w:type="dxa"/>
            <w:tcBorders>
              <w:top w:val="nil"/>
              <w:left w:val="nil"/>
              <w:bottom w:val="nil"/>
              <w:right w:val="nil"/>
            </w:tcBorders>
            <w:shd w:val="clear" w:color="000000" w:fill="DEE8F1"/>
            <w:vAlign w:val="center"/>
          </w:tcPr>
          <w:p w14:paraId="31BDDE1C" w14:textId="73FEC7F9" w:rsidR="00C64EAC" w:rsidRDefault="00C64EAC" w:rsidP="00C64EAC">
            <w:pPr>
              <w:pStyle w:val="Tabletext"/>
              <w:rPr>
                <w:lang w:eastAsia="en-AU"/>
              </w:rPr>
            </w:pPr>
            <w:r>
              <w:rPr>
                <w:rFonts w:ascii="Arial" w:hAnsi="Arial"/>
              </w:rPr>
              <w:t>1.55</w:t>
            </w:r>
          </w:p>
        </w:tc>
      </w:tr>
      <w:tr w:rsidR="00C64EAC" w14:paraId="0B2C97E6" w14:textId="77777777" w:rsidTr="00F86FFE">
        <w:trPr>
          <w:cnfStyle w:val="000000010000" w:firstRow="0" w:lastRow="0" w:firstColumn="0" w:lastColumn="0" w:oddVBand="0" w:evenVBand="0" w:oddHBand="0" w:evenHBand="1" w:firstRowFirstColumn="0" w:firstRowLastColumn="0" w:lastRowFirstColumn="0" w:lastRowLastColumn="0"/>
        </w:trPr>
        <w:tc>
          <w:tcPr>
            <w:tcW w:w="1560" w:type="dxa"/>
          </w:tcPr>
          <w:p w14:paraId="5AB8B357" w14:textId="59423F8B" w:rsidR="00C64EAC" w:rsidRPr="001B2A04" w:rsidRDefault="00C64EAC" w:rsidP="00C64EAC">
            <w:pPr>
              <w:pStyle w:val="Tabletext"/>
            </w:pPr>
            <w:r>
              <w:t>Gippsland (AP)</w:t>
            </w:r>
          </w:p>
        </w:tc>
        <w:tc>
          <w:tcPr>
            <w:tcW w:w="1020" w:type="dxa"/>
            <w:tcBorders>
              <w:top w:val="nil"/>
              <w:left w:val="nil"/>
              <w:bottom w:val="nil"/>
              <w:right w:val="nil"/>
            </w:tcBorders>
            <w:shd w:val="clear" w:color="000000" w:fill="FFFFFF"/>
            <w:vAlign w:val="center"/>
          </w:tcPr>
          <w:p w14:paraId="7AC4FA40" w14:textId="104A99A4" w:rsidR="00C64EAC" w:rsidRPr="00D4635F" w:rsidRDefault="00C64EAC" w:rsidP="00C64EAC">
            <w:pPr>
              <w:pStyle w:val="Tabletext"/>
            </w:pPr>
            <w:r>
              <w:rPr>
                <w:rFonts w:ascii="Arial" w:hAnsi="Arial"/>
              </w:rPr>
              <w:t>4.04</w:t>
            </w:r>
          </w:p>
        </w:tc>
        <w:tc>
          <w:tcPr>
            <w:tcW w:w="1021" w:type="dxa"/>
            <w:tcBorders>
              <w:top w:val="nil"/>
              <w:left w:val="nil"/>
              <w:bottom w:val="nil"/>
              <w:right w:val="nil"/>
            </w:tcBorders>
            <w:shd w:val="clear" w:color="000000" w:fill="FFFFFF"/>
            <w:vAlign w:val="center"/>
          </w:tcPr>
          <w:p w14:paraId="71C16DCC" w14:textId="18F4D790" w:rsidR="00C64EAC" w:rsidRPr="00D4635F" w:rsidRDefault="00C64EAC" w:rsidP="00C64EAC">
            <w:pPr>
              <w:pStyle w:val="Tabletext"/>
            </w:pPr>
            <w:r>
              <w:rPr>
                <w:rFonts w:ascii="Arial" w:hAnsi="Arial"/>
              </w:rPr>
              <w:t> </w:t>
            </w:r>
          </w:p>
        </w:tc>
        <w:tc>
          <w:tcPr>
            <w:tcW w:w="1020" w:type="dxa"/>
            <w:tcBorders>
              <w:top w:val="nil"/>
              <w:left w:val="nil"/>
              <w:bottom w:val="nil"/>
              <w:right w:val="nil"/>
            </w:tcBorders>
            <w:shd w:val="clear" w:color="000000" w:fill="FFFFFF"/>
            <w:vAlign w:val="center"/>
          </w:tcPr>
          <w:p w14:paraId="249E1163" w14:textId="03FE5E85" w:rsidR="00C64EAC" w:rsidRPr="00D4635F" w:rsidRDefault="00C64EAC" w:rsidP="00C64EAC">
            <w:pPr>
              <w:pStyle w:val="Tabletext"/>
            </w:pPr>
            <w:r>
              <w:rPr>
                <w:rFonts w:ascii="Arial" w:hAnsi="Arial"/>
              </w:rPr>
              <w:t> </w:t>
            </w:r>
          </w:p>
        </w:tc>
        <w:tc>
          <w:tcPr>
            <w:tcW w:w="1021" w:type="dxa"/>
            <w:tcBorders>
              <w:top w:val="nil"/>
              <w:left w:val="nil"/>
              <w:bottom w:val="nil"/>
              <w:right w:val="nil"/>
            </w:tcBorders>
            <w:shd w:val="clear" w:color="000000" w:fill="FFFFFF"/>
            <w:vAlign w:val="center"/>
          </w:tcPr>
          <w:p w14:paraId="5F0DDA8E" w14:textId="507CD86D" w:rsidR="00C64EAC" w:rsidRPr="00D4635F" w:rsidRDefault="00C64EAC" w:rsidP="00C64EAC">
            <w:pPr>
              <w:pStyle w:val="Tabletext"/>
            </w:pPr>
            <w:r>
              <w:rPr>
                <w:rFonts w:ascii="Arial" w:hAnsi="Arial"/>
              </w:rPr>
              <w:t> </w:t>
            </w:r>
          </w:p>
        </w:tc>
        <w:tc>
          <w:tcPr>
            <w:tcW w:w="1021" w:type="dxa"/>
            <w:tcBorders>
              <w:top w:val="nil"/>
              <w:left w:val="nil"/>
              <w:bottom w:val="nil"/>
              <w:right w:val="nil"/>
            </w:tcBorders>
            <w:shd w:val="clear" w:color="000000" w:fill="FFFFFF"/>
            <w:vAlign w:val="center"/>
          </w:tcPr>
          <w:p w14:paraId="31866064" w14:textId="6087ABB5" w:rsidR="00C64EAC" w:rsidRPr="00D4635F" w:rsidRDefault="00C64EAC" w:rsidP="00C64EAC">
            <w:pPr>
              <w:pStyle w:val="Tabletext"/>
            </w:pPr>
            <w:r>
              <w:rPr>
                <w:rFonts w:ascii="Arial" w:hAnsi="Arial"/>
              </w:rPr>
              <w:t> </w:t>
            </w:r>
          </w:p>
        </w:tc>
      </w:tr>
      <w:tr w:rsidR="00C64EAC" w14:paraId="46D1BFF8" w14:textId="77777777" w:rsidTr="00F86FFE">
        <w:trPr>
          <w:cnfStyle w:val="000000100000" w:firstRow="0" w:lastRow="0" w:firstColumn="0" w:lastColumn="0" w:oddVBand="0" w:evenVBand="0" w:oddHBand="1" w:evenHBand="0" w:firstRowFirstColumn="0" w:firstRowLastColumn="0" w:lastRowFirstColumn="0" w:lastRowLastColumn="0"/>
        </w:trPr>
        <w:tc>
          <w:tcPr>
            <w:tcW w:w="1560" w:type="dxa"/>
          </w:tcPr>
          <w:p w14:paraId="55676A1B" w14:textId="5E1A12F5" w:rsidR="00C64EAC" w:rsidRDefault="00C64EAC" w:rsidP="00C64EAC">
            <w:pPr>
              <w:pStyle w:val="Tabletext"/>
              <w:rPr>
                <w:lang w:eastAsia="en-AU"/>
              </w:rPr>
            </w:pPr>
            <w:r w:rsidRPr="001B2A04">
              <w:t>Gunnedah</w:t>
            </w:r>
            <w:r>
              <w:t xml:space="preserve"> (OP)</w:t>
            </w:r>
          </w:p>
        </w:tc>
        <w:tc>
          <w:tcPr>
            <w:tcW w:w="1020" w:type="dxa"/>
            <w:tcBorders>
              <w:top w:val="nil"/>
              <w:left w:val="nil"/>
              <w:bottom w:val="nil"/>
              <w:right w:val="nil"/>
            </w:tcBorders>
            <w:shd w:val="clear" w:color="000000" w:fill="DEE8F1"/>
            <w:vAlign w:val="center"/>
          </w:tcPr>
          <w:p w14:paraId="7B5E6C4A" w14:textId="4FD31DFD" w:rsidR="00C64EAC" w:rsidRPr="003B316B" w:rsidRDefault="00C64EAC" w:rsidP="00C64EAC">
            <w:pPr>
              <w:pStyle w:val="Tabletext"/>
            </w:pPr>
            <w:r>
              <w:rPr>
                <w:rFonts w:ascii="Arial" w:hAnsi="Arial"/>
              </w:rPr>
              <w:t>3.04</w:t>
            </w:r>
          </w:p>
        </w:tc>
        <w:tc>
          <w:tcPr>
            <w:tcW w:w="1021" w:type="dxa"/>
            <w:tcBorders>
              <w:top w:val="nil"/>
              <w:left w:val="nil"/>
              <w:bottom w:val="nil"/>
              <w:right w:val="nil"/>
            </w:tcBorders>
            <w:shd w:val="clear" w:color="000000" w:fill="DEE8F1"/>
            <w:vAlign w:val="center"/>
          </w:tcPr>
          <w:p w14:paraId="706D54F5" w14:textId="71324794" w:rsidR="00C64EAC" w:rsidRPr="003B316B" w:rsidRDefault="00C64EAC" w:rsidP="00C64EAC">
            <w:pPr>
              <w:pStyle w:val="Tabletext"/>
            </w:pPr>
            <w:r>
              <w:rPr>
                <w:rFonts w:ascii="Arial" w:hAnsi="Arial"/>
              </w:rPr>
              <w:t>2.71</w:t>
            </w:r>
          </w:p>
        </w:tc>
        <w:tc>
          <w:tcPr>
            <w:tcW w:w="1020" w:type="dxa"/>
            <w:tcBorders>
              <w:top w:val="nil"/>
              <w:left w:val="nil"/>
              <w:bottom w:val="nil"/>
              <w:right w:val="nil"/>
            </w:tcBorders>
            <w:shd w:val="clear" w:color="000000" w:fill="DEE8F1"/>
            <w:vAlign w:val="center"/>
          </w:tcPr>
          <w:p w14:paraId="2D61216F" w14:textId="30F0DC59" w:rsidR="00C64EAC" w:rsidRPr="003B316B" w:rsidRDefault="00C64EAC" w:rsidP="00C64EAC">
            <w:pPr>
              <w:pStyle w:val="Tabletext"/>
            </w:pPr>
            <w:r>
              <w:rPr>
                <w:rFonts w:ascii="Arial" w:hAnsi="Arial"/>
              </w:rPr>
              <w:t>2.72</w:t>
            </w:r>
          </w:p>
        </w:tc>
        <w:tc>
          <w:tcPr>
            <w:tcW w:w="1021" w:type="dxa"/>
            <w:tcBorders>
              <w:top w:val="nil"/>
              <w:left w:val="nil"/>
              <w:bottom w:val="nil"/>
              <w:right w:val="nil"/>
            </w:tcBorders>
            <w:shd w:val="clear" w:color="000000" w:fill="DEE8F1"/>
            <w:vAlign w:val="center"/>
          </w:tcPr>
          <w:p w14:paraId="4E5BBB23" w14:textId="2342053F" w:rsidR="00C64EAC" w:rsidRPr="00D4635F" w:rsidRDefault="00C64EAC" w:rsidP="00C64EAC">
            <w:pPr>
              <w:pStyle w:val="Tabletext"/>
            </w:pPr>
            <w:r>
              <w:rPr>
                <w:rFonts w:ascii="Arial" w:hAnsi="Arial"/>
              </w:rPr>
              <w:t>1.47</w:t>
            </w:r>
          </w:p>
        </w:tc>
        <w:tc>
          <w:tcPr>
            <w:tcW w:w="1021" w:type="dxa"/>
            <w:tcBorders>
              <w:top w:val="nil"/>
              <w:left w:val="nil"/>
              <w:bottom w:val="nil"/>
              <w:right w:val="nil"/>
            </w:tcBorders>
            <w:shd w:val="clear" w:color="000000" w:fill="DEE8F1"/>
            <w:vAlign w:val="center"/>
          </w:tcPr>
          <w:p w14:paraId="024C5E7E" w14:textId="36CFFD3B" w:rsidR="00C64EAC" w:rsidRDefault="00C64EAC" w:rsidP="00C64EAC">
            <w:pPr>
              <w:pStyle w:val="Tabletext"/>
              <w:rPr>
                <w:lang w:eastAsia="en-AU"/>
              </w:rPr>
            </w:pPr>
            <w:r>
              <w:rPr>
                <w:rFonts w:ascii="Arial" w:hAnsi="Arial"/>
              </w:rPr>
              <w:t>1.34</w:t>
            </w:r>
          </w:p>
        </w:tc>
      </w:tr>
      <w:tr w:rsidR="00C64EAC" w14:paraId="6BEFBDA3" w14:textId="77777777" w:rsidTr="00F86FFE">
        <w:trPr>
          <w:cnfStyle w:val="000000010000" w:firstRow="0" w:lastRow="0" w:firstColumn="0" w:lastColumn="0" w:oddVBand="0" w:evenVBand="0" w:oddHBand="0" w:evenHBand="1" w:firstRowFirstColumn="0" w:firstRowLastColumn="0" w:lastRowFirstColumn="0" w:lastRowLastColumn="0"/>
        </w:trPr>
        <w:tc>
          <w:tcPr>
            <w:tcW w:w="1560" w:type="dxa"/>
          </w:tcPr>
          <w:p w14:paraId="46E93EF7" w14:textId="2665C87D" w:rsidR="00C64EAC" w:rsidRPr="001B2A04" w:rsidRDefault="00C64EAC" w:rsidP="00C64EAC">
            <w:pPr>
              <w:pStyle w:val="Tabletext"/>
            </w:pPr>
            <w:r>
              <w:t>Gunnedah (AP)</w:t>
            </w:r>
          </w:p>
        </w:tc>
        <w:tc>
          <w:tcPr>
            <w:tcW w:w="1020" w:type="dxa"/>
            <w:tcBorders>
              <w:top w:val="nil"/>
              <w:left w:val="nil"/>
              <w:bottom w:val="nil"/>
              <w:right w:val="nil"/>
            </w:tcBorders>
            <w:shd w:val="clear" w:color="000000" w:fill="FFFFFF"/>
            <w:vAlign w:val="center"/>
          </w:tcPr>
          <w:p w14:paraId="7D217001" w14:textId="643294E0" w:rsidR="00C64EAC" w:rsidRPr="00D4635F" w:rsidRDefault="00C64EAC" w:rsidP="00C64EAC">
            <w:pPr>
              <w:pStyle w:val="Tabletext"/>
            </w:pPr>
            <w:r>
              <w:rPr>
                <w:rFonts w:ascii="Arial" w:hAnsi="Arial"/>
              </w:rPr>
              <w:t> </w:t>
            </w:r>
          </w:p>
        </w:tc>
        <w:tc>
          <w:tcPr>
            <w:tcW w:w="1021" w:type="dxa"/>
            <w:tcBorders>
              <w:top w:val="nil"/>
              <w:left w:val="nil"/>
              <w:bottom w:val="nil"/>
              <w:right w:val="nil"/>
            </w:tcBorders>
            <w:shd w:val="clear" w:color="000000" w:fill="FFFFFF"/>
            <w:vAlign w:val="center"/>
          </w:tcPr>
          <w:p w14:paraId="06D2D43F" w14:textId="03864A6B" w:rsidR="00C64EAC" w:rsidRPr="00D4635F" w:rsidRDefault="00C64EAC" w:rsidP="00C64EAC">
            <w:pPr>
              <w:pStyle w:val="Tabletext"/>
            </w:pPr>
            <w:r>
              <w:rPr>
                <w:rFonts w:ascii="Arial" w:hAnsi="Arial"/>
              </w:rPr>
              <w:t>2.24</w:t>
            </w:r>
          </w:p>
        </w:tc>
        <w:tc>
          <w:tcPr>
            <w:tcW w:w="1020" w:type="dxa"/>
            <w:tcBorders>
              <w:top w:val="nil"/>
              <w:left w:val="nil"/>
              <w:bottom w:val="nil"/>
              <w:right w:val="nil"/>
            </w:tcBorders>
            <w:shd w:val="clear" w:color="000000" w:fill="FFFFFF"/>
            <w:vAlign w:val="center"/>
          </w:tcPr>
          <w:p w14:paraId="61252E5B" w14:textId="51E193B5" w:rsidR="00C64EAC" w:rsidRPr="00D4635F" w:rsidRDefault="00C64EAC" w:rsidP="00C64EAC">
            <w:pPr>
              <w:pStyle w:val="Tabletext"/>
            </w:pPr>
            <w:r>
              <w:rPr>
                <w:rFonts w:ascii="Arial" w:hAnsi="Arial"/>
              </w:rPr>
              <w:t> </w:t>
            </w:r>
          </w:p>
        </w:tc>
        <w:tc>
          <w:tcPr>
            <w:tcW w:w="1021" w:type="dxa"/>
            <w:tcBorders>
              <w:top w:val="nil"/>
              <w:left w:val="nil"/>
              <w:bottom w:val="nil"/>
              <w:right w:val="nil"/>
            </w:tcBorders>
            <w:shd w:val="clear" w:color="000000" w:fill="FFFFFF"/>
            <w:vAlign w:val="center"/>
          </w:tcPr>
          <w:p w14:paraId="6A703F1C" w14:textId="55EC605E" w:rsidR="00C64EAC" w:rsidRPr="00D4635F" w:rsidRDefault="00C64EAC" w:rsidP="00C64EAC">
            <w:pPr>
              <w:pStyle w:val="Tabletext"/>
            </w:pPr>
            <w:r>
              <w:rPr>
                <w:rFonts w:ascii="Arial" w:hAnsi="Arial"/>
              </w:rPr>
              <w:t> </w:t>
            </w:r>
          </w:p>
        </w:tc>
        <w:tc>
          <w:tcPr>
            <w:tcW w:w="1021" w:type="dxa"/>
            <w:tcBorders>
              <w:top w:val="nil"/>
              <w:left w:val="nil"/>
              <w:bottom w:val="nil"/>
              <w:right w:val="nil"/>
            </w:tcBorders>
            <w:shd w:val="clear" w:color="000000" w:fill="FFFFFF"/>
            <w:vAlign w:val="center"/>
          </w:tcPr>
          <w:p w14:paraId="6F31FE25" w14:textId="6839D947" w:rsidR="00C64EAC" w:rsidRPr="00D4635F" w:rsidRDefault="00C64EAC" w:rsidP="00C64EAC">
            <w:pPr>
              <w:pStyle w:val="Tabletext"/>
            </w:pPr>
            <w:r>
              <w:rPr>
                <w:rFonts w:ascii="Arial" w:hAnsi="Arial"/>
              </w:rPr>
              <w:t> </w:t>
            </w:r>
          </w:p>
        </w:tc>
      </w:tr>
      <w:tr w:rsidR="00C64EAC" w14:paraId="74DB3360" w14:textId="77777777" w:rsidTr="00F86FFE">
        <w:trPr>
          <w:cnfStyle w:val="000000100000" w:firstRow="0" w:lastRow="0" w:firstColumn="0" w:lastColumn="0" w:oddVBand="0" w:evenVBand="0" w:oddHBand="1" w:evenHBand="0" w:firstRowFirstColumn="0" w:firstRowLastColumn="0" w:lastRowFirstColumn="0" w:lastRowLastColumn="0"/>
        </w:trPr>
        <w:tc>
          <w:tcPr>
            <w:tcW w:w="1560" w:type="dxa"/>
          </w:tcPr>
          <w:p w14:paraId="674AFB24" w14:textId="4A38AD97" w:rsidR="00C64EAC" w:rsidRPr="001B2A04" w:rsidRDefault="00C64EAC" w:rsidP="00C64EAC">
            <w:pPr>
              <w:pStyle w:val="Tabletext"/>
            </w:pPr>
            <w:r>
              <w:t>Macarthur</w:t>
            </w:r>
          </w:p>
        </w:tc>
        <w:tc>
          <w:tcPr>
            <w:tcW w:w="1020" w:type="dxa"/>
            <w:tcBorders>
              <w:top w:val="nil"/>
              <w:left w:val="nil"/>
              <w:bottom w:val="nil"/>
              <w:right w:val="nil"/>
            </w:tcBorders>
            <w:shd w:val="clear" w:color="000000" w:fill="DEE8F1"/>
            <w:vAlign w:val="center"/>
          </w:tcPr>
          <w:p w14:paraId="429187B1" w14:textId="0E515E8D" w:rsidR="00C64EAC" w:rsidRPr="00D4635F" w:rsidRDefault="00C64EAC" w:rsidP="00C64EAC">
            <w:pPr>
              <w:pStyle w:val="Tabletext"/>
            </w:pPr>
            <w:r>
              <w:rPr>
                <w:rFonts w:ascii="Arial" w:hAnsi="Arial"/>
              </w:rPr>
              <w:t>4.25</w:t>
            </w:r>
          </w:p>
        </w:tc>
        <w:tc>
          <w:tcPr>
            <w:tcW w:w="1021" w:type="dxa"/>
            <w:tcBorders>
              <w:top w:val="nil"/>
              <w:left w:val="nil"/>
              <w:bottom w:val="nil"/>
              <w:right w:val="nil"/>
            </w:tcBorders>
            <w:shd w:val="clear" w:color="000000" w:fill="DEE8F1"/>
            <w:vAlign w:val="center"/>
          </w:tcPr>
          <w:p w14:paraId="640F758E" w14:textId="62A4EDF5" w:rsidR="00C64EAC" w:rsidRPr="00D4635F" w:rsidRDefault="00C64EAC" w:rsidP="00C64EAC">
            <w:pPr>
              <w:pStyle w:val="Tabletext"/>
            </w:pPr>
            <w:r>
              <w:rPr>
                <w:rFonts w:ascii="Arial" w:hAnsi="Arial"/>
              </w:rPr>
              <w:t>5.78</w:t>
            </w:r>
          </w:p>
        </w:tc>
        <w:tc>
          <w:tcPr>
            <w:tcW w:w="1020" w:type="dxa"/>
            <w:tcBorders>
              <w:top w:val="nil"/>
              <w:left w:val="nil"/>
              <w:bottom w:val="nil"/>
              <w:right w:val="nil"/>
            </w:tcBorders>
            <w:shd w:val="clear" w:color="000000" w:fill="DEE8F1"/>
            <w:vAlign w:val="center"/>
          </w:tcPr>
          <w:p w14:paraId="401DA3C6" w14:textId="6C49CCAF" w:rsidR="00C64EAC" w:rsidRPr="00D4635F" w:rsidRDefault="00C64EAC" w:rsidP="00C64EAC">
            <w:pPr>
              <w:pStyle w:val="Tabletext"/>
            </w:pPr>
            <w:r>
              <w:rPr>
                <w:rFonts w:ascii="Arial" w:hAnsi="Arial"/>
              </w:rPr>
              <w:t>5.87</w:t>
            </w:r>
          </w:p>
        </w:tc>
        <w:tc>
          <w:tcPr>
            <w:tcW w:w="1021" w:type="dxa"/>
            <w:tcBorders>
              <w:top w:val="nil"/>
              <w:left w:val="nil"/>
              <w:bottom w:val="nil"/>
              <w:right w:val="nil"/>
            </w:tcBorders>
            <w:shd w:val="clear" w:color="000000" w:fill="DEE8F1"/>
            <w:vAlign w:val="center"/>
          </w:tcPr>
          <w:p w14:paraId="4C20BEF1" w14:textId="663E3901" w:rsidR="00C64EAC" w:rsidRPr="00D4635F" w:rsidRDefault="00C64EAC" w:rsidP="00C64EAC">
            <w:pPr>
              <w:pStyle w:val="Tabletext"/>
            </w:pPr>
            <w:r>
              <w:rPr>
                <w:rFonts w:ascii="Arial" w:hAnsi="Arial"/>
              </w:rPr>
              <w:t>4.61</w:t>
            </w:r>
          </w:p>
        </w:tc>
        <w:tc>
          <w:tcPr>
            <w:tcW w:w="1021" w:type="dxa"/>
            <w:tcBorders>
              <w:top w:val="nil"/>
              <w:left w:val="nil"/>
              <w:bottom w:val="nil"/>
              <w:right w:val="nil"/>
            </w:tcBorders>
            <w:shd w:val="clear" w:color="000000" w:fill="DEE8F1"/>
            <w:vAlign w:val="center"/>
          </w:tcPr>
          <w:p w14:paraId="1F49FF7D" w14:textId="7C1DB6B3" w:rsidR="00C64EAC" w:rsidRPr="00D4635F" w:rsidRDefault="00C64EAC" w:rsidP="00C64EAC">
            <w:pPr>
              <w:pStyle w:val="Tabletext"/>
            </w:pPr>
            <w:r>
              <w:rPr>
                <w:rFonts w:ascii="Arial" w:hAnsi="Arial"/>
              </w:rPr>
              <w:t>4.48</w:t>
            </w:r>
          </w:p>
        </w:tc>
      </w:tr>
      <w:tr w:rsidR="00C64EAC" w14:paraId="2FB2E590" w14:textId="77777777" w:rsidTr="00F86FFE">
        <w:trPr>
          <w:cnfStyle w:val="000000010000" w:firstRow="0" w:lastRow="0" w:firstColumn="0" w:lastColumn="0" w:oddVBand="0" w:evenVBand="0" w:oddHBand="0" w:evenHBand="1" w:firstRowFirstColumn="0" w:firstRowLastColumn="0" w:lastRowFirstColumn="0" w:lastRowLastColumn="0"/>
        </w:trPr>
        <w:tc>
          <w:tcPr>
            <w:tcW w:w="1560" w:type="dxa"/>
          </w:tcPr>
          <w:p w14:paraId="184EE955" w14:textId="4CF50DE0" w:rsidR="00C64EAC" w:rsidRPr="001B2A04" w:rsidRDefault="00C64EAC" w:rsidP="00C64EAC">
            <w:pPr>
              <w:pStyle w:val="Tabletext"/>
            </w:pPr>
            <w:r>
              <w:t>Otway</w:t>
            </w:r>
          </w:p>
        </w:tc>
        <w:tc>
          <w:tcPr>
            <w:tcW w:w="1020" w:type="dxa"/>
            <w:tcBorders>
              <w:top w:val="nil"/>
              <w:left w:val="nil"/>
              <w:bottom w:val="nil"/>
              <w:right w:val="nil"/>
            </w:tcBorders>
            <w:shd w:val="clear" w:color="000000" w:fill="FFFFFF"/>
            <w:vAlign w:val="center"/>
          </w:tcPr>
          <w:p w14:paraId="265A144F" w14:textId="1AF6DAFB" w:rsidR="00C64EAC" w:rsidRPr="00D4635F" w:rsidRDefault="00C64EAC" w:rsidP="00C64EAC">
            <w:pPr>
              <w:pStyle w:val="Tabletext"/>
            </w:pPr>
            <w:r>
              <w:rPr>
                <w:rFonts w:ascii="Arial" w:hAnsi="Arial"/>
              </w:rPr>
              <w:t>3.68</w:t>
            </w:r>
          </w:p>
        </w:tc>
        <w:tc>
          <w:tcPr>
            <w:tcW w:w="1021" w:type="dxa"/>
            <w:tcBorders>
              <w:top w:val="nil"/>
              <w:left w:val="nil"/>
              <w:bottom w:val="nil"/>
              <w:right w:val="nil"/>
            </w:tcBorders>
            <w:shd w:val="clear" w:color="000000" w:fill="FFFFFF"/>
            <w:vAlign w:val="center"/>
          </w:tcPr>
          <w:p w14:paraId="68C9D78A" w14:textId="0B3B7CAB" w:rsidR="00C64EAC" w:rsidRPr="00D4635F" w:rsidRDefault="00C64EAC" w:rsidP="00C64EAC">
            <w:pPr>
              <w:pStyle w:val="Tabletext"/>
            </w:pPr>
            <w:r>
              <w:rPr>
                <w:rFonts w:ascii="Arial" w:hAnsi="Arial"/>
              </w:rPr>
              <w:t>1.07</w:t>
            </w:r>
          </w:p>
        </w:tc>
        <w:tc>
          <w:tcPr>
            <w:tcW w:w="1020" w:type="dxa"/>
            <w:tcBorders>
              <w:top w:val="nil"/>
              <w:left w:val="nil"/>
              <w:bottom w:val="nil"/>
              <w:right w:val="nil"/>
            </w:tcBorders>
            <w:shd w:val="clear" w:color="000000" w:fill="FFFFFF"/>
            <w:vAlign w:val="center"/>
          </w:tcPr>
          <w:p w14:paraId="225EB5DB" w14:textId="042A696B" w:rsidR="00C64EAC" w:rsidRPr="00D4635F" w:rsidRDefault="00C64EAC" w:rsidP="00C64EAC">
            <w:pPr>
              <w:pStyle w:val="Tabletext"/>
            </w:pPr>
            <w:r>
              <w:rPr>
                <w:rFonts w:ascii="Arial" w:hAnsi="Arial"/>
              </w:rPr>
              <w:t>1.87</w:t>
            </w:r>
          </w:p>
        </w:tc>
        <w:tc>
          <w:tcPr>
            <w:tcW w:w="1021" w:type="dxa"/>
            <w:tcBorders>
              <w:top w:val="nil"/>
              <w:left w:val="nil"/>
              <w:bottom w:val="nil"/>
              <w:right w:val="nil"/>
            </w:tcBorders>
            <w:shd w:val="clear" w:color="000000" w:fill="FFFFFF"/>
            <w:vAlign w:val="center"/>
          </w:tcPr>
          <w:p w14:paraId="26735B8A" w14:textId="6A1AD14F" w:rsidR="00C64EAC" w:rsidRPr="00D4635F" w:rsidRDefault="00C64EAC" w:rsidP="00C64EAC">
            <w:pPr>
              <w:pStyle w:val="Tabletext"/>
            </w:pPr>
            <w:r>
              <w:rPr>
                <w:rFonts w:ascii="Arial" w:hAnsi="Arial"/>
              </w:rPr>
              <w:t>0.13</w:t>
            </w:r>
          </w:p>
        </w:tc>
        <w:tc>
          <w:tcPr>
            <w:tcW w:w="1021" w:type="dxa"/>
            <w:tcBorders>
              <w:top w:val="nil"/>
              <w:left w:val="nil"/>
              <w:bottom w:val="nil"/>
              <w:right w:val="nil"/>
            </w:tcBorders>
            <w:shd w:val="clear" w:color="000000" w:fill="FFFFFF"/>
            <w:vAlign w:val="center"/>
          </w:tcPr>
          <w:p w14:paraId="328B93D3" w14:textId="21DCC0AF" w:rsidR="00C64EAC" w:rsidRPr="00D4635F" w:rsidRDefault="00C64EAC" w:rsidP="00C64EAC">
            <w:pPr>
              <w:pStyle w:val="Tabletext"/>
            </w:pPr>
            <w:r>
              <w:rPr>
                <w:rFonts w:ascii="Arial" w:hAnsi="Arial"/>
              </w:rPr>
              <w:t>1.49</w:t>
            </w:r>
          </w:p>
        </w:tc>
      </w:tr>
    </w:tbl>
    <w:p w14:paraId="037B29A4" w14:textId="000CFAFB" w:rsidR="00C64EAC" w:rsidRDefault="00C64EAC" w:rsidP="00C64EAC">
      <w:pPr>
        <w:pStyle w:val="Source"/>
        <w:spacing w:before="60"/>
        <w:rPr>
          <w:lang w:eastAsia="en-AU"/>
        </w:rPr>
      </w:pPr>
      <w:r>
        <w:rPr>
          <w:lang w:eastAsia="en-AU"/>
        </w:rPr>
        <w:t xml:space="preserve">Notes: </w:t>
      </w:r>
      <w:r w:rsidRPr="00C64EAC">
        <w:rPr>
          <w:lang w:eastAsia="en-AU"/>
        </w:rPr>
        <w:t>OP = Original Path; AP = Alternate Path. Alternate path indicates a lower cost path. Min Delivery Tariff and Max Delivery Tariff represent the upper and lower range of different throughput charges experienced by market participants delivering gas to Melbourne-based customers through the Victorian Transmission System. While delivery prices for transporting natural gas via interstate pipelines are provided for reference, in practical scenarios, consumers are unlikely to receive gas transported over very long distances.</w:t>
      </w:r>
    </w:p>
    <w:p w14:paraId="77BE6FC6" w14:textId="0197FEE2" w:rsidR="00BB2F0B" w:rsidRDefault="00BB2F0B" w:rsidP="00E22960">
      <w:pPr>
        <w:pStyle w:val="Source"/>
        <w:rPr>
          <w:lang w:eastAsia="en-AU"/>
        </w:rPr>
      </w:pPr>
      <w:r>
        <w:rPr>
          <w:lang w:eastAsia="en-AU"/>
        </w:rPr>
        <w:t xml:space="preserve">Source: DISR </w:t>
      </w:r>
      <w:r w:rsidR="00C64EAC">
        <w:rPr>
          <w:lang w:eastAsia="en-AU"/>
        </w:rPr>
        <w:t xml:space="preserve">(unpublished e) </w:t>
      </w:r>
      <w:r>
        <w:rPr>
          <w:lang w:eastAsia="en-AU"/>
        </w:rPr>
        <w:t xml:space="preserve">analysis based on </w:t>
      </w:r>
      <w:r w:rsidR="00C64EAC">
        <w:rPr>
          <w:lang w:eastAsia="en-AU"/>
        </w:rPr>
        <w:t xml:space="preserve">publicly available </w:t>
      </w:r>
      <w:r w:rsidR="00F86FFE">
        <w:rPr>
          <w:lang w:eastAsia="en-AU"/>
        </w:rPr>
        <w:t xml:space="preserve">pipeline </w:t>
      </w:r>
      <w:r>
        <w:rPr>
          <w:lang w:eastAsia="en-AU"/>
        </w:rPr>
        <w:t>data</w:t>
      </w:r>
    </w:p>
    <w:p w14:paraId="2D36F8A2" w14:textId="2278FEEB" w:rsidR="00EC7EC7" w:rsidRDefault="00EC7EC7" w:rsidP="00EC7EC7">
      <w:pPr>
        <w:pStyle w:val="Heading3"/>
        <w:rPr>
          <w:lang w:eastAsia="en-AU"/>
        </w:rPr>
      </w:pPr>
      <w:r>
        <w:rPr>
          <w:lang w:eastAsia="en-AU"/>
        </w:rPr>
        <w:t xml:space="preserve">Transport </w:t>
      </w:r>
      <w:r w:rsidR="0000320E">
        <w:rPr>
          <w:lang w:eastAsia="en-AU"/>
        </w:rPr>
        <w:t>c</w:t>
      </w:r>
      <w:r>
        <w:rPr>
          <w:lang w:eastAsia="en-AU"/>
        </w:rPr>
        <w:t xml:space="preserve">osts on </w:t>
      </w:r>
      <w:r w:rsidR="00162B2E">
        <w:rPr>
          <w:lang w:eastAsia="en-AU"/>
        </w:rPr>
        <w:t xml:space="preserve">the </w:t>
      </w:r>
      <w:r w:rsidR="003C2DC2">
        <w:rPr>
          <w:lang w:eastAsia="en-AU"/>
        </w:rPr>
        <w:t>e</w:t>
      </w:r>
      <w:r>
        <w:rPr>
          <w:lang w:eastAsia="en-AU"/>
        </w:rPr>
        <w:t xml:space="preserve">ast </w:t>
      </w:r>
      <w:r w:rsidR="003C2DC2">
        <w:rPr>
          <w:lang w:eastAsia="en-AU"/>
        </w:rPr>
        <w:t>c</w:t>
      </w:r>
      <w:r>
        <w:rPr>
          <w:lang w:eastAsia="en-AU"/>
        </w:rPr>
        <w:t>oast</w:t>
      </w:r>
    </w:p>
    <w:p w14:paraId="29BE7F4C" w14:textId="0D69FEA1" w:rsidR="00EC7EC7" w:rsidRDefault="00EC7EC7" w:rsidP="00EC7EC7">
      <w:pPr>
        <w:pStyle w:val="ListBullet3"/>
        <w:numPr>
          <w:ilvl w:val="0"/>
          <w:numId w:val="0"/>
        </w:numPr>
        <w:rPr>
          <w:lang w:eastAsia="en-AU"/>
        </w:rPr>
      </w:pPr>
      <w:r>
        <w:rPr>
          <w:lang w:eastAsia="en-AU"/>
        </w:rPr>
        <w:t xml:space="preserve">The cost of transport is a significant component of the wholesale cost, </w:t>
      </w:r>
      <w:r w:rsidR="00162B2E">
        <w:rPr>
          <w:lang w:eastAsia="en-AU"/>
        </w:rPr>
        <w:t>which</w:t>
      </w:r>
      <w:r>
        <w:rPr>
          <w:lang w:eastAsia="en-AU"/>
        </w:rPr>
        <w:t xml:space="preserve"> involve</w:t>
      </w:r>
      <w:r w:rsidR="00162B2E">
        <w:rPr>
          <w:lang w:eastAsia="en-AU"/>
        </w:rPr>
        <w:t>s</w:t>
      </w:r>
      <w:r>
        <w:rPr>
          <w:lang w:eastAsia="en-AU"/>
        </w:rPr>
        <w:t xml:space="preserve"> the cost of connecting the well to the national (east coast) transmission network and then delivery through the network to the hub. Pipeline tariffs are shown in Figure 6.2</w:t>
      </w:r>
      <w:r w:rsidR="00C64EAC">
        <w:rPr>
          <w:lang w:eastAsia="en-AU"/>
        </w:rPr>
        <w:t xml:space="preserve">, </w:t>
      </w:r>
      <w:r w:rsidR="00C64EAC" w:rsidRPr="008F6BCB">
        <w:rPr>
          <w:lang w:eastAsia="en-AU"/>
        </w:rPr>
        <w:t xml:space="preserve">with </w:t>
      </w:r>
      <w:r w:rsidR="008F6BCB">
        <w:rPr>
          <w:lang w:eastAsia="en-AU"/>
        </w:rPr>
        <w:t>network</w:t>
      </w:r>
      <w:r w:rsidR="00C64EAC" w:rsidRPr="008F6BCB">
        <w:rPr>
          <w:lang w:eastAsia="en-AU"/>
        </w:rPr>
        <w:t xml:space="preserve"> charges in Figure 6.3</w:t>
      </w:r>
      <w:r w:rsidRPr="008F6BCB">
        <w:rPr>
          <w:lang w:eastAsia="en-AU"/>
        </w:rPr>
        <w:t>.</w:t>
      </w:r>
    </w:p>
    <w:p w14:paraId="0C265B48" w14:textId="658AA4F4" w:rsidR="00EC7EC7" w:rsidRDefault="00EC7EC7" w:rsidP="00EC7EC7">
      <w:pPr>
        <w:pStyle w:val="ListBullet3"/>
        <w:numPr>
          <w:ilvl w:val="0"/>
          <w:numId w:val="0"/>
        </w:numPr>
      </w:pPr>
      <w:r>
        <w:t xml:space="preserve">Total transmission costs are largely driven by the distance between demand centres and gas producing fields, plus the pressure under which the gas is transported. Typically, the </w:t>
      </w:r>
      <w:r w:rsidR="00BD393C">
        <w:t>‘</w:t>
      </w:r>
      <w:r>
        <w:t>longer and fatter the pipe</w:t>
      </w:r>
      <w:r w:rsidR="00BD393C">
        <w:t>’</w:t>
      </w:r>
      <w:r>
        <w:t xml:space="preserve"> the higher the capital cost. Higher pressure allows greater volumes of gas to be transported (and stored as </w:t>
      </w:r>
      <w:r w:rsidR="00BD393C">
        <w:t>‘</w:t>
      </w:r>
      <w:r>
        <w:t>line pack</w:t>
      </w:r>
      <w:r w:rsidR="00BD393C">
        <w:t>’</w:t>
      </w:r>
      <w:r w:rsidR="00373C13">
        <w:t xml:space="preserve"> i.e.</w:t>
      </w:r>
      <w:r w:rsidR="00373C13" w:rsidRPr="00373C13">
        <w:t xml:space="preserve"> the amount of gas stored in the pipeline</w:t>
      </w:r>
      <w:r>
        <w:t xml:space="preserve">). The large distances between southern and northern states explains the larger delivery costs for meeting demand in </w:t>
      </w:r>
      <w:r w:rsidR="005D4E87">
        <w:t>southern s</w:t>
      </w:r>
      <w:r>
        <w:t>tates from norther</w:t>
      </w:r>
      <w:r w:rsidR="005D4E87">
        <w:t>n-</w:t>
      </w:r>
      <w:r>
        <w:t>sourced gas (Table 6.2).</w:t>
      </w:r>
      <w:r w:rsidR="004B12AF">
        <w:t xml:space="preserve"> </w:t>
      </w:r>
      <w:r w:rsidR="002A7F72">
        <w:t xml:space="preserve">In many </w:t>
      </w:r>
      <w:r w:rsidR="00373C13" w:rsidRPr="00373C13">
        <w:t>case</w:t>
      </w:r>
      <w:r w:rsidR="00373C13">
        <w:t>s</w:t>
      </w:r>
      <w:r w:rsidR="002A7F72">
        <w:t xml:space="preserve"> lo</w:t>
      </w:r>
      <w:r w:rsidR="004B12AF" w:rsidRPr="005C0A89">
        <w:t>nger pipelines have lower tariffs than shorter pipelines</w:t>
      </w:r>
      <w:r w:rsidR="00373C13">
        <w:t>,</w:t>
      </w:r>
      <w:r w:rsidR="004B12AF">
        <w:t xml:space="preserve"> reflecting lower levels of u</w:t>
      </w:r>
      <w:r w:rsidR="004B12AF" w:rsidRPr="005C0A89">
        <w:t>tilisation</w:t>
      </w:r>
      <w:r w:rsidR="004B12AF">
        <w:t>.</w:t>
      </w:r>
    </w:p>
    <w:p w14:paraId="6F012760" w14:textId="3B2A09F6" w:rsidR="00281BD6" w:rsidRDefault="00281BD6" w:rsidP="00FE49A7">
      <w:pPr>
        <w:pStyle w:val="BodyText"/>
        <w:spacing w:before="120"/>
      </w:pPr>
      <w:r>
        <w:t>As more gas is produced in northern fields and transported to southern users, the overall cost of gas will increase in proportion to increased transport costs. The cost premium to receive gas in Victoria from Wallumbilla is typically around $3</w:t>
      </w:r>
      <w:r w:rsidR="00217454">
        <w:t>/GJ</w:t>
      </w:r>
      <w:r w:rsidR="00F604E0">
        <w:t>.</w:t>
      </w:r>
      <w:r>
        <w:t xml:space="preserve"> However, transport costs would be higher if new gas (to replace existing Victorian supply) is sourced from the Northern Territory, with delivery to Melbourne costing around $8/GJ.</w:t>
      </w:r>
    </w:p>
    <w:p w14:paraId="4D6EF2C5" w14:textId="0C1026D3" w:rsidR="00366A80" w:rsidRDefault="00EC7EC7" w:rsidP="00526CDE">
      <w:pPr>
        <w:pStyle w:val="Caption"/>
      </w:pPr>
      <w:r w:rsidRPr="008F6BCB">
        <w:t xml:space="preserve">Figure </w:t>
      </w:r>
      <w:r w:rsidRPr="008F6BCB">
        <w:fldChar w:fldCharType="begin"/>
      </w:r>
      <w:r w:rsidRPr="008F6BCB">
        <w:rPr>
          <w:noProof/>
        </w:rPr>
        <w:instrText xml:space="preserve"> STYLEREF 1 \s </w:instrText>
      </w:r>
      <w:r w:rsidRPr="008F6BCB">
        <w:fldChar w:fldCharType="separate"/>
      </w:r>
      <w:r w:rsidR="00BF178A">
        <w:rPr>
          <w:noProof/>
        </w:rPr>
        <w:t>6</w:t>
      </w:r>
      <w:r w:rsidRPr="008F6BCB">
        <w:rPr>
          <w:lang w:val="en"/>
        </w:rPr>
        <w:fldChar w:fldCharType="end"/>
      </w:r>
      <w:r w:rsidR="00EB5CD2" w:rsidRPr="008F6BCB">
        <w:rPr>
          <w:lang w:val="en"/>
        </w:rPr>
        <w:t>.</w:t>
      </w:r>
      <w:r w:rsidR="00EB5CD2" w:rsidRPr="008F6BCB">
        <w:rPr>
          <w:lang w:val="en"/>
        </w:rPr>
        <w:fldChar w:fldCharType="begin"/>
      </w:r>
      <w:r w:rsidR="00EB5CD2" w:rsidRPr="008F6BCB">
        <w:rPr>
          <w:lang w:val="en"/>
        </w:rPr>
        <w:instrText xml:space="preserve"> SEQ Figure \* ARABIC \s 1 </w:instrText>
      </w:r>
      <w:r w:rsidR="00EB5CD2" w:rsidRPr="008F6BCB">
        <w:rPr>
          <w:lang w:val="en"/>
        </w:rPr>
        <w:fldChar w:fldCharType="separate"/>
      </w:r>
      <w:r w:rsidR="00BF178A">
        <w:rPr>
          <w:noProof/>
          <w:lang w:val="en"/>
        </w:rPr>
        <w:t>2</w:t>
      </w:r>
      <w:r w:rsidR="00EB5CD2" w:rsidRPr="008F6BCB">
        <w:rPr>
          <w:lang w:val="en"/>
        </w:rPr>
        <w:fldChar w:fldCharType="end"/>
      </w:r>
      <w:r w:rsidRPr="008F6BCB">
        <w:t xml:space="preserve">: Pipeline </w:t>
      </w:r>
      <w:r w:rsidR="0014570E" w:rsidRPr="008F6BCB">
        <w:t>t</w:t>
      </w:r>
      <w:r w:rsidRPr="008F6BCB">
        <w:t>ariff</w:t>
      </w:r>
      <w:r w:rsidR="003413BD" w:rsidRPr="008F6BCB">
        <w:t>s</w:t>
      </w:r>
      <w:r w:rsidRPr="008F6BCB">
        <w:t>, 202</w:t>
      </w:r>
      <w:r w:rsidR="00754126">
        <w:t>4</w:t>
      </w:r>
    </w:p>
    <w:p w14:paraId="655B9E30" w14:textId="20C1851A" w:rsidR="00526CDE" w:rsidRDefault="00351273" w:rsidP="00E22960">
      <w:pPr>
        <w:pStyle w:val="Source"/>
      </w:pPr>
      <w:r>
        <w:rPr>
          <w:noProof/>
        </w:rPr>
        <w:drawing>
          <wp:inline distT="0" distB="0" distL="0" distR="0" wp14:anchorId="3B1BF995" wp14:editId="76F568A3">
            <wp:extent cx="4206875" cy="3114675"/>
            <wp:effectExtent l="0" t="0" r="3175" b="0"/>
            <wp:docPr id="1066025714" name="Chart 1" descr="The figure presents the key gas pipeline tariffs for major pipelines in the East Coast and Northern Territory for the year 2023, measured in Australian dollar per GJ. The two pipelines with the highest charges are the Longford to Melbourne Pipeline (westbound, $2.36), and the South West Pipeline (southeastern, $2.30). The South West Pipeline has the lowest tariff, at under $0.02/GJ. Tariffs for all other pipelines vary from $0.36/GJ to $1.79/GJ.">
              <a:extLst xmlns:a="http://schemas.openxmlformats.org/drawingml/2006/main">
                <a:ext uri="{FF2B5EF4-FFF2-40B4-BE49-F238E27FC236}">
                  <a16:creationId xmlns:a16="http://schemas.microsoft.com/office/drawing/2014/main" id="{3F8A221C-B365-4853-A39D-D73E53C8B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D7E57DC" w14:textId="44B2903A" w:rsidR="00EC7EC7" w:rsidRPr="00E22960" w:rsidRDefault="00EC7EC7" w:rsidP="00E22960">
      <w:pPr>
        <w:pStyle w:val="Source"/>
      </w:pPr>
      <w:r w:rsidRPr="00E22960">
        <w:t xml:space="preserve">Source: </w:t>
      </w:r>
      <w:r w:rsidR="00F86FFE" w:rsidRPr="00F86FFE">
        <w:t>DISR (unpublished e) analysis of publicly available pipeline data</w:t>
      </w:r>
    </w:p>
    <w:p w14:paraId="3FE0FCE1" w14:textId="08A771F9" w:rsidR="00C64EAC" w:rsidRPr="00AF7375" w:rsidRDefault="00C64EAC" w:rsidP="00C64EAC">
      <w:pPr>
        <w:pStyle w:val="Caption"/>
        <w:rPr>
          <w:rFonts w:eastAsia="Times New Roman" w:cstheme="majorHAnsi"/>
          <w:szCs w:val="20"/>
          <w:lang w:val="en"/>
        </w:rPr>
      </w:pPr>
      <w:bookmarkStart w:id="159" w:name="_Hlk156996538"/>
      <w:bookmarkEnd w:id="158"/>
      <w:r w:rsidRPr="008F6BCB">
        <w:t xml:space="preserve">Table </w:t>
      </w:r>
      <w:r w:rsidRPr="008F6BCB">
        <w:fldChar w:fldCharType="begin"/>
      </w:r>
      <w:r w:rsidRPr="008F6BCB">
        <w:instrText xml:space="preserve"> STYLEREF 1 \s </w:instrText>
      </w:r>
      <w:r w:rsidRPr="008F6BCB">
        <w:fldChar w:fldCharType="separate"/>
      </w:r>
      <w:r w:rsidR="00BF178A">
        <w:rPr>
          <w:noProof/>
        </w:rPr>
        <w:t>6</w:t>
      </w:r>
      <w:r w:rsidRPr="008F6BCB">
        <w:rPr>
          <w:noProof/>
        </w:rPr>
        <w:fldChar w:fldCharType="end"/>
      </w:r>
      <w:r w:rsidRPr="008F6BCB">
        <w:t>.</w:t>
      </w:r>
      <w:r w:rsidRPr="008F6BCB">
        <w:fldChar w:fldCharType="begin"/>
      </w:r>
      <w:r w:rsidRPr="008F6BCB">
        <w:instrText xml:space="preserve"> SEQ Table \* ARABIC \s 1 </w:instrText>
      </w:r>
      <w:r w:rsidRPr="008F6BCB">
        <w:fldChar w:fldCharType="separate"/>
      </w:r>
      <w:r w:rsidR="00BF178A">
        <w:rPr>
          <w:noProof/>
        </w:rPr>
        <w:t>3</w:t>
      </w:r>
      <w:r w:rsidRPr="008F6BCB">
        <w:rPr>
          <w:noProof/>
        </w:rPr>
        <w:fldChar w:fldCharType="end"/>
      </w:r>
      <w:r w:rsidRPr="008F6BCB">
        <w:rPr>
          <w:lang w:val="en"/>
        </w:rPr>
        <w:t xml:space="preserve">: </w:t>
      </w:r>
      <w:r w:rsidR="008F6BCB" w:rsidRPr="008F6BCB">
        <w:rPr>
          <w:lang w:val="en"/>
        </w:rPr>
        <w:t>Network charges</w:t>
      </w:r>
      <w:r w:rsidRPr="008F6BCB">
        <w:rPr>
          <w:lang w:val="en"/>
        </w:rPr>
        <w:t>, $/GJ</w:t>
      </w:r>
    </w:p>
    <w:tbl>
      <w:tblPr>
        <w:tblStyle w:val="OCETable"/>
        <w:tblW w:w="5029" w:type="pct"/>
        <w:tblLook w:val="04A0" w:firstRow="1" w:lastRow="0" w:firstColumn="1" w:lastColumn="0" w:noHBand="0" w:noVBand="1"/>
      </w:tblPr>
      <w:tblGrid>
        <w:gridCol w:w="5101"/>
        <w:gridCol w:w="1562"/>
      </w:tblGrid>
      <w:tr w:rsidR="00F86FFE" w14:paraId="20A2E362" w14:textId="77777777" w:rsidTr="00F86FFE">
        <w:trPr>
          <w:cnfStyle w:val="100000000000" w:firstRow="1" w:lastRow="0" w:firstColumn="0" w:lastColumn="0" w:oddVBand="0" w:evenVBand="0" w:oddHBand="0" w:evenHBand="0" w:firstRowFirstColumn="0" w:firstRowLastColumn="0" w:lastRowFirstColumn="0" w:lastRowLastColumn="0"/>
          <w:trHeight w:val="278"/>
        </w:trPr>
        <w:tc>
          <w:tcPr>
            <w:tcW w:w="3828" w:type="pct"/>
          </w:tcPr>
          <w:p w14:paraId="35522AD7" w14:textId="0F89A13E" w:rsidR="00F86FFE" w:rsidRPr="00AF7375" w:rsidRDefault="00D23949" w:rsidP="00741D5D">
            <w:pPr>
              <w:keepNext/>
              <w:spacing w:before="120" w:after="120" w:line="240" w:lineRule="auto"/>
              <w:rPr>
                <w:rFonts w:cs="Arial"/>
                <w:b/>
                <w:szCs w:val="18"/>
                <w:lang w:eastAsia="en-AU"/>
              </w:rPr>
            </w:pPr>
            <w:r>
              <w:rPr>
                <w:rFonts w:cs="Arial"/>
                <w:b/>
                <w:szCs w:val="18"/>
                <w:lang w:eastAsia="en-AU"/>
              </w:rPr>
              <w:t>Service</w:t>
            </w:r>
          </w:p>
        </w:tc>
        <w:tc>
          <w:tcPr>
            <w:tcW w:w="1172" w:type="pct"/>
          </w:tcPr>
          <w:p w14:paraId="073F40BA" w14:textId="4E3B4F2D" w:rsidR="00F86FFE" w:rsidRPr="00AF7375" w:rsidRDefault="00F86FFE" w:rsidP="00741D5D">
            <w:pPr>
              <w:keepNext/>
              <w:spacing w:before="120" w:after="120" w:line="240" w:lineRule="auto"/>
              <w:rPr>
                <w:rFonts w:cs="Arial"/>
                <w:b/>
                <w:szCs w:val="18"/>
                <w:lang w:eastAsia="en-AU"/>
              </w:rPr>
            </w:pPr>
            <w:r>
              <w:rPr>
                <w:rFonts w:cs="Arial"/>
                <w:b/>
                <w:szCs w:val="18"/>
                <w:lang w:eastAsia="en-AU"/>
              </w:rPr>
              <w:t>Price</w:t>
            </w:r>
          </w:p>
        </w:tc>
      </w:tr>
      <w:tr w:rsidR="00F86FFE" w14:paraId="74A3D5EF" w14:textId="77777777" w:rsidTr="00F86FFE">
        <w:trPr>
          <w:cnfStyle w:val="000000100000" w:firstRow="0" w:lastRow="0" w:firstColumn="0" w:lastColumn="0" w:oddVBand="0" w:evenVBand="0" w:oddHBand="1" w:evenHBand="0" w:firstRowFirstColumn="0" w:firstRowLastColumn="0" w:lastRowFirstColumn="0" w:lastRowLastColumn="0"/>
          <w:trHeight w:val="80"/>
        </w:trPr>
        <w:tc>
          <w:tcPr>
            <w:tcW w:w="3828" w:type="pct"/>
            <w:tcBorders>
              <w:top w:val="nil"/>
              <w:left w:val="nil"/>
              <w:bottom w:val="nil"/>
              <w:right w:val="nil"/>
            </w:tcBorders>
            <w:shd w:val="clear" w:color="000000" w:fill="DEE8F1"/>
            <w:vAlign w:val="center"/>
          </w:tcPr>
          <w:p w14:paraId="23F9E8D7" w14:textId="249FCE62" w:rsidR="00F86FFE" w:rsidRDefault="00F86FFE" w:rsidP="00F86FFE">
            <w:pPr>
              <w:keepNext/>
              <w:keepLines/>
              <w:spacing w:before="60" w:after="60" w:line="240" w:lineRule="auto"/>
              <w:rPr>
                <w:lang w:eastAsia="en-AU"/>
              </w:rPr>
            </w:pPr>
            <w:r>
              <w:rPr>
                <w:rFonts w:ascii="Arial" w:hAnsi="Arial" w:cs="Arial"/>
                <w:szCs w:val="18"/>
              </w:rPr>
              <w:t>VicHub</w:t>
            </w:r>
          </w:p>
        </w:tc>
        <w:tc>
          <w:tcPr>
            <w:tcW w:w="1172" w:type="pct"/>
            <w:tcBorders>
              <w:top w:val="nil"/>
              <w:left w:val="nil"/>
              <w:bottom w:val="nil"/>
              <w:right w:val="nil"/>
            </w:tcBorders>
            <w:shd w:val="clear" w:color="000000" w:fill="DEE8F1"/>
            <w:vAlign w:val="center"/>
          </w:tcPr>
          <w:p w14:paraId="001D070B" w14:textId="741DFC1B" w:rsidR="00F86FFE" w:rsidRPr="00CD294B" w:rsidRDefault="00F86FFE" w:rsidP="00F86FFE">
            <w:pPr>
              <w:keepNext/>
              <w:keepLines/>
              <w:spacing w:before="60" w:after="60" w:line="240" w:lineRule="auto"/>
              <w:rPr>
                <w:lang w:eastAsia="en-AU"/>
              </w:rPr>
            </w:pPr>
            <w:r>
              <w:rPr>
                <w:rFonts w:ascii="Arial" w:hAnsi="Arial" w:cs="Arial"/>
                <w:szCs w:val="18"/>
              </w:rPr>
              <w:t>0.14</w:t>
            </w:r>
          </w:p>
        </w:tc>
      </w:tr>
      <w:tr w:rsidR="00F86FFE" w14:paraId="1D9AB9E8" w14:textId="77777777" w:rsidTr="00F86FFE">
        <w:trPr>
          <w:cnfStyle w:val="000000010000" w:firstRow="0" w:lastRow="0" w:firstColumn="0" w:lastColumn="0" w:oddVBand="0" w:evenVBand="0" w:oddHBand="0" w:evenHBand="1" w:firstRowFirstColumn="0" w:firstRowLastColumn="0" w:lastRowFirstColumn="0" w:lastRowLastColumn="0"/>
          <w:trHeight w:val="226"/>
        </w:trPr>
        <w:tc>
          <w:tcPr>
            <w:tcW w:w="3828" w:type="pct"/>
            <w:tcBorders>
              <w:top w:val="nil"/>
              <w:left w:val="nil"/>
              <w:bottom w:val="nil"/>
              <w:right w:val="nil"/>
            </w:tcBorders>
            <w:shd w:val="clear" w:color="auto" w:fill="auto"/>
            <w:vAlign w:val="center"/>
          </w:tcPr>
          <w:p w14:paraId="4C5320B8" w14:textId="3724E8BA" w:rsidR="00F86FFE" w:rsidRDefault="00F86FFE" w:rsidP="00F86FFE">
            <w:pPr>
              <w:keepNext/>
              <w:keepLines/>
              <w:spacing w:before="60" w:after="60" w:line="240" w:lineRule="auto"/>
              <w:rPr>
                <w:lang w:eastAsia="en-AU"/>
              </w:rPr>
            </w:pPr>
            <w:r>
              <w:rPr>
                <w:rFonts w:ascii="Arial" w:hAnsi="Arial" w:cs="Arial"/>
                <w:szCs w:val="18"/>
              </w:rPr>
              <w:t>VTS Delivery Charge (Max from North)</w:t>
            </w:r>
          </w:p>
        </w:tc>
        <w:tc>
          <w:tcPr>
            <w:tcW w:w="1172" w:type="pct"/>
            <w:tcBorders>
              <w:top w:val="nil"/>
              <w:left w:val="nil"/>
              <w:bottom w:val="nil"/>
              <w:right w:val="nil"/>
            </w:tcBorders>
            <w:shd w:val="clear" w:color="auto" w:fill="auto"/>
            <w:vAlign w:val="center"/>
          </w:tcPr>
          <w:p w14:paraId="25ED59CC" w14:textId="5BAEC34D" w:rsidR="00F86FFE" w:rsidRPr="00CD294B" w:rsidRDefault="00F86FFE" w:rsidP="00F86FFE">
            <w:pPr>
              <w:keepNext/>
              <w:keepLines/>
              <w:spacing w:before="60" w:after="60" w:line="240" w:lineRule="auto"/>
              <w:rPr>
                <w:lang w:eastAsia="en-AU"/>
              </w:rPr>
            </w:pPr>
            <w:r>
              <w:rPr>
                <w:rFonts w:ascii="Arial" w:hAnsi="Arial" w:cs="Arial"/>
                <w:szCs w:val="18"/>
              </w:rPr>
              <w:t>1.39</w:t>
            </w:r>
          </w:p>
        </w:tc>
      </w:tr>
      <w:tr w:rsidR="00F86FFE" w14:paraId="001E8567" w14:textId="77777777" w:rsidTr="00F86FFE">
        <w:trPr>
          <w:cnfStyle w:val="000000100000" w:firstRow="0" w:lastRow="0" w:firstColumn="0" w:lastColumn="0" w:oddVBand="0" w:evenVBand="0" w:oddHBand="1" w:evenHBand="0" w:firstRowFirstColumn="0" w:firstRowLastColumn="0" w:lastRowFirstColumn="0" w:lastRowLastColumn="0"/>
          <w:trHeight w:val="80"/>
        </w:trPr>
        <w:tc>
          <w:tcPr>
            <w:tcW w:w="3828" w:type="pct"/>
            <w:tcBorders>
              <w:top w:val="nil"/>
              <w:left w:val="nil"/>
              <w:bottom w:val="nil"/>
              <w:right w:val="nil"/>
            </w:tcBorders>
            <w:shd w:val="clear" w:color="000000" w:fill="DEE8F1"/>
            <w:vAlign w:val="center"/>
          </w:tcPr>
          <w:p w14:paraId="53DAC81B" w14:textId="7152450A" w:rsidR="00F86FFE" w:rsidRDefault="00F86FFE" w:rsidP="00F86FFE">
            <w:pPr>
              <w:keepNext/>
              <w:keepLines/>
              <w:spacing w:before="60" w:after="60" w:line="240" w:lineRule="auto"/>
              <w:rPr>
                <w:lang w:eastAsia="en-AU"/>
              </w:rPr>
            </w:pPr>
            <w:r>
              <w:rPr>
                <w:rFonts w:ascii="Arial" w:hAnsi="Arial" w:cs="Arial"/>
                <w:szCs w:val="18"/>
              </w:rPr>
              <w:t>VTS Delivery Charge (Max from East or West)</w:t>
            </w:r>
          </w:p>
        </w:tc>
        <w:tc>
          <w:tcPr>
            <w:tcW w:w="1172" w:type="pct"/>
            <w:tcBorders>
              <w:top w:val="nil"/>
              <w:left w:val="nil"/>
              <w:bottom w:val="nil"/>
              <w:right w:val="nil"/>
            </w:tcBorders>
            <w:shd w:val="clear" w:color="000000" w:fill="DEE8F1"/>
            <w:vAlign w:val="center"/>
          </w:tcPr>
          <w:p w14:paraId="0734654A" w14:textId="589887BA" w:rsidR="00F86FFE" w:rsidRPr="00CD294B" w:rsidRDefault="00F86FFE" w:rsidP="00F86FFE">
            <w:pPr>
              <w:keepNext/>
              <w:keepLines/>
              <w:spacing w:before="60" w:after="60" w:line="240" w:lineRule="auto"/>
              <w:rPr>
                <w:lang w:eastAsia="en-AU"/>
              </w:rPr>
            </w:pPr>
            <w:r>
              <w:rPr>
                <w:rFonts w:ascii="Arial" w:hAnsi="Arial" w:cs="Arial"/>
                <w:szCs w:val="18"/>
              </w:rPr>
              <w:t>1.87</w:t>
            </w:r>
          </w:p>
        </w:tc>
      </w:tr>
      <w:tr w:rsidR="00F86FFE" w14:paraId="30B1AB93" w14:textId="77777777" w:rsidTr="00F86FFE">
        <w:trPr>
          <w:cnfStyle w:val="000000010000" w:firstRow="0" w:lastRow="0" w:firstColumn="0" w:lastColumn="0" w:oddVBand="0" w:evenVBand="0" w:oddHBand="0" w:evenHBand="1" w:firstRowFirstColumn="0" w:firstRowLastColumn="0" w:lastRowFirstColumn="0" w:lastRowLastColumn="0"/>
          <w:trHeight w:val="304"/>
        </w:trPr>
        <w:tc>
          <w:tcPr>
            <w:tcW w:w="3828" w:type="pct"/>
            <w:tcBorders>
              <w:top w:val="nil"/>
              <w:left w:val="nil"/>
              <w:bottom w:val="nil"/>
              <w:right w:val="nil"/>
            </w:tcBorders>
            <w:shd w:val="clear" w:color="auto" w:fill="auto"/>
            <w:vAlign w:val="center"/>
          </w:tcPr>
          <w:p w14:paraId="2DF078C4" w14:textId="6388F2EA" w:rsidR="00F86FFE" w:rsidRDefault="00F86FFE" w:rsidP="00F86FFE">
            <w:pPr>
              <w:keepNext/>
              <w:keepLines/>
              <w:spacing w:before="60" w:after="60" w:line="240" w:lineRule="auto"/>
              <w:rPr>
                <w:lang w:eastAsia="en-AU"/>
              </w:rPr>
            </w:pPr>
            <w:r>
              <w:rPr>
                <w:rFonts w:ascii="Arial" w:hAnsi="Arial" w:cs="Arial"/>
                <w:szCs w:val="18"/>
              </w:rPr>
              <w:t>VTS Delivery Charge (Min non-cross system)</w:t>
            </w:r>
          </w:p>
        </w:tc>
        <w:tc>
          <w:tcPr>
            <w:tcW w:w="1172" w:type="pct"/>
            <w:tcBorders>
              <w:top w:val="nil"/>
              <w:left w:val="nil"/>
              <w:bottom w:val="nil"/>
              <w:right w:val="nil"/>
            </w:tcBorders>
            <w:shd w:val="clear" w:color="auto" w:fill="auto"/>
            <w:vAlign w:val="center"/>
          </w:tcPr>
          <w:p w14:paraId="5DEB8DF4" w14:textId="5C30F71B" w:rsidR="00F86FFE" w:rsidRPr="00CD294B" w:rsidRDefault="00F86FFE" w:rsidP="00F86FFE">
            <w:pPr>
              <w:keepNext/>
              <w:keepLines/>
              <w:spacing w:before="60" w:after="60" w:line="240" w:lineRule="auto"/>
              <w:rPr>
                <w:lang w:eastAsia="en-AU"/>
              </w:rPr>
            </w:pPr>
            <w:r>
              <w:rPr>
                <w:rFonts w:ascii="Arial" w:hAnsi="Arial" w:cs="Arial"/>
                <w:szCs w:val="18"/>
              </w:rPr>
              <w:t>0.13</w:t>
            </w:r>
          </w:p>
        </w:tc>
      </w:tr>
      <w:tr w:rsidR="00F86FFE" w14:paraId="7E680E49" w14:textId="77777777" w:rsidTr="00F86FFE">
        <w:trPr>
          <w:cnfStyle w:val="000000100000" w:firstRow="0" w:lastRow="0" w:firstColumn="0" w:lastColumn="0" w:oddVBand="0" w:evenVBand="0" w:oddHBand="1" w:evenHBand="0" w:firstRowFirstColumn="0" w:firstRowLastColumn="0" w:lastRowFirstColumn="0" w:lastRowLastColumn="0"/>
          <w:trHeight w:val="304"/>
        </w:trPr>
        <w:tc>
          <w:tcPr>
            <w:tcW w:w="3828" w:type="pct"/>
            <w:tcBorders>
              <w:top w:val="nil"/>
              <w:left w:val="nil"/>
              <w:bottom w:val="nil"/>
              <w:right w:val="nil"/>
            </w:tcBorders>
            <w:shd w:val="clear" w:color="000000" w:fill="DEE8F1"/>
            <w:vAlign w:val="center"/>
          </w:tcPr>
          <w:p w14:paraId="16D7893E" w14:textId="348AA03C" w:rsidR="00F86FFE" w:rsidRDefault="00F86FFE" w:rsidP="00F86FFE">
            <w:pPr>
              <w:keepNext/>
              <w:keepLines/>
              <w:spacing w:before="60" w:after="60" w:line="240" w:lineRule="auto"/>
              <w:rPr>
                <w:lang w:eastAsia="en-AU"/>
              </w:rPr>
            </w:pPr>
            <w:r>
              <w:rPr>
                <w:rFonts w:ascii="Arial" w:hAnsi="Arial" w:cs="Arial"/>
                <w:szCs w:val="18"/>
              </w:rPr>
              <w:t>Cross VTS Charge (Tariff D)</w:t>
            </w:r>
          </w:p>
        </w:tc>
        <w:tc>
          <w:tcPr>
            <w:tcW w:w="1172" w:type="pct"/>
            <w:tcBorders>
              <w:top w:val="nil"/>
              <w:left w:val="nil"/>
              <w:bottom w:val="nil"/>
              <w:right w:val="nil"/>
            </w:tcBorders>
            <w:shd w:val="clear" w:color="000000" w:fill="DEE8F1"/>
            <w:vAlign w:val="center"/>
          </w:tcPr>
          <w:p w14:paraId="65B8D248" w14:textId="463BB925" w:rsidR="00F86FFE" w:rsidRDefault="00F86FFE" w:rsidP="00F86FFE">
            <w:pPr>
              <w:keepNext/>
              <w:keepLines/>
              <w:spacing w:before="60" w:after="60" w:line="240" w:lineRule="auto"/>
              <w:rPr>
                <w:lang w:eastAsia="en-AU"/>
              </w:rPr>
            </w:pPr>
            <w:r>
              <w:rPr>
                <w:rFonts w:ascii="Arial" w:hAnsi="Arial" w:cs="Arial"/>
                <w:szCs w:val="18"/>
              </w:rPr>
              <w:t>0.28</w:t>
            </w:r>
          </w:p>
        </w:tc>
      </w:tr>
      <w:tr w:rsidR="00F86FFE" w14:paraId="2ACF00EC" w14:textId="77777777" w:rsidTr="00F86FFE">
        <w:trPr>
          <w:cnfStyle w:val="000000010000" w:firstRow="0" w:lastRow="0" w:firstColumn="0" w:lastColumn="0" w:oddVBand="0" w:evenVBand="0" w:oddHBand="0" w:evenHBand="1" w:firstRowFirstColumn="0" w:firstRowLastColumn="0" w:lastRowFirstColumn="0" w:lastRowLastColumn="0"/>
          <w:trHeight w:val="304"/>
        </w:trPr>
        <w:tc>
          <w:tcPr>
            <w:tcW w:w="3828" w:type="pct"/>
            <w:tcBorders>
              <w:top w:val="nil"/>
              <w:left w:val="nil"/>
              <w:bottom w:val="nil"/>
              <w:right w:val="nil"/>
            </w:tcBorders>
            <w:shd w:val="clear" w:color="auto" w:fill="auto"/>
            <w:vAlign w:val="center"/>
          </w:tcPr>
          <w:p w14:paraId="78F90991" w14:textId="7C3AA837" w:rsidR="00F86FFE" w:rsidRDefault="00F86FFE" w:rsidP="00F86FFE">
            <w:pPr>
              <w:keepNext/>
              <w:keepLines/>
              <w:spacing w:before="60" w:after="60" w:line="240" w:lineRule="auto"/>
              <w:rPr>
                <w:lang w:eastAsia="en-AU"/>
              </w:rPr>
            </w:pPr>
            <w:r>
              <w:rPr>
                <w:rFonts w:ascii="Arial" w:hAnsi="Arial" w:cs="Arial"/>
                <w:szCs w:val="18"/>
              </w:rPr>
              <w:t>MAS Wallumbilla-Culcairn/Wilton</w:t>
            </w:r>
          </w:p>
        </w:tc>
        <w:tc>
          <w:tcPr>
            <w:tcW w:w="1172" w:type="pct"/>
            <w:tcBorders>
              <w:top w:val="nil"/>
              <w:left w:val="nil"/>
              <w:bottom w:val="nil"/>
              <w:right w:val="nil"/>
            </w:tcBorders>
            <w:shd w:val="clear" w:color="auto" w:fill="auto"/>
            <w:vAlign w:val="center"/>
          </w:tcPr>
          <w:p w14:paraId="04F0F40B" w14:textId="715435C5" w:rsidR="00F86FFE" w:rsidRDefault="00F86FFE" w:rsidP="00F86FFE">
            <w:pPr>
              <w:keepNext/>
              <w:keepLines/>
              <w:spacing w:before="60" w:after="60" w:line="240" w:lineRule="auto"/>
              <w:rPr>
                <w:lang w:eastAsia="en-AU"/>
              </w:rPr>
            </w:pPr>
            <w:r>
              <w:rPr>
                <w:rFonts w:ascii="Arial" w:hAnsi="Arial" w:cs="Arial"/>
                <w:szCs w:val="18"/>
              </w:rPr>
              <w:t>2.33</w:t>
            </w:r>
          </w:p>
        </w:tc>
      </w:tr>
      <w:tr w:rsidR="00F86FFE" w14:paraId="10B0204B" w14:textId="77777777" w:rsidTr="00F86FFE">
        <w:trPr>
          <w:cnfStyle w:val="000000100000" w:firstRow="0" w:lastRow="0" w:firstColumn="0" w:lastColumn="0" w:oddVBand="0" w:evenVBand="0" w:oddHBand="1" w:evenHBand="0" w:firstRowFirstColumn="0" w:firstRowLastColumn="0" w:lastRowFirstColumn="0" w:lastRowLastColumn="0"/>
          <w:trHeight w:val="304"/>
        </w:trPr>
        <w:tc>
          <w:tcPr>
            <w:tcW w:w="3828" w:type="pct"/>
            <w:tcBorders>
              <w:top w:val="nil"/>
              <w:left w:val="nil"/>
              <w:bottom w:val="nil"/>
              <w:right w:val="nil"/>
            </w:tcBorders>
            <w:shd w:val="clear" w:color="000000" w:fill="DEE8F1"/>
            <w:vAlign w:val="center"/>
          </w:tcPr>
          <w:p w14:paraId="626316AE" w14:textId="469FC711" w:rsidR="00F86FFE" w:rsidRDefault="00F86FFE" w:rsidP="00F86FFE">
            <w:pPr>
              <w:keepNext/>
              <w:keepLines/>
              <w:spacing w:before="60" w:after="60" w:line="240" w:lineRule="auto"/>
              <w:rPr>
                <w:lang w:eastAsia="en-AU"/>
              </w:rPr>
            </w:pPr>
            <w:r>
              <w:rPr>
                <w:rFonts w:ascii="Arial" w:hAnsi="Arial" w:cs="Arial"/>
                <w:szCs w:val="18"/>
              </w:rPr>
              <w:t>MAS NGP Receipt to Culcairn/Wilton</w:t>
            </w:r>
          </w:p>
        </w:tc>
        <w:tc>
          <w:tcPr>
            <w:tcW w:w="1172" w:type="pct"/>
            <w:tcBorders>
              <w:top w:val="nil"/>
              <w:left w:val="nil"/>
              <w:bottom w:val="nil"/>
              <w:right w:val="nil"/>
            </w:tcBorders>
            <w:shd w:val="clear" w:color="000000" w:fill="DEE8F1"/>
            <w:vAlign w:val="center"/>
          </w:tcPr>
          <w:p w14:paraId="0E69ECDA" w14:textId="7AA4C4CB" w:rsidR="00F86FFE" w:rsidRDefault="00F86FFE" w:rsidP="00F86FFE">
            <w:pPr>
              <w:keepNext/>
              <w:keepLines/>
              <w:spacing w:before="60" w:after="60" w:line="240" w:lineRule="auto"/>
              <w:rPr>
                <w:lang w:eastAsia="en-AU"/>
              </w:rPr>
            </w:pPr>
            <w:r>
              <w:rPr>
                <w:rFonts w:ascii="Arial" w:hAnsi="Arial" w:cs="Arial"/>
                <w:szCs w:val="18"/>
              </w:rPr>
              <w:t>2.33</w:t>
            </w:r>
          </w:p>
        </w:tc>
      </w:tr>
      <w:tr w:rsidR="00F86FFE" w14:paraId="4193A02B" w14:textId="77777777" w:rsidTr="00F86FFE">
        <w:trPr>
          <w:cnfStyle w:val="000000010000" w:firstRow="0" w:lastRow="0" w:firstColumn="0" w:lastColumn="0" w:oddVBand="0" w:evenVBand="0" w:oddHBand="0" w:evenHBand="1" w:firstRowFirstColumn="0" w:firstRowLastColumn="0" w:lastRowFirstColumn="0" w:lastRowLastColumn="0"/>
          <w:trHeight w:val="304"/>
        </w:trPr>
        <w:tc>
          <w:tcPr>
            <w:tcW w:w="3828" w:type="pct"/>
            <w:tcBorders>
              <w:top w:val="nil"/>
              <w:left w:val="nil"/>
              <w:bottom w:val="nil"/>
              <w:right w:val="nil"/>
            </w:tcBorders>
            <w:shd w:val="clear" w:color="auto" w:fill="auto"/>
            <w:vAlign w:val="center"/>
          </w:tcPr>
          <w:p w14:paraId="4FD3A075" w14:textId="1E1E95FC" w:rsidR="00F86FFE" w:rsidRDefault="00F86FFE" w:rsidP="00F86FFE">
            <w:pPr>
              <w:keepNext/>
              <w:keepLines/>
              <w:spacing w:before="60" w:after="60" w:line="240" w:lineRule="auto"/>
              <w:rPr>
                <w:lang w:eastAsia="en-AU"/>
              </w:rPr>
            </w:pPr>
            <w:r>
              <w:rPr>
                <w:rFonts w:ascii="Arial" w:hAnsi="Arial" w:cs="Arial"/>
                <w:szCs w:val="18"/>
              </w:rPr>
              <w:t>MAS NGP Receipt to Wallumbilla</w:t>
            </w:r>
          </w:p>
        </w:tc>
        <w:tc>
          <w:tcPr>
            <w:tcW w:w="1172" w:type="pct"/>
            <w:tcBorders>
              <w:top w:val="nil"/>
              <w:left w:val="nil"/>
              <w:bottom w:val="nil"/>
              <w:right w:val="nil"/>
            </w:tcBorders>
            <w:shd w:val="clear" w:color="auto" w:fill="auto"/>
            <w:vAlign w:val="center"/>
          </w:tcPr>
          <w:p w14:paraId="04BF7FB9" w14:textId="166CB04D" w:rsidR="00F86FFE" w:rsidRDefault="00F86FFE" w:rsidP="00F86FFE">
            <w:pPr>
              <w:keepNext/>
              <w:keepLines/>
              <w:spacing w:before="60" w:after="60" w:line="240" w:lineRule="auto"/>
              <w:rPr>
                <w:lang w:eastAsia="en-AU"/>
              </w:rPr>
            </w:pPr>
            <w:r>
              <w:rPr>
                <w:rFonts w:ascii="Arial" w:hAnsi="Arial" w:cs="Arial"/>
                <w:szCs w:val="18"/>
              </w:rPr>
              <w:t>2.10</w:t>
            </w:r>
          </w:p>
        </w:tc>
      </w:tr>
    </w:tbl>
    <w:p w14:paraId="2B0FE964" w14:textId="4E06FDBB" w:rsidR="00C64EAC" w:rsidRDefault="00C64EAC" w:rsidP="00F86FFE">
      <w:pPr>
        <w:pStyle w:val="Source"/>
        <w:spacing w:before="60"/>
        <w:rPr>
          <w:lang w:eastAsia="en-AU"/>
        </w:rPr>
      </w:pPr>
      <w:r w:rsidRPr="00AF7375">
        <w:rPr>
          <w:lang w:eastAsia="en-AU"/>
        </w:rPr>
        <w:t xml:space="preserve">Note: </w:t>
      </w:r>
      <w:r w:rsidRPr="00C64EAC">
        <w:rPr>
          <w:lang w:eastAsia="en-AU"/>
        </w:rPr>
        <w:t>VTS = Victorian Transmission System, where injections are subject to Transmission Use of System charges</w:t>
      </w:r>
      <w:r w:rsidR="00F86FFE">
        <w:rPr>
          <w:lang w:eastAsia="en-AU"/>
        </w:rPr>
        <w:t>;</w:t>
      </w:r>
      <w:r w:rsidRPr="00C64EAC">
        <w:rPr>
          <w:lang w:eastAsia="en-AU"/>
        </w:rPr>
        <w:t xml:space="preserve"> MAS = Multi Asset Service, where terms apply to firm services contracted across more than one APA pipeline.</w:t>
      </w:r>
    </w:p>
    <w:p w14:paraId="0591FC38" w14:textId="7BDE3CFB" w:rsidR="00C64EAC" w:rsidRDefault="00C64EAC" w:rsidP="00C64EAC">
      <w:pPr>
        <w:pStyle w:val="Source"/>
        <w:rPr>
          <w:lang w:eastAsia="en-AU"/>
        </w:rPr>
      </w:pPr>
      <w:r w:rsidRPr="00AF7375">
        <w:rPr>
          <w:lang w:eastAsia="en-AU"/>
        </w:rPr>
        <w:t xml:space="preserve">Source: </w:t>
      </w:r>
      <w:r w:rsidRPr="00C64EAC">
        <w:rPr>
          <w:lang w:eastAsia="en-AU"/>
        </w:rPr>
        <w:t>DISR (unpublished e) analysis based on publicly available</w:t>
      </w:r>
      <w:r w:rsidR="00F86FFE">
        <w:rPr>
          <w:lang w:eastAsia="en-AU"/>
        </w:rPr>
        <w:t xml:space="preserve"> pipeline</w:t>
      </w:r>
      <w:r w:rsidRPr="00C64EAC">
        <w:rPr>
          <w:lang w:eastAsia="en-AU"/>
        </w:rPr>
        <w:t xml:space="preserve"> data.</w:t>
      </w:r>
    </w:p>
    <w:p w14:paraId="577F84B2" w14:textId="5150030D" w:rsidR="00EC7EC7" w:rsidRDefault="00EC4504" w:rsidP="00EC7EC7">
      <w:pPr>
        <w:pStyle w:val="BodyText"/>
      </w:pPr>
      <w:r>
        <w:t>Pipeline expansion can also help to facilitate a more efficient market.</w:t>
      </w:r>
      <w:r w:rsidR="00CB593B">
        <w:t xml:space="preserve"> </w:t>
      </w:r>
      <w:r w:rsidR="00EC7EC7" w:rsidRPr="002A01C7">
        <w:t>Last year, APA increased capacity between Wallumbilla and Wilton by 12%</w:t>
      </w:r>
      <w:r w:rsidR="00373C13">
        <w:t xml:space="preserve"> (with a similar expansion planned to be ready for the </w:t>
      </w:r>
      <w:r w:rsidR="002852E8">
        <w:t>w</w:t>
      </w:r>
      <w:r w:rsidR="00373C13">
        <w:t>inter peak in 2024)</w:t>
      </w:r>
      <w:r w:rsidR="00EC7EC7" w:rsidRPr="002A01C7">
        <w:t>. The expansion included an expansion of the Moomba Sydney Pipeline</w:t>
      </w:r>
      <w:r w:rsidR="002852E8">
        <w:t>, which</w:t>
      </w:r>
      <w:r w:rsidR="00EC7EC7" w:rsidRPr="002A01C7">
        <w:t xml:space="preserve"> helped facilitate increased gas swaps with LNG producers and retailers. </w:t>
      </w:r>
      <w:r w:rsidR="00EC7EC7">
        <w:t xml:space="preserve">Current expansion plans </w:t>
      </w:r>
      <w:r>
        <w:t xml:space="preserve">can </w:t>
      </w:r>
      <w:r w:rsidR="00EC7EC7">
        <w:t xml:space="preserve">assist with pressure on the existing network and price stabilisation </w:t>
      </w:r>
      <w:r>
        <w:t>through swaps</w:t>
      </w:r>
      <w:r w:rsidR="00EC7EC7">
        <w:t xml:space="preserve"> but will not lower the cost of transportation overall.</w:t>
      </w:r>
    </w:p>
    <w:p w14:paraId="52129806" w14:textId="0F3155EC" w:rsidR="00EC7EC7" w:rsidRDefault="00EC7EC7" w:rsidP="00EC7EC7">
      <w:pPr>
        <w:pStyle w:val="BodyText"/>
        <w:rPr>
          <w:lang w:eastAsia="en-AU"/>
        </w:rPr>
      </w:pPr>
      <w:r>
        <w:t>Increasingly, the additional transportation costs may influence decisions around where businesses with high gas needs</w:t>
      </w:r>
      <w:r w:rsidR="00EC4504">
        <w:t xml:space="preserve"> will locate</w:t>
      </w:r>
      <w:r>
        <w:t xml:space="preserve">. A valid consideration for </w:t>
      </w:r>
      <w:r w:rsidR="005D4E87">
        <w:t>s</w:t>
      </w:r>
      <w:r>
        <w:t>outhern firms is whether to relocate closer to gas fields where supply is lower cost.</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C7EC7" w14:paraId="0E65F215" w14:textId="77777777" w:rsidTr="00566C00">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2E5F0595" w14:textId="53C6630E" w:rsidR="00EC7EC7" w:rsidRPr="00401289" w:rsidRDefault="00EC7EC7" w:rsidP="00C50D71">
            <w:pPr>
              <w:pStyle w:val="Boxtext"/>
              <w:spacing w:beforeLines="60" w:before="144" w:afterLines="60" w:after="144"/>
              <w:ind w:left="113" w:right="113"/>
              <w:jc w:val="both"/>
              <w:rPr>
                <w:color w:val="auto"/>
              </w:rPr>
            </w:pPr>
            <w:r w:rsidRPr="005458FA">
              <w:rPr>
                <w:b/>
                <w:bCs/>
                <w:color w:val="auto"/>
              </w:rPr>
              <w:t xml:space="preserve">Insight: </w:t>
            </w:r>
            <w:r w:rsidRPr="002E0CCA">
              <w:rPr>
                <w:color w:val="auto"/>
              </w:rPr>
              <w:t>There is upward cost pressure in domestic production. Factors driving future costs include cost inflation</w:t>
            </w:r>
            <w:r w:rsidR="00087731" w:rsidRPr="00087731">
              <w:rPr>
                <w:color w:val="auto"/>
              </w:rPr>
              <w:t>,</w:t>
            </w:r>
            <w:r w:rsidRPr="002E0CCA">
              <w:rPr>
                <w:color w:val="auto"/>
              </w:rPr>
              <w:t xml:space="preserve"> declining field productivity</w:t>
            </w:r>
            <w:r w:rsidR="007872CB">
              <w:rPr>
                <w:color w:val="auto"/>
              </w:rPr>
              <w:t>,</w:t>
            </w:r>
            <w:r w:rsidRPr="007871F6">
              <w:rPr>
                <w:color w:val="auto"/>
              </w:rPr>
              <w:t xml:space="preserve"> the increasing infrastructure costs associated with the need to transport more gas between </w:t>
            </w:r>
            <w:r>
              <w:rPr>
                <w:color w:val="auto"/>
              </w:rPr>
              <w:t>north</w:t>
            </w:r>
            <w:r w:rsidRPr="007871F6">
              <w:rPr>
                <w:color w:val="auto"/>
              </w:rPr>
              <w:t xml:space="preserve">ern and </w:t>
            </w:r>
            <w:r w:rsidR="00087731" w:rsidRPr="00087731">
              <w:rPr>
                <w:color w:val="auto"/>
              </w:rPr>
              <w:t>southeast</w:t>
            </w:r>
            <w:r w:rsidRPr="007871F6">
              <w:rPr>
                <w:color w:val="auto"/>
              </w:rPr>
              <w:t xml:space="preserve"> Australia to meet the anticipated </w:t>
            </w:r>
            <w:r>
              <w:rPr>
                <w:color w:val="auto"/>
              </w:rPr>
              <w:t>s</w:t>
            </w:r>
            <w:r w:rsidRPr="00450945">
              <w:rPr>
                <w:color w:val="auto"/>
              </w:rPr>
              <w:t xml:space="preserve">outhern </w:t>
            </w:r>
            <w:r>
              <w:rPr>
                <w:color w:val="auto"/>
              </w:rPr>
              <w:t>s</w:t>
            </w:r>
            <w:r w:rsidRPr="00450945">
              <w:rPr>
                <w:color w:val="auto"/>
              </w:rPr>
              <w:t>tates</w:t>
            </w:r>
            <w:r w:rsidRPr="007871F6">
              <w:rPr>
                <w:color w:val="auto"/>
              </w:rPr>
              <w:t xml:space="preserve"> gas shortfall</w:t>
            </w:r>
            <w:r w:rsidR="007872CB">
              <w:rPr>
                <w:color w:val="auto"/>
              </w:rPr>
              <w:t>,</w:t>
            </w:r>
            <w:r w:rsidRPr="007871F6">
              <w:rPr>
                <w:color w:val="auto"/>
              </w:rPr>
              <w:t xml:space="preserve"> and the cost of abating emissions as required under the </w:t>
            </w:r>
            <w:r w:rsidRPr="007064A4">
              <w:rPr>
                <w:i/>
                <w:iCs/>
                <w:color w:val="auto"/>
              </w:rPr>
              <w:t>Commonwealth Safeguard Mechanism</w:t>
            </w:r>
            <w:r w:rsidRPr="007871F6">
              <w:rPr>
                <w:color w:val="auto"/>
              </w:rPr>
              <w:t>.</w:t>
            </w:r>
            <w:r w:rsidR="00087731">
              <w:rPr>
                <w:color w:val="auto"/>
              </w:rPr>
              <w:t xml:space="preserve"> </w:t>
            </w:r>
          </w:p>
        </w:tc>
      </w:tr>
    </w:tbl>
    <w:p w14:paraId="7804D802" w14:textId="77777777" w:rsidR="00EC7EC7" w:rsidRPr="00556816" w:rsidRDefault="00EC7EC7" w:rsidP="00EC7EC7">
      <w:pPr>
        <w:pStyle w:val="Heading3"/>
      </w:pPr>
      <w:r w:rsidRPr="00556816">
        <w:t xml:space="preserve">Wholesale gas costs on the </w:t>
      </w:r>
      <w:r>
        <w:t>west</w:t>
      </w:r>
      <w:r w:rsidRPr="00556816">
        <w:t xml:space="preserve"> </w:t>
      </w:r>
      <w:r>
        <w:t>coast</w:t>
      </w:r>
    </w:p>
    <w:p w14:paraId="6CDFB065" w14:textId="16C4C5D8" w:rsidR="00EC7EC7" w:rsidRDefault="00D10273" w:rsidP="00EC7EC7">
      <w:pPr>
        <w:pStyle w:val="BodyText"/>
      </w:pPr>
      <w:r>
        <w:t>Wholesale gas prices are</w:t>
      </w:r>
      <w:r w:rsidR="00EC7EC7">
        <w:t xml:space="preserve"> considerably lower in Western Australia compared to the east coast market</w:t>
      </w:r>
      <w:r w:rsidR="00EB5CD2">
        <w:t xml:space="preserve"> (Figure 6.3)</w:t>
      </w:r>
      <w:r w:rsidR="00EC7EC7">
        <w:t xml:space="preserve">. </w:t>
      </w:r>
      <w:r>
        <w:t xml:space="preserve">However, they have been rising in recent years, as on the east coast. </w:t>
      </w:r>
      <w:r w:rsidR="00EC7EC7">
        <w:t>AEMO</w:t>
      </w:r>
      <w:r w:rsidR="0015552C">
        <w:t xml:space="preserve"> (</w:t>
      </w:r>
      <w:r w:rsidR="0062218E">
        <w:t>2023</w:t>
      </w:r>
      <w:r w:rsidR="003D30E8">
        <w:t>c</w:t>
      </w:r>
      <w:r w:rsidR="0015552C">
        <w:t>)</w:t>
      </w:r>
      <w:r w:rsidR="00EC7EC7">
        <w:t xml:space="preserve"> estimates the average cost of domestic gas production in Western Australia to be $2.90/GJ</w:t>
      </w:r>
      <w:r w:rsidR="006F6CB8">
        <w:t xml:space="preserve"> </w:t>
      </w:r>
      <w:r w:rsidR="004F446A">
        <w:t xml:space="preserve">in </w:t>
      </w:r>
      <w:r w:rsidR="006F6CB8">
        <w:t>2023</w:t>
      </w:r>
      <w:r>
        <w:t>.</w:t>
      </w:r>
      <w:r w:rsidR="006F6CB8">
        <w:t xml:space="preserve"> </w:t>
      </w:r>
      <w:r w:rsidR="006F6CB8" w:rsidRPr="006F6CB8">
        <w:t>In real terms</w:t>
      </w:r>
      <w:r w:rsidR="007872CB">
        <w:t>,</w:t>
      </w:r>
      <w:r w:rsidR="006F6CB8" w:rsidRPr="006F6CB8">
        <w:t xml:space="preserve"> AEMO expects costs to increase by only 4% over the next </w:t>
      </w:r>
      <w:r w:rsidR="007872CB">
        <w:t>10</w:t>
      </w:r>
      <w:r w:rsidR="006F6CB8" w:rsidRPr="006F6CB8">
        <w:t xml:space="preserve"> years</w:t>
      </w:r>
      <w:r w:rsidR="006F6CB8">
        <w:t>.</w:t>
      </w:r>
      <w:r w:rsidRPr="00D10273">
        <w:t xml:space="preserve"> </w:t>
      </w:r>
      <w:r>
        <w:t xml:space="preserve">The lower costs of production </w:t>
      </w:r>
      <w:r w:rsidR="00373C13" w:rsidRPr="00373C13">
        <w:t>reflect the very low short run marginal costs of producing extra molecules from the large LNG projects</w:t>
      </w:r>
      <w:r w:rsidR="007872CB">
        <w:t>,</w:t>
      </w:r>
      <w:r w:rsidR="00373C13" w:rsidRPr="00373C13">
        <w:t xml:space="preserve"> and</w:t>
      </w:r>
      <w:r>
        <w:t xml:space="preserve"> the application of the Western Australian domestic gas reservation scheme on a bigger LNG production base</w:t>
      </w:r>
      <w:r w:rsidRPr="007C10BF">
        <w:t>.</w:t>
      </w:r>
      <w:r>
        <w:t xml:space="preserve"> </w:t>
      </w:r>
      <w:r w:rsidR="007872CB">
        <w:t>However,</w:t>
      </w:r>
      <w:r>
        <w:t xml:space="preserve"> contract prices </w:t>
      </w:r>
      <w:r w:rsidR="007872CB">
        <w:t>in</w:t>
      </w:r>
      <w:r>
        <w:t xml:space="preserve"> 2022 and 2023 rose as both the west coast market and international energy markets tightened, reaching an average contract price of above $7/GJ in 2023.</w:t>
      </w:r>
    </w:p>
    <w:p w14:paraId="5C7F13A4" w14:textId="7BE235B3" w:rsidR="00EC7EC7" w:rsidRDefault="00EC7EC7" w:rsidP="00EC7EC7">
      <w:pPr>
        <w:pStyle w:val="BodyText"/>
      </w:pPr>
      <w:r>
        <w:t>New W</w:t>
      </w:r>
      <w:r w:rsidR="007872CB">
        <w:t xml:space="preserve">estern Australian </w:t>
      </w:r>
      <w:r>
        <w:t>gas supply (and relative costs) will fluctuate with the development of new fields. B</w:t>
      </w:r>
      <w:r w:rsidRPr="00672972">
        <w:t>etween 2027 and 2029, supply is forecast to grow as Scarborough, South Erregulla, Lockyer Deep, and Waitsia are expected to enter the domestic market.</w:t>
      </w:r>
    </w:p>
    <w:p w14:paraId="12216BA6" w14:textId="22726F41" w:rsidR="00EC7EC7" w:rsidRDefault="00EC7EC7" w:rsidP="00EC7EC7">
      <w:pPr>
        <w:pStyle w:val="BodyText"/>
      </w:pPr>
      <w:r>
        <w:t>In the medium term, exploration remains relatively subdued.</w:t>
      </w:r>
    </w:p>
    <w:p w14:paraId="788F94EA" w14:textId="66724B86" w:rsidR="00D10273" w:rsidRDefault="00D10273" w:rsidP="00C97679">
      <w:pPr>
        <w:pStyle w:val="Caption"/>
        <w:rPr>
          <w:noProof/>
        </w:rPr>
      </w:pPr>
      <w:r w:rsidRPr="00A62FE8">
        <w:rPr>
          <w:lang w:val="en"/>
        </w:rPr>
        <w:t xml:space="preserve">Figure </w:t>
      </w:r>
      <w:r w:rsidR="00EB5CD2">
        <w:rPr>
          <w:lang w:val="en"/>
        </w:rPr>
        <w:fldChar w:fldCharType="begin"/>
      </w:r>
      <w:r w:rsidR="00EB5CD2">
        <w:rPr>
          <w:lang w:val="en"/>
        </w:rPr>
        <w:instrText xml:space="preserve"> STYLEREF 1 \s </w:instrText>
      </w:r>
      <w:r w:rsidR="00EB5CD2">
        <w:rPr>
          <w:lang w:val="en"/>
        </w:rPr>
        <w:fldChar w:fldCharType="separate"/>
      </w:r>
      <w:r w:rsidR="00BF178A">
        <w:rPr>
          <w:noProof/>
          <w:lang w:val="en"/>
        </w:rPr>
        <w:t>6</w:t>
      </w:r>
      <w:r w:rsidR="00EB5CD2">
        <w:rPr>
          <w:lang w:val="en"/>
        </w:rPr>
        <w:fldChar w:fldCharType="end"/>
      </w:r>
      <w:r w:rsidR="00EB5CD2">
        <w:rPr>
          <w:lang w:val="en"/>
        </w:rPr>
        <w:t>.</w:t>
      </w:r>
      <w:r w:rsidR="00EB5CD2">
        <w:rPr>
          <w:lang w:val="en"/>
        </w:rPr>
        <w:fldChar w:fldCharType="begin"/>
      </w:r>
      <w:r w:rsidR="00EB5CD2">
        <w:rPr>
          <w:lang w:val="en"/>
        </w:rPr>
        <w:instrText xml:space="preserve"> SEQ Figure \* ARABIC \s 1 </w:instrText>
      </w:r>
      <w:r w:rsidR="00EB5CD2">
        <w:rPr>
          <w:lang w:val="en"/>
        </w:rPr>
        <w:fldChar w:fldCharType="separate"/>
      </w:r>
      <w:r w:rsidR="00BF178A">
        <w:rPr>
          <w:noProof/>
          <w:lang w:val="en"/>
        </w:rPr>
        <w:t>3</w:t>
      </w:r>
      <w:r w:rsidR="00EB5CD2">
        <w:rPr>
          <w:lang w:val="en"/>
        </w:rPr>
        <w:fldChar w:fldCharType="end"/>
      </w:r>
      <w:r w:rsidRPr="00A62FE8">
        <w:rPr>
          <w:lang w:val="en"/>
        </w:rPr>
        <w:t xml:space="preserve">: </w:t>
      </w:r>
      <w:r w:rsidRPr="00863A39">
        <w:rPr>
          <w:lang w:val="en"/>
        </w:rPr>
        <w:t>Western Australia domestic gas prices</w:t>
      </w:r>
      <w:r w:rsidR="007872CB">
        <w:rPr>
          <w:lang w:val="en"/>
        </w:rPr>
        <w:t xml:space="preserve">, </w:t>
      </w:r>
      <w:r w:rsidRPr="00863A39">
        <w:rPr>
          <w:lang w:val="en"/>
        </w:rPr>
        <w:t>2014</w:t>
      </w:r>
      <w:r w:rsidR="00170F22">
        <w:rPr>
          <w:lang w:val="en"/>
        </w:rPr>
        <w:t xml:space="preserve"> to </w:t>
      </w:r>
      <w:r w:rsidRPr="00863A39">
        <w:rPr>
          <w:lang w:val="en"/>
        </w:rPr>
        <w:t>2023</w:t>
      </w:r>
    </w:p>
    <w:p w14:paraId="3750C554" w14:textId="77777777" w:rsidR="00D10273" w:rsidRPr="00A62FE8" w:rsidRDefault="00D10273" w:rsidP="00D10273">
      <w:pPr>
        <w:keepNext/>
        <w:keepLines/>
        <w:spacing w:before="180" w:after="120" w:line="240" w:lineRule="auto"/>
        <w:rPr>
          <w:rFonts w:eastAsia="Times New Roman" w:cs="Arial"/>
          <w:color w:val="005CAF"/>
          <w:sz w:val="16"/>
          <w:szCs w:val="20"/>
          <w:lang w:val="en"/>
        </w:rPr>
      </w:pPr>
      <w:r>
        <w:rPr>
          <w:noProof/>
        </w:rPr>
        <w:drawing>
          <wp:inline distT="0" distB="0" distL="0" distR="0" wp14:anchorId="40B20153" wp14:editId="5956F100">
            <wp:extent cx="4276725" cy="2171700"/>
            <wp:effectExtent l="0" t="0" r="0" b="0"/>
            <wp:docPr id="789851630" name="Chart 789851630" descr="The figure illustrates the domestic gas prices in Western Australia from 2014 to 2023, including the weighted average domestic contract price and the ABS Producer Price Indexes (PPIs) for gas extraction. The PPIs reflect the average change over time in the selling prices received by domestic gas producers. The weighted average domestic contract price saw a modest decrease, falling from approximately $5.00/GJ to around A$3.00/GJ during 2014 to mid-2020, which aligns with a decline in ABS PPIs during the same timeframe. From mid-2020 to 2023, the weighted average domestic contract price experienced a sharp increase, rising from A$3.00/GJ to approximately A$7.00/GJ.">
              <a:extLst xmlns:a="http://schemas.openxmlformats.org/drawingml/2006/main">
                <a:ext uri="{FF2B5EF4-FFF2-40B4-BE49-F238E27FC236}">
                  <a16:creationId xmlns:a16="http://schemas.microsoft.com/office/drawing/2014/main" id="{65D2E4DE-0132-44B5-B370-5CD2D6CB4D91}"/>
                </a:ext>
                <a:ext uri="{147F2762-F138-4A5C-976F-8EAC2B608ADB}">
                  <a16:predDERef xmlns:a16="http://schemas.microsoft.com/office/drawing/2014/main" pred="{951EFD12-5D83-49B9-BBBF-7930B6227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A62FE8" w:rsidDel="00ED7EC0">
        <w:rPr>
          <w:rFonts w:eastAsia="Times New Roman" w:cs="Arial"/>
          <w:noProof/>
          <w:color w:val="005CAF"/>
          <w:sz w:val="16"/>
          <w:szCs w:val="20"/>
          <w:lang w:val="en"/>
        </w:rPr>
        <w:t xml:space="preserve"> </w:t>
      </w:r>
    </w:p>
    <w:p w14:paraId="686C9E78" w14:textId="016113C4" w:rsidR="00C815CC" w:rsidRDefault="00C815CC" w:rsidP="00E22960">
      <w:pPr>
        <w:pStyle w:val="Source"/>
      </w:pPr>
      <w:r>
        <w:t>Note: ABS PPI is Producer Price Index produced by the Australian Bureau of Statistics</w:t>
      </w:r>
    </w:p>
    <w:p w14:paraId="30AEE5C8" w14:textId="1CEB4C59" w:rsidR="00D10273" w:rsidRPr="0000320E" w:rsidRDefault="00D10273" w:rsidP="00E22960">
      <w:pPr>
        <w:pStyle w:val="Source"/>
      </w:pPr>
      <w:r w:rsidRPr="00A62FE8">
        <w:t xml:space="preserve">Source: </w:t>
      </w:r>
      <w:r>
        <w:t>AEMO</w:t>
      </w:r>
      <w:r w:rsidR="00817B65">
        <w:t xml:space="preserve"> </w:t>
      </w:r>
      <w:r w:rsidR="00D874B6">
        <w:t>(2023d</w:t>
      </w:r>
      <w:r w:rsidR="00817B65">
        <w:t>)</w:t>
      </w:r>
    </w:p>
    <w:p w14:paraId="272B7674" w14:textId="6BE550AF" w:rsidR="00EC7EC7" w:rsidRDefault="00EC7EC7" w:rsidP="00EC7EC7">
      <w:pPr>
        <w:pStyle w:val="Heading3"/>
      </w:pPr>
      <w:r>
        <w:t xml:space="preserve">Retail </w:t>
      </w:r>
      <w:r w:rsidR="00E00F40">
        <w:t xml:space="preserve">energy </w:t>
      </w:r>
      <w:r>
        <w:t>costs</w:t>
      </w:r>
    </w:p>
    <w:p w14:paraId="1C1FF42D" w14:textId="4C04C615" w:rsidR="00CF383D" w:rsidRDefault="00EC7EC7" w:rsidP="00EC7EC7">
      <w:pPr>
        <w:pStyle w:val="BodyText"/>
      </w:pPr>
      <w:r w:rsidRPr="00534A24">
        <w:t xml:space="preserve">Higher </w:t>
      </w:r>
      <w:r>
        <w:t xml:space="preserve">wholesale </w:t>
      </w:r>
      <w:r w:rsidRPr="00534A24">
        <w:t>gas price</w:t>
      </w:r>
      <w:r w:rsidR="007872CB">
        <w:t>s</w:t>
      </w:r>
      <w:r w:rsidRPr="00534A24">
        <w:t xml:space="preserve"> flow through to </w:t>
      </w:r>
      <w:r>
        <w:t xml:space="preserve">consumers via higher retail gas prices and higher electricity prices given the role gas plays in the NEM. </w:t>
      </w:r>
      <w:r w:rsidR="00CF383D">
        <w:t>See Box 6.2 for more information on the impact gas has on electricity prices.</w:t>
      </w:r>
    </w:p>
    <w:p w14:paraId="496C0DFE" w14:textId="430015EA" w:rsidR="00EC7EC7" w:rsidRPr="006578FE" w:rsidRDefault="00EC7EC7" w:rsidP="00D80470">
      <w:pPr>
        <w:pStyle w:val="BodyText"/>
      </w:pPr>
      <w:r w:rsidRPr="00D80470">
        <w:t>Forward pricing for short term supply retail transactions for 2024 to 2027 average around $17.60/GJ</w:t>
      </w:r>
      <w:r w:rsidR="007872CB">
        <w:t xml:space="preserve"> which is </w:t>
      </w:r>
      <w:r w:rsidR="00D753CE" w:rsidRPr="00D80470">
        <w:t>higher than the wholesale cost</w:t>
      </w:r>
      <w:r w:rsidR="007872CB">
        <w:t xml:space="preserve">. This </w:t>
      </w:r>
      <w:r w:rsidR="00D753CE" w:rsidRPr="00D80470">
        <w:t>reflect</w:t>
      </w:r>
      <w:r w:rsidR="007872CB">
        <w:t>s</w:t>
      </w:r>
      <w:r w:rsidR="00D753CE" w:rsidRPr="00D80470">
        <w:t xml:space="preserve"> retailers offer</w:t>
      </w:r>
      <w:r w:rsidR="007872CB">
        <w:t>ing</w:t>
      </w:r>
      <w:r w:rsidR="00D753CE" w:rsidRPr="00D80470">
        <w:t xml:space="preserve"> additional services to clients beyond what is offered in the wholesale market (see Box 6.1). The ACCC is currently conducting an inquiry into retailer pricing behaviour</w:t>
      </w:r>
      <w:r w:rsidR="007872CB">
        <w:t>.</w:t>
      </w:r>
      <w:r w:rsidR="00D80470" w:rsidRPr="004F446A">
        <w:t xml:space="preserve"> The first stage of the review found the tight and volatile market conditions in 2022 and early 2023 posed significant challenges for retailers and commercial and industrial gas users, and contributed to a deterioration in retail competition and some retailers’ selling practices.</w:t>
      </w:r>
      <w:r w:rsidR="00D80470">
        <w:t xml:space="preserve"> The review</w:t>
      </w:r>
      <w:r w:rsidR="00D80470" w:rsidRPr="004F446A">
        <w:t xml:space="preserve"> also found conditions in the latter half of 2023 had started to improve, with retail competition increasing and some retailers reverting to their standard selling practices.</w:t>
      </w:r>
    </w:p>
    <w:p w14:paraId="5171CD9E" w14:textId="4DF8D8D6" w:rsidR="00EC7EC7" w:rsidRDefault="00EC7EC7" w:rsidP="00C97679">
      <w:pPr>
        <w:pStyle w:val="Caption"/>
      </w:pPr>
      <w:r>
        <w:t xml:space="preserve">Figure </w:t>
      </w:r>
      <w:r w:rsidR="00341B3B">
        <w:fldChar w:fldCharType="begin"/>
      </w:r>
      <w:r w:rsidR="00341B3B">
        <w:instrText xml:space="preserve"> STYLEREF 1 \s </w:instrText>
      </w:r>
      <w:r w:rsidR="00341B3B">
        <w:fldChar w:fldCharType="separate"/>
      </w:r>
      <w:r w:rsidR="00BF178A">
        <w:rPr>
          <w:noProof/>
        </w:rPr>
        <w:t>6</w:t>
      </w:r>
      <w:r w:rsidR="00341B3B">
        <w:rPr>
          <w:noProof/>
        </w:rPr>
        <w:fldChar w:fldCharType="end"/>
      </w:r>
      <w:r w:rsidR="00EB5CD2">
        <w:rPr>
          <w:lang w:val="en"/>
        </w:rPr>
        <w:t>.</w:t>
      </w:r>
      <w:r w:rsidR="00EB5CD2">
        <w:rPr>
          <w:lang w:val="en"/>
        </w:rPr>
        <w:fldChar w:fldCharType="begin"/>
      </w:r>
      <w:r w:rsidR="00EB5CD2">
        <w:rPr>
          <w:lang w:val="en"/>
        </w:rPr>
        <w:instrText xml:space="preserve"> SEQ Figure \* ARABIC \s 1 </w:instrText>
      </w:r>
      <w:r w:rsidR="00EB5CD2">
        <w:rPr>
          <w:lang w:val="en"/>
        </w:rPr>
        <w:fldChar w:fldCharType="separate"/>
      </w:r>
      <w:r w:rsidR="00BF178A">
        <w:rPr>
          <w:noProof/>
          <w:lang w:val="en"/>
        </w:rPr>
        <w:t>4</w:t>
      </w:r>
      <w:r w:rsidR="00EB5CD2">
        <w:rPr>
          <w:lang w:val="en"/>
        </w:rPr>
        <w:fldChar w:fldCharType="end"/>
      </w:r>
      <w:r>
        <w:t>: Breakdown of gas retail price</w:t>
      </w:r>
      <w:r w:rsidR="00E83B16">
        <w:t>s</w:t>
      </w:r>
      <w:r w:rsidR="004F446A">
        <w:t>, 2017</w:t>
      </w:r>
    </w:p>
    <w:p w14:paraId="5D348558" w14:textId="67825B08" w:rsidR="00EC7EC7" w:rsidRDefault="00861959" w:rsidP="00E22960">
      <w:pPr>
        <w:pStyle w:val="Source"/>
        <w:rPr>
          <w:lang w:eastAsia="en-AU"/>
        </w:rPr>
      </w:pPr>
      <w:r>
        <w:rPr>
          <w:noProof/>
        </w:rPr>
        <w:drawing>
          <wp:inline distT="0" distB="0" distL="0" distR="0" wp14:anchorId="278FF29E" wp14:editId="50834A89">
            <wp:extent cx="4206875" cy="2644140"/>
            <wp:effectExtent l="0" t="0" r="3175" b="0"/>
            <wp:docPr id="165855209" name="Chart 1" descr="The figure shows a detailed breakdown of gas retail prices across all states and territories in Australia for 2017, measured in Australian cents per MJ. Queensland recorded the highest retail gas price at approximately A$0.70/MJ, while Victoria noted the lowest at around A$0.25/MJ. Retail prices are generally composed of three elements: the wholesale price, network price, and retail costs and margins. The network price constitutes the largest segment of the retail prices in most regions, ranging from 33% to 62% of the total, with Queensland having the highest percentage and Victoria the lowest. Wholesale prices contribute between 14% to 43% of the total retail gas prices, while retail costs and margins account for the remaining 12% to 25%.">
              <a:extLst xmlns:a="http://schemas.openxmlformats.org/drawingml/2006/main">
                <a:ext uri="{FF2B5EF4-FFF2-40B4-BE49-F238E27FC236}">
                  <a16:creationId xmlns:a16="http://schemas.microsoft.com/office/drawing/2014/main" id="{D636747B-8CE0-4EC2-90D6-9B15B28B7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EC7EC7">
        <w:rPr>
          <w:lang w:eastAsia="en-AU"/>
        </w:rPr>
        <w:br/>
        <w:t xml:space="preserve">Notes: Data </w:t>
      </w:r>
      <w:r w:rsidR="00FF01BA">
        <w:rPr>
          <w:lang w:eastAsia="en-AU"/>
        </w:rPr>
        <w:t>is</w:t>
      </w:r>
      <w:r w:rsidR="00EC7EC7">
        <w:rPr>
          <w:lang w:eastAsia="en-AU"/>
        </w:rPr>
        <w:t xml:space="preserve"> estimates at 2017. Average residential customer prices exclud</w:t>
      </w:r>
      <w:r w:rsidR="00FF01BA">
        <w:rPr>
          <w:lang w:eastAsia="en-AU"/>
        </w:rPr>
        <w:t>e</w:t>
      </w:r>
      <w:r w:rsidR="00EC7EC7">
        <w:rPr>
          <w:lang w:eastAsia="en-AU"/>
        </w:rPr>
        <w:t xml:space="preserve"> GST (real </w:t>
      </w:r>
      <w:r w:rsidR="00FF01BA">
        <w:rPr>
          <w:lang w:eastAsia="en-AU"/>
        </w:rPr>
        <w:t xml:space="preserve">A </w:t>
      </w:r>
      <w:r w:rsidR="00EC7EC7">
        <w:rPr>
          <w:lang w:eastAsia="en-AU"/>
        </w:rPr>
        <w:t>2018</w:t>
      </w:r>
      <w:r w:rsidR="00DB5745">
        <w:rPr>
          <w:lang w:eastAsia="en-AU"/>
        </w:rPr>
        <w:t>–</w:t>
      </w:r>
      <w:r w:rsidR="00EC7EC7">
        <w:rPr>
          <w:lang w:eastAsia="en-AU"/>
        </w:rPr>
        <w:t>19). Percentages may not add to 100% due to rounding.</w:t>
      </w:r>
      <w:r w:rsidR="003E5F3A">
        <w:rPr>
          <w:lang w:eastAsia="en-AU"/>
        </w:rPr>
        <w:t xml:space="preserve"> This is the most up-to-date data </w:t>
      </w:r>
      <w:r w:rsidR="00877445">
        <w:rPr>
          <w:lang w:eastAsia="en-AU"/>
        </w:rPr>
        <w:t>available,</w:t>
      </w:r>
      <w:r w:rsidR="003E5F3A">
        <w:rPr>
          <w:lang w:eastAsia="en-AU"/>
        </w:rPr>
        <w:t xml:space="preserve"> and costs may have changed since 2017.</w:t>
      </w:r>
    </w:p>
    <w:p w14:paraId="42EC690B" w14:textId="3EE4694D" w:rsidR="00EC7EC7" w:rsidRDefault="00EC7EC7" w:rsidP="00E22960">
      <w:pPr>
        <w:pStyle w:val="Source"/>
        <w:rPr>
          <w:lang w:eastAsia="en-AU"/>
        </w:rPr>
      </w:pPr>
      <w:r>
        <w:rPr>
          <w:lang w:eastAsia="en-AU"/>
        </w:rPr>
        <w:t xml:space="preserve">Source: </w:t>
      </w:r>
      <w:r w:rsidR="00A428EF">
        <w:rPr>
          <w:lang w:eastAsia="en-AU"/>
        </w:rPr>
        <w:t>DISR (2018)</w:t>
      </w:r>
    </w:p>
    <w:p w14:paraId="736410BA" w14:textId="76FC308B" w:rsidR="00F864BE" w:rsidRPr="00F864BE" w:rsidRDefault="00F864BE" w:rsidP="00F864BE">
      <w:pPr>
        <w:pStyle w:val="BodyText"/>
      </w:pPr>
      <w:r>
        <w:t>Only a relatively small share of the retail cost of gas is related to the wholesale cost. A breakdown of residential pricing into wholesale costs, network costs and retailer costs and margins are available for 2017 by state (Figure 6.4). The breakdown illustrates the high costs associated with distributing gas around the network.</w:t>
      </w:r>
    </w:p>
    <w:tbl>
      <w:tblPr>
        <w:tblStyle w:val="OCETable"/>
        <w:tblW w:w="6804" w:type="dxa"/>
        <w:shd w:val="clear" w:color="auto" w:fill="DEE8F1"/>
        <w:tblCellMar>
          <w:top w:w="57" w:type="dxa"/>
          <w:bottom w:w="57" w:type="dxa"/>
        </w:tblCellMar>
        <w:tblLook w:val="04A0" w:firstRow="1" w:lastRow="0" w:firstColumn="1" w:lastColumn="0" w:noHBand="0" w:noVBand="1"/>
      </w:tblPr>
      <w:tblGrid>
        <w:gridCol w:w="6804"/>
      </w:tblGrid>
      <w:tr w:rsidR="003163E0" w14:paraId="3426A549" w14:textId="77777777" w:rsidTr="00AA38BB">
        <w:trPr>
          <w:cnfStyle w:val="100000000000" w:firstRow="1" w:lastRow="0" w:firstColumn="0" w:lastColumn="0" w:oddVBand="0" w:evenVBand="0" w:oddHBand="0" w:evenHBand="0" w:firstRowFirstColumn="0" w:firstRowLastColumn="0" w:lastRowFirstColumn="0" w:lastRowLastColumn="0"/>
        </w:trPr>
        <w:tc>
          <w:tcPr>
            <w:tcW w:w="6804" w:type="dxa"/>
            <w:shd w:val="clear" w:color="auto" w:fill="DEE8F1"/>
          </w:tcPr>
          <w:p w14:paraId="5DDFD0CD" w14:textId="2872ED31" w:rsidR="003163E0" w:rsidRPr="004F446A" w:rsidRDefault="003163E0" w:rsidP="00AA38BB">
            <w:pPr>
              <w:pStyle w:val="Boxtext"/>
              <w:spacing w:beforeLines="50" w:before="120" w:afterLines="60" w:after="144"/>
              <w:ind w:left="119" w:right="113"/>
              <w:jc w:val="both"/>
              <w:rPr>
                <w:b/>
                <w:color w:val="005CAF" w:themeColor="accent1"/>
              </w:rPr>
            </w:pPr>
            <w:r w:rsidRPr="00766310">
              <w:br w:type="column"/>
            </w:r>
            <w:r w:rsidRPr="00766310">
              <w:br w:type="column"/>
            </w:r>
            <w:r w:rsidRPr="00E142F8">
              <w:rPr>
                <w:b/>
                <w:bCs/>
                <w:color w:val="005CAF" w:themeColor="accent1"/>
              </w:rPr>
              <w:t>Box 6.2: Gas plays a pivotal firming role in electricity markets</w:t>
            </w:r>
          </w:p>
          <w:p w14:paraId="6E5A3D35" w14:textId="77777777" w:rsidR="003163E0" w:rsidRPr="004F446A" w:rsidRDefault="003163E0" w:rsidP="00766310">
            <w:pPr>
              <w:pStyle w:val="Boxtext"/>
              <w:spacing w:beforeLines="60" w:before="144" w:afterLines="60" w:after="144"/>
              <w:ind w:left="113" w:right="113"/>
              <w:rPr>
                <w:color w:val="373737" w:themeColor="text1"/>
              </w:rPr>
            </w:pPr>
            <w:r w:rsidRPr="004F446A">
              <w:rPr>
                <w:color w:val="373737" w:themeColor="text1"/>
              </w:rPr>
              <w:t xml:space="preserve">Gas is and will continue to be a key generation source in Australian energy markets, particularly as a peaking fuel when there is low renewables generation and storage options have been exhausted. </w:t>
            </w:r>
          </w:p>
          <w:p w14:paraId="022F3137" w14:textId="7649D0E0" w:rsidR="002D0FB6" w:rsidRPr="004F446A" w:rsidRDefault="00320EFE" w:rsidP="00766310">
            <w:pPr>
              <w:pStyle w:val="Boxtext"/>
              <w:spacing w:beforeLines="60" w:before="144" w:afterLines="60" w:after="144"/>
              <w:ind w:left="113" w:right="113"/>
              <w:rPr>
                <w:color w:val="373737" w:themeColor="text1"/>
              </w:rPr>
            </w:pPr>
            <w:r w:rsidRPr="00766310">
              <w:rPr>
                <w:color w:val="373737"/>
              </w:rPr>
              <w:t>As highlighted by the A</w:t>
            </w:r>
            <w:r w:rsidR="00FF01BA">
              <w:rPr>
                <w:color w:val="373737"/>
              </w:rPr>
              <w:t>ER</w:t>
            </w:r>
            <w:r w:rsidRPr="00766310">
              <w:rPr>
                <w:color w:val="373737"/>
              </w:rPr>
              <w:t xml:space="preserve"> in its </w:t>
            </w:r>
            <w:r w:rsidRPr="001A22B7">
              <w:rPr>
                <w:i/>
                <w:color w:val="373737"/>
              </w:rPr>
              <w:t>Wholesale Electricity Market Performance Report 2022</w:t>
            </w:r>
            <w:r w:rsidRPr="00766310">
              <w:rPr>
                <w:color w:val="373737"/>
              </w:rPr>
              <w:t>, e</w:t>
            </w:r>
            <w:r w:rsidR="002D61F5" w:rsidRPr="00766310">
              <w:rPr>
                <w:color w:val="373737"/>
              </w:rPr>
              <w:t xml:space="preserve">lectricity costs reflect the mix of power generation in the grid. </w:t>
            </w:r>
            <w:r w:rsidR="002D61F5" w:rsidRPr="004F446A">
              <w:rPr>
                <w:color w:val="373737" w:themeColor="text1"/>
              </w:rPr>
              <w:t xml:space="preserve">Historically, this has reflected the cost of coal and gas fired power stations. </w:t>
            </w:r>
            <w:r w:rsidR="003163E0" w:rsidRPr="004F446A">
              <w:rPr>
                <w:color w:val="373737" w:themeColor="text1"/>
              </w:rPr>
              <w:t>The increasing penetration of low-cost variable renewables in recent years has</w:t>
            </w:r>
            <w:r w:rsidR="002D0FB6" w:rsidRPr="004F446A">
              <w:rPr>
                <w:color w:val="373737" w:themeColor="text1"/>
              </w:rPr>
              <w:t xml:space="preserve"> displaced coal generation,</w:t>
            </w:r>
            <w:r w:rsidR="003163E0" w:rsidRPr="004F446A">
              <w:rPr>
                <w:color w:val="373737" w:themeColor="text1"/>
              </w:rPr>
              <w:t xml:space="preserve"> increased competition and reduced prices at the times </w:t>
            </w:r>
            <w:r w:rsidR="002D0FB6" w:rsidRPr="004F446A">
              <w:rPr>
                <w:color w:val="373737" w:themeColor="text1"/>
              </w:rPr>
              <w:t>renewables</w:t>
            </w:r>
            <w:r w:rsidR="003163E0" w:rsidRPr="004F446A">
              <w:rPr>
                <w:color w:val="373737" w:themeColor="text1"/>
              </w:rPr>
              <w:t xml:space="preserve"> are producing</w:t>
            </w:r>
            <w:r w:rsidR="002D0FB6" w:rsidRPr="004F446A">
              <w:rPr>
                <w:color w:val="373737" w:themeColor="text1"/>
              </w:rPr>
              <w:t xml:space="preserve"> electricity</w:t>
            </w:r>
            <w:r w:rsidR="003163E0" w:rsidRPr="004F446A">
              <w:rPr>
                <w:color w:val="373737" w:themeColor="text1"/>
              </w:rPr>
              <w:t xml:space="preserve">. </w:t>
            </w:r>
            <w:r w:rsidR="002D61F5" w:rsidRPr="004F446A">
              <w:rPr>
                <w:color w:val="373737" w:themeColor="text1"/>
              </w:rPr>
              <w:t xml:space="preserve">Gas generation is highly flexible as it can increase and decrease production quickly, but it is also one of the most expensive fuels. Gas tends to be used as a peaking fuel for this reason. </w:t>
            </w:r>
            <w:r w:rsidR="002D61F5" w:rsidRPr="00766310">
              <w:rPr>
                <w:color w:val="373737"/>
              </w:rPr>
              <w:t>When</w:t>
            </w:r>
            <w:r w:rsidR="003163E0" w:rsidRPr="00766310">
              <w:rPr>
                <w:color w:val="373737"/>
              </w:rPr>
              <w:t xml:space="preserve"> gas units are providing peaking and firming capacity</w:t>
            </w:r>
            <w:r w:rsidR="002D0FB6" w:rsidRPr="00766310">
              <w:rPr>
                <w:color w:val="373737"/>
              </w:rPr>
              <w:t xml:space="preserve"> for the grid</w:t>
            </w:r>
            <w:r w:rsidR="00FF01BA">
              <w:rPr>
                <w:color w:val="373737"/>
              </w:rPr>
              <w:t>,</w:t>
            </w:r>
            <w:r w:rsidR="003163E0" w:rsidRPr="00766310">
              <w:rPr>
                <w:color w:val="373737"/>
              </w:rPr>
              <w:t xml:space="preserve"> </w:t>
            </w:r>
            <w:r w:rsidR="002D61F5" w:rsidRPr="00766310">
              <w:rPr>
                <w:color w:val="373737"/>
              </w:rPr>
              <w:t>the cost and price of electricity increases</w:t>
            </w:r>
            <w:r w:rsidR="003163E0" w:rsidRPr="00766310">
              <w:rPr>
                <w:color w:val="373737"/>
              </w:rPr>
              <w:t xml:space="preserve">. </w:t>
            </w:r>
          </w:p>
          <w:p w14:paraId="545D0C82" w14:textId="673F0327" w:rsidR="003163E0" w:rsidRPr="004F446A" w:rsidRDefault="003163E0" w:rsidP="00904F9D">
            <w:pPr>
              <w:pStyle w:val="Boxtext"/>
              <w:spacing w:beforeLines="60" w:before="144" w:afterLines="60" w:after="144"/>
              <w:ind w:left="113" w:right="113"/>
              <w:rPr>
                <w:color w:val="373737" w:themeColor="text1"/>
              </w:rPr>
            </w:pPr>
            <w:r w:rsidRPr="004F446A">
              <w:rPr>
                <w:color w:val="373737" w:themeColor="text1"/>
              </w:rPr>
              <w:t xml:space="preserve">Gas can also influence the behaviour of other peaking generators </w:t>
            </w:r>
            <w:r w:rsidR="00995E19">
              <w:rPr>
                <w:color w:val="373737"/>
              </w:rPr>
              <w:t>such as</w:t>
            </w:r>
            <w:r w:rsidR="00995E19" w:rsidRPr="00766310">
              <w:rPr>
                <w:color w:val="373737"/>
              </w:rPr>
              <w:t xml:space="preserve"> </w:t>
            </w:r>
            <w:r w:rsidRPr="004F446A">
              <w:rPr>
                <w:color w:val="373737" w:themeColor="text1"/>
              </w:rPr>
              <w:t>hydro</w:t>
            </w:r>
            <w:r w:rsidR="002D61F5" w:rsidRPr="004F446A">
              <w:rPr>
                <w:color w:val="373737" w:themeColor="text1"/>
              </w:rPr>
              <w:t>electric power stations</w:t>
            </w:r>
            <w:r w:rsidRPr="004F446A">
              <w:rPr>
                <w:color w:val="373737" w:themeColor="text1"/>
              </w:rPr>
              <w:t xml:space="preserve"> and </w:t>
            </w:r>
            <w:r w:rsidRPr="00766310">
              <w:rPr>
                <w:color w:val="373737"/>
              </w:rPr>
              <w:t>batter</w:t>
            </w:r>
            <w:r w:rsidR="002D61F5" w:rsidRPr="00766310">
              <w:rPr>
                <w:color w:val="373737"/>
              </w:rPr>
              <w:t>ies</w:t>
            </w:r>
            <w:r w:rsidRPr="00766310">
              <w:rPr>
                <w:color w:val="373737"/>
              </w:rPr>
              <w:t>.</w:t>
            </w:r>
            <w:r w:rsidRPr="004F446A">
              <w:rPr>
                <w:color w:val="373737" w:themeColor="text1"/>
              </w:rPr>
              <w:t xml:space="preserve"> Hydro generation tends to </w:t>
            </w:r>
            <w:r w:rsidR="002D61F5" w:rsidRPr="00766310">
              <w:rPr>
                <w:color w:val="373737"/>
              </w:rPr>
              <w:t>offer</w:t>
            </w:r>
            <w:r w:rsidR="002D61F5" w:rsidRPr="004F446A">
              <w:rPr>
                <w:color w:val="373737" w:themeColor="text1"/>
              </w:rPr>
              <w:t xml:space="preserve"> electricity to the market at</w:t>
            </w:r>
            <w:r w:rsidR="001357C4" w:rsidRPr="004F446A">
              <w:rPr>
                <w:color w:val="373737" w:themeColor="text1"/>
              </w:rPr>
              <w:t xml:space="preserve"> prices between those of coal and gas, depending on the desired level of </w:t>
            </w:r>
            <w:r w:rsidR="001357C4" w:rsidRPr="00766310">
              <w:rPr>
                <w:color w:val="373737"/>
              </w:rPr>
              <w:t>dispatch.</w:t>
            </w:r>
            <w:r w:rsidRPr="004F446A">
              <w:rPr>
                <w:color w:val="373737" w:themeColor="text1"/>
              </w:rPr>
              <w:t xml:space="preserve"> As a result, even though gas infrequently sets prices, the price it offers its capacity at influences how hydro generation is offered. When the offers of gas (or coal) generators increase, hydro generators generally follow suit. To date</w:t>
            </w:r>
            <w:r w:rsidR="002D61F5" w:rsidRPr="004F446A">
              <w:rPr>
                <w:color w:val="373737" w:themeColor="text1"/>
              </w:rPr>
              <w:t>,</w:t>
            </w:r>
            <w:r w:rsidRPr="004F446A">
              <w:rPr>
                <w:color w:val="373737" w:themeColor="text1"/>
              </w:rPr>
              <w:t xml:space="preserve"> batteries have had limited deployment in electricity markets, but as their market share grows</w:t>
            </w:r>
            <w:r w:rsidR="00FF01BA">
              <w:rPr>
                <w:color w:val="373737" w:themeColor="text1"/>
              </w:rPr>
              <w:t>,</w:t>
            </w:r>
            <w:r w:rsidRPr="004F446A">
              <w:rPr>
                <w:color w:val="373737" w:themeColor="text1"/>
              </w:rPr>
              <w:t xml:space="preserve"> their offers are likely to be greatly influenced by offers of other generation.</w:t>
            </w:r>
          </w:p>
          <w:p w14:paraId="10B5BFD4" w14:textId="409CA870" w:rsidR="003163E0" w:rsidRPr="004F446A" w:rsidRDefault="00FF01BA" w:rsidP="00766310">
            <w:pPr>
              <w:pStyle w:val="Boxtext"/>
              <w:spacing w:beforeLines="60" w:before="144" w:afterLines="60" w:after="144"/>
              <w:ind w:left="113" w:right="113"/>
              <w:rPr>
                <w:color w:val="373737" w:themeColor="text1"/>
              </w:rPr>
            </w:pPr>
            <w:r>
              <w:rPr>
                <w:color w:val="373737" w:themeColor="text1"/>
              </w:rPr>
              <w:t>Therefore,</w:t>
            </w:r>
            <w:r w:rsidR="003163E0" w:rsidRPr="004F446A">
              <w:rPr>
                <w:color w:val="373737" w:themeColor="text1"/>
              </w:rPr>
              <w:t xml:space="preserve"> the price of gas and electricity </w:t>
            </w:r>
            <w:r w:rsidR="002D0FB6" w:rsidRPr="004F446A">
              <w:rPr>
                <w:color w:val="373737" w:themeColor="text1"/>
              </w:rPr>
              <w:t>can</w:t>
            </w:r>
            <w:r w:rsidR="003163E0" w:rsidRPr="004F446A">
              <w:rPr>
                <w:color w:val="373737" w:themeColor="text1"/>
              </w:rPr>
              <w:t xml:space="preserve"> track closely,</w:t>
            </w:r>
            <w:r w:rsidR="002D0FB6" w:rsidRPr="004F446A">
              <w:rPr>
                <w:color w:val="373737" w:themeColor="text1"/>
              </w:rPr>
              <w:t xml:space="preserve"> particularly at times where there are tight supply-demand conditions,</w:t>
            </w:r>
            <w:r w:rsidR="003163E0" w:rsidRPr="004F446A">
              <w:rPr>
                <w:color w:val="373737" w:themeColor="text1"/>
              </w:rPr>
              <w:t xml:space="preserve"> as shown in Figure 6.</w:t>
            </w:r>
            <w:r w:rsidR="00BE33D1">
              <w:rPr>
                <w:color w:val="373737" w:themeColor="text1"/>
              </w:rPr>
              <w:t>5</w:t>
            </w:r>
            <w:r w:rsidR="003163E0" w:rsidRPr="004F446A">
              <w:rPr>
                <w:color w:val="373737" w:themeColor="text1"/>
              </w:rPr>
              <w:t>.</w:t>
            </w:r>
          </w:p>
          <w:p w14:paraId="7D5800E1" w14:textId="12BEBD94" w:rsidR="003163E0" w:rsidRPr="003163E0" w:rsidRDefault="003163E0" w:rsidP="00907F6D">
            <w:pPr>
              <w:pStyle w:val="Boxtext"/>
              <w:spacing w:beforeLines="60" w:before="144" w:afterLines="60" w:after="144"/>
              <w:ind w:left="113" w:right="113"/>
              <w:rPr>
                <w:color w:val="auto"/>
              </w:rPr>
            </w:pPr>
            <w:r w:rsidRPr="00907F6D">
              <w:rPr>
                <w:color w:val="373737" w:themeColor="text1"/>
              </w:rPr>
              <w:t>As</w:t>
            </w:r>
            <w:r w:rsidRPr="008D0112">
              <w:rPr>
                <w:color w:val="373737" w:themeColor="text1"/>
              </w:rPr>
              <w:t xml:space="preserve"> the system increasingly relies on gas for peaking and firming, gas supply and pricing will continue to be a key determinant of the cost of firmed electricity to industry and households</w:t>
            </w:r>
            <w:r w:rsidR="00732986" w:rsidRPr="008D0112">
              <w:rPr>
                <w:color w:val="373737" w:themeColor="text1"/>
              </w:rPr>
              <w:t>,</w:t>
            </w:r>
            <w:r w:rsidR="004F446A" w:rsidRPr="008D0112">
              <w:rPr>
                <w:color w:val="373737" w:themeColor="text1"/>
              </w:rPr>
              <w:t xml:space="preserve"> </w:t>
            </w:r>
            <w:r w:rsidR="00FF01BA" w:rsidRPr="008D0112">
              <w:rPr>
                <w:color w:val="373737" w:themeColor="text1"/>
              </w:rPr>
              <w:t>particularly</w:t>
            </w:r>
            <w:r w:rsidR="001A6544" w:rsidRPr="008D0112">
              <w:rPr>
                <w:color w:val="373737" w:themeColor="text1"/>
              </w:rPr>
              <w:t xml:space="preserve"> as renewable generation increases and coal</w:t>
            </w:r>
            <w:r w:rsidR="00655B3D" w:rsidRPr="008D0112">
              <w:rPr>
                <w:color w:val="373737" w:themeColor="text1"/>
              </w:rPr>
              <w:t>-</w:t>
            </w:r>
            <w:r w:rsidR="001A6544" w:rsidRPr="008D0112">
              <w:rPr>
                <w:color w:val="373737" w:themeColor="text1"/>
              </w:rPr>
              <w:t xml:space="preserve">fired generation retires. </w:t>
            </w:r>
            <w:r w:rsidR="004F446A" w:rsidRPr="008D0112">
              <w:rPr>
                <w:color w:val="373737" w:themeColor="text1"/>
              </w:rPr>
              <w:t>In addition</w:t>
            </w:r>
            <w:r w:rsidR="00FF01BA" w:rsidRPr="008D0112">
              <w:rPr>
                <w:color w:val="373737" w:themeColor="text1"/>
              </w:rPr>
              <w:t>,</w:t>
            </w:r>
            <w:r w:rsidR="00BF4F85" w:rsidRPr="008D0112">
              <w:rPr>
                <w:color w:val="373737" w:themeColor="text1"/>
              </w:rPr>
              <w:t xml:space="preserve"> </w:t>
            </w:r>
            <w:r w:rsidR="00732986" w:rsidRPr="008D0112">
              <w:rPr>
                <w:color w:val="373737" w:themeColor="text1"/>
              </w:rPr>
              <w:t>there will continue to be price impacts</w:t>
            </w:r>
            <w:r w:rsidR="001A6544" w:rsidRPr="008D0112">
              <w:rPr>
                <w:color w:val="373737" w:themeColor="text1"/>
              </w:rPr>
              <w:t xml:space="preserve"> during winter when </w:t>
            </w:r>
            <w:r w:rsidR="00732986" w:rsidRPr="008D0112">
              <w:rPr>
                <w:color w:val="373737" w:themeColor="text1"/>
              </w:rPr>
              <w:t xml:space="preserve">gas </w:t>
            </w:r>
            <w:r w:rsidR="001A6544" w:rsidRPr="008D0112">
              <w:rPr>
                <w:color w:val="373737" w:themeColor="text1"/>
              </w:rPr>
              <w:t xml:space="preserve">supply </w:t>
            </w:r>
            <w:r w:rsidR="00732986" w:rsidRPr="008D0112">
              <w:rPr>
                <w:color w:val="373737" w:themeColor="text1"/>
              </w:rPr>
              <w:t xml:space="preserve">is stretched between gas demand for heating </w:t>
            </w:r>
            <w:r w:rsidR="00FF01BA" w:rsidRPr="008D0112">
              <w:rPr>
                <w:color w:val="373737" w:themeColor="text1"/>
              </w:rPr>
              <w:t xml:space="preserve">and </w:t>
            </w:r>
            <w:r w:rsidR="00732986" w:rsidRPr="008D0112">
              <w:rPr>
                <w:color w:val="373737" w:themeColor="text1"/>
              </w:rPr>
              <w:t>gas</w:t>
            </w:r>
            <w:r w:rsidR="008D1436" w:rsidRPr="008D0112">
              <w:rPr>
                <w:color w:val="373737" w:themeColor="text1"/>
              </w:rPr>
              <w:t>-</w:t>
            </w:r>
            <w:r w:rsidR="00732986" w:rsidRPr="008D0112">
              <w:rPr>
                <w:color w:val="373737" w:themeColor="text1"/>
              </w:rPr>
              <w:t>powered generation.</w:t>
            </w:r>
            <w:r w:rsidR="001A6544" w:rsidRPr="008D0112">
              <w:rPr>
                <w:color w:val="373737" w:themeColor="text1"/>
              </w:rPr>
              <w:t xml:space="preserve"> </w:t>
            </w:r>
            <w:r w:rsidR="002D61F5" w:rsidRPr="008D0112">
              <w:rPr>
                <w:color w:val="373737" w:themeColor="text1"/>
              </w:rPr>
              <w:t>In the long run, alternatives such as hydrogen, ammonia, thermal storage or other long-term storage options may be able to displace the use of gas.</w:t>
            </w:r>
          </w:p>
        </w:tc>
      </w:tr>
    </w:tbl>
    <w:p w14:paraId="3367E3F0" w14:textId="79EE4E92" w:rsidR="0000320E" w:rsidRDefault="0000320E" w:rsidP="00C97679">
      <w:pPr>
        <w:pStyle w:val="Caption"/>
      </w:pPr>
      <w:r>
        <w:t xml:space="preserve">Figure </w:t>
      </w:r>
      <w:r>
        <w:fldChar w:fldCharType="begin"/>
      </w:r>
      <w:r>
        <w:rPr>
          <w:noProof/>
        </w:rPr>
        <w:instrText xml:space="preserve"> STYLEREF 1 \s </w:instrText>
      </w:r>
      <w:r>
        <w:fldChar w:fldCharType="separate"/>
      </w:r>
      <w:r w:rsidR="00BF178A">
        <w:rPr>
          <w:noProof/>
        </w:rPr>
        <w:t>6</w:t>
      </w:r>
      <w:r>
        <w:rPr>
          <w:rFonts w:eastAsia="Times New Roman" w:cstheme="majorHAnsi"/>
          <w:szCs w:val="20"/>
          <w:lang w:val="en"/>
        </w:rPr>
        <w:fldChar w:fldCharType="end"/>
      </w:r>
      <w:r w:rsidR="00EB5CD2">
        <w:rPr>
          <w:rFonts w:eastAsia="Times New Roman" w:cstheme="majorHAnsi"/>
          <w:szCs w:val="20"/>
          <w:lang w:val="en"/>
        </w:rPr>
        <w:t>.</w:t>
      </w:r>
      <w:r w:rsidR="00EB5CD2">
        <w:rPr>
          <w:rFonts w:eastAsia="Times New Roman" w:cstheme="majorHAnsi"/>
          <w:szCs w:val="20"/>
          <w:lang w:val="en"/>
        </w:rPr>
        <w:fldChar w:fldCharType="begin"/>
      </w:r>
      <w:r w:rsidR="00EB5CD2">
        <w:rPr>
          <w:rFonts w:eastAsia="Times New Roman" w:cstheme="majorHAnsi"/>
          <w:szCs w:val="20"/>
          <w:lang w:val="en"/>
        </w:rPr>
        <w:instrText xml:space="preserve"> SEQ Figure \* ARABIC \s 1 </w:instrText>
      </w:r>
      <w:r w:rsidR="00EB5CD2">
        <w:rPr>
          <w:rFonts w:eastAsia="Times New Roman" w:cstheme="majorHAnsi"/>
          <w:szCs w:val="20"/>
          <w:lang w:val="en"/>
        </w:rPr>
        <w:fldChar w:fldCharType="separate"/>
      </w:r>
      <w:r w:rsidR="00BF178A">
        <w:rPr>
          <w:rFonts w:eastAsia="Times New Roman" w:cstheme="majorHAnsi"/>
          <w:noProof/>
          <w:szCs w:val="20"/>
          <w:lang w:val="en"/>
        </w:rPr>
        <w:t>5</w:t>
      </w:r>
      <w:r w:rsidR="00EB5CD2">
        <w:rPr>
          <w:rFonts w:eastAsia="Times New Roman" w:cstheme="majorHAnsi"/>
          <w:szCs w:val="20"/>
          <w:lang w:val="en"/>
        </w:rPr>
        <w:fldChar w:fldCharType="end"/>
      </w:r>
      <w:r>
        <w:t xml:space="preserve">: </w:t>
      </w:r>
      <w:r w:rsidR="00935108">
        <w:t xml:space="preserve">Comparison of </w:t>
      </w:r>
      <w:r w:rsidR="003C2DC2">
        <w:t>e</w:t>
      </w:r>
      <w:r w:rsidR="00935108" w:rsidRPr="00935108">
        <w:t xml:space="preserve">ast </w:t>
      </w:r>
      <w:r w:rsidR="003C2DC2">
        <w:t>c</w:t>
      </w:r>
      <w:r w:rsidR="00935108" w:rsidRPr="00935108">
        <w:t xml:space="preserve">oast gas and electricity </w:t>
      </w:r>
      <w:r w:rsidR="003B0FED">
        <w:t>prices 2019 to 2024</w:t>
      </w:r>
    </w:p>
    <w:p w14:paraId="26B30952" w14:textId="19B7AD72" w:rsidR="0000320E" w:rsidRDefault="00B24C33" w:rsidP="00E22960">
      <w:pPr>
        <w:pStyle w:val="Source"/>
      </w:pPr>
      <w:r>
        <w:rPr>
          <w:noProof/>
        </w:rPr>
        <w:drawing>
          <wp:inline distT="0" distB="0" distL="0" distR="0" wp14:anchorId="3685BC7E" wp14:editId="14D842B7">
            <wp:extent cx="4206875" cy="2543175"/>
            <wp:effectExtent l="0" t="0" r="3175" b="0"/>
            <wp:docPr id="699519005" name="Chart 699519005" descr="The figure illustrates the volume-weighted average price of gas and electricity on the East coast from 2019 to 2024, measured in Australian dollars per GJ and per MWh. It indicates a close correlation between gas and electricity prices. Both remained relatively stable from 2019 to 2021, then sharply increased to over four times their previous levels during 2022, peaking at A$40/GJ and A$450/MWh respectively. By 2024, the prices have returned to around 2019 to 2021 levels.">
              <a:extLst xmlns:a="http://schemas.openxmlformats.org/drawingml/2006/main">
                <a:ext uri="{FF2B5EF4-FFF2-40B4-BE49-F238E27FC236}">
                  <a16:creationId xmlns:a16="http://schemas.microsoft.com/office/drawing/2014/main" id="{B58D8CCD-6991-DD71-87A4-A913B435C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00320E">
        <w:br/>
        <w:t xml:space="preserve">Note: </w:t>
      </w:r>
      <w:r w:rsidR="008B635E">
        <w:t>Monthly e</w:t>
      </w:r>
      <w:r w:rsidR="0000320E" w:rsidRPr="0000320E">
        <w:t>lectricity prices are the volume</w:t>
      </w:r>
      <w:r w:rsidR="0090449A">
        <w:t>-</w:t>
      </w:r>
      <w:r w:rsidR="0000320E" w:rsidRPr="0000320E">
        <w:t xml:space="preserve">weighted average (VWA) minimum and maximum for </w:t>
      </w:r>
      <w:r w:rsidR="000930E2">
        <w:t>NEM</w:t>
      </w:r>
      <w:r w:rsidR="0000320E" w:rsidRPr="0000320E">
        <w:t xml:space="preserve"> regions.</w:t>
      </w:r>
      <w:r w:rsidR="00CA584D">
        <w:t xml:space="preserve"> ECGM is east coast gas market.</w:t>
      </w:r>
    </w:p>
    <w:p w14:paraId="3C821D2D" w14:textId="5E51D9E3" w:rsidR="0000320E" w:rsidRDefault="0000320E" w:rsidP="00E22960">
      <w:pPr>
        <w:pStyle w:val="Source"/>
      </w:pPr>
      <w:r>
        <w:t>Source: A</w:t>
      </w:r>
      <w:r w:rsidR="00FF01BA">
        <w:t>ER</w:t>
      </w:r>
      <w:r w:rsidR="000930E2">
        <w:t xml:space="preserve"> </w:t>
      </w:r>
      <w:r w:rsidR="001F4A6F">
        <w:t>(unpublished)</w:t>
      </w:r>
      <w:r w:rsidR="000930E2">
        <w:t xml:space="preserve"> analysis of </w:t>
      </w:r>
      <w:r w:rsidR="001F4A6F">
        <w:t xml:space="preserve">AEMO’s </w:t>
      </w:r>
      <w:r w:rsidR="000930E2">
        <w:t>NEM, Short Term Trading Market and Victorian Declared Wholesale Gas Market data</w:t>
      </w:r>
      <w:r w:rsidR="001F4A6F">
        <w:t xml:space="preserve"> for DISR</w:t>
      </w:r>
    </w:p>
    <w:p w14:paraId="14216FDF" w14:textId="3C27985A" w:rsidR="00E22960" w:rsidRDefault="00E22960" w:rsidP="00B24C33">
      <w:pPr>
        <w:pStyle w:val="Source"/>
      </w:pPr>
    </w:p>
    <w:p w14:paraId="06A21769" w14:textId="77777777" w:rsidR="00F864BE" w:rsidRDefault="00F864BE" w:rsidP="00F864BE">
      <w:pPr>
        <w:pStyle w:val="BodyText"/>
        <w:rPr>
          <w:lang w:val="en"/>
        </w:rPr>
      </w:pPr>
    </w:p>
    <w:p w14:paraId="47946481" w14:textId="77777777" w:rsidR="00F864BE" w:rsidRPr="00F864BE" w:rsidRDefault="00F864BE" w:rsidP="00F864BE">
      <w:pPr>
        <w:pStyle w:val="BodyText"/>
        <w:rPr>
          <w:lang w:val="en"/>
        </w:rPr>
      </w:pPr>
    </w:p>
    <w:p w14:paraId="55474D90" w14:textId="53EF0862" w:rsidR="00EC7EC7" w:rsidRDefault="00EC7EC7" w:rsidP="00A348D8">
      <w:pPr>
        <w:pStyle w:val="Heading2"/>
        <w:spacing w:before="180"/>
      </w:pPr>
      <w:bookmarkStart w:id="160" w:name="_Toc172794532"/>
      <w:r>
        <w:t xml:space="preserve">Pricing in the </w:t>
      </w:r>
      <w:r w:rsidR="00A348D8">
        <w:t>e</w:t>
      </w:r>
      <w:r>
        <w:t xml:space="preserve">ast </w:t>
      </w:r>
      <w:r w:rsidR="00A348D8">
        <w:t>c</w:t>
      </w:r>
      <w:r>
        <w:t>oast market</w:t>
      </w:r>
      <w:bookmarkEnd w:id="160"/>
    </w:p>
    <w:p w14:paraId="4AFD402C" w14:textId="0148CF1A" w:rsidR="00EC7EC7" w:rsidRDefault="00EC7EC7" w:rsidP="00EC7EC7">
      <w:pPr>
        <w:pStyle w:val="BodyText"/>
      </w:pPr>
      <w:r>
        <w:t xml:space="preserve">Gas pricing is largely </w:t>
      </w:r>
      <w:r w:rsidR="0090449A">
        <w:t>undertaken through</w:t>
      </w:r>
      <w:r>
        <w:t xml:space="preserve"> bilateral contracts within the gas wholesale markets </w:t>
      </w:r>
      <w:r w:rsidR="00D80024" w:rsidRPr="002D5EDC">
        <w:t>—</w:t>
      </w:r>
      <w:r>
        <w:t xml:space="preserve"> there is no single market clearing price. The wholesale spot market is a smaller but growing component of the market. Spot wholesale prices have become more volatile as the overall gas </w:t>
      </w:r>
      <w:r w:rsidR="00D80024">
        <w:t>market</w:t>
      </w:r>
      <w:r>
        <w:t xml:space="preserve"> tightens. </w:t>
      </w:r>
      <w:r w:rsidR="0090449A">
        <w:t>S</w:t>
      </w:r>
      <w:r>
        <w:t>pot market trading can also be a useful mechanism for participants to manage imbalances in their contract positions.</w:t>
      </w:r>
    </w:p>
    <w:p w14:paraId="7093A9CB" w14:textId="4DFF7770" w:rsidR="00EC7EC7" w:rsidRDefault="00EC7EC7">
      <w:pPr>
        <w:pStyle w:val="BodyText"/>
      </w:pPr>
      <w:r w:rsidRPr="00565906">
        <w:t xml:space="preserve">While contract and spot prices vary across the east coast, the LNG netback (based on contracted LNG) </w:t>
      </w:r>
      <w:r w:rsidR="003568D2">
        <w:t xml:space="preserve">works as </w:t>
      </w:r>
      <w:r w:rsidR="00373C13">
        <w:t>an important determinant in setting prices</w:t>
      </w:r>
      <w:r w:rsidRPr="00031D43" w:rsidDel="00565906">
        <w:t>.</w:t>
      </w:r>
      <w:bookmarkStart w:id="161" w:name="_Hlk156996558"/>
      <w:bookmarkEnd w:id="159"/>
    </w:p>
    <w:p w14:paraId="6BE5CF26" w14:textId="77777777" w:rsidR="00EC7EC7" w:rsidRPr="00890A68" w:rsidRDefault="00EC7EC7" w:rsidP="001A22B7">
      <w:pPr>
        <w:pStyle w:val="Heading3"/>
        <w:spacing w:before="0"/>
      </w:pPr>
      <w:r>
        <w:t>Current</w:t>
      </w:r>
      <w:r w:rsidRPr="00890A68">
        <w:t xml:space="preserve"> pricing</w:t>
      </w:r>
    </w:p>
    <w:p w14:paraId="51746A4A" w14:textId="3F73306A" w:rsidR="00EC7EC7" w:rsidRDefault="00EC7EC7" w:rsidP="00EC7EC7">
      <w:pPr>
        <w:pStyle w:val="BodyText"/>
        <w:spacing w:before="60"/>
      </w:pPr>
      <w:r>
        <w:t xml:space="preserve">Current pricing has stabilised </w:t>
      </w:r>
      <w:r w:rsidR="0018604E">
        <w:t xml:space="preserve">at close to 2021 levels </w:t>
      </w:r>
      <w:r>
        <w:t xml:space="preserve">after </w:t>
      </w:r>
      <w:r w:rsidR="0018604E">
        <w:t xml:space="preserve">spiking during </w:t>
      </w:r>
      <w:r w:rsidR="0090449A">
        <w:t xml:space="preserve">the </w:t>
      </w:r>
      <w:r w:rsidR="0018604E">
        <w:t xml:space="preserve">2022 </w:t>
      </w:r>
      <w:r>
        <w:t xml:space="preserve">energy crisis (Box 6.2). </w:t>
      </w:r>
      <w:r w:rsidRPr="00890A68">
        <w:t xml:space="preserve">The </w:t>
      </w:r>
      <w:r>
        <w:t xml:space="preserve">AER </w:t>
      </w:r>
      <w:r w:rsidR="0015552C">
        <w:t>(2023</w:t>
      </w:r>
      <w:r w:rsidR="0091133E">
        <w:t>c</w:t>
      </w:r>
      <w:r w:rsidR="0015552C">
        <w:t>)</w:t>
      </w:r>
      <w:r>
        <w:t xml:space="preserve"> found the</w:t>
      </w:r>
      <w:r w:rsidRPr="00890A68">
        <w:t xml:space="preserve"> volume</w:t>
      </w:r>
      <w:r w:rsidR="0090449A">
        <w:t>-</w:t>
      </w:r>
      <w:r w:rsidRPr="00890A68">
        <w:t>weighted price for gas traded for deliver</w:t>
      </w:r>
      <w:r>
        <w:t>y</w:t>
      </w:r>
      <w:r w:rsidRPr="00890A68">
        <w:t xml:space="preserve"> in 2024 was </w:t>
      </w:r>
      <w:r w:rsidRPr="004E3980">
        <w:t>$</w:t>
      </w:r>
      <w:r w:rsidRPr="000350E4">
        <w:t>1</w:t>
      </w:r>
      <w:r>
        <w:t>5</w:t>
      </w:r>
      <w:r w:rsidRPr="000350E4">
        <w:t xml:space="preserve">.88/GJ </w:t>
      </w:r>
      <w:r>
        <w:t xml:space="preserve">(similar to analysis from the </w:t>
      </w:r>
      <w:r w:rsidRPr="005D2B42">
        <w:t>ACCC</w:t>
      </w:r>
      <w:r w:rsidRPr="005D2B42">
        <w:rPr>
          <w:i/>
          <w:iCs/>
        </w:rPr>
        <w:t xml:space="preserve"> December 2023 Gas Inquiry Interim Report</w:t>
      </w:r>
      <w:r>
        <w:t>)</w:t>
      </w:r>
      <w:r w:rsidRPr="004E3980">
        <w:t>.</w:t>
      </w:r>
      <w:r w:rsidRPr="00890A68">
        <w:t xml:space="preserve"> Smaller customers (more likely commercial and industrial) appear to have contracted at higher prices</w:t>
      </w:r>
      <w:r>
        <w:t xml:space="preserve"> (Figure 6.</w:t>
      </w:r>
      <w:r w:rsidR="00EB5CD2">
        <w:t>6</w:t>
      </w:r>
      <w:r>
        <w:t>)</w:t>
      </w:r>
      <w:r w:rsidRPr="00890A68">
        <w:t xml:space="preserve">. </w:t>
      </w:r>
    </w:p>
    <w:p w14:paraId="7A1E7305" w14:textId="30AF2867" w:rsidR="00EC7EC7" w:rsidRDefault="00EC7EC7" w:rsidP="00EC7EC7">
      <w:pPr>
        <w:pStyle w:val="BodyText"/>
      </w:pPr>
      <w:r>
        <w:t xml:space="preserve">The final factor is greater uncertainty (for example, about the future of gas and greater volatility of demand associated with aging power infrastructure) raises the risks to producers of contracting for firm supply. The cost of managing those risks will likely to be passed on to users. </w:t>
      </w:r>
    </w:p>
    <w:p w14:paraId="7D2F745C" w14:textId="6C01B540" w:rsidR="00EC7EC7" w:rsidRDefault="00EC7EC7" w:rsidP="00EC7EC7">
      <w:pPr>
        <w:pStyle w:val="BodyText"/>
      </w:pPr>
      <w:r w:rsidRPr="004F446A">
        <w:t>The ACCC</w:t>
      </w:r>
      <w:r w:rsidR="0015552C">
        <w:t xml:space="preserve"> (2023)</w:t>
      </w:r>
      <w:r w:rsidRPr="004F446A">
        <w:t xml:space="preserve"> has observed fewer offers for supply in 2024 compared to previous years. This may be due to a combination of factors, including </w:t>
      </w:r>
      <w:r w:rsidR="0013367F">
        <w:t>r</w:t>
      </w:r>
      <w:r w:rsidR="0013367F" w:rsidRPr="004F446A">
        <w:t xml:space="preserve">educed Longford production capacity </w:t>
      </w:r>
      <w:r w:rsidR="0013367F">
        <w:t>(particular</w:t>
      </w:r>
      <w:r w:rsidR="0090449A">
        <w:t>ly</w:t>
      </w:r>
      <w:r w:rsidR="0013367F">
        <w:t xml:space="preserve"> the </w:t>
      </w:r>
      <w:r w:rsidR="0013367F" w:rsidRPr="004F446A">
        <w:t xml:space="preserve">uncertainty on </w:t>
      </w:r>
      <w:r w:rsidR="00913150">
        <w:t xml:space="preserve">timing </w:t>
      </w:r>
      <w:r w:rsidR="0013367F" w:rsidRPr="004F446A">
        <w:t xml:space="preserve">when capacity will reduce </w:t>
      </w:r>
      <w:r w:rsidR="00913150">
        <w:t>below critical capacity of</w:t>
      </w:r>
      <w:r w:rsidR="0013367F" w:rsidRPr="004F446A">
        <w:t xml:space="preserve"> 700 TJ/d</w:t>
      </w:r>
      <w:r w:rsidR="001B50F3">
        <w:t>ay</w:t>
      </w:r>
      <w:r w:rsidR="0013367F" w:rsidRPr="004F446A">
        <w:t xml:space="preserve"> during or after winter 2024</w:t>
      </w:r>
      <w:r w:rsidR="0013367F">
        <w:t xml:space="preserve">), </w:t>
      </w:r>
      <w:r w:rsidRPr="00437844">
        <w:rPr>
          <w:lang w:val="en"/>
        </w:rPr>
        <w:t>seasonal slowdown and the industry’s response to regulatory uncertainty.</w:t>
      </w:r>
      <w:r>
        <w:rPr>
          <w:lang w:val="en"/>
        </w:rPr>
        <w:t xml:space="preserve"> LNG producers appear </w:t>
      </w:r>
      <w:r w:rsidRPr="009E0B5A">
        <w:t>to be adding to domestic supply offers</w:t>
      </w:r>
      <w:r w:rsidR="00F5642D">
        <w:t>.</w:t>
      </w:r>
      <w:r>
        <w:t xml:space="preserve"> </w:t>
      </w:r>
    </w:p>
    <w:p w14:paraId="4A1801D7" w14:textId="307B3494" w:rsidR="00EC7EC7" w:rsidRDefault="00EC7EC7" w:rsidP="00C97679">
      <w:pPr>
        <w:pStyle w:val="Caption"/>
      </w:pPr>
      <w:bookmarkStart w:id="162" w:name="_Hlk164161151"/>
      <w:r>
        <w:t xml:space="preserve">Figure </w:t>
      </w:r>
      <w:r>
        <w:fldChar w:fldCharType="begin"/>
      </w:r>
      <w:r>
        <w:rPr>
          <w:noProof/>
        </w:rPr>
        <w:instrText xml:space="preserve"> STYLEREF 1 \s </w:instrText>
      </w:r>
      <w:r>
        <w:fldChar w:fldCharType="separate"/>
      </w:r>
      <w:r w:rsidR="00BF178A">
        <w:rPr>
          <w:noProof/>
        </w:rPr>
        <w:t>6</w:t>
      </w:r>
      <w:r>
        <w:rPr>
          <w:rFonts w:eastAsia="Times New Roman" w:cstheme="majorHAnsi"/>
          <w:szCs w:val="20"/>
          <w:lang w:val="en"/>
        </w:rPr>
        <w:fldChar w:fldCharType="end"/>
      </w:r>
      <w:r w:rsidR="00EB5CD2">
        <w:rPr>
          <w:rFonts w:eastAsia="Times New Roman" w:cstheme="majorHAnsi"/>
          <w:szCs w:val="20"/>
          <w:lang w:val="en"/>
        </w:rPr>
        <w:t>.</w:t>
      </w:r>
      <w:r w:rsidR="00EB5CD2">
        <w:rPr>
          <w:rFonts w:eastAsia="Times New Roman" w:cstheme="majorHAnsi"/>
          <w:szCs w:val="20"/>
          <w:lang w:val="en"/>
        </w:rPr>
        <w:fldChar w:fldCharType="begin"/>
      </w:r>
      <w:r w:rsidR="00EB5CD2">
        <w:rPr>
          <w:rFonts w:eastAsia="Times New Roman" w:cstheme="majorHAnsi"/>
          <w:szCs w:val="20"/>
          <w:lang w:val="en"/>
        </w:rPr>
        <w:instrText xml:space="preserve"> SEQ Figure \* ARABIC \s 1 </w:instrText>
      </w:r>
      <w:r w:rsidR="00EB5CD2">
        <w:rPr>
          <w:rFonts w:eastAsia="Times New Roman" w:cstheme="majorHAnsi"/>
          <w:szCs w:val="20"/>
          <w:lang w:val="en"/>
        </w:rPr>
        <w:fldChar w:fldCharType="separate"/>
      </w:r>
      <w:r w:rsidR="00BF178A">
        <w:rPr>
          <w:rFonts w:eastAsia="Times New Roman" w:cstheme="majorHAnsi"/>
          <w:noProof/>
          <w:szCs w:val="20"/>
          <w:lang w:val="en"/>
        </w:rPr>
        <w:t>6</w:t>
      </w:r>
      <w:r w:rsidR="00EB5CD2">
        <w:rPr>
          <w:rFonts w:eastAsia="Times New Roman" w:cstheme="majorHAnsi"/>
          <w:szCs w:val="20"/>
          <w:lang w:val="en"/>
        </w:rPr>
        <w:fldChar w:fldCharType="end"/>
      </w:r>
      <w:r>
        <w:t xml:space="preserve">: </w:t>
      </w:r>
      <w:r w:rsidDel="00762D20">
        <w:t>Volume</w:t>
      </w:r>
      <w:r w:rsidR="0090449A">
        <w:t>-</w:t>
      </w:r>
      <w:r w:rsidDel="00762D20">
        <w:t>weighted average</w:t>
      </w:r>
      <w:r>
        <w:t xml:space="preserve"> price</w:t>
      </w:r>
      <w:r w:rsidR="004F446A">
        <w:t>s</w:t>
      </w:r>
      <w:r w:rsidDel="00762D20">
        <w:t xml:space="preserve"> and supply volumes</w:t>
      </w:r>
      <w:r w:rsidR="00762D20">
        <w:t xml:space="preserve">, 2023 and 2024 </w:t>
      </w:r>
    </w:p>
    <w:p w14:paraId="79B29AC3" w14:textId="0291298E" w:rsidR="00731501" w:rsidRDefault="001B04B4" w:rsidP="00731501">
      <w:pPr>
        <w:pStyle w:val="Source"/>
      </w:pPr>
      <w:r>
        <w:rPr>
          <w:noProof/>
        </w:rPr>
        <w:drawing>
          <wp:inline distT="0" distB="0" distL="0" distR="0" wp14:anchorId="59C73B05" wp14:editId="1B6843FB">
            <wp:extent cx="4157345" cy="2423160"/>
            <wp:effectExtent l="0" t="0" r="0" b="0"/>
            <wp:docPr id="82" name="Chart 82" descr="The figure presents the monthly volume-weighted average gas prices and supply volumes for bilateral gas contracts in Queensland and the southern states for 2023, and across all states for 2024. In 2023, Queensland's monthly contracted gas volumes were higher than those of the southern states. The total monthly contracted gas volumes for Queensland and the southern states varied from approximately 2.3 PJ to 6.4 PJ, with a peak during the winter quarter. For the year 2024, the monthly contracted gas volumes across Australia ranged from about 1.3 PJ to 3.7 PJ.">
              <a:extLst xmlns:a="http://schemas.openxmlformats.org/drawingml/2006/main">
                <a:ext uri="{FF2B5EF4-FFF2-40B4-BE49-F238E27FC236}">
                  <a16:creationId xmlns:a16="http://schemas.microsoft.com/office/drawing/2014/main" id="{F4F7BE74-673D-B2C4-27F9-19433D5D3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bookmarkEnd w:id="162"/>
      <w:r w:rsidR="00EC7EC7">
        <w:br/>
        <w:t xml:space="preserve">Note: </w:t>
      </w:r>
      <w:r w:rsidRPr="001B04B4">
        <w:t xml:space="preserve">The above volume-weighted prices and quantities are based on the supply dates of the reported transactions and include all pricing structures. For 2023 the analysis is split between Queensland as an indicative northern price while Victoria, </w:t>
      </w:r>
      <w:r w:rsidR="005F31C9">
        <w:t>NSW</w:t>
      </w:r>
      <w:r w:rsidRPr="001B04B4">
        <w:t xml:space="preserve"> and South Australia (VIC-NSW-SA) are grouped together for an indicative southern price. For 2024 all 4 states are grouped together. Reported transactions are for bilateral contracts up to a year in length (not multi-year contracts).</w:t>
      </w:r>
      <w:r w:rsidR="00731501" w:rsidRPr="00731501">
        <w:t xml:space="preserve"> </w:t>
      </w:r>
    </w:p>
    <w:p w14:paraId="1734FED1" w14:textId="6D277F40" w:rsidR="00731501" w:rsidRPr="00731501" w:rsidRDefault="00731501" w:rsidP="00F864BE">
      <w:pPr>
        <w:pStyle w:val="Source"/>
      </w:pPr>
      <w:r>
        <w:t>Source: AER (2023b)</w:t>
      </w:r>
    </w:p>
    <w:p w14:paraId="2E43BDBE" w14:textId="500686F7" w:rsidR="00306E18" w:rsidRDefault="00306E18" w:rsidP="00306E18">
      <w:pPr>
        <w:pStyle w:val="BodyText"/>
      </w:pPr>
      <w:r>
        <w:t>The ACCC</w:t>
      </w:r>
      <w:r w:rsidR="0015552C">
        <w:t xml:space="preserve"> (2023)</w:t>
      </w:r>
      <w:r>
        <w:t xml:space="preserve"> report</w:t>
      </w:r>
      <w:r w:rsidR="0090449A">
        <w:t>ed</w:t>
      </w:r>
      <w:r>
        <w:t xml:space="preserve"> east</w:t>
      </w:r>
      <w:r w:rsidRPr="00031D43">
        <w:t xml:space="preserve"> </w:t>
      </w:r>
      <w:r>
        <w:t>coast</w:t>
      </w:r>
      <w:r w:rsidRPr="00031D43">
        <w:t xml:space="preserve"> LNG producers offered over 26 PJ of gas to the domestic market for supply in 2023, in addition to previous offers of over 274 PJ for 2023 supply made between 19 August 2022 and 15 February 2023. </w:t>
      </w:r>
    </w:p>
    <w:p w14:paraId="7A95C473" w14:textId="4DCA83F3" w:rsidR="00EC7EC7" w:rsidRDefault="00EC7EC7" w:rsidP="00EC7EC7">
      <w:pPr>
        <w:pStyle w:val="BodyText"/>
      </w:pPr>
      <w:r>
        <w:t xml:space="preserve">The </w:t>
      </w:r>
      <w:r w:rsidR="0020044E">
        <w:t>c</w:t>
      </w:r>
      <w:r>
        <w:t xml:space="preserve">ode is a key element of the </w:t>
      </w:r>
      <w:r w:rsidR="0020044E">
        <w:t>g</w:t>
      </w:r>
      <w:r>
        <w:t xml:space="preserve">overnment’s Energy Price Relief Plan. It is designed to deliver additional gas to </w:t>
      </w:r>
      <w:r w:rsidR="00A87654">
        <w:t xml:space="preserve">the </w:t>
      </w:r>
      <w:r>
        <w:t xml:space="preserve">market at reasonable prices, on reasonable terms, and to facilitate the efficient functioning of the wholesale east coast gas market. The </w:t>
      </w:r>
      <w:r w:rsidR="0020044E">
        <w:t>c</w:t>
      </w:r>
      <w:r>
        <w:t xml:space="preserve">ode does this through an exemptions framework which incentivises suppliers to commit more gas to the east coast gas market in the short-term and facilitate new investment to meet ongoing demand in the medium term. </w:t>
      </w:r>
    </w:p>
    <w:p w14:paraId="5E9E6F14" w14:textId="6D34CE87" w:rsidR="00E34EA8" w:rsidRDefault="00EC7EC7" w:rsidP="00E34EA8">
      <w:pPr>
        <w:pStyle w:val="BodyText"/>
      </w:pPr>
      <w:r>
        <w:t xml:space="preserve">In January 2024, </w:t>
      </w:r>
      <w:r w:rsidR="003568D2">
        <w:t>it was</w:t>
      </w:r>
      <w:r>
        <w:t xml:space="preserve"> announced that four exemptions under the </w:t>
      </w:r>
      <w:r w:rsidR="0020044E">
        <w:t>c</w:t>
      </w:r>
      <w:r>
        <w:t xml:space="preserve">ode had resulted in the </w:t>
      </w:r>
      <w:r w:rsidR="003568D2">
        <w:t xml:space="preserve">gas industry </w:t>
      </w:r>
      <w:r w:rsidR="00373C13">
        <w:t>committing</w:t>
      </w:r>
      <w:r>
        <w:t xml:space="preserve"> </w:t>
      </w:r>
      <w:r w:rsidR="00B447D7" w:rsidRPr="00465FE5">
        <w:t xml:space="preserve">to resume </w:t>
      </w:r>
      <w:r w:rsidR="00373C13">
        <w:t xml:space="preserve">works to </w:t>
      </w:r>
      <w:r w:rsidR="00B447D7" w:rsidRPr="00465FE5">
        <w:t xml:space="preserve">progress towards making a </w:t>
      </w:r>
      <w:r w:rsidR="007978AE">
        <w:t>FID</w:t>
      </w:r>
      <w:r w:rsidR="00B447D7">
        <w:t xml:space="preserve"> </w:t>
      </w:r>
      <w:r w:rsidR="00E34EA8">
        <w:t>o</w:t>
      </w:r>
      <w:r w:rsidR="00995E19">
        <w:t>f</w:t>
      </w:r>
      <w:r w:rsidR="00B447D7">
        <w:t xml:space="preserve"> </w:t>
      </w:r>
      <w:r>
        <w:t>564 PJ</w:t>
      </w:r>
      <w:r w:rsidR="00B447D7">
        <w:t xml:space="preserve"> </w:t>
      </w:r>
      <w:r w:rsidR="00E34EA8">
        <w:t>for delivery</w:t>
      </w:r>
      <w:r w:rsidR="00D80470">
        <w:t xml:space="preserve"> </w:t>
      </w:r>
      <w:r>
        <w:t>to the east coast market from 2024 to 2033, providing more affordable gas to the Australian market in the short to medium term.</w:t>
      </w:r>
    </w:p>
    <w:p w14:paraId="7F18437B" w14:textId="1DE3F54D" w:rsidR="00E34EA8" w:rsidRDefault="00E34EA8" w:rsidP="00E34EA8">
      <w:pPr>
        <w:pStyle w:val="BodyText"/>
      </w:pPr>
      <w:r>
        <w:t xml:space="preserve">The </w:t>
      </w:r>
      <w:r w:rsidR="0020044E">
        <w:t>c</w:t>
      </w:r>
      <w:r>
        <w:t>ode</w:t>
      </w:r>
      <w:r w:rsidR="00A87654">
        <w:t>,</w:t>
      </w:r>
      <w:r>
        <w:t xml:space="preserve"> </w:t>
      </w:r>
      <w:r w:rsidR="00306E18">
        <w:t>as well as</w:t>
      </w:r>
      <w:r>
        <w:t xml:space="preserve"> </w:t>
      </w:r>
      <w:r w:rsidR="00306E18">
        <w:t>easing</w:t>
      </w:r>
      <w:r>
        <w:t xml:space="preserve"> international </w:t>
      </w:r>
      <w:r w:rsidR="00306E18">
        <w:t>and domestic conditions</w:t>
      </w:r>
      <w:r w:rsidR="00A87654">
        <w:t>,</w:t>
      </w:r>
      <w:r>
        <w:t xml:space="preserve"> all put downward pressure on prices</w:t>
      </w:r>
      <w:r w:rsidR="00306E18">
        <w:t xml:space="preserve"> in the first quarter of 2024</w:t>
      </w:r>
      <w:r w:rsidR="00AB35F2">
        <w:t xml:space="preserve"> compared </w:t>
      </w:r>
      <w:r w:rsidR="00995E19">
        <w:t>with</w:t>
      </w:r>
      <w:r w:rsidR="00AB35F2">
        <w:t xml:space="preserve"> the previous 12 months</w:t>
      </w:r>
      <w:r>
        <w:t>.</w:t>
      </w:r>
    </w:p>
    <w:p w14:paraId="60E1B121" w14:textId="6E7027AA" w:rsidR="00E34EA8" w:rsidRDefault="00E34EA8" w:rsidP="00E34EA8">
      <w:pPr>
        <w:pStyle w:val="BodyText"/>
      </w:pPr>
      <w:r>
        <w:t xml:space="preserve">Despite ongoing geopolitical tensions, Asian and European LNG markets </w:t>
      </w:r>
      <w:r w:rsidR="00306E18">
        <w:t>have been</w:t>
      </w:r>
      <w:r>
        <w:t xml:space="preserve"> stable with prices trending down. </w:t>
      </w:r>
      <w:r w:rsidR="00306E18">
        <w:t>In</w:t>
      </w:r>
      <w:r>
        <w:t xml:space="preserve"> the first quarter of 2024</w:t>
      </w:r>
      <w:r w:rsidR="00306E18">
        <w:t>,</w:t>
      </w:r>
      <w:r>
        <w:t xml:space="preserve"> Asian spot LNG prices remained stable as most of the northern hemisphere went through a mild winter. European LNG storage reached record high levels throughout the period and even </w:t>
      </w:r>
      <w:r w:rsidR="00306E18">
        <w:t>the</w:t>
      </w:r>
      <w:r>
        <w:t xml:space="preserve"> increase in spot activity from Asia at the back end of the quarter did not have a material impact on global LNG prices.</w:t>
      </w:r>
    </w:p>
    <w:p w14:paraId="4D552B1C" w14:textId="429B9AC9" w:rsidR="00E34EA8" w:rsidRDefault="00E34EA8" w:rsidP="00E34EA8">
      <w:pPr>
        <w:pStyle w:val="BodyText"/>
      </w:pPr>
      <w:r>
        <w:t xml:space="preserve">East gas coast demand was 10% higher for the first quarter </w:t>
      </w:r>
      <w:r w:rsidR="00A87654">
        <w:t xml:space="preserve">of </w:t>
      </w:r>
      <w:r>
        <w:t xml:space="preserve">2024, but increased demand was entirely attributable to higher LNG exports. </w:t>
      </w:r>
      <w:r w:rsidR="00306E18">
        <w:t>GPG, c</w:t>
      </w:r>
      <w:r>
        <w:t xml:space="preserve">onsumer and industrial demand </w:t>
      </w:r>
      <w:r w:rsidR="00306E18">
        <w:t xml:space="preserve">declined </w:t>
      </w:r>
      <w:r w:rsidR="00AB35F2">
        <w:t>from the previous</w:t>
      </w:r>
      <w:r w:rsidR="00306E18">
        <w:t xml:space="preserve"> quarter</w:t>
      </w:r>
      <w:r>
        <w:t xml:space="preserve">. </w:t>
      </w:r>
    </w:p>
    <w:p w14:paraId="469396B4" w14:textId="6173D239" w:rsidR="00341B20" w:rsidRPr="004F446A" w:rsidRDefault="00E34EA8" w:rsidP="00C815CC">
      <w:pPr>
        <w:pStyle w:val="BodyText"/>
      </w:pPr>
      <w:r>
        <w:t xml:space="preserve">Prices remain subdued despite decade low production at Longford and a pipeline rupture near Gladstone. </w:t>
      </w:r>
      <w:r w:rsidR="00E1132E">
        <w:t xml:space="preserve">AEMO </w:t>
      </w:r>
      <w:r w:rsidR="0015552C">
        <w:t>(202</w:t>
      </w:r>
      <w:r w:rsidR="00E1132E">
        <w:t>4</w:t>
      </w:r>
      <w:r w:rsidR="00F86FFE">
        <w:t>c</w:t>
      </w:r>
      <w:r w:rsidR="0015552C">
        <w:t>)</w:t>
      </w:r>
      <w:r>
        <w:t xml:space="preserve"> reported lower production at Longford was partially offset by healthy Iona storage levels post winter 2023.</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EC7EC7" w14:paraId="2D707CE9" w14:textId="77777777" w:rsidTr="006444B0">
        <w:trPr>
          <w:cnfStyle w:val="100000000000" w:firstRow="1" w:lastRow="0" w:firstColumn="0" w:lastColumn="0" w:oddVBand="0" w:evenVBand="0" w:oddHBand="0" w:evenHBand="0" w:firstRowFirstColumn="0" w:firstRowLastColumn="0" w:lastRowFirstColumn="0" w:lastRowLastColumn="0"/>
          <w:cantSplit/>
        </w:trPr>
        <w:tc>
          <w:tcPr>
            <w:tcW w:w="0" w:type="pct"/>
            <w:shd w:val="clear" w:color="auto" w:fill="F1CFCF"/>
          </w:tcPr>
          <w:p w14:paraId="55515D2D" w14:textId="7BB00BD5" w:rsidR="00EC7EC7" w:rsidRPr="004F446A" w:rsidRDefault="00EC7EC7" w:rsidP="004F446A">
            <w:pPr>
              <w:pStyle w:val="Boxtext"/>
              <w:spacing w:beforeLines="60" w:before="144" w:afterLines="60" w:after="144"/>
              <w:ind w:left="113" w:right="113"/>
              <w:jc w:val="both"/>
              <w:rPr>
                <w:rFonts w:eastAsiaTheme="minorHAnsi"/>
                <w:color w:val="auto"/>
              </w:rPr>
            </w:pPr>
            <w:r w:rsidRPr="004F446A">
              <w:rPr>
                <w:b/>
                <w:bCs/>
                <w:color w:val="auto"/>
              </w:rPr>
              <w:t>Insight:</w:t>
            </w:r>
            <w:r w:rsidRPr="002E0CCA">
              <w:rPr>
                <w:color w:val="auto"/>
              </w:rPr>
              <w:t xml:space="preserve"> </w:t>
            </w:r>
            <w:r w:rsidR="008A2170" w:rsidRPr="004F446A">
              <w:rPr>
                <w:color w:val="auto"/>
              </w:rPr>
              <w:t xml:space="preserve">Wholesale prices since </w:t>
            </w:r>
            <w:r w:rsidR="008A2170">
              <w:rPr>
                <w:color w:val="auto"/>
              </w:rPr>
              <w:t>June 2023</w:t>
            </w:r>
            <w:r w:rsidR="008A2170" w:rsidRPr="004F446A">
              <w:rPr>
                <w:color w:val="auto"/>
              </w:rPr>
              <w:t xml:space="preserve"> have averaged below $12/GJ.</w:t>
            </w:r>
            <w:r w:rsidR="008A2170">
              <w:rPr>
                <w:color w:val="auto"/>
              </w:rPr>
              <w:t xml:space="preserve"> </w:t>
            </w:r>
            <w:r w:rsidR="008A2170" w:rsidRPr="004F446A">
              <w:rPr>
                <w:color w:val="auto"/>
              </w:rPr>
              <w:t xml:space="preserve">The </w:t>
            </w:r>
            <w:r w:rsidR="0020044E">
              <w:rPr>
                <w:color w:val="auto"/>
              </w:rPr>
              <w:t>c</w:t>
            </w:r>
            <w:r w:rsidR="008A2170" w:rsidRPr="004F446A">
              <w:rPr>
                <w:color w:val="auto"/>
              </w:rPr>
              <w:t>ode and a combination of lower and less volatile international prices, plus lower east coast gas demand</w:t>
            </w:r>
            <w:r w:rsidR="00A87654">
              <w:rPr>
                <w:color w:val="auto"/>
              </w:rPr>
              <w:t>,</w:t>
            </w:r>
            <w:r w:rsidR="008A2170" w:rsidRPr="004F446A">
              <w:rPr>
                <w:color w:val="auto"/>
              </w:rPr>
              <w:t xml:space="preserve"> all put downward pressure on recent east coast prices.</w:t>
            </w:r>
          </w:p>
        </w:tc>
      </w:tr>
    </w:tbl>
    <w:p w14:paraId="4F74D042" w14:textId="77777777" w:rsidR="00EC7EC7" w:rsidRDefault="00EC7EC7" w:rsidP="00EC7EC7">
      <w:pPr>
        <w:pStyle w:val="Heading3"/>
      </w:pPr>
      <w:r>
        <w:t>LNG netback pricing and multi-year outlook for domestic prices</w:t>
      </w:r>
    </w:p>
    <w:p w14:paraId="4F66571B" w14:textId="77777777" w:rsidR="00EC7EC7" w:rsidRDefault="00EC7EC7" w:rsidP="00EC7EC7">
      <w:pPr>
        <w:pStyle w:val="BodyText"/>
      </w:pPr>
      <w:r>
        <w:t xml:space="preserve">Looking beyond 2024, pricing pressures are mixed. LNG pricing is likely to ease, placing less pressure on domestic prices. However, cost pressures on the east coast will continue. In such an environment, balancing supply and demand implies lower supply or higher prices to incentivise domestic production. </w:t>
      </w:r>
    </w:p>
    <w:p w14:paraId="24288C90" w14:textId="70310D21" w:rsidR="00EC7EC7" w:rsidRDefault="00EC7EC7" w:rsidP="00EC7EC7">
      <w:pPr>
        <w:pStyle w:val="BodyText"/>
      </w:pPr>
      <w:r>
        <w:t xml:space="preserve">First, LNG outlook is for increasing supply, but there are risks for pricing. Growth in global LNG supply is expected to outpace growth in demand. </w:t>
      </w:r>
      <w:r w:rsidRPr="002B2F7C">
        <w:t xml:space="preserve">In December 2023, global LNG exports hit a monthly record of 37 </w:t>
      </w:r>
      <w:r>
        <w:t>Mt</w:t>
      </w:r>
      <w:r w:rsidRPr="002B2F7C">
        <w:t xml:space="preserve">. </w:t>
      </w:r>
    </w:p>
    <w:p w14:paraId="42A53D6A" w14:textId="69E0F09F" w:rsidR="00EC7EC7" w:rsidRDefault="00EC7EC7" w:rsidP="00EC7EC7">
      <w:pPr>
        <w:pStyle w:val="BodyText"/>
      </w:pPr>
      <w:r>
        <w:t>On the flip</w:t>
      </w:r>
      <w:r w:rsidR="005104E7">
        <w:t xml:space="preserve"> </w:t>
      </w:r>
      <w:r>
        <w:t>side, a</w:t>
      </w:r>
      <w:r w:rsidRPr="00890A68">
        <w:t>n increase in</w:t>
      </w:r>
      <w:r w:rsidR="00D753CE">
        <w:t xml:space="preserve"> global</w:t>
      </w:r>
      <w:r w:rsidRPr="00890A68">
        <w:t xml:space="preserve"> LNG supply by the end of 2025 will </w:t>
      </w:r>
      <w:r>
        <w:t>p</w:t>
      </w:r>
      <w:r w:rsidRPr="00890A68">
        <w:t>ut downward pressure</w:t>
      </w:r>
      <w:r>
        <w:t xml:space="preserve"> o</w:t>
      </w:r>
      <w:r w:rsidRPr="00890A68">
        <w:t xml:space="preserve">n prices. </w:t>
      </w:r>
      <w:r>
        <w:t>Future demand for LNG may be strong</w:t>
      </w:r>
      <w:r w:rsidR="00A87654">
        <w:t>er</w:t>
      </w:r>
      <w:r>
        <w:t xml:space="preserve"> than expected, however, with many c</w:t>
      </w:r>
      <w:r w:rsidRPr="005B4AD1">
        <w:t>ountries building new floating regasification facilities and import terminal</w:t>
      </w:r>
      <w:r w:rsidR="009B7A67">
        <w:t>s</w:t>
      </w:r>
      <w:r w:rsidRPr="005B4AD1">
        <w:t xml:space="preserve"> </w:t>
      </w:r>
      <w:r>
        <w:t>for energy transition and security reasons</w:t>
      </w:r>
      <w:r w:rsidRPr="005B4AD1">
        <w:t>.</w:t>
      </w:r>
      <w:r>
        <w:t xml:space="preserve"> Similarly, seasonal demand from China can swing pricing.</w:t>
      </w:r>
    </w:p>
    <w:p w14:paraId="5831E1D3" w14:textId="3F71FB4C" w:rsidR="00EC7EC7" w:rsidRDefault="00EC7EC7" w:rsidP="00EC7EC7">
      <w:pPr>
        <w:pStyle w:val="BodyText"/>
      </w:pPr>
      <w:r>
        <w:t>LNG is an attractive fuel source for Asian buyers</w:t>
      </w:r>
      <w:r w:rsidR="009B7A67">
        <w:t xml:space="preserve"> as</w:t>
      </w:r>
      <w:r>
        <w:t xml:space="preserve"> </w:t>
      </w:r>
      <w:r w:rsidR="009B7A67">
        <w:t>g</w:t>
      </w:r>
      <w:r>
        <w:t xml:space="preserve">as has a lower emissions footprint than coal. In addition, </w:t>
      </w:r>
      <w:r w:rsidR="009B7A67">
        <w:t xml:space="preserve">the low ramp rate of </w:t>
      </w:r>
      <w:r>
        <w:t>gas</w:t>
      </w:r>
      <w:r w:rsidR="008D1436">
        <w:t>-</w:t>
      </w:r>
      <w:r>
        <w:t xml:space="preserve">powered generators </w:t>
      </w:r>
      <w:r w:rsidR="00222C6A">
        <w:t>provides</w:t>
      </w:r>
      <w:r>
        <w:t xml:space="preserve"> grid stability through renewables firming and peaking.</w:t>
      </w:r>
    </w:p>
    <w:p w14:paraId="41DE2979" w14:textId="3842665C" w:rsidR="001B04B4" w:rsidRDefault="00EC7EC7" w:rsidP="001B04B4">
      <w:pPr>
        <w:pStyle w:val="BodyText"/>
      </w:pPr>
      <w:r>
        <w:t>The</w:t>
      </w:r>
      <w:r w:rsidRPr="005B4AD1">
        <w:t xml:space="preserve"> </w:t>
      </w:r>
      <w:r>
        <w:t>geopolitical outlook also poses supply risks</w:t>
      </w:r>
      <w:r w:rsidRPr="005B4AD1">
        <w:t>. Additional sanctions may be placed on Russian LNG exports.</w:t>
      </w:r>
      <w:r>
        <w:t xml:space="preserve"> I</w:t>
      </w:r>
      <w:r w:rsidRPr="005B4AD1">
        <w:t xml:space="preserve">ncreasing tensions in the Middle </w:t>
      </w:r>
      <w:r w:rsidR="009B7A67">
        <w:t>E</w:t>
      </w:r>
      <w:r>
        <w:t>ast</w:t>
      </w:r>
      <w:r w:rsidRPr="005B4AD1">
        <w:t xml:space="preserve"> </w:t>
      </w:r>
      <w:r>
        <w:t xml:space="preserve">are </w:t>
      </w:r>
      <w:r w:rsidRPr="005B4AD1">
        <w:t xml:space="preserve">impacting shipping flows in the Red Sea and </w:t>
      </w:r>
      <w:r w:rsidR="00E402A3">
        <w:t>Persian</w:t>
      </w:r>
      <w:r w:rsidR="00E402A3" w:rsidRPr="005B4AD1">
        <w:t xml:space="preserve"> </w:t>
      </w:r>
      <w:r w:rsidRPr="005B4AD1">
        <w:t xml:space="preserve">Gulf. A combination of a higher geopolitical risk premium and potential supply disruption </w:t>
      </w:r>
      <w:r>
        <w:t>may</w:t>
      </w:r>
      <w:r w:rsidRPr="005B4AD1">
        <w:t xml:space="preserve"> push prices higher.</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1B04B4" w14:paraId="4FB13B89" w14:textId="77777777" w:rsidTr="00EA689B">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F1CFCF"/>
          </w:tcPr>
          <w:p w14:paraId="4A7A44E1" w14:textId="5FE32290" w:rsidR="001B04B4" w:rsidRPr="004F446A" w:rsidRDefault="001B04B4" w:rsidP="008E5FA0">
            <w:pPr>
              <w:pStyle w:val="Boxtext"/>
              <w:spacing w:beforeLines="60" w:before="144" w:afterLines="60" w:after="144"/>
              <w:ind w:left="113" w:right="113"/>
              <w:jc w:val="both"/>
              <w:rPr>
                <w:rFonts w:eastAsiaTheme="minorHAnsi"/>
                <w:color w:val="auto"/>
              </w:rPr>
            </w:pPr>
            <w:r w:rsidRPr="004F446A">
              <w:rPr>
                <w:b/>
                <w:bCs/>
                <w:color w:val="auto"/>
              </w:rPr>
              <w:t>Insight:</w:t>
            </w:r>
            <w:r w:rsidRPr="002E0CCA">
              <w:rPr>
                <w:color w:val="auto"/>
              </w:rPr>
              <w:t xml:space="preserve"> </w:t>
            </w:r>
            <w:r w:rsidRPr="001B04B4">
              <w:rPr>
                <w:color w:val="auto"/>
              </w:rPr>
              <w:t>Beyond 2024, while international LNG prices are expected to ease, cost increases will continue to place pressure on domestic prices. Overall, risks to prices are on the upside.</w:t>
            </w:r>
          </w:p>
        </w:tc>
      </w:tr>
    </w:tbl>
    <w:p w14:paraId="06CDE3E5" w14:textId="0923599F" w:rsidR="00EC7EC7" w:rsidRDefault="00EC7EC7" w:rsidP="00F864BE">
      <w:pPr>
        <w:pStyle w:val="BodyText"/>
        <w:spacing w:before="120"/>
      </w:pPr>
      <w:r>
        <w:t>Increasing costs of production and distribution may also imply domestic price increases may be required to maintain current levels of output (which requires ongoing investment). Without price increases, supply may be constrained. In such an environment, less productive users of natural gas would typically be priced out of the market in order to balance supply and demand.</w:t>
      </w:r>
    </w:p>
    <w:tbl>
      <w:tblPr>
        <w:tblStyle w:val="OCETable"/>
        <w:tblW w:w="6804" w:type="dxa"/>
        <w:tblInd w:w="45" w:type="dxa"/>
        <w:shd w:val="clear" w:color="auto" w:fill="DEE8F1"/>
        <w:tblLayout w:type="fixed"/>
        <w:tblCellMar>
          <w:top w:w="85" w:type="dxa"/>
          <w:bottom w:w="85" w:type="dxa"/>
        </w:tblCellMar>
        <w:tblLook w:val="04A0" w:firstRow="1" w:lastRow="0" w:firstColumn="1" w:lastColumn="0" w:noHBand="0" w:noVBand="1"/>
      </w:tblPr>
      <w:tblGrid>
        <w:gridCol w:w="6804"/>
      </w:tblGrid>
      <w:tr w:rsidR="00306E18" w14:paraId="45216F9F" w14:textId="77777777" w:rsidTr="00AA38BB">
        <w:trPr>
          <w:cnfStyle w:val="100000000000" w:firstRow="1" w:lastRow="0" w:firstColumn="0" w:lastColumn="0" w:oddVBand="0" w:evenVBand="0" w:oddHBand="0" w:evenHBand="0" w:firstRowFirstColumn="0" w:firstRowLastColumn="0" w:lastRowFirstColumn="0" w:lastRowLastColumn="0"/>
        </w:trPr>
        <w:tc>
          <w:tcPr>
            <w:tcW w:w="0" w:type="pct"/>
            <w:shd w:val="clear" w:color="auto" w:fill="DEE8F1"/>
          </w:tcPr>
          <w:p w14:paraId="3A3CCD50" w14:textId="256FD530" w:rsidR="00306E18" w:rsidRPr="001E09AE" w:rsidRDefault="00306E18" w:rsidP="00AA38BB">
            <w:pPr>
              <w:pStyle w:val="Boxtext"/>
              <w:spacing w:beforeLines="30" w:before="72" w:afterLines="60" w:after="144"/>
              <w:ind w:left="119" w:right="113"/>
              <w:jc w:val="both"/>
              <w:rPr>
                <w:b/>
                <w:bCs/>
                <w:color w:val="auto"/>
              </w:rPr>
            </w:pPr>
            <w:r>
              <w:br w:type="column"/>
            </w:r>
            <w:r>
              <w:br w:type="column"/>
            </w:r>
            <w:r w:rsidRPr="00D97EE6">
              <w:rPr>
                <w:b/>
                <w:bCs/>
                <w:color w:val="auto"/>
              </w:rPr>
              <w:br w:type="column"/>
            </w:r>
            <w:r w:rsidRPr="00D97EE6">
              <w:rPr>
                <w:b/>
                <w:bCs/>
                <w:color w:val="auto"/>
              </w:rPr>
              <w:br w:type="column"/>
            </w:r>
            <w:r w:rsidRPr="006556DE">
              <w:rPr>
                <w:b/>
                <w:bCs/>
                <w:color w:val="005CAF" w:themeColor="accent1"/>
              </w:rPr>
              <w:t>Box 6.</w:t>
            </w:r>
            <w:r w:rsidR="001B04B4">
              <w:rPr>
                <w:b/>
                <w:bCs/>
                <w:color w:val="005CAF" w:themeColor="accent1"/>
              </w:rPr>
              <w:t>3</w:t>
            </w:r>
            <w:r w:rsidRPr="006556DE">
              <w:rPr>
                <w:b/>
                <w:bCs/>
                <w:color w:val="005CAF" w:themeColor="accent1"/>
              </w:rPr>
              <w:t>: The 2022 energy crisis and 2023 experience</w:t>
            </w:r>
          </w:p>
          <w:p w14:paraId="499D3620" w14:textId="5263C1FB" w:rsidR="00306E18" w:rsidRPr="001B04B4" w:rsidRDefault="00306E18" w:rsidP="001B04B4">
            <w:pPr>
              <w:pStyle w:val="Boxtext"/>
              <w:spacing w:beforeLines="60" w:before="144" w:afterLines="60" w:after="144"/>
              <w:ind w:left="113" w:right="113"/>
              <w:rPr>
                <w:color w:val="373737" w:themeColor="text1"/>
              </w:rPr>
            </w:pPr>
            <w:r w:rsidRPr="001B04B4">
              <w:rPr>
                <w:color w:val="373737" w:themeColor="text1"/>
              </w:rPr>
              <w:t xml:space="preserve">2022 was characterised as </w:t>
            </w:r>
            <w:r w:rsidR="009B7A67" w:rsidRPr="001B04B4">
              <w:rPr>
                <w:color w:val="373737" w:themeColor="text1"/>
              </w:rPr>
              <w:t xml:space="preserve">a </w:t>
            </w:r>
            <w:r w:rsidR="00BD393C">
              <w:rPr>
                <w:color w:val="373737" w:themeColor="text1"/>
              </w:rPr>
              <w:t>‘</w:t>
            </w:r>
            <w:r w:rsidRPr="001B04B4">
              <w:rPr>
                <w:color w:val="373737" w:themeColor="text1"/>
              </w:rPr>
              <w:t>perfect storm</w:t>
            </w:r>
            <w:r w:rsidR="00BD393C">
              <w:rPr>
                <w:color w:val="373737" w:themeColor="text1"/>
              </w:rPr>
              <w:t>’</w:t>
            </w:r>
            <w:r w:rsidRPr="001B04B4">
              <w:rPr>
                <w:color w:val="373737" w:themeColor="text1"/>
              </w:rPr>
              <w:t xml:space="preserve"> of shocks that culminated </w:t>
            </w:r>
            <w:r w:rsidR="009B7A67" w:rsidRPr="001B04B4">
              <w:rPr>
                <w:color w:val="373737" w:themeColor="text1"/>
              </w:rPr>
              <w:t>in</w:t>
            </w:r>
            <w:r w:rsidRPr="001B04B4">
              <w:rPr>
                <w:color w:val="373737" w:themeColor="text1"/>
              </w:rPr>
              <w:t xml:space="preserve"> </w:t>
            </w:r>
            <w:r w:rsidR="009B7A67" w:rsidRPr="001B04B4">
              <w:rPr>
                <w:color w:val="373737" w:themeColor="text1"/>
              </w:rPr>
              <w:t xml:space="preserve">substantial </w:t>
            </w:r>
            <w:r w:rsidRPr="001B04B4">
              <w:rPr>
                <w:color w:val="373737" w:themeColor="text1"/>
              </w:rPr>
              <w:t>price</w:t>
            </w:r>
            <w:r w:rsidR="009B7A67" w:rsidRPr="001B04B4">
              <w:rPr>
                <w:color w:val="373737" w:themeColor="text1"/>
              </w:rPr>
              <w:t xml:space="preserve"> increases</w:t>
            </w:r>
            <w:r w:rsidRPr="001B04B4">
              <w:rPr>
                <w:color w:val="373737" w:themeColor="text1"/>
              </w:rPr>
              <w:t xml:space="preserve"> in the wholesale gas market (Figure 6.</w:t>
            </w:r>
            <w:r w:rsidR="00EB5CD2" w:rsidRPr="001B04B4">
              <w:rPr>
                <w:color w:val="373737" w:themeColor="text1"/>
              </w:rPr>
              <w:t>7</w:t>
            </w:r>
            <w:r w:rsidRPr="001B04B4">
              <w:rPr>
                <w:color w:val="373737" w:themeColor="text1"/>
              </w:rPr>
              <w:t xml:space="preserve">). </w:t>
            </w:r>
          </w:p>
          <w:p w14:paraId="2F324F14" w14:textId="63D53291" w:rsidR="00306E18" w:rsidRPr="001B04B4" w:rsidRDefault="00306E18" w:rsidP="001B04B4">
            <w:pPr>
              <w:pStyle w:val="Boxtext"/>
              <w:spacing w:beforeLines="60" w:before="144" w:afterLines="60" w:after="144"/>
              <w:ind w:left="113" w:right="113"/>
              <w:rPr>
                <w:color w:val="373737" w:themeColor="text1"/>
              </w:rPr>
            </w:pPr>
            <w:r w:rsidRPr="001B04B4">
              <w:rPr>
                <w:color w:val="373737" w:themeColor="text1"/>
              </w:rPr>
              <w:t xml:space="preserve">First, in February 2022, the Russian invasion of Ukraine limited the international supply of gas and raised LNG netback prices and expectations, leading to a strong flow of non-contracted gas into the export market. </w:t>
            </w:r>
          </w:p>
          <w:p w14:paraId="381089DC" w14:textId="063CB23E" w:rsidR="00306E18" w:rsidRPr="001B04B4" w:rsidRDefault="00306E18" w:rsidP="001B04B4">
            <w:pPr>
              <w:pStyle w:val="Boxtext"/>
              <w:spacing w:beforeLines="60" w:before="144" w:afterLines="60" w:after="144"/>
              <w:ind w:left="113" w:right="113"/>
              <w:rPr>
                <w:color w:val="373737" w:themeColor="text1"/>
              </w:rPr>
            </w:pPr>
            <w:r w:rsidRPr="001B04B4">
              <w:rPr>
                <w:color w:val="373737" w:themeColor="text1"/>
              </w:rPr>
              <w:t xml:space="preserve">Then in the domestic winter, coal-fired power generation outages and lower electricity production from renewables led to unexpected increases in gas demand from gas-fired power generators. Further, wet weather affected supply from a range of gas fields in Queensland, the </w:t>
            </w:r>
            <w:r w:rsidR="00995E19" w:rsidRPr="001B04B4">
              <w:rPr>
                <w:color w:val="373737" w:themeColor="text1"/>
              </w:rPr>
              <w:t>N</w:t>
            </w:r>
            <w:r w:rsidRPr="001B04B4">
              <w:rPr>
                <w:color w:val="373737" w:themeColor="text1"/>
              </w:rPr>
              <w:t xml:space="preserve">orthern Territory and the Cooper Basin. </w:t>
            </w:r>
          </w:p>
          <w:p w14:paraId="6D857D5C" w14:textId="77777777" w:rsidR="00306E18" w:rsidRPr="001B04B4" w:rsidRDefault="00306E18" w:rsidP="001B04B4">
            <w:pPr>
              <w:pStyle w:val="Boxtext"/>
              <w:spacing w:beforeLines="60" w:before="144" w:afterLines="60" w:after="144"/>
              <w:ind w:left="113" w:right="113"/>
              <w:rPr>
                <w:color w:val="373737" w:themeColor="text1"/>
              </w:rPr>
            </w:pPr>
            <w:r w:rsidRPr="001B04B4">
              <w:rPr>
                <w:color w:val="373737" w:themeColor="text1"/>
              </w:rPr>
              <w:t xml:space="preserve">Finally, the forced closure of Weston Energy led to a spike in demand from other retailers for new gas to meet their obligations to new clients under the Retailer of Last Resort requirements. </w:t>
            </w:r>
          </w:p>
          <w:p w14:paraId="3527145B" w14:textId="77777777" w:rsidR="00306E18" w:rsidRPr="001B04B4" w:rsidRDefault="00306E18" w:rsidP="001B04B4">
            <w:pPr>
              <w:pStyle w:val="Boxtext"/>
              <w:spacing w:beforeLines="60" w:before="144" w:afterLines="60" w:after="144"/>
              <w:ind w:left="113" w:right="113"/>
              <w:rPr>
                <w:color w:val="373737" w:themeColor="text1"/>
              </w:rPr>
            </w:pPr>
            <w:r w:rsidRPr="001B04B4">
              <w:rPr>
                <w:color w:val="373737" w:themeColor="text1"/>
              </w:rPr>
              <w:t>These shocks also occurred in a market that had been tightening for several years. The tightening in the market exacerbated both international and domestic demand and supply shocks.</w:t>
            </w:r>
          </w:p>
          <w:p w14:paraId="7C2B7273" w14:textId="3671D581" w:rsidR="00306E18" w:rsidRPr="001B04B4" w:rsidRDefault="00306E18" w:rsidP="001B04B4">
            <w:pPr>
              <w:pStyle w:val="Boxtext"/>
              <w:spacing w:beforeLines="60" w:before="144" w:afterLines="60" w:after="144"/>
              <w:ind w:left="113" w:right="113"/>
              <w:rPr>
                <w:color w:val="373737" w:themeColor="text1"/>
              </w:rPr>
            </w:pPr>
            <w:r w:rsidRPr="001B04B4">
              <w:rPr>
                <w:color w:val="373737" w:themeColor="text1"/>
              </w:rPr>
              <w:t xml:space="preserve">What was called the </w:t>
            </w:r>
            <w:r w:rsidR="00BD393C">
              <w:rPr>
                <w:color w:val="373737" w:themeColor="text1"/>
              </w:rPr>
              <w:t>‘</w:t>
            </w:r>
            <w:r w:rsidRPr="001B04B4">
              <w:rPr>
                <w:color w:val="373737" w:themeColor="text1"/>
              </w:rPr>
              <w:t>energy crisis</w:t>
            </w:r>
            <w:r w:rsidR="00BD393C">
              <w:rPr>
                <w:color w:val="373737" w:themeColor="text1"/>
              </w:rPr>
              <w:t>’</w:t>
            </w:r>
            <w:r w:rsidRPr="001B04B4">
              <w:rPr>
                <w:color w:val="373737" w:themeColor="text1"/>
              </w:rPr>
              <w:t xml:space="preserve"> led to </w:t>
            </w:r>
            <w:r w:rsidR="0020044E">
              <w:rPr>
                <w:color w:val="373737" w:themeColor="text1"/>
              </w:rPr>
              <w:t>g</w:t>
            </w:r>
            <w:r w:rsidRPr="001B04B4">
              <w:rPr>
                <w:color w:val="373737" w:themeColor="text1"/>
              </w:rPr>
              <w:t>overnment action. Under the Gas Market Emergency Price Order in December 2022, producers were required to offer short-term contracts for 2023 supply at or below $12/GJ. Market conduct provisions were also enacted to support contracting, which was constrained due to high price volatility and limited bargaining between parties.</w:t>
            </w:r>
            <w:r w:rsidR="00B267B2">
              <w:rPr>
                <w:color w:val="373737" w:themeColor="text1"/>
              </w:rPr>
              <w:t xml:space="preserve"> </w:t>
            </w:r>
            <w:r w:rsidRPr="001B04B4">
              <w:rPr>
                <w:color w:val="373737" w:themeColor="text1"/>
              </w:rPr>
              <w:t>The finali</w:t>
            </w:r>
            <w:r w:rsidR="0028654A" w:rsidRPr="001B04B4">
              <w:rPr>
                <w:color w:val="373737" w:themeColor="text1"/>
              </w:rPr>
              <w:t>s</w:t>
            </w:r>
            <w:r w:rsidRPr="001B04B4">
              <w:rPr>
                <w:color w:val="373737" w:themeColor="text1"/>
              </w:rPr>
              <w:t xml:space="preserve">ation of the </w:t>
            </w:r>
            <w:r w:rsidR="0020044E">
              <w:rPr>
                <w:color w:val="373737" w:themeColor="text1"/>
              </w:rPr>
              <w:t>c</w:t>
            </w:r>
            <w:r w:rsidRPr="001B04B4">
              <w:rPr>
                <w:color w:val="373737" w:themeColor="text1"/>
              </w:rPr>
              <w:t xml:space="preserve">ode and price-cap exemption framework in </w:t>
            </w:r>
            <w:r w:rsidRPr="001B04B4" w:rsidDel="00911412">
              <w:rPr>
                <w:color w:val="373737" w:themeColor="text1"/>
              </w:rPr>
              <w:t>mid</w:t>
            </w:r>
            <w:r w:rsidR="008D0112">
              <w:rPr>
                <w:color w:val="373737" w:themeColor="text1"/>
              </w:rPr>
              <w:t>-</w:t>
            </w:r>
            <w:r w:rsidRPr="001B04B4">
              <w:rPr>
                <w:color w:val="373737" w:themeColor="text1"/>
              </w:rPr>
              <w:t>2023 also assisted to ease market conditions.</w:t>
            </w:r>
            <w:r w:rsidR="008A2170" w:rsidRPr="001B04B4">
              <w:rPr>
                <w:color w:val="373737" w:themeColor="text1"/>
              </w:rPr>
              <w:t xml:space="preserve"> </w:t>
            </w:r>
            <w:r w:rsidR="00E27ACD" w:rsidRPr="001B04B4">
              <w:rPr>
                <w:color w:val="373737" w:themeColor="text1"/>
              </w:rPr>
              <w:t xml:space="preserve">Since the implementation of the </w:t>
            </w:r>
            <w:r w:rsidR="0020044E">
              <w:rPr>
                <w:color w:val="373737" w:themeColor="text1"/>
              </w:rPr>
              <w:t>c</w:t>
            </w:r>
            <w:r w:rsidR="00E27ACD" w:rsidRPr="001B04B4">
              <w:rPr>
                <w:color w:val="373737" w:themeColor="text1"/>
              </w:rPr>
              <w:t>ode</w:t>
            </w:r>
            <w:r w:rsidR="0028654A" w:rsidRPr="001B04B4">
              <w:rPr>
                <w:color w:val="373737" w:themeColor="text1"/>
              </w:rPr>
              <w:t>,</w:t>
            </w:r>
            <w:r w:rsidR="00E27ACD" w:rsidRPr="001B04B4">
              <w:rPr>
                <w:color w:val="373737" w:themeColor="text1"/>
              </w:rPr>
              <w:t xml:space="preserve"> gas prices have trended down</w:t>
            </w:r>
            <w:r w:rsidR="0028654A" w:rsidRPr="001B04B4">
              <w:rPr>
                <w:color w:val="373737" w:themeColor="text1"/>
              </w:rPr>
              <w:t>,</w:t>
            </w:r>
            <w:r w:rsidR="00E27ACD" w:rsidRPr="001B04B4">
              <w:rPr>
                <w:color w:val="373737" w:themeColor="text1"/>
              </w:rPr>
              <w:t xml:space="preserve"> </w:t>
            </w:r>
            <w:r w:rsidR="0028654A" w:rsidRPr="001B04B4">
              <w:rPr>
                <w:color w:val="373737" w:themeColor="text1"/>
              </w:rPr>
              <w:t>a</w:t>
            </w:r>
            <w:r w:rsidR="00E27ACD" w:rsidRPr="001B04B4">
              <w:rPr>
                <w:color w:val="373737" w:themeColor="text1"/>
              </w:rPr>
              <w:t>veraging below $12/GJ since June 2023.</w:t>
            </w:r>
          </w:p>
          <w:p w14:paraId="29D2944C" w14:textId="562606B4" w:rsidR="00306E18" w:rsidRPr="001B04B4" w:rsidRDefault="00306E18" w:rsidP="001B04B4">
            <w:pPr>
              <w:pStyle w:val="Boxtext"/>
              <w:spacing w:beforeLines="60" w:before="144" w:afterLines="60" w:after="144"/>
              <w:ind w:left="113" w:right="113"/>
              <w:rPr>
                <w:color w:val="373737" w:themeColor="text1"/>
              </w:rPr>
            </w:pPr>
            <w:r w:rsidRPr="001B04B4">
              <w:rPr>
                <w:color w:val="373737" w:themeColor="text1"/>
              </w:rPr>
              <w:t>Within the contract market, over 85</w:t>
            </w:r>
            <w:r w:rsidR="00B10F42">
              <w:rPr>
                <w:color w:val="373737" w:themeColor="text1"/>
              </w:rPr>
              <w:t>%</w:t>
            </w:r>
            <w:r w:rsidRPr="001B04B4">
              <w:rPr>
                <w:color w:val="373737" w:themeColor="text1"/>
              </w:rPr>
              <w:t xml:space="preserve"> of gas delivered in Q3 2023 was traded at less than $12/GJ, which was the cap applied to exporter and producer participants. Prices above this reflected sales by market participants not subject to the cap (</w:t>
            </w:r>
            <w:r w:rsidR="0028654A" w:rsidRPr="001B04B4">
              <w:rPr>
                <w:color w:val="373737" w:themeColor="text1"/>
              </w:rPr>
              <w:t>r</w:t>
            </w:r>
            <w:r w:rsidRPr="001B04B4">
              <w:rPr>
                <w:color w:val="373737" w:themeColor="text1"/>
              </w:rPr>
              <w:t>etailers</w:t>
            </w:r>
            <w:r w:rsidR="00AB35F2" w:rsidRPr="001B04B4">
              <w:rPr>
                <w:color w:val="373737" w:themeColor="text1"/>
              </w:rPr>
              <w:t xml:space="preserve">, </w:t>
            </w:r>
            <w:r w:rsidR="0028654A" w:rsidRPr="001B04B4">
              <w:rPr>
                <w:color w:val="373737" w:themeColor="text1"/>
              </w:rPr>
              <w:t>p</w:t>
            </w:r>
            <w:r w:rsidRPr="001B04B4">
              <w:rPr>
                <w:color w:val="373737" w:themeColor="text1"/>
              </w:rPr>
              <w:t xml:space="preserve">ower </w:t>
            </w:r>
            <w:r w:rsidR="0028654A" w:rsidRPr="001B04B4">
              <w:rPr>
                <w:color w:val="373737" w:themeColor="text1"/>
              </w:rPr>
              <w:t>g</w:t>
            </w:r>
            <w:r w:rsidRPr="001B04B4">
              <w:rPr>
                <w:color w:val="373737" w:themeColor="text1"/>
              </w:rPr>
              <w:t>enerators</w:t>
            </w:r>
            <w:r w:rsidR="00AB35F2" w:rsidRPr="001B04B4">
              <w:rPr>
                <w:color w:val="373737" w:themeColor="text1"/>
              </w:rPr>
              <w:t xml:space="preserve"> and short notice LNG export</w:t>
            </w:r>
            <w:r w:rsidR="0028654A" w:rsidRPr="001B04B4">
              <w:rPr>
                <w:color w:val="373737" w:themeColor="text1"/>
              </w:rPr>
              <w:t>s</w:t>
            </w:r>
            <w:r w:rsidRPr="001B04B4">
              <w:rPr>
                <w:color w:val="373737" w:themeColor="text1"/>
              </w:rPr>
              <w:t xml:space="preserve">). </w:t>
            </w:r>
          </w:p>
          <w:p w14:paraId="0E8FFE74" w14:textId="59C978A4" w:rsidR="00306E18" w:rsidRPr="001E09AE" w:rsidRDefault="00306E18" w:rsidP="001B04B4">
            <w:pPr>
              <w:pStyle w:val="Boxtext"/>
              <w:spacing w:beforeLines="60" w:before="144" w:afterLines="60" w:after="144"/>
              <w:ind w:left="113" w:right="113"/>
              <w:rPr>
                <w:color w:val="auto"/>
              </w:rPr>
            </w:pPr>
            <w:r w:rsidRPr="001B04B4">
              <w:rPr>
                <w:color w:val="373737" w:themeColor="text1"/>
              </w:rPr>
              <w:t>Pricing tended to be lower in Queensland (volume</w:t>
            </w:r>
            <w:r w:rsidR="0090449A" w:rsidRPr="001B04B4">
              <w:rPr>
                <w:color w:val="373737" w:themeColor="text1"/>
              </w:rPr>
              <w:t>-</w:t>
            </w:r>
            <w:r w:rsidRPr="001B04B4">
              <w:rPr>
                <w:color w:val="373737" w:themeColor="text1"/>
              </w:rPr>
              <w:t xml:space="preserve">weighted price of $11.98/GJ) than in southern states (Victoria, </w:t>
            </w:r>
            <w:r w:rsidR="005F31C9">
              <w:rPr>
                <w:color w:val="373737" w:themeColor="text1"/>
              </w:rPr>
              <w:t>NSW</w:t>
            </w:r>
            <w:r w:rsidRPr="001B04B4">
              <w:rPr>
                <w:color w:val="373737" w:themeColor="text1"/>
              </w:rPr>
              <w:t>, and South Australia; volume</w:t>
            </w:r>
            <w:r w:rsidR="0090449A" w:rsidRPr="001B04B4">
              <w:rPr>
                <w:color w:val="373737" w:themeColor="text1"/>
              </w:rPr>
              <w:t>-</w:t>
            </w:r>
            <w:r w:rsidRPr="001B04B4">
              <w:rPr>
                <w:color w:val="373737" w:themeColor="text1"/>
              </w:rPr>
              <w:t>weighted price of $13.15/GJ) – reflecting that a larger share of gas is produced in northern states and transported (with associated costs) to southern states</w:t>
            </w:r>
            <w:r w:rsidR="00AB35F2" w:rsidRPr="001B04B4">
              <w:rPr>
                <w:color w:val="373737" w:themeColor="text1"/>
              </w:rPr>
              <w:t>, coupled with the cost of storage and variability of demand</w:t>
            </w:r>
            <w:r w:rsidRPr="001B04B4">
              <w:rPr>
                <w:color w:val="373737" w:themeColor="text1"/>
              </w:rPr>
              <w:t>.</w:t>
            </w:r>
          </w:p>
        </w:tc>
      </w:tr>
    </w:tbl>
    <w:p w14:paraId="35F9AA5D" w14:textId="77777777" w:rsidR="00CC3541" w:rsidRDefault="00CC3541">
      <w:pPr>
        <w:spacing w:after="200" w:line="276" w:lineRule="auto"/>
        <w:rPr>
          <w:b/>
          <w:bCs/>
          <w:color w:val="005CAF"/>
          <w:sz w:val="20"/>
          <w:szCs w:val="18"/>
        </w:rPr>
      </w:pPr>
      <w:bookmarkStart w:id="163" w:name="_Hlk164161163"/>
      <w:r>
        <w:br w:type="page"/>
      </w:r>
    </w:p>
    <w:p w14:paraId="4D7876AD" w14:textId="7AB71A1C" w:rsidR="00EC7EC7" w:rsidRDefault="00EC7EC7" w:rsidP="00C97679">
      <w:pPr>
        <w:pStyle w:val="Caption"/>
      </w:pPr>
      <w:r>
        <w:t xml:space="preserve">Figure </w:t>
      </w:r>
      <w:r>
        <w:rPr>
          <w:noProof/>
        </w:rPr>
        <w:fldChar w:fldCharType="begin"/>
      </w:r>
      <w:r>
        <w:rPr>
          <w:noProof/>
        </w:rPr>
        <w:instrText xml:space="preserve"> STYLEREF 1 \s </w:instrText>
      </w:r>
      <w:r>
        <w:rPr>
          <w:noProof/>
        </w:rPr>
        <w:fldChar w:fldCharType="separate"/>
      </w:r>
      <w:r w:rsidR="00BF178A">
        <w:rPr>
          <w:noProof/>
        </w:rPr>
        <w:t>6</w:t>
      </w:r>
      <w:r>
        <w:rPr>
          <w:noProof/>
        </w:rPr>
        <w:fldChar w:fldCharType="end"/>
      </w:r>
      <w:r>
        <w:rPr>
          <w:noProof/>
        </w:rPr>
        <w:t>.</w:t>
      </w:r>
      <w:r w:rsidR="0028654A">
        <w:rPr>
          <w:noProof/>
        </w:rPr>
        <w:t>7</w:t>
      </w:r>
      <w:r>
        <w:t>: East</w:t>
      </w:r>
      <w:r w:rsidRPr="00B12A9E">
        <w:t xml:space="preserve"> </w:t>
      </w:r>
      <w:r>
        <w:t>coast</w:t>
      </w:r>
      <w:r w:rsidRPr="00B12A9E">
        <w:t xml:space="preserve"> gas prices</w:t>
      </w:r>
      <w:r w:rsidR="0028654A">
        <w:t>,</w:t>
      </w:r>
      <w:r w:rsidRPr="00B12A9E">
        <w:t xml:space="preserve"> 202</w:t>
      </w:r>
      <w:r w:rsidR="00A46DB7">
        <w:t>1</w:t>
      </w:r>
      <w:r w:rsidRPr="00B12A9E">
        <w:t xml:space="preserve"> to </w:t>
      </w:r>
      <w:r w:rsidR="00064529" w:rsidRPr="00B12A9E">
        <w:t>202</w:t>
      </w:r>
      <w:r w:rsidR="00064529">
        <w:t>4</w:t>
      </w:r>
    </w:p>
    <w:p w14:paraId="1056A61E" w14:textId="77777777" w:rsidR="00EA689B" w:rsidRDefault="00EA689B" w:rsidP="00EC7EC7">
      <w:pPr>
        <w:pStyle w:val="Note"/>
        <w:sectPr w:rsidR="00EA689B" w:rsidSect="008A223A">
          <w:type w:val="continuous"/>
          <w:pgSz w:w="16838" w:h="11906" w:orient="landscape" w:code="9"/>
          <w:pgMar w:top="709" w:right="1440" w:bottom="568" w:left="1440" w:header="709" w:footer="709" w:gutter="0"/>
          <w:cols w:num="2" w:space="708"/>
          <w:docGrid w:linePitch="360"/>
        </w:sectPr>
      </w:pPr>
      <w:bookmarkStart w:id="164" w:name="_Hlk164161166"/>
      <w:bookmarkEnd w:id="163"/>
    </w:p>
    <w:p w14:paraId="672F8B50" w14:textId="77777777" w:rsidR="00EA689B" w:rsidRDefault="0014570E" w:rsidP="00EC7EC7">
      <w:pPr>
        <w:pStyle w:val="Note"/>
        <w:sectPr w:rsidR="00EA689B" w:rsidSect="00EA689B">
          <w:type w:val="continuous"/>
          <w:pgSz w:w="16838" w:h="11906" w:orient="landscape" w:code="9"/>
          <w:pgMar w:top="709" w:right="1440" w:bottom="568" w:left="1440" w:header="709" w:footer="709" w:gutter="0"/>
          <w:cols w:space="708"/>
          <w:docGrid w:linePitch="360"/>
        </w:sectPr>
      </w:pPr>
      <w:r>
        <w:rPr>
          <w:noProof/>
        </w:rPr>
        <w:drawing>
          <wp:inline distT="0" distB="0" distL="0" distR="0" wp14:anchorId="5EDC300A" wp14:editId="28BCD6DA">
            <wp:extent cx="8891242" cy="5486400"/>
            <wp:effectExtent l="0" t="0" r="5715" b="0"/>
            <wp:docPr id="27" name="Picture 27" descr="The figure shows east coast gas prices between January 2021 and April 2024. It shows that domestic prices increased as the Russia-Ukraine conflict began in February 2022 and as the forced closure of Weston Energy from May 2022. Prices eased from July 2022 and have been relatively steady since the code was introduced in July 2022. The ACCC netback price is generally above domestic prices, with the notable exception of the June and July 2022, following the forced closure of Westo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figure shows east coast gas prices between January 2021 and April 2024. It shows that domestic prices increased as the Russia-Ukraine conflict began in February 2022 and as the forced closure of Weston Energy from May 2022. Prices eased from July 2022 and have been relatively steady since the code was introduced in July 2022. The ACCC netback price is generally above domestic prices, with the notable exception of the June and July 2022, following the forced closure of Weston Energy."/>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933029" cy="5512185"/>
                    </a:xfrm>
                    <a:prstGeom prst="rect">
                      <a:avLst/>
                    </a:prstGeom>
                    <a:noFill/>
                  </pic:spPr>
                </pic:pic>
              </a:graphicData>
            </a:graphic>
          </wp:inline>
        </w:drawing>
      </w:r>
    </w:p>
    <w:p w14:paraId="44DB5E5F" w14:textId="4869EBFE" w:rsidR="005F6CAF" w:rsidRDefault="005F6CAF" w:rsidP="00EC7EC7">
      <w:pPr>
        <w:pStyle w:val="Note"/>
        <w:sectPr w:rsidR="005F6CAF" w:rsidSect="008A223A">
          <w:type w:val="continuous"/>
          <w:pgSz w:w="16838" w:h="11906" w:orient="landscape" w:code="9"/>
          <w:pgMar w:top="709" w:right="1440" w:bottom="568" w:left="1440" w:header="709" w:footer="709" w:gutter="0"/>
          <w:cols w:num="2" w:space="708"/>
          <w:docGrid w:linePitch="360"/>
        </w:sectPr>
      </w:pPr>
    </w:p>
    <w:bookmarkEnd w:id="164"/>
    <w:p w14:paraId="1544A244" w14:textId="2A78DF64" w:rsidR="00CC3541" w:rsidRDefault="00CC3541" w:rsidP="00E22960">
      <w:pPr>
        <w:pStyle w:val="Source"/>
      </w:pPr>
      <w:r>
        <w:t>Notes: Price data for Short Term Trading Market (STTM) and Declared Wholesale Gas Market (DWGM) are from AEMO. Netback prices are from ACCC. STTM consists of Adelaide, Brisbane and Sydney.</w:t>
      </w:r>
    </w:p>
    <w:p w14:paraId="08D1E8E7" w14:textId="669D293D" w:rsidR="00EC7EC7" w:rsidRDefault="00EC7EC7" w:rsidP="00E22960">
      <w:pPr>
        <w:pStyle w:val="Source"/>
      </w:pPr>
      <w:r>
        <w:t xml:space="preserve">Source: </w:t>
      </w:r>
      <w:r w:rsidR="00CC3541">
        <w:t>AEMO (2024)</w:t>
      </w:r>
      <w:r w:rsidR="00EB1781">
        <w:t>;</w:t>
      </w:r>
      <w:r w:rsidR="00CC3541">
        <w:t xml:space="preserve"> ACCC (2023)</w:t>
      </w:r>
    </w:p>
    <w:p w14:paraId="2EC04019" w14:textId="77777777" w:rsidR="005F6CAF" w:rsidRDefault="005F6CAF" w:rsidP="00E22960">
      <w:pPr>
        <w:pStyle w:val="Source"/>
        <w:sectPr w:rsidR="005F6CAF" w:rsidSect="008A223A">
          <w:type w:val="continuous"/>
          <w:pgSz w:w="16838" w:h="11906" w:orient="landscape" w:code="9"/>
          <w:pgMar w:top="709" w:right="1440" w:bottom="568" w:left="1440" w:header="709" w:footer="709" w:gutter="0"/>
          <w:cols w:space="708"/>
          <w:docGrid w:linePitch="360"/>
        </w:sectPr>
      </w:pPr>
    </w:p>
    <w:p w14:paraId="112E65B8" w14:textId="655D7B78" w:rsidR="00EC7EC7" w:rsidRPr="00863A39" w:rsidRDefault="00EC7EC7" w:rsidP="0048603E">
      <w:pPr>
        <w:pStyle w:val="Heading1"/>
        <w:pageBreakBefore/>
        <w:numPr>
          <w:ilvl w:val="0"/>
          <w:numId w:val="3"/>
        </w:numPr>
      </w:pPr>
      <w:bookmarkStart w:id="165" w:name="_Toc172794533"/>
      <w:bookmarkEnd w:id="143"/>
      <w:bookmarkEnd w:id="161"/>
      <w:r w:rsidRPr="00863A39">
        <w:t>Closing supply gaps</w:t>
      </w:r>
      <w:bookmarkEnd w:id="165"/>
      <w:r w:rsidRPr="00863A39">
        <w:t xml:space="preserve"> </w:t>
      </w:r>
    </w:p>
    <w:p w14:paraId="3C00F346" w14:textId="77777777" w:rsidR="00EC7EC7" w:rsidRPr="009D5FB6" w:rsidRDefault="00EC7EC7" w:rsidP="00A348D8">
      <w:pPr>
        <w:pStyle w:val="Heading2"/>
        <w:numPr>
          <w:ilvl w:val="0"/>
          <w:numId w:val="0"/>
        </w:numPr>
        <w:spacing w:before="120"/>
      </w:pPr>
      <w:bookmarkStart w:id="166" w:name="_Toc158889558"/>
      <w:bookmarkStart w:id="167" w:name="_Toc158889664"/>
      <w:bookmarkStart w:id="168" w:name="_Toc158907975"/>
      <w:bookmarkStart w:id="169" w:name="_Toc161153382"/>
      <w:bookmarkStart w:id="170" w:name="_Toc172794534"/>
      <w:r w:rsidRPr="009D5FB6">
        <w:t>Summary</w:t>
      </w:r>
      <w:bookmarkEnd w:id="166"/>
      <w:bookmarkEnd w:id="167"/>
      <w:bookmarkEnd w:id="168"/>
      <w:bookmarkEnd w:id="169"/>
      <w:bookmarkEnd w:id="170"/>
    </w:p>
    <w:p w14:paraId="0B819D73" w14:textId="4534DEDF" w:rsidR="00EC7EC7" w:rsidRPr="00863A39" w:rsidRDefault="00EC7EC7" w:rsidP="00EC7EC7">
      <w:pPr>
        <w:spacing w:after="120"/>
        <w:rPr>
          <w:color w:val="373737"/>
          <w:sz w:val="20"/>
        </w:rPr>
      </w:pPr>
      <w:r w:rsidRPr="00863A39">
        <w:rPr>
          <w:color w:val="373737"/>
          <w:sz w:val="20"/>
        </w:rPr>
        <w:t xml:space="preserve">This chapter looks at options to </w:t>
      </w:r>
      <w:r w:rsidRPr="00863A39">
        <w:rPr>
          <w:i/>
          <w:iCs/>
          <w:color w:val="373737"/>
          <w:sz w:val="20"/>
        </w:rPr>
        <w:t>increase supply</w:t>
      </w:r>
      <w:r w:rsidRPr="00863A39">
        <w:rPr>
          <w:color w:val="373737"/>
          <w:sz w:val="20"/>
        </w:rPr>
        <w:t xml:space="preserve"> to close regional gaps</w:t>
      </w:r>
      <w:r>
        <w:rPr>
          <w:color w:val="373737"/>
          <w:sz w:val="20"/>
        </w:rPr>
        <w:t xml:space="preserve"> in east, north and west coast markets of Australia</w:t>
      </w:r>
      <w:r w:rsidRPr="00863A39">
        <w:rPr>
          <w:color w:val="373737"/>
          <w:sz w:val="20"/>
        </w:rPr>
        <w:t>.</w:t>
      </w:r>
      <w:r>
        <w:rPr>
          <w:color w:val="373737"/>
          <w:sz w:val="20"/>
        </w:rPr>
        <w:t xml:space="preserve"> </w:t>
      </w:r>
      <w:r w:rsidR="00FD5445">
        <w:rPr>
          <w:color w:val="373737"/>
          <w:sz w:val="20"/>
        </w:rPr>
        <w:t>S</w:t>
      </w:r>
      <w:r>
        <w:rPr>
          <w:color w:val="373737"/>
          <w:sz w:val="20"/>
        </w:rPr>
        <w:t>ignificant risks associated with adequate supply in the Eastern Market</w:t>
      </w:r>
      <w:r w:rsidR="00FD5445">
        <w:rPr>
          <w:color w:val="373737"/>
          <w:sz w:val="20"/>
        </w:rPr>
        <w:t xml:space="preserve"> remain</w:t>
      </w:r>
      <w:r>
        <w:rPr>
          <w:color w:val="373737"/>
          <w:sz w:val="20"/>
        </w:rPr>
        <w:t>.</w:t>
      </w:r>
    </w:p>
    <w:p w14:paraId="0681F02A" w14:textId="403B7040" w:rsidR="00EC7EC7" w:rsidRPr="00F175F5" w:rsidRDefault="00EC7EC7" w:rsidP="00A348D8">
      <w:pPr>
        <w:pStyle w:val="Heading3"/>
        <w:numPr>
          <w:ilvl w:val="2"/>
          <w:numId w:val="3"/>
        </w:numPr>
        <w:spacing w:before="120"/>
      </w:pPr>
      <w:r w:rsidRPr="00F175F5">
        <w:t xml:space="preserve">East and </w:t>
      </w:r>
      <w:r w:rsidR="00A348D8">
        <w:t>n</w:t>
      </w:r>
      <w:r w:rsidRPr="00F175F5">
        <w:t xml:space="preserve">orth </w:t>
      </w:r>
      <w:r w:rsidR="00A348D8">
        <w:t>c</w:t>
      </w:r>
      <w:r>
        <w:t>oast markets</w:t>
      </w:r>
    </w:p>
    <w:p w14:paraId="41E73541" w14:textId="2A124CE9" w:rsidR="00EC7EC7" w:rsidRDefault="00EC7EC7" w:rsidP="00EC7EC7">
      <w:pPr>
        <w:spacing w:after="120"/>
        <w:rPr>
          <w:color w:val="373737"/>
          <w:sz w:val="20"/>
        </w:rPr>
      </w:pPr>
      <w:bookmarkStart w:id="171" w:name="_Hlk160799682"/>
      <w:r>
        <w:rPr>
          <w:color w:val="373737"/>
          <w:sz w:val="20"/>
        </w:rPr>
        <w:t>Forecasts for supply suggest a shortfall in the eastern</w:t>
      </w:r>
      <w:r w:rsidR="00633462">
        <w:rPr>
          <w:color w:val="373737"/>
          <w:sz w:val="20"/>
        </w:rPr>
        <w:t xml:space="preserve"> </w:t>
      </w:r>
      <w:r>
        <w:rPr>
          <w:color w:val="373737"/>
          <w:sz w:val="20"/>
        </w:rPr>
        <w:t xml:space="preserve">markets from 2028. However, the risks of a short run supply shortfall are to the </w:t>
      </w:r>
      <w:r w:rsidR="000F2ADA">
        <w:rPr>
          <w:color w:val="373737"/>
          <w:sz w:val="20"/>
        </w:rPr>
        <w:t>up</w:t>
      </w:r>
      <w:r>
        <w:rPr>
          <w:color w:val="373737"/>
          <w:sz w:val="20"/>
        </w:rPr>
        <w:t>side</w:t>
      </w:r>
      <w:r w:rsidRPr="004F5317">
        <w:rPr>
          <w:color w:val="373737"/>
          <w:sz w:val="20"/>
        </w:rPr>
        <w:t xml:space="preserve">. For example, </w:t>
      </w:r>
      <w:r w:rsidR="00D80470">
        <w:rPr>
          <w:color w:val="373737"/>
          <w:sz w:val="20"/>
        </w:rPr>
        <w:t xml:space="preserve">a </w:t>
      </w:r>
      <w:r w:rsidDel="00034A3E">
        <w:rPr>
          <w:color w:val="373737"/>
          <w:sz w:val="20"/>
        </w:rPr>
        <w:t>company’s</w:t>
      </w:r>
      <w:r w:rsidR="00F32882">
        <w:rPr>
          <w:color w:val="373737"/>
          <w:sz w:val="20"/>
        </w:rPr>
        <w:t xml:space="preserve"> </w:t>
      </w:r>
      <w:r w:rsidRPr="004F5317">
        <w:rPr>
          <w:color w:val="373737"/>
          <w:sz w:val="20"/>
        </w:rPr>
        <w:t>120</w:t>
      </w:r>
      <w:r w:rsidR="00FD5445">
        <w:rPr>
          <w:color w:val="373737"/>
          <w:sz w:val="20"/>
        </w:rPr>
        <w:t xml:space="preserve"> </w:t>
      </w:r>
      <w:r w:rsidRPr="004F5317">
        <w:rPr>
          <w:color w:val="373737"/>
          <w:sz w:val="20"/>
        </w:rPr>
        <w:t xml:space="preserve">PJ </w:t>
      </w:r>
      <w:r w:rsidR="00034A3E">
        <w:rPr>
          <w:color w:val="373737"/>
          <w:sz w:val="20"/>
        </w:rPr>
        <w:t>of new production</w:t>
      </w:r>
      <w:r>
        <w:rPr>
          <w:color w:val="373737"/>
          <w:sz w:val="20"/>
        </w:rPr>
        <w:t xml:space="preserve"> </w:t>
      </w:r>
      <w:r w:rsidR="00034A3E">
        <w:rPr>
          <w:color w:val="373737"/>
          <w:sz w:val="20"/>
        </w:rPr>
        <w:t xml:space="preserve">(coupled with necessary pipeline </w:t>
      </w:r>
      <w:r w:rsidRPr="004F5317">
        <w:rPr>
          <w:color w:val="373737"/>
          <w:sz w:val="20"/>
        </w:rPr>
        <w:t>expansion</w:t>
      </w:r>
      <w:r w:rsidR="00D80470">
        <w:rPr>
          <w:color w:val="373737"/>
          <w:sz w:val="20"/>
        </w:rPr>
        <w:t>s</w:t>
      </w:r>
      <w:r w:rsidR="00034A3E">
        <w:rPr>
          <w:color w:val="373737"/>
          <w:sz w:val="20"/>
        </w:rPr>
        <w:t xml:space="preserve">) are conditional on further approvals. If </w:t>
      </w:r>
      <w:r w:rsidR="00D80470">
        <w:rPr>
          <w:color w:val="373737"/>
          <w:sz w:val="20"/>
        </w:rPr>
        <w:t>approvals are not granted</w:t>
      </w:r>
      <w:r w:rsidR="00034A3E">
        <w:rPr>
          <w:color w:val="373737"/>
          <w:sz w:val="20"/>
        </w:rPr>
        <w:t>,</w:t>
      </w:r>
      <w:r w:rsidRPr="004F5317">
        <w:rPr>
          <w:color w:val="373737"/>
          <w:sz w:val="20"/>
        </w:rPr>
        <w:t xml:space="preserve"> the shortfall will occur by </w:t>
      </w:r>
      <w:r w:rsidR="007F5B54">
        <w:rPr>
          <w:color w:val="373737"/>
          <w:sz w:val="20"/>
        </w:rPr>
        <w:t>2027</w:t>
      </w:r>
      <w:r>
        <w:rPr>
          <w:color w:val="373737"/>
          <w:sz w:val="20"/>
        </w:rPr>
        <w:t>.</w:t>
      </w:r>
      <w:r w:rsidRPr="004F5317">
        <w:rPr>
          <w:color w:val="373737"/>
          <w:sz w:val="20"/>
        </w:rPr>
        <w:t xml:space="preserve"> Over the medium term, there are</w:t>
      </w:r>
      <w:r>
        <w:rPr>
          <w:color w:val="373737"/>
          <w:sz w:val="20"/>
        </w:rPr>
        <w:t xml:space="preserve"> also risks </w:t>
      </w:r>
      <w:r w:rsidR="00E344CF">
        <w:rPr>
          <w:color w:val="373737"/>
          <w:sz w:val="20"/>
        </w:rPr>
        <w:t>forecasting</w:t>
      </w:r>
      <w:r>
        <w:rPr>
          <w:color w:val="373737"/>
          <w:sz w:val="20"/>
        </w:rPr>
        <w:t xml:space="preserve"> supply, particularly from the Narrabri and Surat Basins.</w:t>
      </w:r>
    </w:p>
    <w:p w14:paraId="5DF2C8B7" w14:textId="00B0901C" w:rsidR="00EC7EC7" w:rsidRPr="00863A39" w:rsidRDefault="00EC7EC7" w:rsidP="00EC7EC7">
      <w:pPr>
        <w:spacing w:after="120"/>
        <w:rPr>
          <w:color w:val="373737"/>
          <w:sz w:val="20"/>
        </w:rPr>
      </w:pPr>
      <w:r>
        <w:rPr>
          <w:color w:val="373737"/>
          <w:sz w:val="20"/>
        </w:rPr>
        <w:t>Recently announced a</w:t>
      </w:r>
      <w:r w:rsidRPr="00863A39">
        <w:rPr>
          <w:color w:val="373737"/>
          <w:sz w:val="20"/>
        </w:rPr>
        <w:t xml:space="preserve">dditional production </w:t>
      </w:r>
      <w:r>
        <w:rPr>
          <w:color w:val="373737"/>
          <w:sz w:val="20"/>
        </w:rPr>
        <w:t>from existing offshore Victorian fields</w:t>
      </w:r>
      <w:r w:rsidRPr="00863A39">
        <w:rPr>
          <w:color w:val="373737"/>
          <w:sz w:val="20"/>
        </w:rPr>
        <w:t xml:space="preserve"> is </w:t>
      </w:r>
      <w:r>
        <w:rPr>
          <w:color w:val="373737"/>
          <w:sz w:val="20"/>
        </w:rPr>
        <w:t>in</w:t>
      </w:r>
      <w:r w:rsidRPr="00863A39">
        <w:rPr>
          <w:color w:val="373737"/>
          <w:sz w:val="20"/>
        </w:rPr>
        <w:t xml:space="preserve">sufficient to prevent </w:t>
      </w:r>
      <w:r>
        <w:rPr>
          <w:color w:val="373737"/>
          <w:sz w:val="20"/>
        </w:rPr>
        <w:t>a</w:t>
      </w:r>
      <w:r w:rsidRPr="00863A39">
        <w:rPr>
          <w:color w:val="373737"/>
          <w:sz w:val="20"/>
        </w:rPr>
        <w:t xml:space="preserve"> </w:t>
      </w:r>
      <w:r w:rsidR="00FD5445">
        <w:rPr>
          <w:color w:val="373737"/>
          <w:sz w:val="20"/>
        </w:rPr>
        <w:t xml:space="preserve">shortfall occurring in the </w:t>
      </w:r>
      <w:r w:rsidRPr="00863A39">
        <w:rPr>
          <w:color w:val="373737"/>
          <w:sz w:val="20"/>
        </w:rPr>
        <w:t xml:space="preserve">southern </w:t>
      </w:r>
      <w:r>
        <w:rPr>
          <w:color w:val="373737"/>
          <w:sz w:val="20"/>
        </w:rPr>
        <w:t>states</w:t>
      </w:r>
      <w:r w:rsidRPr="00863A39">
        <w:rPr>
          <w:color w:val="373737"/>
          <w:sz w:val="20"/>
        </w:rPr>
        <w:t>.</w:t>
      </w:r>
      <w:r>
        <w:rPr>
          <w:color w:val="373737"/>
          <w:sz w:val="20"/>
        </w:rPr>
        <w:t xml:space="preserve"> Resolving southern shortages </w:t>
      </w:r>
      <w:r w:rsidRPr="00863A39">
        <w:rPr>
          <w:color w:val="373737"/>
          <w:sz w:val="20"/>
        </w:rPr>
        <w:t xml:space="preserve">requires both additional </w:t>
      </w:r>
      <w:r>
        <w:rPr>
          <w:color w:val="373737"/>
          <w:sz w:val="20"/>
        </w:rPr>
        <w:t xml:space="preserve">northern state and territory </w:t>
      </w:r>
      <w:r w:rsidRPr="00863A39">
        <w:rPr>
          <w:color w:val="373737"/>
          <w:sz w:val="20"/>
        </w:rPr>
        <w:t>production</w:t>
      </w:r>
      <w:r>
        <w:rPr>
          <w:color w:val="373737"/>
          <w:sz w:val="20"/>
        </w:rPr>
        <w:t>, as well as</w:t>
      </w:r>
      <w:r w:rsidRPr="00863A39">
        <w:rPr>
          <w:color w:val="373737"/>
          <w:sz w:val="20"/>
        </w:rPr>
        <w:t xml:space="preserve"> overcoming constraints in the existing network to deliver gas from the northern to southern states.</w:t>
      </w:r>
    </w:p>
    <w:p w14:paraId="460B06F9" w14:textId="2C215F05" w:rsidR="00EC7EC7" w:rsidRDefault="00EC7EC7" w:rsidP="00EC7EC7">
      <w:pPr>
        <w:spacing w:after="120"/>
        <w:rPr>
          <w:color w:val="373737"/>
          <w:sz w:val="20"/>
        </w:rPr>
      </w:pPr>
      <w:r w:rsidRPr="00863A39">
        <w:rPr>
          <w:color w:val="373737"/>
          <w:sz w:val="20"/>
        </w:rPr>
        <w:t xml:space="preserve">Based on stated reserves and contingent resources, </w:t>
      </w:r>
      <w:r w:rsidRPr="00F175F5">
        <w:rPr>
          <w:color w:val="373737"/>
          <w:sz w:val="20"/>
        </w:rPr>
        <w:t>the most likely to be developed</w:t>
      </w:r>
      <w:r w:rsidR="00FD5445">
        <w:rPr>
          <w:color w:val="373737"/>
          <w:sz w:val="20"/>
        </w:rPr>
        <w:t xml:space="preserve"> but</w:t>
      </w:r>
      <w:r>
        <w:rPr>
          <w:color w:val="373737"/>
          <w:sz w:val="20"/>
        </w:rPr>
        <w:t xml:space="preserve"> yet-to-be sanctioned </w:t>
      </w:r>
      <w:r w:rsidRPr="00F175F5">
        <w:rPr>
          <w:color w:val="373737"/>
          <w:sz w:val="20"/>
        </w:rPr>
        <w:t>fields are</w:t>
      </w:r>
      <w:r w:rsidRPr="00863A39">
        <w:rPr>
          <w:color w:val="373737"/>
          <w:sz w:val="20"/>
        </w:rPr>
        <w:t xml:space="preserve"> in the Surat Basin (</w:t>
      </w:r>
      <w:r>
        <w:rPr>
          <w:color w:val="373737"/>
          <w:sz w:val="20"/>
        </w:rPr>
        <w:t>Queensland</w:t>
      </w:r>
      <w:r w:rsidRPr="00863A39">
        <w:rPr>
          <w:color w:val="373737"/>
          <w:sz w:val="20"/>
        </w:rPr>
        <w:t>), Narrabri (NSW) and Beetaloo Sub-basin</w:t>
      </w:r>
      <w:r>
        <w:rPr>
          <w:color w:val="373737"/>
          <w:sz w:val="20"/>
        </w:rPr>
        <w:t xml:space="preserve"> (Northern Territory</w:t>
      </w:r>
      <w:r w:rsidRPr="00F175F5">
        <w:rPr>
          <w:color w:val="373737"/>
          <w:sz w:val="20"/>
        </w:rPr>
        <w:t xml:space="preserve">). The estimated costs of production and </w:t>
      </w:r>
      <w:r w:rsidRPr="008F6BCB">
        <w:rPr>
          <w:color w:val="373737"/>
          <w:sz w:val="20"/>
        </w:rPr>
        <w:t xml:space="preserve">delivery to Melbourne from Surat, Narrabri and Beetaloo are </w:t>
      </w:r>
      <w:r w:rsidR="00B56614" w:rsidRPr="008F6BCB">
        <w:rPr>
          <w:color w:val="373737"/>
          <w:sz w:val="20"/>
        </w:rPr>
        <w:t xml:space="preserve">estimated at around </w:t>
      </w:r>
      <w:r w:rsidRPr="008F6BCB">
        <w:rPr>
          <w:color w:val="373737"/>
          <w:sz w:val="20"/>
        </w:rPr>
        <w:t>$</w:t>
      </w:r>
      <w:r w:rsidR="003C5353" w:rsidRPr="008F6BCB">
        <w:rPr>
          <w:color w:val="373737"/>
          <w:sz w:val="20"/>
        </w:rPr>
        <w:t xml:space="preserve">9 </w:t>
      </w:r>
      <w:r w:rsidRPr="008F6BCB">
        <w:rPr>
          <w:color w:val="373737"/>
          <w:sz w:val="20"/>
        </w:rPr>
        <w:t>to $</w:t>
      </w:r>
      <w:r w:rsidR="003C5353" w:rsidRPr="008F6BCB">
        <w:rPr>
          <w:color w:val="373737"/>
          <w:sz w:val="20"/>
        </w:rPr>
        <w:t>13</w:t>
      </w:r>
      <w:r w:rsidRPr="008F6BCB">
        <w:rPr>
          <w:color w:val="373737"/>
          <w:sz w:val="20"/>
        </w:rPr>
        <w:t>/GJ.</w:t>
      </w:r>
    </w:p>
    <w:p w14:paraId="301746EA" w14:textId="11BD0E3A" w:rsidR="00EC7EC7" w:rsidRDefault="00EC7EC7" w:rsidP="00615095">
      <w:pPr>
        <w:spacing w:after="120"/>
        <w:rPr>
          <w:color w:val="373737"/>
          <w:sz w:val="20"/>
        </w:rPr>
      </w:pPr>
      <w:r>
        <w:rPr>
          <w:color w:val="373737"/>
          <w:sz w:val="20"/>
        </w:rPr>
        <w:t xml:space="preserve">However, </w:t>
      </w:r>
      <w:r w:rsidRPr="00F175F5">
        <w:rPr>
          <w:color w:val="373737"/>
          <w:sz w:val="20"/>
        </w:rPr>
        <w:t xml:space="preserve">these </w:t>
      </w:r>
      <w:r w:rsidR="00FD5445">
        <w:rPr>
          <w:color w:val="373737"/>
          <w:sz w:val="20"/>
        </w:rPr>
        <w:t>3</w:t>
      </w:r>
      <w:r>
        <w:rPr>
          <w:color w:val="373737"/>
          <w:sz w:val="20"/>
        </w:rPr>
        <w:t xml:space="preserve"> </w:t>
      </w:r>
      <w:r w:rsidRPr="00F175F5">
        <w:rPr>
          <w:color w:val="373737"/>
          <w:sz w:val="20"/>
        </w:rPr>
        <w:t xml:space="preserve">fields </w:t>
      </w:r>
      <w:r w:rsidR="00B56614">
        <w:rPr>
          <w:color w:val="373737"/>
          <w:sz w:val="20"/>
        </w:rPr>
        <w:t>are unlikely to provide additional (above forecast) supply ahead of forecast shortfalls. A</w:t>
      </w:r>
      <w:r>
        <w:rPr>
          <w:color w:val="373737"/>
          <w:sz w:val="20"/>
        </w:rPr>
        <w:t xml:space="preserve">ll </w:t>
      </w:r>
      <w:r w:rsidR="00FD5445">
        <w:rPr>
          <w:color w:val="373737"/>
          <w:sz w:val="20"/>
        </w:rPr>
        <w:t>fields</w:t>
      </w:r>
      <w:r>
        <w:rPr>
          <w:color w:val="373737"/>
          <w:sz w:val="20"/>
        </w:rPr>
        <w:t xml:space="preserve"> </w:t>
      </w:r>
      <w:r w:rsidRPr="00F175F5">
        <w:rPr>
          <w:color w:val="373737"/>
          <w:sz w:val="20"/>
        </w:rPr>
        <w:t xml:space="preserve">require further exploration and development to prove commerciality, </w:t>
      </w:r>
      <w:r w:rsidRPr="00863A39">
        <w:rPr>
          <w:color w:val="373737"/>
          <w:sz w:val="20"/>
        </w:rPr>
        <w:t xml:space="preserve">and </w:t>
      </w:r>
      <w:r>
        <w:rPr>
          <w:color w:val="373737"/>
          <w:sz w:val="20"/>
        </w:rPr>
        <w:t xml:space="preserve">well and completion </w:t>
      </w:r>
      <w:r w:rsidRPr="00863A39">
        <w:rPr>
          <w:color w:val="373737"/>
          <w:sz w:val="20"/>
        </w:rPr>
        <w:t>costs</w:t>
      </w:r>
      <w:r>
        <w:rPr>
          <w:color w:val="373737"/>
          <w:sz w:val="20"/>
        </w:rPr>
        <w:t xml:space="preserve"> </w:t>
      </w:r>
      <w:r w:rsidRPr="00863A39">
        <w:rPr>
          <w:color w:val="373737"/>
          <w:sz w:val="20"/>
        </w:rPr>
        <w:t xml:space="preserve">will depend on the efficiency of new extraction methods as well as the emissions potential of these fields (currently unknown). These fields will be subject to regulatory approvals and </w:t>
      </w:r>
      <w:r>
        <w:rPr>
          <w:color w:val="373737"/>
          <w:sz w:val="20"/>
        </w:rPr>
        <w:t xml:space="preserve">strong </w:t>
      </w:r>
      <w:r w:rsidRPr="00863A39">
        <w:rPr>
          <w:color w:val="373737"/>
          <w:sz w:val="20"/>
        </w:rPr>
        <w:t>competing land use claims.</w:t>
      </w:r>
    </w:p>
    <w:p w14:paraId="08084B4A" w14:textId="64123652" w:rsidR="00EC7EC7" w:rsidRPr="00863A39" w:rsidRDefault="00FD5445" w:rsidP="00EC7EC7">
      <w:pPr>
        <w:pStyle w:val="BodyText"/>
      </w:pPr>
      <w:r>
        <w:t>Until recently, t</w:t>
      </w:r>
      <w:r w:rsidR="00EC7EC7">
        <w:t xml:space="preserve">he </w:t>
      </w:r>
      <w:r w:rsidR="00EC7EC7" w:rsidRPr="00863A39">
        <w:t xml:space="preserve">Northern Territory was </w:t>
      </w:r>
      <w:r w:rsidR="00EC7EC7">
        <w:t>a</w:t>
      </w:r>
      <w:r w:rsidR="00EC7EC7" w:rsidRPr="00863A39">
        <w:t xml:space="preserve"> net exporter of gas</w:t>
      </w:r>
      <w:r w:rsidR="00EC7EC7">
        <w:t xml:space="preserve"> to eastern </w:t>
      </w:r>
      <w:r>
        <w:t>s</w:t>
      </w:r>
      <w:r w:rsidR="00EC7EC7">
        <w:t>tates</w:t>
      </w:r>
      <w:r w:rsidR="00EC7EC7" w:rsidRPr="00863A39">
        <w:t xml:space="preserve">. </w:t>
      </w:r>
      <w:r w:rsidR="00EC7EC7">
        <w:t xml:space="preserve">An unanticipated fall in </w:t>
      </w:r>
      <w:r w:rsidR="00995E19">
        <w:t xml:space="preserve">offshore </w:t>
      </w:r>
      <w:r w:rsidR="00EC7EC7">
        <w:t xml:space="preserve">production means the </w:t>
      </w:r>
      <w:r w:rsidR="00EC7EC7" w:rsidRPr="00863A39">
        <w:t xml:space="preserve">Northern Territory </w:t>
      </w:r>
      <w:r w:rsidR="00EC7EC7">
        <w:t>must now rely on supply from LNG facilities to meet local demand. The commerciality of the Beetaloo Basin will determine the ability of the Northern Territory to shift back to being a net exporter of gas.</w:t>
      </w:r>
    </w:p>
    <w:p w14:paraId="413D05E9" w14:textId="15F16910" w:rsidR="00EC7EC7" w:rsidRPr="00863A39" w:rsidRDefault="00EC7EC7" w:rsidP="00EC7EC7">
      <w:pPr>
        <w:spacing w:after="120"/>
        <w:rPr>
          <w:color w:val="373737"/>
          <w:sz w:val="20"/>
        </w:rPr>
      </w:pPr>
      <w:r w:rsidRPr="00F175F5">
        <w:rPr>
          <w:color w:val="373737"/>
          <w:sz w:val="20"/>
        </w:rPr>
        <w:t xml:space="preserve">Options to increase transportation to the south-eastern states </w:t>
      </w:r>
      <w:r w:rsidR="00B56614">
        <w:rPr>
          <w:color w:val="373737"/>
          <w:sz w:val="20"/>
        </w:rPr>
        <w:t xml:space="preserve">from potential future fields </w:t>
      </w:r>
      <w:r w:rsidRPr="00F175F5">
        <w:rPr>
          <w:color w:val="373737"/>
          <w:sz w:val="20"/>
        </w:rPr>
        <w:t xml:space="preserve">include additional pipelines and processing facilities, as well as LNG import terminals. </w:t>
      </w:r>
      <w:r w:rsidR="00B56614">
        <w:rPr>
          <w:color w:val="373737"/>
          <w:sz w:val="20"/>
        </w:rPr>
        <w:t>Import terminals provide the fastest date to completion but face regulatory and commercial hurdles. Pricing of gas from import terminals is likely to be higher than current domestic prices.</w:t>
      </w:r>
    </w:p>
    <w:p w14:paraId="5D18A60B" w14:textId="0FBF3EF5" w:rsidR="00EC7EC7" w:rsidRPr="00863A39" w:rsidRDefault="00EC7EC7" w:rsidP="00EC7EC7">
      <w:pPr>
        <w:spacing w:after="120"/>
        <w:rPr>
          <w:color w:val="373737"/>
          <w:sz w:val="20"/>
        </w:rPr>
      </w:pPr>
      <w:r>
        <w:rPr>
          <w:color w:val="373737"/>
          <w:sz w:val="20"/>
        </w:rPr>
        <w:t>The p</w:t>
      </w:r>
      <w:r w:rsidRPr="00863A39">
        <w:rPr>
          <w:color w:val="373737"/>
          <w:sz w:val="20"/>
        </w:rPr>
        <w:t>ric</w:t>
      </w:r>
      <w:r>
        <w:rPr>
          <w:color w:val="373737"/>
          <w:sz w:val="20"/>
        </w:rPr>
        <w:t>e</w:t>
      </w:r>
      <w:r w:rsidRPr="00863A39">
        <w:rPr>
          <w:color w:val="373737"/>
          <w:sz w:val="20"/>
        </w:rPr>
        <w:t xml:space="preserve"> of gas from </w:t>
      </w:r>
      <w:r>
        <w:rPr>
          <w:color w:val="373737"/>
          <w:sz w:val="20"/>
        </w:rPr>
        <w:t xml:space="preserve">proposed </w:t>
      </w:r>
      <w:r w:rsidRPr="00863A39">
        <w:rPr>
          <w:color w:val="373737"/>
          <w:sz w:val="20"/>
        </w:rPr>
        <w:t>import terminals is uncertain</w:t>
      </w:r>
      <w:r>
        <w:rPr>
          <w:color w:val="373737"/>
          <w:sz w:val="20"/>
        </w:rPr>
        <w:t xml:space="preserve">. Developers are also </w:t>
      </w:r>
      <w:r w:rsidRPr="00863A39">
        <w:rPr>
          <w:color w:val="373737"/>
          <w:sz w:val="20"/>
        </w:rPr>
        <w:t>finding it difficult to secure offtake agreements with domestic users. Import terminals also offer crucial storage near demand centres</w:t>
      </w:r>
      <w:r w:rsidR="009C09AB" w:rsidRPr="00863A39">
        <w:rPr>
          <w:color w:val="373737"/>
          <w:sz w:val="20"/>
        </w:rPr>
        <w:t xml:space="preserve"> and</w:t>
      </w:r>
      <w:r w:rsidRPr="00863A39">
        <w:rPr>
          <w:color w:val="373737"/>
          <w:sz w:val="20"/>
        </w:rPr>
        <w:t xml:space="preserve"> can improve the resilience of the system as peaking demand from GPG grows and becomes more volatile over time.</w:t>
      </w:r>
      <w:r>
        <w:rPr>
          <w:color w:val="373737"/>
          <w:sz w:val="20"/>
        </w:rPr>
        <w:t xml:space="preserve"> But</w:t>
      </w:r>
      <w:r w:rsidR="00FD5445">
        <w:rPr>
          <w:color w:val="373737"/>
          <w:sz w:val="20"/>
        </w:rPr>
        <w:t>,</w:t>
      </w:r>
      <w:r>
        <w:rPr>
          <w:color w:val="373737"/>
          <w:sz w:val="20"/>
        </w:rPr>
        <w:t xml:space="preserve"> like new gas supply, import terminals face regulatory, infrastructure and commercial hurdles.</w:t>
      </w:r>
    </w:p>
    <w:bookmarkEnd w:id="171"/>
    <w:p w14:paraId="15A6CB24" w14:textId="1122098A" w:rsidR="00EC7EC7" w:rsidRPr="00F175F5" w:rsidRDefault="00EC7EC7" w:rsidP="00A348D8">
      <w:pPr>
        <w:pStyle w:val="Heading3"/>
        <w:numPr>
          <w:ilvl w:val="2"/>
          <w:numId w:val="3"/>
        </w:numPr>
        <w:spacing w:before="120"/>
      </w:pPr>
      <w:r w:rsidRPr="00F175F5">
        <w:t>West</w:t>
      </w:r>
      <w:r>
        <w:t xml:space="preserve"> </w:t>
      </w:r>
      <w:r w:rsidR="00A348D8">
        <w:t>c</w:t>
      </w:r>
      <w:r>
        <w:t>oast market</w:t>
      </w:r>
    </w:p>
    <w:p w14:paraId="3ACBE112" w14:textId="6C6A148B" w:rsidR="00EC7EC7" w:rsidRDefault="00EC7EC7" w:rsidP="00EC7EC7">
      <w:pPr>
        <w:spacing w:after="120"/>
        <w:rPr>
          <w:color w:val="373737"/>
          <w:sz w:val="20"/>
        </w:rPr>
      </w:pPr>
      <w:r w:rsidRPr="00FC5C58">
        <w:rPr>
          <w:color w:val="373737"/>
          <w:sz w:val="20"/>
        </w:rPr>
        <w:t xml:space="preserve">On the </w:t>
      </w:r>
      <w:r>
        <w:rPr>
          <w:color w:val="373737"/>
          <w:sz w:val="20"/>
        </w:rPr>
        <w:t>w</w:t>
      </w:r>
      <w:r w:rsidRPr="00FC5C58">
        <w:rPr>
          <w:color w:val="373737"/>
          <w:sz w:val="20"/>
        </w:rPr>
        <w:t xml:space="preserve">est </w:t>
      </w:r>
      <w:r>
        <w:rPr>
          <w:color w:val="373737"/>
          <w:sz w:val="20"/>
        </w:rPr>
        <w:t>c</w:t>
      </w:r>
      <w:r w:rsidRPr="00FC5C58">
        <w:rPr>
          <w:color w:val="373737"/>
          <w:sz w:val="20"/>
        </w:rPr>
        <w:t xml:space="preserve">oast, </w:t>
      </w:r>
      <w:r>
        <w:rPr>
          <w:color w:val="373737"/>
          <w:sz w:val="20"/>
        </w:rPr>
        <w:t>the demand and supply</w:t>
      </w:r>
      <w:r w:rsidRPr="00FC5C58">
        <w:rPr>
          <w:color w:val="373737"/>
          <w:sz w:val="20"/>
        </w:rPr>
        <w:t xml:space="preserve"> </w:t>
      </w:r>
      <w:r>
        <w:rPr>
          <w:color w:val="373737"/>
          <w:sz w:val="20"/>
        </w:rPr>
        <w:t>balance hinges on the level of domestic gas requirements placed on LNG exporters</w:t>
      </w:r>
      <w:r w:rsidR="00CA7FB9">
        <w:rPr>
          <w:color w:val="373737"/>
          <w:sz w:val="20"/>
        </w:rPr>
        <w:t xml:space="preserve"> and </w:t>
      </w:r>
      <w:r w:rsidR="00C91D31">
        <w:rPr>
          <w:color w:val="373737"/>
          <w:sz w:val="20"/>
        </w:rPr>
        <w:t xml:space="preserve">potential </w:t>
      </w:r>
      <w:r w:rsidR="00CA7FB9">
        <w:rPr>
          <w:color w:val="373737"/>
          <w:sz w:val="20"/>
        </w:rPr>
        <w:t>new and offshore</w:t>
      </w:r>
      <w:r w:rsidR="0049128F">
        <w:rPr>
          <w:color w:val="373737"/>
          <w:sz w:val="20"/>
        </w:rPr>
        <w:t xml:space="preserve"> </w:t>
      </w:r>
      <w:r w:rsidR="00CA7FB9">
        <w:rPr>
          <w:color w:val="373737"/>
          <w:sz w:val="20"/>
        </w:rPr>
        <w:t>discoveries</w:t>
      </w:r>
      <w:r>
        <w:rPr>
          <w:color w:val="373737"/>
          <w:sz w:val="20"/>
        </w:rPr>
        <w:t>.</w:t>
      </w:r>
    </w:p>
    <w:p w14:paraId="3A8643D6" w14:textId="5D0BD3D0" w:rsidR="00EC7EC7" w:rsidRPr="00863A39" w:rsidRDefault="00EC7EC7" w:rsidP="00EC7EC7">
      <w:pPr>
        <w:spacing w:after="120"/>
        <w:rPr>
          <w:color w:val="373737"/>
          <w:sz w:val="20"/>
        </w:rPr>
      </w:pPr>
      <w:r>
        <w:rPr>
          <w:color w:val="373737"/>
          <w:sz w:val="20"/>
        </w:rPr>
        <w:t>AEMO</w:t>
      </w:r>
      <w:r w:rsidR="0015552C">
        <w:rPr>
          <w:color w:val="373737"/>
          <w:sz w:val="20"/>
        </w:rPr>
        <w:t xml:space="preserve"> (2023)</w:t>
      </w:r>
      <w:r>
        <w:rPr>
          <w:color w:val="373737"/>
          <w:sz w:val="20"/>
        </w:rPr>
        <w:t xml:space="preserve"> forecasts t</w:t>
      </w:r>
      <w:r w:rsidRPr="00FC5C58">
        <w:rPr>
          <w:color w:val="373737"/>
          <w:sz w:val="20"/>
        </w:rPr>
        <w:t xml:space="preserve">he Western Australia domestic gas market </w:t>
      </w:r>
      <w:r>
        <w:rPr>
          <w:color w:val="373737"/>
          <w:sz w:val="20"/>
        </w:rPr>
        <w:t xml:space="preserve">will </w:t>
      </w:r>
      <w:r w:rsidRPr="00FC5C58">
        <w:rPr>
          <w:color w:val="373737"/>
          <w:sz w:val="20"/>
        </w:rPr>
        <w:t>be in deficit between 2024 and 2029</w:t>
      </w:r>
      <w:r>
        <w:rPr>
          <w:color w:val="373737"/>
          <w:sz w:val="20"/>
        </w:rPr>
        <w:t>. T</w:t>
      </w:r>
      <w:r w:rsidRPr="00FC5C58">
        <w:rPr>
          <w:color w:val="373737"/>
          <w:sz w:val="20"/>
        </w:rPr>
        <w:t xml:space="preserve">he demand and supply balance in Western Australia is tightening due to </w:t>
      </w:r>
      <w:r w:rsidR="0049128F">
        <w:rPr>
          <w:color w:val="373737"/>
          <w:sz w:val="20"/>
        </w:rPr>
        <w:t xml:space="preserve">changing demand patterns, </w:t>
      </w:r>
      <w:r w:rsidRPr="00FC5C58">
        <w:rPr>
          <w:color w:val="373737"/>
          <w:sz w:val="20"/>
        </w:rPr>
        <w:t>delays in project development</w:t>
      </w:r>
      <w:r w:rsidR="0049128F">
        <w:rPr>
          <w:color w:val="373737"/>
          <w:sz w:val="20"/>
        </w:rPr>
        <w:t xml:space="preserve"> and</w:t>
      </w:r>
      <w:r>
        <w:rPr>
          <w:color w:val="373737"/>
          <w:sz w:val="20"/>
        </w:rPr>
        <w:t xml:space="preserve"> the </w:t>
      </w:r>
      <w:r w:rsidR="00CA7FB9">
        <w:rPr>
          <w:color w:val="373737"/>
          <w:sz w:val="20"/>
        </w:rPr>
        <w:t xml:space="preserve">reduced </w:t>
      </w:r>
      <w:r w:rsidR="00CA7FB9" w:rsidRPr="009E7B52">
        <w:rPr>
          <w:color w:val="373737"/>
          <w:sz w:val="20"/>
        </w:rPr>
        <w:t xml:space="preserve">ability </w:t>
      </w:r>
      <w:r w:rsidR="0049128F">
        <w:rPr>
          <w:color w:val="373737"/>
          <w:sz w:val="20"/>
        </w:rPr>
        <w:t xml:space="preserve">of </w:t>
      </w:r>
      <w:r w:rsidR="00CA7FB9">
        <w:rPr>
          <w:color w:val="373737"/>
          <w:sz w:val="20"/>
        </w:rPr>
        <w:t>existing</w:t>
      </w:r>
      <w:r w:rsidR="00CA7FB9" w:rsidRPr="009E7B52">
        <w:rPr>
          <w:color w:val="373737"/>
          <w:sz w:val="20"/>
        </w:rPr>
        <w:t xml:space="preserve"> fields to supply gas as they deplete and enter end-of-life phase</w:t>
      </w:r>
      <w:r w:rsidRPr="00FC5C58">
        <w:rPr>
          <w:color w:val="373737"/>
          <w:sz w:val="20"/>
        </w:rPr>
        <w:t>. Pricing may be put under pressure as the market tightens.</w:t>
      </w:r>
    </w:p>
    <w:p w14:paraId="4BE5297B" w14:textId="18F29B1C" w:rsidR="00EC7EC7" w:rsidRPr="00863A39" w:rsidRDefault="00EC7EC7" w:rsidP="00EC7EC7">
      <w:pPr>
        <w:spacing w:after="120"/>
        <w:rPr>
          <w:color w:val="373737"/>
          <w:sz w:val="20"/>
        </w:rPr>
      </w:pPr>
      <w:r>
        <w:rPr>
          <w:color w:val="373737"/>
          <w:sz w:val="20"/>
        </w:rPr>
        <w:t>The</w:t>
      </w:r>
      <w:r w:rsidRPr="00863A39">
        <w:rPr>
          <w:color w:val="373737"/>
          <w:sz w:val="20"/>
        </w:rPr>
        <w:t xml:space="preserve"> Western Australian Parliament’s Economics and Industry Standing Committee interim report into the W</w:t>
      </w:r>
      <w:r w:rsidR="00C815CC">
        <w:rPr>
          <w:color w:val="373737"/>
          <w:sz w:val="20"/>
        </w:rPr>
        <w:t xml:space="preserve">estern </w:t>
      </w:r>
      <w:r w:rsidRPr="00863A39">
        <w:rPr>
          <w:color w:val="373737"/>
          <w:sz w:val="20"/>
        </w:rPr>
        <w:t>A</w:t>
      </w:r>
      <w:r w:rsidR="00C815CC">
        <w:rPr>
          <w:color w:val="373737"/>
          <w:sz w:val="20"/>
        </w:rPr>
        <w:t>u</w:t>
      </w:r>
      <w:r w:rsidR="007B035D">
        <w:rPr>
          <w:color w:val="373737"/>
          <w:sz w:val="20"/>
        </w:rPr>
        <w:t>st</w:t>
      </w:r>
      <w:r w:rsidR="00C815CC">
        <w:rPr>
          <w:color w:val="373737"/>
          <w:sz w:val="20"/>
        </w:rPr>
        <w:t>ralian</w:t>
      </w:r>
      <w:r w:rsidRPr="00863A39">
        <w:rPr>
          <w:color w:val="373737"/>
          <w:sz w:val="20"/>
        </w:rPr>
        <w:t xml:space="preserve"> Domestic Gas Policy</w:t>
      </w:r>
      <w:r>
        <w:rPr>
          <w:color w:val="373737"/>
          <w:sz w:val="20"/>
        </w:rPr>
        <w:t xml:space="preserve"> found</w:t>
      </w:r>
      <w:r w:rsidRPr="00863A39">
        <w:rPr>
          <w:color w:val="373737"/>
          <w:sz w:val="20"/>
        </w:rPr>
        <w:t xml:space="preserve"> the domestic gas reservation scheme was </w:t>
      </w:r>
      <w:r w:rsidR="00BD393C">
        <w:rPr>
          <w:color w:val="373737"/>
          <w:sz w:val="20"/>
        </w:rPr>
        <w:t>‘</w:t>
      </w:r>
      <w:r w:rsidRPr="00863A39">
        <w:rPr>
          <w:color w:val="373737"/>
          <w:sz w:val="20"/>
        </w:rPr>
        <w:t>no longer fit for purpose</w:t>
      </w:r>
      <w:r w:rsidR="00BD393C">
        <w:rPr>
          <w:color w:val="373737"/>
          <w:sz w:val="20"/>
        </w:rPr>
        <w:t>’</w:t>
      </w:r>
      <w:r w:rsidRPr="00863A39">
        <w:rPr>
          <w:color w:val="373737"/>
          <w:sz w:val="20"/>
        </w:rPr>
        <w:t xml:space="preserve"> and may require government intervention.</w:t>
      </w:r>
    </w:p>
    <w:p w14:paraId="6D499FCC" w14:textId="21AD4628" w:rsidR="00FA1C89" w:rsidRPr="00863A39" w:rsidRDefault="00EC7EC7" w:rsidP="00FA1C89">
      <w:pPr>
        <w:pStyle w:val="Heading2"/>
        <w:numPr>
          <w:ilvl w:val="1"/>
          <w:numId w:val="20"/>
        </w:numPr>
      </w:pPr>
      <w:r w:rsidRPr="00863A39">
        <w:br w:type="page"/>
      </w:r>
      <w:bookmarkStart w:id="172" w:name="_Toc172794535"/>
      <w:r w:rsidR="00FA1C89" w:rsidRPr="00863A39">
        <w:t xml:space="preserve">Potential to increase </w:t>
      </w:r>
      <w:r w:rsidR="008E5712">
        <w:t>e</w:t>
      </w:r>
      <w:r w:rsidR="00FA1C89" w:rsidRPr="00863A39">
        <w:t xml:space="preserve">ast </w:t>
      </w:r>
      <w:r w:rsidR="008E5712">
        <w:t>c</w:t>
      </w:r>
      <w:r w:rsidR="00FA1C89" w:rsidRPr="00863A39">
        <w:t>oast production</w:t>
      </w:r>
      <w:bookmarkEnd w:id="172"/>
    </w:p>
    <w:p w14:paraId="3CEFC8CE" w14:textId="489D64DC" w:rsidR="00EC7EC7" w:rsidRDefault="00EC7EC7" w:rsidP="00A348D8">
      <w:pPr>
        <w:spacing w:before="120" w:after="120"/>
        <w:rPr>
          <w:color w:val="373737"/>
          <w:sz w:val="20"/>
        </w:rPr>
      </w:pPr>
      <w:r w:rsidRPr="00FC5C58">
        <w:rPr>
          <w:color w:val="373737"/>
          <w:sz w:val="20"/>
        </w:rPr>
        <w:t xml:space="preserve">This chapter explores developments and options to </w:t>
      </w:r>
      <w:r w:rsidRPr="00F175F5">
        <w:rPr>
          <w:i/>
          <w:iCs/>
          <w:color w:val="373737"/>
          <w:sz w:val="20"/>
        </w:rPr>
        <w:t>increase supply</w:t>
      </w:r>
      <w:r>
        <w:rPr>
          <w:color w:val="373737"/>
          <w:sz w:val="20"/>
        </w:rPr>
        <w:t xml:space="preserve"> and help </w:t>
      </w:r>
      <w:r w:rsidRPr="00FC5C58">
        <w:rPr>
          <w:color w:val="373737"/>
          <w:sz w:val="20"/>
        </w:rPr>
        <w:t xml:space="preserve">alleviate shortages both at a national and regional level. </w:t>
      </w:r>
      <w:r>
        <w:rPr>
          <w:color w:val="373737"/>
          <w:sz w:val="20"/>
        </w:rPr>
        <w:t xml:space="preserve">Potential supply shortages are due to falling southern and </w:t>
      </w:r>
      <w:r w:rsidR="00C95145">
        <w:rPr>
          <w:color w:val="373737"/>
          <w:sz w:val="20"/>
        </w:rPr>
        <w:t>n</w:t>
      </w:r>
      <w:r>
        <w:rPr>
          <w:color w:val="373737"/>
          <w:sz w:val="20"/>
        </w:rPr>
        <w:t>orthern production</w:t>
      </w:r>
      <w:r w:rsidR="00C95145">
        <w:rPr>
          <w:color w:val="373737"/>
          <w:sz w:val="20"/>
        </w:rPr>
        <w:t xml:space="preserve"> in existing fields</w:t>
      </w:r>
      <w:r>
        <w:rPr>
          <w:color w:val="373737"/>
          <w:sz w:val="20"/>
        </w:rPr>
        <w:t>, delays to anticipated supply in NSW and Queensland, plus limited pipeline capacity to transport gas from north</w:t>
      </w:r>
      <w:r w:rsidR="00FD5445">
        <w:rPr>
          <w:color w:val="373737"/>
          <w:sz w:val="20"/>
        </w:rPr>
        <w:t>ern</w:t>
      </w:r>
      <w:r>
        <w:rPr>
          <w:color w:val="373737"/>
          <w:sz w:val="20"/>
        </w:rPr>
        <w:t xml:space="preserve"> to south</w:t>
      </w:r>
      <w:r w:rsidR="00FD5445">
        <w:rPr>
          <w:color w:val="373737"/>
          <w:sz w:val="20"/>
        </w:rPr>
        <w:t>ern states</w:t>
      </w:r>
      <w:r w:rsidRPr="00FC5C58">
        <w:rPr>
          <w:color w:val="373737"/>
          <w:sz w:val="20"/>
        </w:rPr>
        <w:t xml:space="preserve">. </w:t>
      </w:r>
    </w:p>
    <w:p w14:paraId="0CDA6ED1" w14:textId="6BDA6B41" w:rsidR="00EC7EC7" w:rsidRDefault="00EC7EC7" w:rsidP="00EC7EC7">
      <w:pPr>
        <w:spacing w:after="120"/>
        <w:rPr>
          <w:color w:val="373737"/>
          <w:sz w:val="20"/>
        </w:rPr>
      </w:pPr>
      <w:r w:rsidRPr="00FC5C58">
        <w:rPr>
          <w:color w:val="373737"/>
          <w:sz w:val="20"/>
        </w:rPr>
        <w:t>To the extent possible, this chapter also explores pricing implications of those developments and options</w:t>
      </w:r>
      <w:r w:rsidR="00F864BE">
        <w:rPr>
          <w:color w:val="373737"/>
          <w:sz w:val="20"/>
        </w:rPr>
        <w:t>.</w:t>
      </w:r>
    </w:p>
    <w:p w14:paraId="32DA0F7C" w14:textId="77777777" w:rsidR="00EC7EC7" w:rsidRPr="00FC5C58" w:rsidRDefault="00EC7EC7" w:rsidP="00EC7EC7">
      <w:pPr>
        <w:spacing w:after="120"/>
        <w:rPr>
          <w:color w:val="373737"/>
          <w:sz w:val="20"/>
        </w:rPr>
      </w:pPr>
      <w:r>
        <w:rPr>
          <w:color w:val="373737"/>
          <w:sz w:val="20"/>
        </w:rPr>
        <w:t>Options to reduce demand are covered in Chapter 3.</w:t>
      </w:r>
    </w:p>
    <w:p w14:paraId="3825D672" w14:textId="1B0396EF" w:rsidR="00EC7EC7" w:rsidRPr="00863A39" w:rsidRDefault="00EC7EC7" w:rsidP="00EC7EC7">
      <w:pPr>
        <w:spacing w:after="120"/>
        <w:rPr>
          <w:color w:val="373737"/>
          <w:sz w:val="20"/>
        </w:rPr>
      </w:pPr>
      <w:r w:rsidRPr="00863A39">
        <w:rPr>
          <w:color w:val="373737"/>
          <w:sz w:val="20"/>
        </w:rPr>
        <w:t xml:space="preserve">Chapter 5 shows the east coast gas market could have sufficient gas supply to meet domestic (and LNG export) demand for many years if </w:t>
      </w:r>
      <w:r w:rsidRPr="00094BCC">
        <w:rPr>
          <w:color w:val="373737"/>
          <w:sz w:val="20"/>
        </w:rPr>
        <w:t>additional</w:t>
      </w:r>
      <w:r w:rsidRPr="00863A39">
        <w:rPr>
          <w:color w:val="373737"/>
          <w:sz w:val="20"/>
        </w:rPr>
        <w:t xml:space="preserve"> </w:t>
      </w:r>
      <w:r w:rsidR="00C95145">
        <w:rPr>
          <w:color w:val="373737"/>
          <w:sz w:val="20"/>
        </w:rPr>
        <w:t xml:space="preserve">(above forecast) </w:t>
      </w:r>
      <w:r w:rsidRPr="00863A39">
        <w:rPr>
          <w:color w:val="373737"/>
          <w:sz w:val="20"/>
        </w:rPr>
        <w:t>gas supply c</w:t>
      </w:r>
      <w:r w:rsidR="009E4215">
        <w:rPr>
          <w:color w:val="373737"/>
          <w:sz w:val="20"/>
        </w:rPr>
        <w:t>an</w:t>
      </w:r>
      <w:r w:rsidRPr="00863A39">
        <w:rPr>
          <w:color w:val="373737"/>
          <w:sz w:val="20"/>
        </w:rPr>
        <w:t xml:space="preserve"> be developed from existing 2P reserves, possible reserves, contingent and prospective resources.</w:t>
      </w:r>
      <w:r w:rsidR="00410031">
        <w:rPr>
          <w:color w:val="373737"/>
          <w:sz w:val="20"/>
        </w:rPr>
        <w:t xml:space="preserve"> However, this will require both forecast and new projects to be developed in the required</w:t>
      </w:r>
      <w:r w:rsidR="009E4215">
        <w:rPr>
          <w:color w:val="373737"/>
          <w:sz w:val="20"/>
        </w:rPr>
        <w:t xml:space="preserve"> timeframe</w:t>
      </w:r>
      <w:r w:rsidR="00410031">
        <w:rPr>
          <w:color w:val="373737"/>
          <w:sz w:val="20"/>
        </w:rPr>
        <w:t>.</w:t>
      </w:r>
    </w:p>
    <w:p w14:paraId="0C223CCC" w14:textId="3945A4D0" w:rsidR="00410031" w:rsidRPr="00863A39" w:rsidRDefault="00410031" w:rsidP="0048603E">
      <w:pPr>
        <w:pStyle w:val="Heading3"/>
      </w:pPr>
      <w:r>
        <w:t>Risks around existing forecast production</w:t>
      </w:r>
    </w:p>
    <w:p w14:paraId="1EA09308" w14:textId="6E69DA7E" w:rsidR="00EC7EC7" w:rsidRPr="00863A39" w:rsidRDefault="00C95145" w:rsidP="00EC7EC7">
      <w:pPr>
        <w:spacing w:after="120"/>
        <w:rPr>
          <w:sz w:val="16"/>
          <w:szCs w:val="16"/>
        </w:rPr>
      </w:pPr>
      <w:r>
        <w:rPr>
          <w:color w:val="373737"/>
          <w:sz w:val="20"/>
        </w:rPr>
        <w:t xml:space="preserve">Supply from fields expected to come online must also do so at the speed expected. </w:t>
      </w:r>
      <w:r w:rsidR="00EC7EC7" w:rsidRPr="00863A39">
        <w:rPr>
          <w:color w:val="373737"/>
          <w:sz w:val="20"/>
        </w:rPr>
        <w:t xml:space="preserve">Current forecasts include </w:t>
      </w:r>
      <w:r>
        <w:rPr>
          <w:color w:val="373737"/>
          <w:sz w:val="20"/>
        </w:rPr>
        <w:t xml:space="preserve">a range of </w:t>
      </w:r>
      <w:r w:rsidR="00EC7EC7" w:rsidRPr="00863A39">
        <w:rPr>
          <w:color w:val="373737"/>
          <w:sz w:val="20"/>
        </w:rPr>
        <w:t xml:space="preserve">supply from </w:t>
      </w:r>
      <w:r>
        <w:rPr>
          <w:color w:val="373737"/>
          <w:sz w:val="20"/>
        </w:rPr>
        <w:t>new investments in</w:t>
      </w:r>
      <w:r w:rsidR="00EC7EC7" w:rsidRPr="00863A39">
        <w:rPr>
          <w:color w:val="373737"/>
          <w:sz w:val="20"/>
        </w:rPr>
        <w:t xml:space="preserve"> fields close to current users</w:t>
      </w:r>
      <w:r w:rsidR="00EC7EC7">
        <w:rPr>
          <w:color w:val="373737"/>
          <w:sz w:val="20"/>
        </w:rPr>
        <w:t>,</w:t>
      </w:r>
      <w:r w:rsidR="00EC7EC7" w:rsidRPr="00863A39">
        <w:rPr>
          <w:color w:val="373737"/>
          <w:sz w:val="20"/>
        </w:rPr>
        <w:t xml:space="preserve"> including from </w:t>
      </w:r>
      <w:r w:rsidR="00EC7EC7">
        <w:rPr>
          <w:color w:val="373737"/>
          <w:sz w:val="20"/>
        </w:rPr>
        <w:t>t</w:t>
      </w:r>
      <w:r w:rsidR="00EC7EC7" w:rsidRPr="00863A39">
        <w:rPr>
          <w:color w:val="373737"/>
          <w:sz w:val="20"/>
        </w:rPr>
        <w:t xml:space="preserve">he Surat, Bowen and Galilee Basins in Queensland, </w:t>
      </w:r>
      <w:r w:rsidR="00EC7EC7">
        <w:rPr>
          <w:color w:val="373737"/>
          <w:sz w:val="20"/>
        </w:rPr>
        <w:t xml:space="preserve">the </w:t>
      </w:r>
      <w:r w:rsidR="00EC7EC7" w:rsidRPr="00863A39">
        <w:rPr>
          <w:color w:val="373737"/>
          <w:sz w:val="20"/>
        </w:rPr>
        <w:t xml:space="preserve">Gunnedah Basin in NSW, </w:t>
      </w:r>
      <w:r w:rsidR="00EC7EC7">
        <w:rPr>
          <w:color w:val="373737"/>
          <w:sz w:val="20"/>
        </w:rPr>
        <w:t xml:space="preserve">the </w:t>
      </w:r>
      <w:r w:rsidR="00EC7EC7" w:rsidRPr="00863A39">
        <w:rPr>
          <w:color w:val="373737"/>
          <w:sz w:val="20"/>
        </w:rPr>
        <w:t>Bonaparte, Amadeus and Macarthur Basins in the Northern Territory, offshore Victoria and the Cooper Basin in South Australia.</w:t>
      </w:r>
    </w:p>
    <w:p w14:paraId="1135558D" w14:textId="0FD1B321" w:rsidR="00EC7EC7" w:rsidRPr="00863A39" w:rsidRDefault="00C95145" w:rsidP="00EC7EC7">
      <w:pPr>
        <w:spacing w:after="120"/>
        <w:rPr>
          <w:color w:val="373737"/>
          <w:sz w:val="20"/>
        </w:rPr>
      </w:pPr>
      <w:r>
        <w:rPr>
          <w:color w:val="373737"/>
          <w:sz w:val="20"/>
        </w:rPr>
        <w:t>E</w:t>
      </w:r>
      <w:r w:rsidR="00EC7EC7" w:rsidRPr="00863A39">
        <w:rPr>
          <w:color w:val="373737"/>
          <w:sz w:val="20"/>
        </w:rPr>
        <w:t>ach of these potential sources of supply included in current forecasts face uncertainty for a range of technical, licence to operate, regulatory approval and funding reasons:</w:t>
      </w:r>
    </w:p>
    <w:p w14:paraId="461FCC2D" w14:textId="59E76D57" w:rsidR="00EC7EC7" w:rsidRPr="00863A39" w:rsidRDefault="00EC7EC7" w:rsidP="004E02BB">
      <w:pPr>
        <w:pStyle w:val="ListBullet2"/>
      </w:pPr>
      <w:r w:rsidRPr="00863A39">
        <w:t>The Surat, Bowen and Galilee Basins face competing land use claims</w:t>
      </w:r>
      <w:r w:rsidRPr="00863A39" w:rsidDel="004650F8">
        <w:t xml:space="preserve"> and surface risk</w:t>
      </w:r>
      <w:r w:rsidRPr="00863A39">
        <w:t>. The Galilee Basin must also overcome technical reservoir challenges associated with dewatering and hydraulic stimulation.</w:t>
      </w:r>
    </w:p>
    <w:p w14:paraId="4CE8BEE7" w14:textId="7AD1B00F" w:rsidR="00EC7EC7" w:rsidRPr="00863A39" w:rsidRDefault="00EC7EC7" w:rsidP="004E02BB">
      <w:pPr>
        <w:pStyle w:val="ListBullet2"/>
      </w:pPr>
      <w:r>
        <w:t xml:space="preserve">The </w:t>
      </w:r>
      <w:r w:rsidRPr="00863A39">
        <w:t>Gunnedah Basin faces competing land use claims</w:t>
      </w:r>
      <w:r>
        <w:t xml:space="preserve"> </w:t>
      </w:r>
      <w:r w:rsidRPr="00863A39">
        <w:t xml:space="preserve">and </w:t>
      </w:r>
      <w:r w:rsidR="00C95145">
        <w:t>still requires regulatory approval</w:t>
      </w:r>
      <w:r w:rsidRPr="00863A39">
        <w:t>.</w:t>
      </w:r>
    </w:p>
    <w:p w14:paraId="17F0749E" w14:textId="2A19301C" w:rsidR="00EC7EC7" w:rsidRPr="00863A39" w:rsidRDefault="00EC7EC7" w:rsidP="004E02BB">
      <w:pPr>
        <w:pStyle w:val="ListBullet2"/>
      </w:pPr>
      <w:r>
        <w:t xml:space="preserve">The </w:t>
      </w:r>
      <w:r w:rsidRPr="00863A39">
        <w:t>Amadeus, Bonaparte and Macarthur Basins must prove reserves then overcome infrastructure funding and regulatory approvals.</w:t>
      </w:r>
    </w:p>
    <w:p w14:paraId="7EB69CEC" w14:textId="77777777" w:rsidR="00EC7EC7" w:rsidRPr="00863A39" w:rsidRDefault="00EC7EC7" w:rsidP="004E02BB">
      <w:pPr>
        <w:pStyle w:val="ListBullet2"/>
      </w:pPr>
      <w:r w:rsidRPr="00863A39">
        <w:t>Offshore Victoria faces declining supply and issues associated with reservoir performance during end-of-life production.</w:t>
      </w:r>
    </w:p>
    <w:p w14:paraId="3EAF0D89" w14:textId="77777777" w:rsidR="00EC7EC7" w:rsidRPr="00C471D4" w:rsidRDefault="00EC7EC7" w:rsidP="00C471D4">
      <w:pPr>
        <w:pStyle w:val="ListBullet2"/>
      </w:pPr>
      <w:r w:rsidRPr="00C471D4">
        <w:t>Declining well performance in the Cooper Basin makes it more difficult to ensure consistency in plant and processing infrastructure.</w:t>
      </w:r>
    </w:p>
    <w:p w14:paraId="1FFCD545" w14:textId="003B7A4D" w:rsidR="00C471D4" w:rsidRPr="00C471D4" w:rsidRDefault="00C471D4" w:rsidP="00C471D4">
      <w:pPr>
        <w:spacing w:after="120"/>
        <w:rPr>
          <w:color w:val="373737"/>
          <w:sz w:val="20"/>
        </w:rPr>
      </w:pPr>
      <w:r w:rsidRPr="00C471D4">
        <w:rPr>
          <w:color w:val="373737"/>
          <w:sz w:val="20"/>
        </w:rPr>
        <w:t>If these gas supply developments are delayed in financing or regulatory approvals processes, supply shortages will emerge that could affect both domestic demand and exports.</w:t>
      </w:r>
    </w:p>
    <w:p w14:paraId="111C5586" w14:textId="77777777" w:rsidR="00C471D4" w:rsidRPr="00C471D4" w:rsidRDefault="00C471D4" w:rsidP="00C471D4">
      <w:pPr>
        <w:spacing w:after="120"/>
        <w:rPr>
          <w:color w:val="373737"/>
          <w:sz w:val="20"/>
        </w:rPr>
      </w:pPr>
      <w:r w:rsidRPr="00C471D4">
        <w:rPr>
          <w:color w:val="373737"/>
          <w:sz w:val="20"/>
        </w:rPr>
        <w:t>For example, if the Atlas project in the Surat Basin is delayed, then forecast production on the east coast would be 60 PJ lower by the end of 2025 and 120 PJ by the end of 2027. The delay would bring forward the east coast supply shortfall to 2026.</w:t>
      </w:r>
    </w:p>
    <w:p w14:paraId="1F31691D" w14:textId="0709A8C9" w:rsidR="00410031" w:rsidRPr="00C471D4" w:rsidRDefault="00410031" w:rsidP="00C471D4">
      <w:pPr>
        <w:spacing w:after="120"/>
        <w:rPr>
          <w:color w:val="373737"/>
          <w:sz w:val="20"/>
        </w:rPr>
      </w:pPr>
      <w:r w:rsidRPr="00C471D4">
        <w:rPr>
          <w:color w:val="373737"/>
          <w:sz w:val="20"/>
        </w:rPr>
        <w:t xml:space="preserve">Avoiding a shortfall in the southern states is most dependent on </w:t>
      </w:r>
      <w:r w:rsidR="009E4215" w:rsidRPr="00C471D4">
        <w:rPr>
          <w:color w:val="373737"/>
          <w:sz w:val="20"/>
        </w:rPr>
        <w:t xml:space="preserve">the </w:t>
      </w:r>
      <w:r w:rsidRPr="00C471D4">
        <w:rPr>
          <w:color w:val="373737"/>
          <w:sz w:val="20"/>
        </w:rPr>
        <w:t>development of Narrabri gas fields because it is relatively close to southern demand. Northern fields (i.e. Surat and Beetaloo) are more likely to backfill LNG shortages first.</w:t>
      </w:r>
    </w:p>
    <w:p w14:paraId="5CA707BA" w14:textId="0A735977" w:rsidR="00EC7EC7" w:rsidRPr="00863A39" w:rsidRDefault="00EC7EC7" w:rsidP="00EC7EC7">
      <w:pPr>
        <w:spacing w:after="120"/>
        <w:rPr>
          <w:color w:val="373737"/>
          <w:sz w:val="20"/>
        </w:rPr>
      </w:pPr>
      <w:r w:rsidRPr="00863A39">
        <w:rPr>
          <w:color w:val="373737"/>
          <w:sz w:val="20"/>
        </w:rPr>
        <w:t xml:space="preserve">The forecast shortfalls for the east coast’s gas </w:t>
      </w:r>
      <w:r>
        <w:rPr>
          <w:color w:val="373737"/>
          <w:sz w:val="20"/>
        </w:rPr>
        <w:t>market</w:t>
      </w:r>
      <w:r w:rsidRPr="00863A39">
        <w:rPr>
          <w:color w:val="373737"/>
          <w:sz w:val="20"/>
        </w:rPr>
        <w:t xml:space="preserve"> could have </w:t>
      </w:r>
      <w:r>
        <w:rPr>
          <w:color w:val="373737"/>
          <w:sz w:val="20"/>
        </w:rPr>
        <w:t>major</w:t>
      </w:r>
      <w:r w:rsidRPr="00863A39">
        <w:rPr>
          <w:color w:val="373737"/>
          <w:sz w:val="20"/>
        </w:rPr>
        <w:t xml:space="preserve"> implications for domestic demand and LNG exports. To meet both contracted LNG export obligations and </w:t>
      </w:r>
      <w:r>
        <w:rPr>
          <w:color w:val="373737"/>
          <w:sz w:val="20"/>
        </w:rPr>
        <w:t>forecast</w:t>
      </w:r>
      <w:r w:rsidRPr="00863A39">
        <w:rPr>
          <w:color w:val="373737"/>
          <w:sz w:val="20"/>
        </w:rPr>
        <w:t xml:space="preserve"> domestic demand, new gas supply </w:t>
      </w:r>
      <w:r>
        <w:rPr>
          <w:color w:val="373737"/>
          <w:sz w:val="20"/>
        </w:rPr>
        <w:t xml:space="preserve">and connecting infrastructure </w:t>
      </w:r>
      <w:r w:rsidRPr="00863A39">
        <w:rPr>
          <w:color w:val="373737"/>
          <w:sz w:val="20"/>
        </w:rPr>
        <w:t>is need</w:t>
      </w:r>
      <w:r w:rsidR="006C5466">
        <w:rPr>
          <w:color w:val="373737"/>
          <w:sz w:val="20"/>
        </w:rPr>
        <w:t>ed</w:t>
      </w:r>
      <w:r w:rsidRPr="00863A39">
        <w:rPr>
          <w:color w:val="373737"/>
          <w:sz w:val="20"/>
        </w:rPr>
        <w:t xml:space="preserve"> from undeveloped fields.</w:t>
      </w:r>
    </w:p>
    <w:p w14:paraId="0EE044F0" w14:textId="77777777" w:rsidR="00EC7EC7" w:rsidRPr="00863A39" w:rsidRDefault="00EC7EC7" w:rsidP="001C0D43">
      <w:pPr>
        <w:pStyle w:val="Heading3"/>
        <w:numPr>
          <w:ilvl w:val="2"/>
          <w:numId w:val="3"/>
        </w:numPr>
        <w:spacing w:before="120"/>
      </w:pPr>
      <w:r w:rsidRPr="00863A39">
        <w:t>Most likely commercial fields</w:t>
      </w:r>
    </w:p>
    <w:p w14:paraId="7C736E9E" w14:textId="7A22908C" w:rsidR="00B37FAA" w:rsidRDefault="00410031" w:rsidP="00B37FAA">
      <w:pPr>
        <w:spacing w:after="120"/>
        <w:rPr>
          <w:color w:val="373737"/>
          <w:sz w:val="20"/>
        </w:rPr>
      </w:pPr>
      <w:r>
        <w:rPr>
          <w:color w:val="373737"/>
          <w:sz w:val="20"/>
        </w:rPr>
        <w:t>Outside of current forecasts, new fields in t</w:t>
      </w:r>
      <w:r w:rsidR="00EC7EC7" w:rsidRPr="00863A39">
        <w:rPr>
          <w:color w:val="373737"/>
          <w:sz w:val="20"/>
        </w:rPr>
        <w:t>he Surat and Narrabri Basins and the Be</w:t>
      </w:r>
      <w:r w:rsidR="00EC7EC7">
        <w:rPr>
          <w:color w:val="373737"/>
          <w:sz w:val="20"/>
        </w:rPr>
        <w:t>e</w:t>
      </w:r>
      <w:r w:rsidR="00EC7EC7" w:rsidRPr="00863A39">
        <w:rPr>
          <w:color w:val="373737"/>
          <w:sz w:val="20"/>
        </w:rPr>
        <w:t xml:space="preserve">taloo Sub Basin are </w:t>
      </w:r>
      <w:r w:rsidR="009E4215">
        <w:rPr>
          <w:color w:val="373737"/>
          <w:sz w:val="20"/>
        </w:rPr>
        <w:t>the 3</w:t>
      </w:r>
      <w:r w:rsidR="00EC7EC7" w:rsidRPr="00863A39">
        <w:rPr>
          <w:color w:val="373737"/>
          <w:sz w:val="20"/>
        </w:rPr>
        <w:t xml:space="preserve"> most likely to be developed for large-scale gas supply. </w:t>
      </w:r>
      <w:r w:rsidR="00B37FAA">
        <w:rPr>
          <w:color w:val="373737"/>
          <w:sz w:val="20"/>
        </w:rPr>
        <w:t xml:space="preserve">However, lead times for exploration, development and connection to the network via pipeline suggest new supply will not come online to alleviate shortages that will emerge from 2028, </w:t>
      </w:r>
      <w:r w:rsidR="006C5466">
        <w:rPr>
          <w:color w:val="373737"/>
          <w:sz w:val="20"/>
        </w:rPr>
        <w:t>though it</w:t>
      </w:r>
      <w:r w:rsidR="00B37FAA">
        <w:rPr>
          <w:color w:val="373737"/>
          <w:sz w:val="20"/>
        </w:rPr>
        <w:t xml:space="preserve"> could improve the supply outlook beyond this.</w:t>
      </w:r>
    </w:p>
    <w:p w14:paraId="4CC160E9" w14:textId="0980320E" w:rsidR="00EC7EC7" w:rsidRPr="008F6BCB" w:rsidRDefault="00243359" w:rsidP="00EC7EC7">
      <w:pPr>
        <w:spacing w:after="120"/>
        <w:rPr>
          <w:color w:val="373737"/>
          <w:sz w:val="20"/>
        </w:rPr>
      </w:pPr>
      <w:r>
        <w:rPr>
          <w:color w:val="373737"/>
          <w:sz w:val="20"/>
        </w:rPr>
        <w:t>Expenses include</w:t>
      </w:r>
      <w:r w:rsidR="00B37FAA">
        <w:rPr>
          <w:color w:val="373737"/>
          <w:sz w:val="20"/>
        </w:rPr>
        <w:t xml:space="preserve"> wellhead cost</w:t>
      </w:r>
      <w:r w:rsidR="009E4215">
        <w:rPr>
          <w:color w:val="373737"/>
          <w:sz w:val="20"/>
        </w:rPr>
        <w:t>s</w:t>
      </w:r>
      <w:r w:rsidR="00B37FAA">
        <w:rPr>
          <w:color w:val="373737"/>
          <w:sz w:val="20"/>
        </w:rPr>
        <w:t>, cost</w:t>
      </w:r>
      <w:r w:rsidR="009E4215">
        <w:rPr>
          <w:color w:val="373737"/>
          <w:sz w:val="20"/>
        </w:rPr>
        <w:t>s</w:t>
      </w:r>
      <w:r w:rsidR="00B37FAA">
        <w:rPr>
          <w:color w:val="373737"/>
          <w:sz w:val="20"/>
        </w:rPr>
        <w:t xml:space="preserve"> of new pipeline infrastructure and cost of abatement. </w:t>
      </w:r>
      <w:r w:rsidR="00EC7EC7">
        <w:rPr>
          <w:color w:val="373737"/>
          <w:sz w:val="20"/>
        </w:rPr>
        <w:t>Currently, o</w:t>
      </w:r>
      <w:r w:rsidR="00EC7EC7" w:rsidRPr="00863A39">
        <w:rPr>
          <w:color w:val="373737"/>
          <w:sz w:val="20"/>
        </w:rPr>
        <w:t>n a field size and average volume-weighted cost of production basis, the following fields would deliver the largest scale</w:t>
      </w:r>
      <w:r w:rsidR="00EC7EC7">
        <w:rPr>
          <w:color w:val="373737"/>
          <w:sz w:val="20"/>
        </w:rPr>
        <w:t xml:space="preserve"> and</w:t>
      </w:r>
      <w:r w:rsidR="00EC7EC7" w:rsidRPr="00863A39">
        <w:rPr>
          <w:color w:val="373737"/>
          <w:sz w:val="20"/>
        </w:rPr>
        <w:t xml:space="preserve"> lowest cost gas</w:t>
      </w:r>
      <w:r w:rsidR="00C95145">
        <w:rPr>
          <w:color w:val="373737"/>
          <w:sz w:val="20"/>
        </w:rPr>
        <w:t xml:space="preserve"> </w:t>
      </w:r>
      <w:r w:rsidR="00B37FAA">
        <w:rPr>
          <w:color w:val="373737"/>
          <w:sz w:val="20"/>
        </w:rPr>
        <w:t xml:space="preserve">production </w:t>
      </w:r>
      <w:r w:rsidR="00C95145">
        <w:rPr>
          <w:color w:val="373737"/>
          <w:sz w:val="20"/>
        </w:rPr>
        <w:t>(</w:t>
      </w:r>
      <w:r w:rsidR="00BF5898">
        <w:rPr>
          <w:color w:val="373737"/>
          <w:sz w:val="20"/>
        </w:rPr>
        <w:t>EnergyQuest</w:t>
      </w:r>
      <w:r w:rsidR="00AB35F2">
        <w:rPr>
          <w:color w:val="373737"/>
          <w:sz w:val="20"/>
        </w:rPr>
        <w:t xml:space="preserve"> 2024</w:t>
      </w:r>
      <w:r w:rsidR="00C95145">
        <w:rPr>
          <w:color w:val="373737"/>
          <w:sz w:val="20"/>
        </w:rPr>
        <w:t>)</w:t>
      </w:r>
      <w:r w:rsidR="00B37FAA">
        <w:rPr>
          <w:color w:val="373737"/>
          <w:sz w:val="20"/>
        </w:rPr>
        <w:t xml:space="preserve">. </w:t>
      </w:r>
      <w:r>
        <w:rPr>
          <w:color w:val="373737"/>
          <w:sz w:val="20"/>
        </w:rPr>
        <w:t>However, with</w:t>
      </w:r>
      <w:r w:rsidR="00B37FAA">
        <w:rPr>
          <w:color w:val="373737"/>
          <w:sz w:val="20"/>
        </w:rPr>
        <w:t xml:space="preserve"> few reserves proved up, these costs are uncertain</w:t>
      </w:r>
      <w:r>
        <w:rPr>
          <w:color w:val="373737"/>
          <w:sz w:val="20"/>
        </w:rPr>
        <w:t xml:space="preserve">, and the </w:t>
      </w:r>
      <w:r w:rsidR="00B37FAA">
        <w:rPr>
          <w:color w:val="373737"/>
          <w:sz w:val="20"/>
        </w:rPr>
        <w:t xml:space="preserve">fields will also require significantly </w:t>
      </w:r>
      <w:r w:rsidR="00B37FAA" w:rsidRPr="008F6BCB">
        <w:rPr>
          <w:color w:val="373737"/>
          <w:sz w:val="20"/>
        </w:rPr>
        <w:t>more investment in exploration and development</w:t>
      </w:r>
      <w:r w:rsidR="00EC7EC7" w:rsidRPr="008F6BCB">
        <w:rPr>
          <w:color w:val="373737"/>
          <w:sz w:val="20"/>
        </w:rPr>
        <w:t>:</w:t>
      </w:r>
    </w:p>
    <w:p w14:paraId="31AFAD8D" w14:textId="43BF6F16" w:rsidR="00EC7EC7" w:rsidRPr="008F6BCB" w:rsidRDefault="00EC7EC7" w:rsidP="004E02BB">
      <w:pPr>
        <w:pStyle w:val="ListBullet2"/>
      </w:pPr>
      <w:r w:rsidRPr="008F6BCB">
        <w:t>Undeveloped Surat Basin fields – 5,761 PJ (2022) at $6.70/GJ ($</w:t>
      </w:r>
      <w:r w:rsidR="00784D52" w:rsidRPr="008F6BCB">
        <w:t>9.16 and $10.42</w:t>
      </w:r>
      <w:r w:rsidRPr="008F6BCB">
        <w:t>/GJ delivered to Melbourne).</w:t>
      </w:r>
    </w:p>
    <w:p w14:paraId="3BA1CB12" w14:textId="221582B9" w:rsidR="00EC7EC7" w:rsidRPr="008F6BCB" w:rsidRDefault="00EC7EC7" w:rsidP="004E02BB">
      <w:pPr>
        <w:pStyle w:val="ListBullet2"/>
      </w:pPr>
      <w:r w:rsidRPr="008F6BCB">
        <w:t>Undeveloped Narrabri fields – 1,316 PJ (2022) at $9.90/GJ ($</w:t>
      </w:r>
      <w:r w:rsidR="00784D52" w:rsidRPr="008F6BCB">
        <w:t>11.37 and $12.62</w:t>
      </w:r>
      <w:r w:rsidRPr="008F6BCB">
        <w:t>/GJ delivered to Melbourne).</w:t>
      </w:r>
    </w:p>
    <w:p w14:paraId="48F84B01" w14:textId="7F88B44C" w:rsidR="00EC7EC7" w:rsidRPr="008F6BCB" w:rsidRDefault="00EC7EC7" w:rsidP="004E02BB">
      <w:pPr>
        <w:pStyle w:val="ListBullet2"/>
      </w:pPr>
      <w:r w:rsidRPr="008F6BCB">
        <w:t>Undeveloped Northern Territory fields – 5,365 PJ (2022) at approximately $6.84/GJ ($</w:t>
      </w:r>
      <w:r w:rsidR="00784D52" w:rsidRPr="008F6BCB">
        <w:t>11.45 and $12.71</w:t>
      </w:r>
      <w:r w:rsidRPr="008F6BCB">
        <w:t xml:space="preserve">/GJ delivered to Melbourne). </w:t>
      </w:r>
    </w:p>
    <w:p w14:paraId="78623A8E" w14:textId="1758C8F2" w:rsidR="00EC7EC7" w:rsidRPr="00863A39" w:rsidRDefault="00B37FAA" w:rsidP="00615095">
      <w:pPr>
        <w:spacing w:before="120" w:after="120"/>
        <w:rPr>
          <w:color w:val="373737"/>
          <w:sz w:val="20"/>
        </w:rPr>
      </w:pPr>
      <w:r w:rsidRPr="008F6BCB">
        <w:rPr>
          <w:color w:val="373737"/>
          <w:sz w:val="20"/>
        </w:rPr>
        <w:t>They</w:t>
      </w:r>
      <w:r w:rsidR="00EC7EC7" w:rsidRPr="008F6BCB">
        <w:rPr>
          <w:color w:val="373737"/>
          <w:sz w:val="20"/>
        </w:rPr>
        <w:t xml:space="preserve"> will also require pipelines to connect to the existing</w:t>
      </w:r>
      <w:r w:rsidR="00EC7EC7">
        <w:rPr>
          <w:color w:val="373737"/>
          <w:sz w:val="20"/>
        </w:rPr>
        <w:t xml:space="preserve"> grid</w:t>
      </w:r>
      <w:r w:rsidR="00EC7EC7" w:rsidRPr="00863A39">
        <w:rPr>
          <w:color w:val="373737"/>
          <w:sz w:val="20"/>
        </w:rPr>
        <w:t>, which likely involve</w:t>
      </w:r>
      <w:r w:rsidR="009E4215">
        <w:rPr>
          <w:color w:val="373737"/>
          <w:sz w:val="20"/>
        </w:rPr>
        <w:t>s</w:t>
      </w:r>
      <w:r w:rsidR="00EC7EC7" w:rsidRPr="00863A39">
        <w:rPr>
          <w:color w:val="373737"/>
          <w:sz w:val="20"/>
        </w:rPr>
        <w:t xml:space="preserve"> long lead times and high costs.</w:t>
      </w:r>
      <w:r w:rsidR="00EC7EC7">
        <w:rPr>
          <w:color w:val="373737"/>
          <w:sz w:val="20"/>
        </w:rPr>
        <w:t xml:space="preserve"> </w:t>
      </w:r>
      <w:r w:rsidR="00C95145">
        <w:rPr>
          <w:color w:val="373737"/>
          <w:sz w:val="20"/>
        </w:rPr>
        <w:t xml:space="preserve">Using </w:t>
      </w:r>
      <w:r w:rsidR="009E4215">
        <w:rPr>
          <w:color w:val="373737"/>
          <w:sz w:val="20"/>
        </w:rPr>
        <w:t>an</w:t>
      </w:r>
      <w:r w:rsidR="00C95145">
        <w:rPr>
          <w:color w:val="373737"/>
          <w:sz w:val="20"/>
        </w:rPr>
        <w:t xml:space="preserve"> </w:t>
      </w:r>
      <w:r w:rsidR="001A585D">
        <w:rPr>
          <w:color w:val="373737"/>
          <w:sz w:val="20"/>
        </w:rPr>
        <w:t>average</w:t>
      </w:r>
      <w:r w:rsidR="00C95145">
        <w:rPr>
          <w:color w:val="373737"/>
          <w:sz w:val="20"/>
        </w:rPr>
        <w:t xml:space="preserve"> </w:t>
      </w:r>
      <w:r w:rsidR="00EC7EC7" w:rsidRPr="00863A39">
        <w:rPr>
          <w:color w:val="373737"/>
          <w:sz w:val="20"/>
        </w:rPr>
        <w:t xml:space="preserve">pipeline </w:t>
      </w:r>
      <w:r w:rsidR="001A585D">
        <w:rPr>
          <w:color w:val="373737"/>
          <w:sz w:val="20"/>
        </w:rPr>
        <w:t xml:space="preserve">construction </w:t>
      </w:r>
      <w:r w:rsidR="00EC7EC7" w:rsidRPr="00863A39">
        <w:rPr>
          <w:color w:val="373737"/>
          <w:sz w:val="20"/>
        </w:rPr>
        <w:t xml:space="preserve">cost </w:t>
      </w:r>
      <w:r w:rsidR="00C95145">
        <w:rPr>
          <w:color w:val="373737"/>
          <w:sz w:val="20"/>
        </w:rPr>
        <w:t xml:space="preserve">associated with previous builds </w:t>
      </w:r>
      <w:r w:rsidR="001A585D">
        <w:rPr>
          <w:color w:val="373737"/>
          <w:sz w:val="20"/>
        </w:rPr>
        <w:t xml:space="preserve">of </w:t>
      </w:r>
      <w:r w:rsidR="00EC7EC7" w:rsidRPr="00863A39">
        <w:rPr>
          <w:color w:val="373737"/>
          <w:sz w:val="20"/>
        </w:rPr>
        <w:t>$1.53M/km</w:t>
      </w:r>
      <w:r w:rsidR="001A585D">
        <w:rPr>
          <w:color w:val="373737"/>
          <w:sz w:val="20"/>
        </w:rPr>
        <w:t xml:space="preserve"> </w:t>
      </w:r>
      <w:r w:rsidR="00C95145">
        <w:rPr>
          <w:color w:val="373737"/>
          <w:sz w:val="20"/>
        </w:rPr>
        <w:t>suggests a ballpark figure for the cost of new pipelines before cost inflation</w:t>
      </w:r>
      <w:r w:rsidR="00844355">
        <w:rPr>
          <w:color w:val="373737"/>
          <w:sz w:val="20"/>
        </w:rPr>
        <w:t>.</w:t>
      </w:r>
    </w:p>
    <w:p w14:paraId="6B6D4794" w14:textId="023055D8" w:rsidR="00EC7EC7" w:rsidRPr="00863A39" w:rsidRDefault="00EC7EC7" w:rsidP="004E02BB">
      <w:pPr>
        <w:pStyle w:val="ListBullet2"/>
      </w:pPr>
      <w:r w:rsidRPr="00863A39">
        <w:t xml:space="preserve">Beetaloo Sub Basin: APA Group has an agreement with Tamboran to build a pipeline connecting Beetaloo to </w:t>
      </w:r>
      <w:r w:rsidR="00DB0191">
        <w:t xml:space="preserve">the </w:t>
      </w:r>
      <w:r w:rsidRPr="00863A39">
        <w:t xml:space="preserve">Amadeus Gas Pipeline (AGP). FID is expected in 2024. </w:t>
      </w:r>
      <w:r w:rsidR="00B37FAA">
        <w:t>The d</w:t>
      </w:r>
      <w:r w:rsidRPr="00863A39">
        <w:t xml:space="preserve">istance between </w:t>
      </w:r>
      <w:r w:rsidR="009E4215">
        <w:t xml:space="preserve">the </w:t>
      </w:r>
      <w:r w:rsidRPr="00863A39">
        <w:t xml:space="preserve">Beetaloo Sub Basin </w:t>
      </w:r>
      <w:r w:rsidR="009E4215">
        <w:t>and</w:t>
      </w:r>
      <w:r w:rsidRPr="00863A39">
        <w:t xml:space="preserve"> AGP is around 150</w:t>
      </w:r>
      <w:r>
        <w:t xml:space="preserve"> </w:t>
      </w:r>
      <w:r w:rsidRPr="00863A39">
        <w:t xml:space="preserve">km. </w:t>
      </w:r>
      <w:r w:rsidR="00B37FAA">
        <w:t>Ballpark</w:t>
      </w:r>
      <w:r w:rsidR="00B37FAA" w:rsidRPr="00863A39">
        <w:t xml:space="preserve"> </w:t>
      </w:r>
      <w:r w:rsidRPr="00863A39">
        <w:t>cost of construction is $230</w:t>
      </w:r>
      <w:r w:rsidR="00314073">
        <w:t xml:space="preserve"> million</w:t>
      </w:r>
      <w:r w:rsidRPr="00863A39">
        <w:t>.</w:t>
      </w:r>
    </w:p>
    <w:p w14:paraId="5A5FEB7B" w14:textId="506DC446" w:rsidR="00EC7EC7" w:rsidRPr="00863A39" w:rsidRDefault="00EC7EC7" w:rsidP="004E02BB">
      <w:pPr>
        <w:pStyle w:val="ListBullet2"/>
      </w:pPr>
      <w:r w:rsidRPr="00863A39">
        <w:t xml:space="preserve">Narrabri Basin: Santos plans to build the Hunter Gas Pipeline (HGP) and </w:t>
      </w:r>
      <w:r>
        <w:t xml:space="preserve">the </w:t>
      </w:r>
      <w:r w:rsidRPr="00863A39">
        <w:t xml:space="preserve">Narrabri Lateral Pipeline which connects Narrabri to Newcastle. FID is expected in 2025. The total length of the two pipelines is </w:t>
      </w:r>
      <w:r w:rsidR="005466C9">
        <w:t xml:space="preserve">estimated at </w:t>
      </w:r>
      <w:r w:rsidRPr="00863A39">
        <w:t>around 900</w:t>
      </w:r>
      <w:r>
        <w:t xml:space="preserve"> </w:t>
      </w:r>
      <w:r w:rsidRPr="00863A39">
        <w:t xml:space="preserve">km. </w:t>
      </w:r>
      <w:r w:rsidR="00B37FAA">
        <w:t>Ballpark</w:t>
      </w:r>
      <w:r w:rsidRPr="00863A39">
        <w:t xml:space="preserve"> cost of construction is $1,377</w:t>
      </w:r>
      <w:r w:rsidR="00E142F8">
        <w:t xml:space="preserve"> </w:t>
      </w:r>
      <w:r w:rsidR="00314073">
        <w:t>million</w:t>
      </w:r>
      <w:r w:rsidRPr="00863A39">
        <w:t>.</w:t>
      </w:r>
    </w:p>
    <w:p w14:paraId="2CD9AB1F" w14:textId="2D892601" w:rsidR="00EC7EC7" w:rsidRPr="00863A39" w:rsidRDefault="00EC7EC7" w:rsidP="004E02BB">
      <w:pPr>
        <w:pStyle w:val="ListBullet2"/>
      </w:pPr>
      <w:r w:rsidRPr="00863A39">
        <w:t xml:space="preserve">Surat Basin: the distance between </w:t>
      </w:r>
      <w:r w:rsidR="000D4064">
        <w:t xml:space="preserve">the </w:t>
      </w:r>
      <w:r w:rsidRPr="00863A39">
        <w:t xml:space="preserve">North Surat Basin </w:t>
      </w:r>
      <w:r w:rsidR="000D4064">
        <w:t>and the</w:t>
      </w:r>
      <w:r w:rsidRPr="00863A39">
        <w:t xml:space="preserve"> S</w:t>
      </w:r>
      <w:r>
        <w:t>outh</w:t>
      </w:r>
      <w:r w:rsidR="00C815CC">
        <w:t xml:space="preserve"> </w:t>
      </w:r>
      <w:r w:rsidRPr="00863A39">
        <w:t>W</w:t>
      </w:r>
      <w:r>
        <w:t xml:space="preserve">est </w:t>
      </w:r>
      <w:r w:rsidRPr="00863A39">
        <w:t>Q</w:t>
      </w:r>
      <w:r>
        <w:t xml:space="preserve">ueensland </w:t>
      </w:r>
      <w:r w:rsidRPr="00863A39">
        <w:t>P</w:t>
      </w:r>
      <w:r>
        <w:t>ipeline (SWQP)</w:t>
      </w:r>
      <w:r w:rsidRPr="00863A39">
        <w:t xml:space="preserve"> is around 100</w:t>
      </w:r>
      <w:r>
        <w:t xml:space="preserve"> km</w:t>
      </w:r>
      <w:r w:rsidRPr="00863A39">
        <w:t xml:space="preserve">. </w:t>
      </w:r>
      <w:r w:rsidR="00B37FAA">
        <w:t>Ballpark</w:t>
      </w:r>
      <w:r w:rsidRPr="00863A39">
        <w:t xml:space="preserve"> cost of construction is $153</w:t>
      </w:r>
      <w:r w:rsidR="00E142F8">
        <w:t xml:space="preserve"> </w:t>
      </w:r>
      <w:r w:rsidR="00314073">
        <w:t>million</w:t>
      </w:r>
      <w:r w:rsidRPr="00863A39">
        <w:t>.</w:t>
      </w:r>
    </w:p>
    <w:p w14:paraId="35868B25" w14:textId="1123D6FE" w:rsidR="00EC7EC7" w:rsidRPr="00B17B8F" w:rsidRDefault="00C95145" w:rsidP="0079261D">
      <w:pPr>
        <w:spacing w:before="120" w:after="120"/>
        <w:rPr>
          <w:color w:val="373737"/>
          <w:sz w:val="20"/>
        </w:rPr>
      </w:pPr>
      <w:r>
        <w:rPr>
          <w:color w:val="373737"/>
          <w:sz w:val="20"/>
        </w:rPr>
        <w:t>Going forward, all new gas fields must abate reservoir emission</w:t>
      </w:r>
      <w:r w:rsidR="00B37FAA">
        <w:rPr>
          <w:color w:val="373737"/>
          <w:sz w:val="20"/>
        </w:rPr>
        <w:t>s</w:t>
      </w:r>
      <w:r>
        <w:rPr>
          <w:color w:val="373737"/>
          <w:sz w:val="20"/>
        </w:rPr>
        <w:t xml:space="preserve"> through carbon capture and storage or an</w:t>
      </w:r>
      <w:r w:rsidR="009E399F">
        <w:rPr>
          <w:color w:val="373737"/>
          <w:sz w:val="20"/>
        </w:rPr>
        <w:t>other</w:t>
      </w:r>
      <w:r>
        <w:rPr>
          <w:color w:val="373737"/>
          <w:sz w:val="20"/>
        </w:rPr>
        <w:t xml:space="preserve"> alternative. </w:t>
      </w:r>
      <w:r w:rsidR="00EC7EC7" w:rsidRPr="00A634E7">
        <w:rPr>
          <w:color w:val="373737"/>
          <w:sz w:val="20"/>
        </w:rPr>
        <w:t>The</w:t>
      </w:r>
      <w:r w:rsidR="009E399F">
        <w:rPr>
          <w:color w:val="373737"/>
          <w:sz w:val="20"/>
        </w:rPr>
        <w:t xml:space="preserve"> 3</w:t>
      </w:r>
      <w:r w:rsidR="00EC7EC7" w:rsidRPr="00A634E7">
        <w:rPr>
          <w:color w:val="373737"/>
          <w:sz w:val="20"/>
        </w:rPr>
        <w:t xml:space="preserve"> supply options have different carbon content</w:t>
      </w:r>
      <w:r>
        <w:rPr>
          <w:color w:val="373737"/>
          <w:sz w:val="20"/>
        </w:rPr>
        <w:t>, and are likely to experience different costs of abatement that would add to the cost of the gas delivered to the wholesale market</w:t>
      </w:r>
      <w:r w:rsidR="00EC7EC7" w:rsidRPr="00A634E7" w:rsidDel="00C95145">
        <w:rPr>
          <w:color w:val="373737"/>
          <w:sz w:val="20"/>
        </w:rPr>
        <w:t>.</w:t>
      </w:r>
      <w:r w:rsidR="00EC7EC7" w:rsidRPr="00A634E7">
        <w:rPr>
          <w:color w:val="373737"/>
          <w:sz w:val="20"/>
        </w:rPr>
        <w:t xml:space="preserve"> The Surat Basin has the lowest CO</w:t>
      </w:r>
      <w:r w:rsidR="00EC7EC7" w:rsidRPr="00BC2B59">
        <w:rPr>
          <w:color w:val="373737"/>
          <w:sz w:val="20"/>
          <w:vertAlign w:val="subscript"/>
        </w:rPr>
        <w:t>2</w:t>
      </w:r>
      <w:r w:rsidR="00EC7EC7" w:rsidRPr="00A634E7">
        <w:rPr>
          <w:color w:val="373737"/>
          <w:sz w:val="20"/>
        </w:rPr>
        <w:t xml:space="preserve"> content at </w:t>
      </w:r>
      <w:r w:rsidR="00EC7EC7">
        <w:rPr>
          <w:color w:val="373737"/>
          <w:sz w:val="20"/>
        </w:rPr>
        <w:t>1.1%</w:t>
      </w:r>
      <w:r w:rsidR="00EC7EC7" w:rsidRPr="00A634E7">
        <w:rPr>
          <w:color w:val="373737"/>
          <w:sz w:val="20"/>
        </w:rPr>
        <w:t xml:space="preserve"> on average</w:t>
      </w:r>
      <w:r w:rsidR="009E399F">
        <w:rPr>
          <w:color w:val="373737"/>
          <w:sz w:val="20"/>
        </w:rPr>
        <w:t>, compared to t</w:t>
      </w:r>
      <w:r w:rsidR="00EC7EC7" w:rsidRPr="00A634E7">
        <w:rPr>
          <w:color w:val="373737"/>
          <w:sz w:val="20"/>
        </w:rPr>
        <w:t xml:space="preserve">he Beetaloo Sub Basin </w:t>
      </w:r>
      <w:r w:rsidR="009E399F">
        <w:rPr>
          <w:color w:val="373737"/>
          <w:sz w:val="20"/>
        </w:rPr>
        <w:t>(</w:t>
      </w:r>
      <w:r w:rsidR="00EC7EC7">
        <w:rPr>
          <w:color w:val="373737"/>
          <w:sz w:val="20"/>
        </w:rPr>
        <w:t>3%</w:t>
      </w:r>
      <w:r w:rsidR="00EC7EC7" w:rsidRPr="00A634E7">
        <w:rPr>
          <w:color w:val="373737"/>
          <w:sz w:val="20"/>
        </w:rPr>
        <w:t xml:space="preserve"> on average</w:t>
      </w:r>
      <w:r w:rsidR="00C815CC">
        <w:rPr>
          <w:color w:val="373737"/>
          <w:sz w:val="20"/>
        </w:rPr>
        <w:t>)</w:t>
      </w:r>
      <w:r w:rsidR="009E399F">
        <w:rPr>
          <w:color w:val="373737"/>
          <w:sz w:val="20"/>
        </w:rPr>
        <w:t xml:space="preserve"> and</w:t>
      </w:r>
      <w:r w:rsidR="00C815CC">
        <w:rPr>
          <w:color w:val="373737"/>
          <w:sz w:val="20"/>
        </w:rPr>
        <w:t xml:space="preserve"> </w:t>
      </w:r>
      <w:r w:rsidR="00EC7EC7">
        <w:rPr>
          <w:color w:val="373737"/>
          <w:sz w:val="20"/>
        </w:rPr>
        <w:t xml:space="preserve">Santos </w:t>
      </w:r>
      <w:r w:rsidR="00EC7EC7" w:rsidRPr="00A634E7">
        <w:rPr>
          <w:color w:val="373737"/>
          <w:sz w:val="20"/>
        </w:rPr>
        <w:t xml:space="preserve">Narrabri </w:t>
      </w:r>
      <w:r w:rsidR="00EC7EC7">
        <w:rPr>
          <w:color w:val="373737"/>
          <w:sz w:val="20"/>
        </w:rPr>
        <w:t xml:space="preserve">Project </w:t>
      </w:r>
      <w:r w:rsidR="009E399F">
        <w:rPr>
          <w:color w:val="373737"/>
          <w:sz w:val="20"/>
        </w:rPr>
        <w:t>(</w:t>
      </w:r>
      <w:r w:rsidR="00EC7EC7">
        <w:rPr>
          <w:color w:val="373737"/>
          <w:sz w:val="20"/>
        </w:rPr>
        <w:t>5% to 10%</w:t>
      </w:r>
      <w:r w:rsidR="009E399F">
        <w:rPr>
          <w:color w:val="373737"/>
          <w:sz w:val="20"/>
        </w:rPr>
        <w:t>)</w:t>
      </w:r>
      <w:r w:rsidR="00EC7EC7">
        <w:rPr>
          <w:color w:val="373737"/>
          <w:sz w:val="20"/>
        </w:rPr>
        <w:t>.</w:t>
      </w:r>
      <w:r w:rsidR="00EC7EC7" w:rsidRPr="00B17B8F">
        <w:rPr>
          <w:color w:val="373737"/>
          <w:sz w:val="20"/>
        </w:rPr>
        <w:t xml:space="preserve"> </w:t>
      </w:r>
    </w:p>
    <w:p w14:paraId="52555ECF" w14:textId="583396E5" w:rsidR="00EC7EC7" w:rsidRDefault="00EC7EC7" w:rsidP="001C0D43">
      <w:pPr>
        <w:pStyle w:val="Heading2"/>
        <w:numPr>
          <w:ilvl w:val="1"/>
          <w:numId w:val="3"/>
        </w:numPr>
        <w:spacing w:before="180"/>
      </w:pPr>
      <w:bookmarkStart w:id="173" w:name="_Toc172794536"/>
      <w:r>
        <w:t>Basin by basin</w:t>
      </w:r>
      <w:r w:rsidR="002E0895">
        <w:t xml:space="preserve"> </w:t>
      </w:r>
      <w:r w:rsidR="001A585D">
        <w:t>development potential</w:t>
      </w:r>
      <w:bookmarkEnd w:id="173"/>
    </w:p>
    <w:p w14:paraId="3022FF92" w14:textId="575A8385" w:rsidR="00EC7EC7" w:rsidRPr="00863A39" w:rsidRDefault="00EC7EC7" w:rsidP="00EC7EC7">
      <w:pPr>
        <w:spacing w:after="120"/>
        <w:rPr>
          <w:color w:val="373737"/>
          <w:sz w:val="20"/>
        </w:rPr>
      </w:pPr>
      <w:r w:rsidRPr="00863A39">
        <w:rPr>
          <w:color w:val="373737"/>
          <w:sz w:val="20"/>
        </w:rPr>
        <w:t xml:space="preserve">Key factors that will determine whether </w:t>
      </w:r>
      <w:r>
        <w:rPr>
          <w:color w:val="373737"/>
          <w:sz w:val="20"/>
        </w:rPr>
        <w:t xml:space="preserve">new </w:t>
      </w:r>
      <w:r w:rsidRPr="00863A39">
        <w:rPr>
          <w:color w:val="373737"/>
          <w:sz w:val="20"/>
        </w:rPr>
        <w:t xml:space="preserve">supply is developed </w:t>
      </w:r>
      <w:r w:rsidR="00F11A42">
        <w:rPr>
          <w:color w:val="373737"/>
          <w:sz w:val="20"/>
        </w:rPr>
        <w:t>include</w:t>
      </w:r>
      <w:r w:rsidR="00B37FAA" w:rsidRPr="00863A39">
        <w:rPr>
          <w:color w:val="373737"/>
          <w:sz w:val="20"/>
        </w:rPr>
        <w:t xml:space="preserve"> </w:t>
      </w:r>
      <w:r w:rsidRPr="00863A39">
        <w:rPr>
          <w:color w:val="373737"/>
          <w:sz w:val="20"/>
        </w:rPr>
        <w:t>price expectations</w:t>
      </w:r>
      <w:r w:rsidR="00F11A42">
        <w:rPr>
          <w:color w:val="373737"/>
          <w:sz w:val="20"/>
        </w:rPr>
        <w:t>,</w:t>
      </w:r>
      <w:r w:rsidRPr="00863A39">
        <w:rPr>
          <w:color w:val="373737"/>
          <w:sz w:val="20"/>
        </w:rPr>
        <w:t xml:space="preserve"> and the ability of producers and users to reach agreement on </w:t>
      </w:r>
      <w:r w:rsidRPr="00F175F5">
        <w:rPr>
          <w:color w:val="373737"/>
          <w:sz w:val="20"/>
        </w:rPr>
        <w:t>upfront funding to underwrite the risks of exploration and development.</w:t>
      </w:r>
      <w:r w:rsidRPr="00863A39">
        <w:rPr>
          <w:color w:val="373737"/>
          <w:sz w:val="20"/>
        </w:rPr>
        <w:t xml:space="preserve"> </w:t>
      </w:r>
    </w:p>
    <w:p w14:paraId="49B34BBF" w14:textId="4732839C" w:rsidR="00EC7EC7" w:rsidRPr="00863A39" w:rsidRDefault="00EC7EC7" w:rsidP="00EC7EC7">
      <w:pPr>
        <w:spacing w:after="120"/>
        <w:rPr>
          <w:color w:val="373737"/>
          <w:sz w:val="20"/>
        </w:rPr>
      </w:pPr>
      <w:r w:rsidRPr="00F175F5">
        <w:rPr>
          <w:color w:val="373737"/>
          <w:sz w:val="20"/>
        </w:rPr>
        <w:t>Future development of the Surat Basin and Beetaloo Sub Basin will be underpinned by ongoing LNG contracts</w:t>
      </w:r>
      <w:r w:rsidR="009E399F">
        <w:rPr>
          <w:color w:val="373737"/>
          <w:sz w:val="20"/>
        </w:rPr>
        <w:t>,</w:t>
      </w:r>
      <w:r w:rsidRPr="00F175F5">
        <w:rPr>
          <w:color w:val="373737"/>
          <w:sz w:val="20"/>
        </w:rPr>
        <w:t xml:space="preserve"> plus the need </w:t>
      </w:r>
      <w:r w:rsidR="00B37FAA">
        <w:rPr>
          <w:color w:val="373737"/>
          <w:sz w:val="20"/>
        </w:rPr>
        <w:t>to</w:t>
      </w:r>
      <w:r w:rsidR="00B37FAA" w:rsidRPr="00F175F5">
        <w:rPr>
          <w:color w:val="373737"/>
          <w:sz w:val="20"/>
        </w:rPr>
        <w:t xml:space="preserve"> </w:t>
      </w:r>
      <w:r w:rsidRPr="00F175F5">
        <w:rPr>
          <w:color w:val="373737"/>
          <w:sz w:val="20"/>
        </w:rPr>
        <w:t>backfill contracted supply. For other fields</w:t>
      </w:r>
      <w:r>
        <w:rPr>
          <w:color w:val="373737"/>
          <w:sz w:val="20"/>
        </w:rPr>
        <w:t>,</w:t>
      </w:r>
      <w:r w:rsidRPr="00F175F5">
        <w:rPr>
          <w:color w:val="373737"/>
          <w:sz w:val="20"/>
        </w:rPr>
        <w:t xml:space="preserve"> the upward trajectory of costs suggests domestic prices may </w:t>
      </w:r>
      <w:r w:rsidR="00F11A42">
        <w:rPr>
          <w:color w:val="373737"/>
          <w:sz w:val="20"/>
        </w:rPr>
        <w:t>need</w:t>
      </w:r>
      <w:r w:rsidRPr="00F175F5">
        <w:rPr>
          <w:color w:val="373737"/>
          <w:sz w:val="20"/>
        </w:rPr>
        <w:t xml:space="preserve"> to </w:t>
      </w:r>
      <w:r w:rsidR="00B37FAA">
        <w:rPr>
          <w:color w:val="373737"/>
          <w:sz w:val="20"/>
        </w:rPr>
        <w:t xml:space="preserve">be higher than </w:t>
      </w:r>
      <w:r w:rsidR="00F11A42">
        <w:rPr>
          <w:color w:val="373737"/>
          <w:sz w:val="20"/>
        </w:rPr>
        <w:t>current level</w:t>
      </w:r>
      <w:r w:rsidR="009E399F">
        <w:rPr>
          <w:color w:val="373737"/>
          <w:sz w:val="20"/>
        </w:rPr>
        <w:t>s</w:t>
      </w:r>
      <w:r w:rsidR="00B37FAA">
        <w:rPr>
          <w:color w:val="373737"/>
          <w:sz w:val="20"/>
        </w:rPr>
        <w:t xml:space="preserve"> to </w:t>
      </w:r>
      <w:r w:rsidRPr="00F175F5">
        <w:rPr>
          <w:color w:val="373737"/>
          <w:sz w:val="20"/>
        </w:rPr>
        <w:t>underpin future development.</w:t>
      </w:r>
      <w:r w:rsidRPr="00863A39">
        <w:rPr>
          <w:color w:val="373737"/>
          <w:sz w:val="20"/>
        </w:rPr>
        <w:t xml:space="preserve"> </w:t>
      </w:r>
    </w:p>
    <w:p w14:paraId="7E6DB1B4" w14:textId="296BB36C" w:rsidR="00EC7EC7" w:rsidRPr="00863A39" w:rsidRDefault="00EC7EC7" w:rsidP="00EC7EC7">
      <w:pPr>
        <w:spacing w:after="120"/>
        <w:rPr>
          <w:color w:val="373737"/>
          <w:sz w:val="20"/>
        </w:rPr>
      </w:pPr>
      <w:r w:rsidRPr="00863A39">
        <w:rPr>
          <w:color w:val="373737"/>
          <w:sz w:val="20"/>
        </w:rPr>
        <w:t>Onshore developments on</w:t>
      </w:r>
      <w:r>
        <w:rPr>
          <w:color w:val="373737"/>
          <w:sz w:val="20"/>
        </w:rPr>
        <w:t>,</w:t>
      </w:r>
      <w:r w:rsidRPr="00863A39">
        <w:rPr>
          <w:color w:val="373737"/>
          <w:sz w:val="20"/>
        </w:rPr>
        <w:t xml:space="preserve"> or encroaching</w:t>
      </w:r>
      <w:r>
        <w:rPr>
          <w:color w:val="373737"/>
          <w:sz w:val="20"/>
        </w:rPr>
        <w:t>,</w:t>
      </w:r>
      <w:r w:rsidRPr="00863A39">
        <w:rPr>
          <w:color w:val="373737"/>
          <w:sz w:val="20"/>
        </w:rPr>
        <w:t xml:space="preserve"> agricultural land will continue to face </w:t>
      </w:r>
      <w:r w:rsidR="00DB0191">
        <w:rPr>
          <w:color w:val="373737"/>
          <w:sz w:val="20"/>
        </w:rPr>
        <w:t>competing land claims</w:t>
      </w:r>
      <w:r w:rsidRPr="00863A39">
        <w:rPr>
          <w:color w:val="373737"/>
          <w:sz w:val="20"/>
        </w:rPr>
        <w:t xml:space="preserve">. The largest </w:t>
      </w:r>
      <w:r w:rsidR="003670D1">
        <w:rPr>
          <w:color w:val="373737"/>
          <w:sz w:val="20"/>
        </w:rPr>
        <w:t>near-term</w:t>
      </w:r>
      <w:r>
        <w:rPr>
          <w:color w:val="373737"/>
          <w:sz w:val="20"/>
        </w:rPr>
        <w:t xml:space="preserve"> </w:t>
      </w:r>
      <w:r w:rsidRPr="00863A39">
        <w:rPr>
          <w:color w:val="373737"/>
          <w:sz w:val="20"/>
        </w:rPr>
        <w:t>potential source of new onshore gas is the Surat Basin</w:t>
      </w:r>
      <w:r w:rsidR="00B37FAA">
        <w:rPr>
          <w:color w:val="373737"/>
          <w:sz w:val="20"/>
        </w:rPr>
        <w:t>, a region of agricultural land where access by the gas industry is highly controversial</w:t>
      </w:r>
      <w:r w:rsidRPr="00863A39">
        <w:rPr>
          <w:color w:val="373737"/>
          <w:sz w:val="20"/>
        </w:rPr>
        <w:t xml:space="preserve">. </w:t>
      </w:r>
    </w:p>
    <w:p w14:paraId="514745FE" w14:textId="28ACA2AE" w:rsidR="00EC7EC7" w:rsidRPr="00863A39" w:rsidRDefault="00EC7EC7" w:rsidP="00EC7EC7">
      <w:pPr>
        <w:spacing w:after="120"/>
        <w:rPr>
          <w:color w:val="373737"/>
          <w:sz w:val="20"/>
        </w:rPr>
      </w:pPr>
      <w:r w:rsidRPr="00863A39">
        <w:rPr>
          <w:color w:val="373737"/>
          <w:sz w:val="20"/>
        </w:rPr>
        <w:t xml:space="preserve">A further complication is that companies may also face internal or external limits on risk exposure or borrowing </w:t>
      </w:r>
      <w:r w:rsidR="008F3B4C">
        <w:rPr>
          <w:color w:val="373737"/>
          <w:sz w:val="20"/>
        </w:rPr>
        <w:t>which</w:t>
      </w:r>
      <w:r w:rsidRPr="00863A39">
        <w:rPr>
          <w:color w:val="373737"/>
          <w:sz w:val="20"/>
        </w:rPr>
        <w:t xml:space="preserve"> may </w:t>
      </w:r>
      <w:r>
        <w:rPr>
          <w:color w:val="373737"/>
          <w:sz w:val="20"/>
        </w:rPr>
        <w:t>impact on</w:t>
      </w:r>
      <w:r w:rsidRPr="00863A39">
        <w:rPr>
          <w:color w:val="373737"/>
          <w:sz w:val="20"/>
        </w:rPr>
        <w:t xml:space="preserve"> their ability to undertake new investment. Financing investment in exploration and development of gas is difficult in the current environment. Many creditors are limiting their </w:t>
      </w:r>
      <w:r>
        <w:rPr>
          <w:color w:val="373737"/>
          <w:sz w:val="20"/>
        </w:rPr>
        <w:t>exposure</w:t>
      </w:r>
      <w:r w:rsidRPr="00863A39">
        <w:rPr>
          <w:color w:val="373737"/>
          <w:sz w:val="20"/>
        </w:rPr>
        <w:t xml:space="preserve"> </w:t>
      </w:r>
      <w:r w:rsidR="009E399F">
        <w:rPr>
          <w:color w:val="373737"/>
          <w:sz w:val="20"/>
        </w:rPr>
        <w:t>to</w:t>
      </w:r>
      <w:r w:rsidRPr="00863A39">
        <w:rPr>
          <w:color w:val="373737"/>
          <w:sz w:val="20"/>
        </w:rPr>
        <w:t xml:space="preserve"> the oil and gas sector, although international company profits in the sector remain high and </w:t>
      </w:r>
      <w:r w:rsidR="009E399F">
        <w:rPr>
          <w:color w:val="373737"/>
          <w:sz w:val="20"/>
        </w:rPr>
        <w:t xml:space="preserve">are </w:t>
      </w:r>
      <w:r w:rsidRPr="00863A39">
        <w:rPr>
          <w:color w:val="373737"/>
          <w:sz w:val="20"/>
        </w:rPr>
        <w:t>supportive of internally funded investment.</w:t>
      </w:r>
    </w:p>
    <w:p w14:paraId="36550800" w14:textId="77777777" w:rsidR="00EC7EC7" w:rsidRPr="00863A39" w:rsidRDefault="00EC7EC7" w:rsidP="001C0D43">
      <w:pPr>
        <w:pStyle w:val="Heading3"/>
        <w:numPr>
          <w:ilvl w:val="2"/>
          <w:numId w:val="3"/>
        </w:numPr>
        <w:spacing w:before="120"/>
      </w:pPr>
      <w:r w:rsidRPr="00863A39">
        <w:t>Surat Basin</w:t>
      </w:r>
    </w:p>
    <w:p w14:paraId="6CC373BA" w14:textId="6C2AE2D0" w:rsidR="00B37FAA" w:rsidRPr="00863A39" w:rsidRDefault="00B37FAA" w:rsidP="00B37FAA">
      <w:pPr>
        <w:pStyle w:val="BodyText"/>
      </w:pPr>
      <w:r>
        <w:t>Additional supply is also required to maintain export levels as required by foundational LNG contracts. Without additional supply</w:t>
      </w:r>
      <w:r w:rsidRPr="00863A39">
        <w:t>, LNG producers will have to rely on third party gas to meet contracted demand</w:t>
      </w:r>
      <w:r>
        <w:t>, with implications for domestic market supply</w:t>
      </w:r>
      <w:r w:rsidRPr="00863A39">
        <w:t xml:space="preserve">. If anticipated supply from the Surat Basin is delayed, or does not occur, </w:t>
      </w:r>
      <w:r>
        <w:t>this issue could emerge earlier.</w:t>
      </w:r>
    </w:p>
    <w:p w14:paraId="14703059" w14:textId="4A88A7E3" w:rsidR="00B37FAA" w:rsidRPr="00863A39" w:rsidRDefault="00B37FAA" w:rsidP="0048603E">
      <w:pPr>
        <w:pStyle w:val="BodyText"/>
        <w:keepNext/>
      </w:pPr>
      <w:r w:rsidRPr="00863A39">
        <w:t>AEMO</w:t>
      </w:r>
      <w:r w:rsidR="0015552C">
        <w:t xml:space="preserve"> (2023c)</w:t>
      </w:r>
      <w:r w:rsidRPr="00863A39">
        <w:t xml:space="preserve"> forecasts show LNG exporters have</w:t>
      </w:r>
      <w:r w:rsidR="009E399F">
        <w:t xml:space="preserve"> sufficient production</w:t>
      </w:r>
      <w:r w:rsidRPr="00863A39">
        <w:t xml:space="preserve">: </w:t>
      </w:r>
    </w:p>
    <w:p w14:paraId="2EFB8B31" w14:textId="42F0AAAD" w:rsidR="00B37FAA" w:rsidRPr="00863A39" w:rsidRDefault="00B37FAA" w:rsidP="00B37FAA">
      <w:pPr>
        <w:pStyle w:val="ListBullet2"/>
        <w:ind w:left="568" w:hanging="284"/>
      </w:pPr>
      <w:r w:rsidRPr="00863A39">
        <w:t xml:space="preserve">from existing and committed facilities to meet forecast exports until 2025. </w:t>
      </w:r>
    </w:p>
    <w:p w14:paraId="0317ADDF" w14:textId="430AE5CA" w:rsidR="00B37FAA" w:rsidRPr="00863A39" w:rsidRDefault="00B37FAA" w:rsidP="00B37FAA">
      <w:pPr>
        <w:pStyle w:val="ListBullet2"/>
        <w:ind w:left="568" w:hanging="284"/>
      </w:pPr>
      <w:r w:rsidRPr="00863A39">
        <w:t xml:space="preserve">if anticipated investments proceed, to meet forecast exports until 2027. </w:t>
      </w:r>
    </w:p>
    <w:p w14:paraId="168FFC25" w14:textId="664ED4B9" w:rsidR="001A585D" w:rsidRPr="008D0C2F" w:rsidRDefault="00B37FAA" w:rsidP="007418BE">
      <w:pPr>
        <w:pStyle w:val="BodyText"/>
        <w:spacing w:before="120"/>
      </w:pPr>
      <w:r>
        <w:t xml:space="preserve">New investment is required to bring supply online to meet contracted cargoes from 2027, in particular for QCLNG. This supply is most likely to come from the Surat Basin, </w:t>
      </w:r>
      <w:r w:rsidR="002B1339">
        <w:t xml:space="preserve">which is close to LNG facilities and already includes significant LNG operations. </w:t>
      </w:r>
      <w:r>
        <w:t>However, there are barriers to</w:t>
      </w:r>
      <w:r w:rsidR="00BF1DC4">
        <w:t xml:space="preserve"> increasing production in the region</w:t>
      </w:r>
      <w:r w:rsidR="009E399F">
        <w:t>,</w:t>
      </w:r>
      <w:r w:rsidR="00BF1DC4">
        <w:t xml:space="preserve"> including securing enough drill rigs to substantially increase production, securing necessary landowner consent and applications to s</w:t>
      </w:r>
      <w:r w:rsidR="00732986">
        <w:t>e</w:t>
      </w:r>
      <w:r w:rsidR="00BF1DC4">
        <w:t>c</w:t>
      </w:r>
      <w:r w:rsidR="00732986">
        <w:t>u</w:t>
      </w:r>
      <w:r w:rsidR="00BF1DC4">
        <w:t>re necessary pipeline land access.</w:t>
      </w:r>
    </w:p>
    <w:p w14:paraId="310FBFEE" w14:textId="4BC7DAD0" w:rsidR="00EC7EC7" w:rsidRPr="00863A39" w:rsidRDefault="00EC7EC7" w:rsidP="00A04B67">
      <w:pPr>
        <w:pStyle w:val="Heading3"/>
        <w:numPr>
          <w:ilvl w:val="2"/>
          <w:numId w:val="3"/>
        </w:numPr>
        <w:spacing w:before="120"/>
      </w:pPr>
      <w:r w:rsidRPr="00863A39">
        <w:t>Narrabri Basin</w:t>
      </w:r>
    </w:p>
    <w:p w14:paraId="4442D1CC" w14:textId="36E8D4CC" w:rsidR="00EC7EC7" w:rsidRPr="00863A39" w:rsidRDefault="00BF5898" w:rsidP="00EC7EC7">
      <w:pPr>
        <w:spacing w:after="120"/>
        <w:rPr>
          <w:color w:val="373737"/>
          <w:sz w:val="20"/>
        </w:rPr>
      </w:pPr>
      <w:r>
        <w:rPr>
          <w:color w:val="373737"/>
          <w:sz w:val="20"/>
        </w:rPr>
        <w:t>EnergyQuest</w:t>
      </w:r>
      <w:r w:rsidR="00EC7EC7" w:rsidRPr="00863A39">
        <w:rPr>
          <w:color w:val="373737"/>
          <w:sz w:val="20"/>
        </w:rPr>
        <w:t xml:space="preserve"> forecasts suggest the Narrabri Basin will supply 55 PJ of gas to the domestic market by 2030, accounting </w:t>
      </w:r>
      <w:r w:rsidR="002B1339">
        <w:rPr>
          <w:color w:val="373737"/>
          <w:sz w:val="20"/>
        </w:rPr>
        <w:t>for</w:t>
      </w:r>
      <w:r w:rsidR="00EC7EC7" w:rsidRPr="00863A39">
        <w:rPr>
          <w:color w:val="373737"/>
          <w:sz w:val="20"/>
        </w:rPr>
        <w:t xml:space="preserve"> about 10% of the domestic </w:t>
      </w:r>
      <w:r w:rsidR="00EC7EC7">
        <w:rPr>
          <w:color w:val="373737"/>
          <w:sz w:val="20"/>
        </w:rPr>
        <w:t>usage</w:t>
      </w:r>
      <w:r w:rsidR="00EC7EC7" w:rsidRPr="00863A39">
        <w:rPr>
          <w:color w:val="373737"/>
          <w:sz w:val="20"/>
        </w:rPr>
        <w:t xml:space="preserve"> anticipated </w:t>
      </w:r>
      <w:r w:rsidR="002B1339">
        <w:rPr>
          <w:color w:val="373737"/>
          <w:sz w:val="20"/>
        </w:rPr>
        <w:t xml:space="preserve">in </w:t>
      </w:r>
      <w:r w:rsidR="009E399F">
        <w:rPr>
          <w:color w:val="373737"/>
          <w:sz w:val="20"/>
        </w:rPr>
        <w:t>2030</w:t>
      </w:r>
      <w:r w:rsidR="00EC7EC7" w:rsidRPr="00863A39">
        <w:rPr>
          <w:color w:val="373737"/>
          <w:sz w:val="20"/>
        </w:rPr>
        <w:t>.</w:t>
      </w:r>
    </w:p>
    <w:p w14:paraId="52774BC3" w14:textId="1B6D689F" w:rsidR="00EC7EC7" w:rsidRPr="00863A39" w:rsidRDefault="00EC7EC7" w:rsidP="00EC7EC7">
      <w:pPr>
        <w:spacing w:after="120"/>
        <w:rPr>
          <w:color w:val="373737"/>
          <w:sz w:val="20"/>
        </w:rPr>
      </w:pPr>
      <w:r w:rsidRPr="00863A39">
        <w:rPr>
          <w:color w:val="373737"/>
          <w:sz w:val="20"/>
        </w:rPr>
        <w:t xml:space="preserve">As outlined earlier, Narrabri faces significant </w:t>
      </w:r>
      <w:r w:rsidR="00DB0191">
        <w:rPr>
          <w:color w:val="373737"/>
          <w:sz w:val="20"/>
        </w:rPr>
        <w:t xml:space="preserve">competing land use </w:t>
      </w:r>
      <w:r w:rsidR="009E399F">
        <w:rPr>
          <w:color w:val="373737"/>
          <w:sz w:val="20"/>
        </w:rPr>
        <w:t xml:space="preserve">claims </w:t>
      </w:r>
      <w:r w:rsidRPr="00863A39">
        <w:rPr>
          <w:color w:val="373737"/>
          <w:sz w:val="20"/>
        </w:rPr>
        <w:t xml:space="preserve">and </w:t>
      </w:r>
      <w:r w:rsidR="00CE71C5">
        <w:rPr>
          <w:color w:val="373737"/>
          <w:sz w:val="20"/>
        </w:rPr>
        <w:t xml:space="preserve">additional steps associated with </w:t>
      </w:r>
      <w:r w:rsidRPr="00863A39">
        <w:rPr>
          <w:color w:val="373737"/>
          <w:sz w:val="20"/>
        </w:rPr>
        <w:t xml:space="preserve">regulatory </w:t>
      </w:r>
      <w:r w:rsidR="00CE71C5">
        <w:rPr>
          <w:color w:val="373737"/>
          <w:sz w:val="20"/>
        </w:rPr>
        <w:t>compliance</w:t>
      </w:r>
      <w:r w:rsidRPr="00863A39">
        <w:rPr>
          <w:color w:val="373737"/>
          <w:sz w:val="20"/>
        </w:rPr>
        <w:t xml:space="preserve">. In addition, the </w:t>
      </w:r>
      <w:r w:rsidR="009E399F">
        <w:rPr>
          <w:color w:val="373737"/>
          <w:sz w:val="20"/>
        </w:rPr>
        <w:t xml:space="preserve">Narrabri </w:t>
      </w:r>
      <w:r w:rsidRPr="00863A39">
        <w:rPr>
          <w:color w:val="373737"/>
          <w:sz w:val="20"/>
        </w:rPr>
        <w:t xml:space="preserve">Basin must also be connected to pipeline infrastructure. </w:t>
      </w:r>
    </w:p>
    <w:p w14:paraId="45A24AB6" w14:textId="016DB9C2" w:rsidR="00EC7EC7" w:rsidRPr="00863A39" w:rsidRDefault="00EC7EC7" w:rsidP="00EC7EC7">
      <w:pPr>
        <w:spacing w:after="120"/>
        <w:rPr>
          <w:color w:val="373737"/>
          <w:sz w:val="20"/>
        </w:rPr>
      </w:pPr>
      <w:r w:rsidRPr="00863A39">
        <w:rPr>
          <w:color w:val="373737"/>
          <w:sz w:val="20"/>
        </w:rPr>
        <w:t xml:space="preserve">Narrabri </w:t>
      </w:r>
      <w:r>
        <w:rPr>
          <w:color w:val="373737"/>
          <w:sz w:val="20"/>
        </w:rPr>
        <w:t xml:space="preserve">owner </w:t>
      </w:r>
      <w:r w:rsidRPr="00863A39">
        <w:rPr>
          <w:color w:val="373737"/>
          <w:sz w:val="20"/>
        </w:rPr>
        <w:t xml:space="preserve">Santos </w:t>
      </w:r>
      <w:r w:rsidR="009E399F">
        <w:rPr>
          <w:color w:val="373737"/>
          <w:sz w:val="20"/>
        </w:rPr>
        <w:t xml:space="preserve">has </w:t>
      </w:r>
      <w:r w:rsidRPr="00863A39">
        <w:rPr>
          <w:color w:val="373737"/>
          <w:sz w:val="20"/>
        </w:rPr>
        <w:t>set out some of the conditions to complete FID by 2025:</w:t>
      </w:r>
      <w:r w:rsidRPr="00863A39">
        <w:rPr>
          <w:noProof/>
        </w:rPr>
        <w:t xml:space="preserve"> </w:t>
      </w:r>
    </w:p>
    <w:p w14:paraId="7E18FDE8" w14:textId="0C0059F9" w:rsidR="00EC7EC7" w:rsidRPr="00FE2EA2" w:rsidRDefault="00EC7EC7" w:rsidP="004E02BB">
      <w:pPr>
        <w:pStyle w:val="ListBullet"/>
        <w:rPr>
          <w:rFonts w:asciiTheme="minorHAnsi" w:hAnsiTheme="minorHAnsi"/>
        </w:rPr>
      </w:pPr>
      <w:r>
        <w:t xml:space="preserve">Resolution of the </w:t>
      </w:r>
      <w:r w:rsidRPr="00FE2EA2">
        <w:t xml:space="preserve">Notice of the Appeal for Native Title Tribunal hearing in August 2023. </w:t>
      </w:r>
      <w:r>
        <w:t>In March 2024</w:t>
      </w:r>
      <w:r w:rsidR="009E399F">
        <w:t>,</w:t>
      </w:r>
      <w:r>
        <w:t xml:space="preserve"> </w:t>
      </w:r>
      <w:r w:rsidRPr="00FE2EA2">
        <w:t xml:space="preserve">the </w:t>
      </w:r>
      <w:bookmarkStart w:id="174" w:name="_Hlk160799861"/>
      <w:r w:rsidR="000907A5">
        <w:t>f</w:t>
      </w:r>
      <w:r w:rsidRPr="00FE2EA2">
        <w:t>ull Federal Court allow</w:t>
      </w:r>
      <w:r>
        <w:t>ed</w:t>
      </w:r>
      <w:r w:rsidRPr="00FE2EA2">
        <w:t xml:space="preserve"> </w:t>
      </w:r>
      <w:r w:rsidR="002B1339">
        <w:t>an</w:t>
      </w:r>
      <w:r w:rsidR="002B1339" w:rsidRPr="00FE2EA2">
        <w:t xml:space="preserve"> </w:t>
      </w:r>
      <w:r w:rsidRPr="00FE2EA2">
        <w:t xml:space="preserve">appeal against the determination by the National Native Title Tribunal </w:t>
      </w:r>
      <w:bookmarkEnd w:id="174"/>
      <w:r w:rsidRPr="00FE2EA2">
        <w:t xml:space="preserve">that proposed future acts, being the grants of Petroleum Production Lease Application Numbers 13, 14, 15 and 16 for the Narrabri Gas Project, </w:t>
      </w:r>
      <w:r w:rsidR="002B1339">
        <w:t>to proceed.</w:t>
      </w:r>
      <w:r>
        <w:t xml:space="preserve"> </w:t>
      </w:r>
      <w:r w:rsidRPr="00FE2EA2">
        <w:rPr>
          <w:rFonts w:asciiTheme="minorHAnsi" w:hAnsiTheme="minorHAnsi"/>
        </w:rPr>
        <w:t>The Court determined the National Native Title Tribunal erred at law by declining to have regard to evidence on climate impacts that w</w:t>
      </w:r>
      <w:r w:rsidR="009E399F">
        <w:rPr>
          <w:rFonts w:asciiTheme="minorHAnsi" w:hAnsiTheme="minorHAnsi"/>
        </w:rPr>
        <w:t>ere</w:t>
      </w:r>
      <w:r w:rsidRPr="00FE2EA2">
        <w:rPr>
          <w:rFonts w:asciiTheme="minorHAnsi" w:hAnsiTheme="minorHAnsi"/>
        </w:rPr>
        <w:t xml:space="preserve"> tendered on behalf of the Gomeroi applicant.</w:t>
      </w:r>
      <w:r>
        <w:rPr>
          <w:rFonts w:asciiTheme="minorHAnsi" w:hAnsiTheme="minorHAnsi"/>
        </w:rPr>
        <w:t xml:space="preserve"> </w:t>
      </w:r>
      <w:r w:rsidRPr="00FE2EA2">
        <w:rPr>
          <w:rFonts w:asciiTheme="minorHAnsi" w:hAnsiTheme="minorHAnsi"/>
        </w:rPr>
        <w:t xml:space="preserve">The Court’s orders regarding next steps are yet to be </w:t>
      </w:r>
      <w:r w:rsidR="002B1339">
        <w:rPr>
          <w:rFonts w:asciiTheme="minorHAnsi" w:hAnsiTheme="minorHAnsi"/>
        </w:rPr>
        <w:t>undertaken</w:t>
      </w:r>
      <w:r w:rsidRPr="00FE2EA2">
        <w:rPr>
          <w:rFonts w:asciiTheme="minorHAnsi" w:hAnsiTheme="minorHAnsi"/>
        </w:rPr>
        <w:t>.</w:t>
      </w:r>
    </w:p>
    <w:p w14:paraId="1FD1ACA9" w14:textId="77777777" w:rsidR="00EC7EC7" w:rsidRPr="00863A39" w:rsidRDefault="00EC7EC7" w:rsidP="004E02BB">
      <w:pPr>
        <w:pStyle w:val="ListBullet"/>
        <w:rPr>
          <w:noProof/>
        </w:rPr>
      </w:pPr>
      <w:r w:rsidRPr="00863A39">
        <w:t>The company is also progressing land access and survey activity to support Project Approvals and Pipelines License Applications.</w:t>
      </w:r>
      <w:r w:rsidRPr="00863A39">
        <w:rPr>
          <w:noProof/>
        </w:rPr>
        <w:t xml:space="preserve"> </w:t>
      </w:r>
    </w:p>
    <w:p w14:paraId="49D9A124" w14:textId="4E427EB3" w:rsidR="00EC7EC7" w:rsidRDefault="00EC7EC7" w:rsidP="007418BE">
      <w:pPr>
        <w:spacing w:before="120" w:after="120"/>
        <w:rPr>
          <w:color w:val="373737"/>
          <w:sz w:val="20"/>
        </w:rPr>
      </w:pPr>
      <w:r w:rsidRPr="00863A39">
        <w:rPr>
          <w:color w:val="373737"/>
          <w:sz w:val="20"/>
          <w:lang w:val="en"/>
        </w:rPr>
        <w:t>In the company’s February 2024 results presentation, Santos</w:t>
      </w:r>
      <w:r w:rsidRPr="00863A39">
        <w:rPr>
          <w:color w:val="373737"/>
          <w:sz w:val="20"/>
        </w:rPr>
        <w:t xml:space="preserve"> s</w:t>
      </w:r>
      <w:r>
        <w:rPr>
          <w:color w:val="373737"/>
          <w:sz w:val="20"/>
        </w:rPr>
        <w:t>tate</w:t>
      </w:r>
      <w:r w:rsidR="009E399F">
        <w:rPr>
          <w:color w:val="373737"/>
          <w:sz w:val="20"/>
        </w:rPr>
        <w:t>d</w:t>
      </w:r>
      <w:r>
        <w:rPr>
          <w:color w:val="373737"/>
          <w:sz w:val="20"/>
        </w:rPr>
        <w:t xml:space="preserve"> </w:t>
      </w:r>
      <w:r w:rsidR="009E399F">
        <w:rPr>
          <w:color w:val="373737"/>
          <w:sz w:val="20"/>
        </w:rPr>
        <w:t>the</w:t>
      </w:r>
      <w:r>
        <w:rPr>
          <w:color w:val="373737"/>
          <w:sz w:val="20"/>
        </w:rPr>
        <w:t xml:space="preserve"> </w:t>
      </w:r>
      <w:r w:rsidRPr="00863A39">
        <w:rPr>
          <w:color w:val="373737"/>
          <w:sz w:val="20"/>
        </w:rPr>
        <w:t xml:space="preserve">earliest gas expected from Narrabri is 2028. </w:t>
      </w:r>
    </w:p>
    <w:p w14:paraId="3D07C270" w14:textId="77777777" w:rsidR="00EC7EC7" w:rsidRPr="00863A39" w:rsidRDefault="00EC7EC7" w:rsidP="001C0D43">
      <w:pPr>
        <w:pStyle w:val="Heading3"/>
        <w:numPr>
          <w:ilvl w:val="2"/>
          <w:numId w:val="3"/>
        </w:numPr>
        <w:spacing w:before="120"/>
      </w:pPr>
      <w:r w:rsidRPr="00863A39">
        <w:t>Beetaloo Sub Basin</w:t>
      </w:r>
    </w:p>
    <w:p w14:paraId="6DBB0CCA" w14:textId="59622903" w:rsidR="00EC7EC7" w:rsidRDefault="00EC7EC7" w:rsidP="00EC7EC7">
      <w:pPr>
        <w:spacing w:after="120"/>
        <w:rPr>
          <w:color w:val="373737"/>
          <w:sz w:val="20"/>
        </w:rPr>
      </w:pPr>
      <w:r w:rsidRPr="00863A39">
        <w:rPr>
          <w:color w:val="373737"/>
          <w:sz w:val="20"/>
        </w:rPr>
        <w:t xml:space="preserve">There are large volumes of gas in the Beetaloo Sub Basin. The </w:t>
      </w:r>
      <w:r w:rsidR="00B23647" w:rsidRPr="00863A39">
        <w:rPr>
          <w:color w:val="373737"/>
          <w:sz w:val="20"/>
        </w:rPr>
        <w:t>number</w:t>
      </w:r>
      <w:r w:rsidRPr="00863A39">
        <w:rPr>
          <w:color w:val="373737"/>
          <w:sz w:val="20"/>
        </w:rPr>
        <w:t xml:space="preserve"> of contingent reserves </w:t>
      </w:r>
      <w:r w:rsidR="009E399F">
        <w:rPr>
          <w:color w:val="373737"/>
          <w:sz w:val="20"/>
        </w:rPr>
        <w:t>are</w:t>
      </w:r>
      <w:r w:rsidRPr="00863A39">
        <w:rPr>
          <w:color w:val="373737"/>
          <w:sz w:val="20"/>
        </w:rPr>
        <w:t xml:space="preserve"> increasing as improvements in fracture stimulation techniques and efficiencies are trialled (for example, </w:t>
      </w:r>
      <w:r w:rsidR="00732986">
        <w:rPr>
          <w:color w:val="373737"/>
          <w:sz w:val="20"/>
        </w:rPr>
        <w:t>there has been</w:t>
      </w:r>
      <w:r w:rsidRPr="00863A39">
        <w:rPr>
          <w:color w:val="373737"/>
          <w:sz w:val="20"/>
        </w:rPr>
        <w:t xml:space="preserve"> recent success in applying </w:t>
      </w:r>
      <w:r w:rsidR="00BD393C">
        <w:rPr>
          <w:color w:val="373737"/>
          <w:sz w:val="20"/>
        </w:rPr>
        <w:t>‘</w:t>
      </w:r>
      <w:r w:rsidRPr="00863A39">
        <w:rPr>
          <w:color w:val="373737"/>
          <w:sz w:val="20"/>
        </w:rPr>
        <w:t>US Style</w:t>
      </w:r>
      <w:r w:rsidR="00BD393C">
        <w:rPr>
          <w:color w:val="373737"/>
          <w:sz w:val="20"/>
        </w:rPr>
        <w:t>’</w:t>
      </w:r>
      <w:r w:rsidRPr="00863A39">
        <w:rPr>
          <w:color w:val="373737"/>
          <w:sz w:val="20"/>
        </w:rPr>
        <w:t xml:space="preserve"> completion techniques to improve well performance). </w:t>
      </w:r>
    </w:p>
    <w:p w14:paraId="3BE693E0" w14:textId="066CBD50" w:rsidR="00EC7EC7" w:rsidRPr="00863A39" w:rsidRDefault="009E399F" w:rsidP="00EC7EC7">
      <w:pPr>
        <w:pStyle w:val="BodyText"/>
      </w:pPr>
      <w:r>
        <w:t>Until recently, t</w:t>
      </w:r>
      <w:r w:rsidR="00EC7EC7">
        <w:t xml:space="preserve">he </w:t>
      </w:r>
      <w:r w:rsidR="00EC7EC7" w:rsidRPr="00863A39">
        <w:t>Northern Territory was</w:t>
      </w:r>
      <w:r w:rsidR="00EC7EC7">
        <w:t xml:space="preserve"> a</w:t>
      </w:r>
      <w:r w:rsidR="00EC7EC7" w:rsidRPr="00863A39">
        <w:t xml:space="preserve"> net exporter of gas</w:t>
      </w:r>
      <w:r w:rsidR="00EC7EC7">
        <w:t xml:space="preserve"> to eastern states (Box 7.1)</w:t>
      </w:r>
      <w:r w:rsidR="00EC7EC7" w:rsidRPr="00863A39">
        <w:t xml:space="preserve">. </w:t>
      </w:r>
      <w:r w:rsidR="00EC7EC7">
        <w:t xml:space="preserve">But an unanticipated fall in </w:t>
      </w:r>
      <w:r w:rsidR="001A585D">
        <w:t xml:space="preserve">offshore </w:t>
      </w:r>
      <w:r w:rsidR="00EC7EC7">
        <w:t xml:space="preserve">production means the </w:t>
      </w:r>
      <w:r w:rsidR="00EC7EC7" w:rsidRPr="00863A39">
        <w:t xml:space="preserve">Northern Territory </w:t>
      </w:r>
      <w:r w:rsidR="00EC7EC7">
        <w:t xml:space="preserve">must now rely on supply </w:t>
      </w:r>
      <w:r w:rsidR="00B37FAA">
        <w:t xml:space="preserve">diverted </w:t>
      </w:r>
      <w:r w:rsidR="00EC7EC7">
        <w:t xml:space="preserve">from LNG facilities to meet local demand. </w:t>
      </w:r>
    </w:p>
    <w:p w14:paraId="45882E2E" w14:textId="7150984D" w:rsidR="00EC7EC7" w:rsidRPr="00863A39" w:rsidRDefault="00EC7EC7" w:rsidP="00EC7EC7">
      <w:pPr>
        <w:spacing w:after="120"/>
        <w:rPr>
          <w:color w:val="373737"/>
          <w:sz w:val="20"/>
        </w:rPr>
      </w:pPr>
      <w:r w:rsidRPr="00863A39">
        <w:rPr>
          <w:color w:val="373737"/>
          <w:sz w:val="20"/>
        </w:rPr>
        <w:t xml:space="preserve">Beetaloo is much closer to Darwin than the Gladstone LNG facilities. Beetaloo can help supply gas in the domestic Northern Territory market, backfill LNG </w:t>
      </w:r>
      <w:r>
        <w:rPr>
          <w:color w:val="373737"/>
          <w:sz w:val="20"/>
        </w:rPr>
        <w:t>out of Darwin</w:t>
      </w:r>
      <w:r w:rsidR="002B1339">
        <w:rPr>
          <w:color w:val="373737"/>
          <w:sz w:val="20"/>
        </w:rPr>
        <w:t>,</w:t>
      </w:r>
      <w:r>
        <w:rPr>
          <w:color w:val="373737"/>
          <w:sz w:val="20"/>
        </w:rPr>
        <w:t xml:space="preserve"> </w:t>
      </w:r>
      <w:r w:rsidRPr="00863A39">
        <w:rPr>
          <w:color w:val="373737"/>
          <w:sz w:val="20"/>
        </w:rPr>
        <w:t xml:space="preserve">and supply the </w:t>
      </w:r>
      <w:r w:rsidR="00246987">
        <w:rPr>
          <w:color w:val="373737"/>
          <w:sz w:val="20"/>
        </w:rPr>
        <w:t>e</w:t>
      </w:r>
      <w:r w:rsidRPr="00863A39">
        <w:rPr>
          <w:color w:val="373737"/>
          <w:sz w:val="20"/>
        </w:rPr>
        <w:t>ast coast</w:t>
      </w:r>
      <w:r w:rsidR="002B1339">
        <w:rPr>
          <w:color w:val="373737"/>
          <w:sz w:val="20"/>
        </w:rPr>
        <w:t xml:space="preserve">. East </w:t>
      </w:r>
      <w:r w:rsidR="00246987">
        <w:rPr>
          <w:color w:val="373737"/>
          <w:sz w:val="20"/>
        </w:rPr>
        <w:t>c</w:t>
      </w:r>
      <w:r w:rsidR="002B1339">
        <w:rPr>
          <w:color w:val="373737"/>
          <w:sz w:val="20"/>
        </w:rPr>
        <w:t>oast supply can be</w:t>
      </w:r>
      <w:r w:rsidRPr="00863A39" w:rsidDel="002B1339">
        <w:rPr>
          <w:color w:val="373737"/>
          <w:sz w:val="20"/>
        </w:rPr>
        <w:t xml:space="preserve"> </w:t>
      </w:r>
      <w:r w:rsidR="00260774">
        <w:rPr>
          <w:color w:val="373737"/>
          <w:sz w:val="20"/>
        </w:rPr>
        <w:t xml:space="preserve">delivered </w:t>
      </w:r>
      <w:r w:rsidRPr="00863A39">
        <w:rPr>
          <w:color w:val="373737"/>
          <w:sz w:val="20"/>
        </w:rPr>
        <w:t>via connection to pipeline infrastructure or as LNG shipped around the coast to import terminals.</w:t>
      </w:r>
      <w:r w:rsidR="008D5124">
        <w:rPr>
          <w:color w:val="373737"/>
          <w:sz w:val="20"/>
        </w:rPr>
        <w:t xml:space="preserve"> </w:t>
      </w:r>
      <w:r w:rsidRPr="00863A39">
        <w:rPr>
          <w:color w:val="373737"/>
          <w:sz w:val="20"/>
        </w:rPr>
        <w:t xml:space="preserve">Beetaloo faces regulatory </w:t>
      </w:r>
      <w:r w:rsidR="00B21D11">
        <w:rPr>
          <w:color w:val="373737"/>
          <w:sz w:val="20"/>
        </w:rPr>
        <w:t>approval uncertainty</w:t>
      </w:r>
      <w:r w:rsidR="000D7278">
        <w:rPr>
          <w:color w:val="373737"/>
          <w:sz w:val="20"/>
        </w:rPr>
        <w:t xml:space="preserve"> </w:t>
      </w:r>
      <w:r w:rsidRPr="00863A39">
        <w:rPr>
          <w:color w:val="373737"/>
          <w:sz w:val="20"/>
        </w:rPr>
        <w:t xml:space="preserve">and </w:t>
      </w:r>
      <w:r>
        <w:rPr>
          <w:color w:val="373737"/>
          <w:sz w:val="20"/>
        </w:rPr>
        <w:t>competing land use claims.</w:t>
      </w:r>
      <w:r w:rsidR="00CA7FB9">
        <w:rPr>
          <w:color w:val="373737"/>
          <w:sz w:val="20"/>
        </w:rPr>
        <w:t xml:space="preserve"> </w:t>
      </w:r>
      <w:r w:rsidR="00CA7FB9" w:rsidRPr="003116B2">
        <w:rPr>
          <w:color w:val="373737"/>
          <w:sz w:val="20"/>
        </w:rPr>
        <w:t xml:space="preserve">The liquids content in the Beetaloo may also necessitate LPG removal to meet gas </w:t>
      </w:r>
      <w:r w:rsidR="00CA7FB9" w:rsidRPr="00732986">
        <w:rPr>
          <w:color w:val="373737"/>
          <w:sz w:val="20"/>
        </w:rPr>
        <w:t>specifications</w:t>
      </w:r>
      <w:r w:rsidR="00E260D8">
        <w:rPr>
          <w:color w:val="373737"/>
          <w:sz w:val="20"/>
        </w:rPr>
        <w:t>,</w:t>
      </w:r>
      <w:r w:rsidR="00022E61">
        <w:rPr>
          <w:color w:val="373737"/>
          <w:sz w:val="20"/>
        </w:rPr>
        <w:t xml:space="preserve"> </w:t>
      </w:r>
      <w:r w:rsidR="00E260D8">
        <w:rPr>
          <w:color w:val="373737"/>
          <w:sz w:val="20"/>
        </w:rPr>
        <w:t>lifting</w:t>
      </w:r>
      <w:r w:rsidR="00022E61">
        <w:rPr>
          <w:color w:val="373737"/>
          <w:sz w:val="20"/>
        </w:rPr>
        <w:t xml:space="preserve"> capital</w:t>
      </w:r>
      <w:r w:rsidR="00246987">
        <w:rPr>
          <w:color w:val="373737"/>
          <w:sz w:val="20"/>
        </w:rPr>
        <w:t xml:space="preserve"> and </w:t>
      </w:r>
      <w:r w:rsidR="00022E61">
        <w:rPr>
          <w:color w:val="373737"/>
          <w:sz w:val="20"/>
        </w:rPr>
        <w:t>processing costs.</w:t>
      </w:r>
    </w:p>
    <w:p w14:paraId="3549D145" w14:textId="74F70A91" w:rsidR="00EC7EC7" w:rsidRPr="00863A39" w:rsidRDefault="00EC7EC7" w:rsidP="00EC7EC7">
      <w:pPr>
        <w:spacing w:after="120"/>
        <w:rPr>
          <w:color w:val="373737"/>
          <w:sz w:val="20"/>
        </w:rPr>
      </w:pPr>
      <w:r w:rsidRPr="00863A39">
        <w:rPr>
          <w:color w:val="373737"/>
          <w:sz w:val="20"/>
        </w:rPr>
        <w:t xml:space="preserve">Beetaloo faces regulatory </w:t>
      </w:r>
      <w:r w:rsidR="00B21D11">
        <w:rPr>
          <w:color w:val="373737"/>
          <w:sz w:val="20"/>
        </w:rPr>
        <w:t>approval uncertainty</w:t>
      </w:r>
      <w:r w:rsidR="000D7278">
        <w:rPr>
          <w:color w:val="373737"/>
          <w:sz w:val="20"/>
        </w:rPr>
        <w:t xml:space="preserve"> </w:t>
      </w:r>
      <w:r w:rsidRPr="00863A39">
        <w:rPr>
          <w:color w:val="373737"/>
          <w:sz w:val="20"/>
        </w:rPr>
        <w:t xml:space="preserve">and </w:t>
      </w:r>
      <w:r>
        <w:rPr>
          <w:color w:val="373737"/>
          <w:sz w:val="20"/>
        </w:rPr>
        <w:t>competing land use claims.</w:t>
      </w:r>
      <w:r w:rsidR="00CA7FB9">
        <w:rPr>
          <w:color w:val="373737"/>
          <w:sz w:val="20"/>
        </w:rPr>
        <w:t xml:space="preserve"> </w:t>
      </w:r>
      <w:r w:rsidR="00CA7FB9" w:rsidRPr="003116B2">
        <w:rPr>
          <w:color w:val="373737"/>
          <w:sz w:val="20"/>
        </w:rPr>
        <w:t xml:space="preserve">The liquids content in the Beetaloo may also necessitate LPG removal to meet gas </w:t>
      </w:r>
      <w:r w:rsidR="00CA7FB9" w:rsidRPr="00732986">
        <w:rPr>
          <w:color w:val="373737"/>
          <w:sz w:val="20"/>
        </w:rPr>
        <w:t>specifications</w:t>
      </w:r>
      <w:r w:rsidR="00E260D8">
        <w:rPr>
          <w:color w:val="373737"/>
          <w:sz w:val="20"/>
        </w:rPr>
        <w:t>,</w:t>
      </w:r>
      <w:r w:rsidR="00022E61">
        <w:rPr>
          <w:color w:val="373737"/>
          <w:sz w:val="20"/>
        </w:rPr>
        <w:t xml:space="preserve"> </w:t>
      </w:r>
      <w:r w:rsidR="00E260D8">
        <w:rPr>
          <w:color w:val="373737"/>
          <w:sz w:val="20"/>
        </w:rPr>
        <w:t>lifting</w:t>
      </w:r>
      <w:r w:rsidR="00022E61">
        <w:rPr>
          <w:color w:val="373737"/>
          <w:sz w:val="20"/>
        </w:rPr>
        <w:t xml:space="preserve"> capital</w:t>
      </w:r>
      <w:r w:rsidR="00E260D8">
        <w:rPr>
          <w:color w:val="373737"/>
          <w:sz w:val="20"/>
        </w:rPr>
        <w:t>/</w:t>
      </w:r>
      <w:r w:rsidR="00022E61">
        <w:rPr>
          <w:color w:val="373737"/>
          <w:sz w:val="20"/>
        </w:rPr>
        <w:t>processing costs.</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AA57DC" w:rsidRPr="00863A39" w14:paraId="23679FA2" w14:textId="77777777" w:rsidTr="00B21D11">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0B003E6D" w14:textId="042A7EE0" w:rsidR="00EC7EC7" w:rsidRPr="00863A39" w:rsidRDefault="00EC7EC7" w:rsidP="00C50D71">
            <w:pPr>
              <w:widowControl w:val="0"/>
              <w:spacing w:beforeLines="60" w:before="144" w:afterLines="60" w:after="144"/>
              <w:ind w:left="113" w:right="113"/>
              <w:jc w:val="both"/>
              <w:rPr>
                <w:rFonts w:eastAsia="Times New Roman" w:cs="Arial"/>
                <w:sz w:val="20"/>
                <w:szCs w:val="18"/>
                <w:lang w:val="en"/>
              </w:rPr>
            </w:pPr>
            <w:r w:rsidRPr="00863A39">
              <w:rPr>
                <w:rFonts w:eastAsia="Times New Roman" w:cs="Arial"/>
                <w:sz w:val="20"/>
                <w:szCs w:val="18"/>
                <w:lang w:val="en"/>
              </w:rPr>
              <w:br w:type="column"/>
            </w:r>
            <w:r w:rsidRPr="00863A39">
              <w:rPr>
                <w:rFonts w:eastAsia="Times New Roman" w:cs="Arial"/>
                <w:b/>
                <w:bCs/>
                <w:color w:val="auto"/>
                <w:sz w:val="20"/>
                <w:szCs w:val="18"/>
                <w:lang w:val="en"/>
              </w:rPr>
              <w:t xml:space="preserve">Insight: </w:t>
            </w:r>
            <w:r w:rsidRPr="00863A39">
              <w:rPr>
                <w:rFonts w:eastAsia="Times New Roman" w:cs="Arial"/>
                <w:color w:val="auto"/>
                <w:sz w:val="20"/>
                <w:szCs w:val="18"/>
                <w:lang w:val="en"/>
              </w:rPr>
              <w:t xml:space="preserve">The lowest-cost supply options are the Surat Basin, Narrabri and undeveloped Northern Territory </w:t>
            </w:r>
            <w:r w:rsidR="00246987">
              <w:rPr>
                <w:rFonts w:eastAsia="Times New Roman" w:cs="Arial"/>
                <w:color w:val="auto"/>
                <w:sz w:val="20"/>
                <w:szCs w:val="18"/>
                <w:lang w:val="en"/>
              </w:rPr>
              <w:t>f</w:t>
            </w:r>
            <w:r w:rsidRPr="00863A39">
              <w:rPr>
                <w:rFonts w:eastAsia="Times New Roman" w:cs="Arial"/>
                <w:color w:val="auto"/>
                <w:sz w:val="20"/>
                <w:szCs w:val="18"/>
                <w:lang w:val="en"/>
              </w:rPr>
              <w:t xml:space="preserve">ields. </w:t>
            </w:r>
            <w:r w:rsidR="00B37FAA">
              <w:rPr>
                <w:rFonts w:eastAsia="Times New Roman" w:cs="Arial"/>
                <w:color w:val="auto"/>
                <w:sz w:val="20"/>
                <w:szCs w:val="18"/>
                <w:lang w:val="en"/>
              </w:rPr>
              <w:t>All</w:t>
            </w:r>
            <w:r w:rsidRPr="00F175F5">
              <w:rPr>
                <w:rFonts w:eastAsia="Times New Roman" w:cs="Arial"/>
                <w:color w:val="auto"/>
                <w:sz w:val="20"/>
                <w:szCs w:val="18"/>
                <w:lang w:val="en"/>
              </w:rPr>
              <w:t xml:space="preserve"> need substantial investment in </w:t>
            </w:r>
            <w:r w:rsidR="00B37FAA">
              <w:rPr>
                <w:rFonts w:eastAsia="Times New Roman" w:cs="Arial"/>
                <w:color w:val="auto"/>
                <w:sz w:val="20"/>
                <w:szCs w:val="18"/>
                <w:lang w:val="en"/>
              </w:rPr>
              <w:t xml:space="preserve">exploration, development and </w:t>
            </w:r>
            <w:r w:rsidRPr="00F175F5">
              <w:rPr>
                <w:rFonts w:eastAsia="Times New Roman" w:cs="Arial"/>
                <w:color w:val="auto"/>
                <w:sz w:val="20"/>
                <w:szCs w:val="18"/>
                <w:lang w:val="en"/>
              </w:rPr>
              <w:t>pipelines</w:t>
            </w:r>
            <w:r w:rsidR="00B37FAA">
              <w:rPr>
                <w:rFonts w:eastAsia="Times New Roman" w:cs="Arial"/>
                <w:color w:val="auto"/>
                <w:sz w:val="20"/>
                <w:szCs w:val="18"/>
                <w:lang w:val="en"/>
              </w:rPr>
              <w:t xml:space="preserve">. New supply is highly unlikely to fill shortfalls emerging in 2028, but would assist </w:t>
            </w:r>
            <w:r w:rsidR="00374A1A">
              <w:rPr>
                <w:rFonts w:eastAsia="Times New Roman" w:cs="Arial"/>
                <w:color w:val="auto"/>
                <w:sz w:val="20"/>
                <w:szCs w:val="18"/>
                <w:lang w:val="en"/>
              </w:rPr>
              <w:t>to fill supply gaps</w:t>
            </w:r>
            <w:r w:rsidR="00B37FAA">
              <w:rPr>
                <w:rFonts w:eastAsia="Times New Roman" w:cs="Arial"/>
                <w:color w:val="auto"/>
                <w:sz w:val="20"/>
                <w:szCs w:val="18"/>
                <w:lang w:val="en"/>
              </w:rPr>
              <w:t xml:space="preserve"> in coming years.</w:t>
            </w:r>
          </w:p>
        </w:tc>
      </w:tr>
    </w:tbl>
    <w:p w14:paraId="3B7A49FA" w14:textId="3B3431D8" w:rsidR="00BC0461" w:rsidRDefault="00BC0461">
      <w:pPr>
        <w:spacing w:after="0" w:line="276" w:lineRule="auto"/>
        <w:rPr>
          <w:color w:val="373737"/>
          <w:sz w:val="20"/>
          <w:lang w:val="en"/>
        </w:rPr>
      </w:pPr>
    </w:p>
    <w:p w14:paraId="5C68FB6A" w14:textId="77777777" w:rsidR="00BC0461" w:rsidRDefault="00BC0461">
      <w:pPr>
        <w:spacing w:after="200" w:line="276" w:lineRule="auto"/>
        <w:rPr>
          <w:color w:val="373737"/>
          <w:sz w:val="20"/>
          <w:lang w:val="en"/>
        </w:rPr>
      </w:pPr>
      <w:r>
        <w:rPr>
          <w:color w:val="373737"/>
          <w:sz w:val="20"/>
          <w:lang w:val="en"/>
        </w:rPr>
        <w:br w:type="page"/>
      </w:r>
    </w:p>
    <w:tbl>
      <w:tblPr>
        <w:tblStyle w:val="OCETable"/>
        <w:tblW w:w="6804" w:type="dxa"/>
        <w:shd w:val="clear" w:color="auto" w:fill="DEE8F1"/>
        <w:tblLayout w:type="fixed"/>
        <w:tblCellMar>
          <w:top w:w="85" w:type="dxa"/>
          <w:bottom w:w="85" w:type="dxa"/>
        </w:tblCellMar>
        <w:tblLook w:val="04A0" w:firstRow="1" w:lastRow="0" w:firstColumn="1" w:lastColumn="0" w:noHBand="0" w:noVBand="1"/>
      </w:tblPr>
      <w:tblGrid>
        <w:gridCol w:w="6804"/>
      </w:tblGrid>
      <w:tr w:rsidR="00EC7EC7" w14:paraId="0FE87D6B" w14:textId="77777777" w:rsidTr="00AA38BB">
        <w:trPr>
          <w:cnfStyle w:val="100000000000" w:firstRow="1" w:lastRow="0" w:firstColumn="0" w:lastColumn="0" w:oddVBand="0" w:evenVBand="0" w:oddHBand="0" w:evenHBand="0" w:firstRowFirstColumn="0" w:firstRowLastColumn="0" w:lastRowFirstColumn="0" w:lastRowLastColumn="0"/>
          <w:trHeight w:val="994"/>
        </w:trPr>
        <w:tc>
          <w:tcPr>
            <w:tcW w:w="0" w:type="pct"/>
            <w:shd w:val="clear" w:color="auto" w:fill="DEE8F1"/>
          </w:tcPr>
          <w:p w14:paraId="67BB53A0" w14:textId="1410C6CA" w:rsidR="00EC7EC7" w:rsidRPr="00732986" w:rsidRDefault="00EC7EC7" w:rsidP="00AA38BB">
            <w:pPr>
              <w:pStyle w:val="Boxtext"/>
              <w:spacing w:beforeLines="40" w:before="96" w:afterLines="60" w:after="144"/>
              <w:ind w:left="119" w:right="113"/>
              <w:jc w:val="both"/>
              <w:rPr>
                <w:color w:val="373737"/>
              </w:rPr>
            </w:pPr>
            <w:r w:rsidRPr="00732986">
              <w:rPr>
                <w:color w:val="373737"/>
              </w:rPr>
              <w:br w:type="column"/>
            </w:r>
            <w:r w:rsidRPr="00732986">
              <w:rPr>
                <w:color w:val="373737"/>
              </w:rPr>
              <w:br w:type="column"/>
            </w:r>
            <w:r w:rsidRPr="00732986">
              <w:rPr>
                <w:color w:val="373737"/>
              </w:rPr>
              <w:br w:type="column"/>
            </w:r>
            <w:r w:rsidRPr="00732986">
              <w:rPr>
                <w:rFonts w:asciiTheme="majorHAnsi" w:hAnsiTheme="majorHAnsi"/>
                <w:b/>
                <w:color w:val="005CAF" w:themeColor="accent1"/>
              </w:rPr>
              <w:t xml:space="preserve">Box 7.1: The Northern Territory </w:t>
            </w:r>
            <w:r w:rsidR="00246987">
              <w:rPr>
                <w:rFonts w:asciiTheme="majorHAnsi" w:hAnsiTheme="majorHAnsi"/>
                <w:b/>
                <w:color w:val="005CAF" w:themeColor="accent1"/>
              </w:rPr>
              <w:t>g</w:t>
            </w:r>
            <w:r w:rsidRPr="00732986">
              <w:rPr>
                <w:rFonts w:asciiTheme="majorHAnsi" w:hAnsiTheme="majorHAnsi"/>
                <w:b/>
                <w:color w:val="005CAF" w:themeColor="accent1"/>
              </w:rPr>
              <w:t xml:space="preserve">as </w:t>
            </w:r>
            <w:r w:rsidR="00246987">
              <w:rPr>
                <w:rFonts w:asciiTheme="majorHAnsi" w:hAnsiTheme="majorHAnsi"/>
                <w:b/>
                <w:color w:val="005CAF" w:themeColor="accent1"/>
              </w:rPr>
              <w:t>m</w:t>
            </w:r>
            <w:r w:rsidRPr="00732986">
              <w:rPr>
                <w:rFonts w:asciiTheme="majorHAnsi" w:hAnsiTheme="majorHAnsi"/>
                <w:b/>
                <w:color w:val="005CAF" w:themeColor="accent1"/>
              </w:rPr>
              <w:t>arket</w:t>
            </w:r>
          </w:p>
          <w:p w14:paraId="18841BC9" w14:textId="50C6286A" w:rsidR="00EC7EC7" w:rsidRPr="00DA36C0" w:rsidRDefault="00EC7EC7" w:rsidP="00C50D71">
            <w:pPr>
              <w:pStyle w:val="Boxtext"/>
              <w:spacing w:beforeLines="60" w:before="144" w:afterLines="60" w:after="144"/>
              <w:ind w:left="113" w:right="113"/>
              <w:rPr>
                <w:color w:val="373737"/>
              </w:rPr>
            </w:pPr>
            <w:r w:rsidRPr="00DA36C0">
              <w:rPr>
                <w:color w:val="373737"/>
              </w:rPr>
              <w:t>The Northern Territory supplies gas for three LNG trains and a 26 PJ local market. Of the 26 PJ of local demand, just under 20 PJ is used for GPG. The remainder is used for mining and nitrogen removal</w:t>
            </w:r>
            <w:r w:rsidR="00DF3C27">
              <w:rPr>
                <w:color w:val="373737"/>
              </w:rPr>
              <w:t xml:space="preserve"> </w:t>
            </w:r>
            <w:r w:rsidR="00857003">
              <w:rPr>
                <w:color w:val="373737"/>
              </w:rPr>
              <w:t xml:space="preserve">(necessary to strip from gas stream to meet gas specifications) </w:t>
            </w:r>
            <w:r w:rsidR="00DF3C27">
              <w:rPr>
                <w:color w:val="373737"/>
              </w:rPr>
              <w:t>when gas is transported to Queensland via the NGP</w:t>
            </w:r>
            <w:r w:rsidRPr="00DA36C0">
              <w:rPr>
                <w:color w:val="373737"/>
              </w:rPr>
              <w:t>.</w:t>
            </w:r>
          </w:p>
          <w:p w14:paraId="437F1FEB" w14:textId="4685FF0E" w:rsidR="00EC7EC7" w:rsidRPr="00DA36C0" w:rsidRDefault="00EC7EC7" w:rsidP="00C50D71">
            <w:pPr>
              <w:pStyle w:val="Boxtext"/>
              <w:spacing w:beforeLines="60" w:before="144" w:afterLines="60" w:after="144"/>
              <w:ind w:left="113" w:right="113"/>
              <w:rPr>
                <w:color w:val="373737"/>
              </w:rPr>
            </w:pPr>
            <w:r w:rsidRPr="00DF3C27">
              <w:rPr>
                <w:color w:val="373737"/>
              </w:rPr>
              <w:t xml:space="preserve">The Darwin single train LNG project is operated by Santos. The source of feedstock gas is currently the offshore Bayu-Undan gas field. </w:t>
            </w:r>
            <w:r w:rsidR="00DF3C27" w:rsidRPr="00732986">
              <w:rPr>
                <w:rFonts w:asciiTheme="majorHAnsi" w:hAnsiTheme="majorHAnsi"/>
                <w:color w:val="373737"/>
              </w:rPr>
              <w:t xml:space="preserve">LNG production has ceased </w:t>
            </w:r>
            <w:r w:rsidR="00DF3C27" w:rsidRPr="00DF3C27">
              <w:rPr>
                <w:color w:val="373737"/>
              </w:rPr>
              <w:t>and</w:t>
            </w:r>
            <w:r w:rsidR="00DF3C27" w:rsidRPr="00732986">
              <w:rPr>
                <w:rFonts w:asciiTheme="majorHAnsi" w:hAnsiTheme="majorHAnsi"/>
                <w:color w:val="373737"/>
              </w:rPr>
              <w:t xml:space="preserve"> residual Bayu</w:t>
            </w:r>
            <w:r w:rsidR="00B21D11">
              <w:rPr>
                <w:color w:val="373737"/>
              </w:rPr>
              <w:t>-</w:t>
            </w:r>
            <w:r w:rsidR="00DF3C27" w:rsidRPr="00732986">
              <w:rPr>
                <w:rFonts w:asciiTheme="majorHAnsi" w:hAnsiTheme="majorHAnsi"/>
                <w:color w:val="373737"/>
              </w:rPr>
              <w:t>Undan gas is being supplied into the Darwin domestic gas system.</w:t>
            </w:r>
            <w:r w:rsidR="00DF3C27" w:rsidRPr="00DF3C27">
              <w:rPr>
                <w:color w:val="373737"/>
              </w:rPr>
              <w:t xml:space="preserve"> </w:t>
            </w:r>
            <w:r w:rsidR="00857003">
              <w:rPr>
                <w:color w:val="373737"/>
              </w:rPr>
              <w:t>Pl</w:t>
            </w:r>
            <w:r w:rsidRPr="00DF3C27">
              <w:rPr>
                <w:color w:val="373737"/>
              </w:rPr>
              <w:t>ans</w:t>
            </w:r>
            <w:r w:rsidR="00857003">
              <w:rPr>
                <w:color w:val="373737"/>
              </w:rPr>
              <w:t xml:space="preserve"> are underway</w:t>
            </w:r>
            <w:r w:rsidRPr="00DF3C27">
              <w:rPr>
                <w:color w:val="373737"/>
              </w:rPr>
              <w:t xml:space="preserve"> to backfill Darwin LNG with the Barossa Field. The two train Ichthys LNG project is operated by INPEX. The source of feedstock gas is the Ichthys field. </w:t>
            </w:r>
            <w:r w:rsidRPr="00DA36C0">
              <w:rPr>
                <w:color w:val="373737"/>
              </w:rPr>
              <w:t xml:space="preserve">Both LNG projects are connected to the Darwin pipeline system and </w:t>
            </w:r>
            <w:r w:rsidR="00992689">
              <w:rPr>
                <w:color w:val="373737"/>
              </w:rPr>
              <w:t>are</w:t>
            </w:r>
            <w:r w:rsidRPr="00DA36C0">
              <w:rPr>
                <w:color w:val="373737"/>
              </w:rPr>
              <w:t xml:space="preserve"> contract</w:t>
            </w:r>
            <w:r w:rsidR="00992689">
              <w:rPr>
                <w:color w:val="373737"/>
              </w:rPr>
              <w:t>ed</w:t>
            </w:r>
            <w:r w:rsidRPr="00DA36C0">
              <w:rPr>
                <w:color w:val="373737"/>
              </w:rPr>
              <w:t xml:space="preserve"> to provide emergency gas supply </w:t>
            </w:r>
            <w:r w:rsidR="00992689">
              <w:rPr>
                <w:color w:val="373737"/>
              </w:rPr>
              <w:t>to</w:t>
            </w:r>
            <w:r w:rsidRPr="00DA36C0">
              <w:rPr>
                <w:color w:val="373737"/>
              </w:rPr>
              <w:t xml:space="preserve"> the Northern Territory.</w:t>
            </w:r>
          </w:p>
          <w:p w14:paraId="7EF8533C" w14:textId="284EF9C4" w:rsidR="00EC7EC7" w:rsidRPr="00DA36C0" w:rsidRDefault="00E260D8" w:rsidP="00C50D71">
            <w:pPr>
              <w:pStyle w:val="Boxtext"/>
              <w:spacing w:beforeLines="60" w:before="144" w:afterLines="60" w:after="144"/>
              <w:ind w:left="113" w:right="113"/>
              <w:rPr>
                <w:color w:val="373737"/>
              </w:rPr>
            </w:pPr>
            <w:r>
              <w:rPr>
                <w:color w:val="373737"/>
              </w:rPr>
              <w:t>Until recently, t</w:t>
            </w:r>
            <w:r w:rsidR="00B37FAA">
              <w:rPr>
                <w:color w:val="373737"/>
              </w:rPr>
              <w:t xml:space="preserve">he </w:t>
            </w:r>
            <w:r w:rsidR="00EC7EC7" w:rsidRPr="00DA36C0">
              <w:rPr>
                <w:color w:val="373737"/>
              </w:rPr>
              <w:t xml:space="preserve">Northern Territory was </w:t>
            </w:r>
            <w:r w:rsidR="00B37FAA">
              <w:rPr>
                <w:color w:val="373737"/>
              </w:rPr>
              <w:t xml:space="preserve">a </w:t>
            </w:r>
            <w:r w:rsidR="00EC7EC7" w:rsidRPr="00DA36C0">
              <w:rPr>
                <w:color w:val="373737"/>
              </w:rPr>
              <w:t>small net exporter of gas</w:t>
            </w:r>
            <w:r w:rsidR="002B498D">
              <w:rPr>
                <w:color w:val="373737"/>
              </w:rPr>
              <w:t xml:space="preserve">, with the </w:t>
            </w:r>
            <w:r w:rsidR="00EC7EC7" w:rsidRPr="00DA36C0">
              <w:rPr>
                <w:color w:val="373737"/>
              </w:rPr>
              <w:t xml:space="preserve">majority of </w:t>
            </w:r>
            <w:r w:rsidR="001A585D">
              <w:rPr>
                <w:color w:val="373737"/>
              </w:rPr>
              <w:t>offshore</w:t>
            </w:r>
            <w:r w:rsidR="001A585D" w:rsidRPr="00DA36C0">
              <w:rPr>
                <w:color w:val="373737"/>
              </w:rPr>
              <w:t xml:space="preserve"> </w:t>
            </w:r>
            <w:r w:rsidR="00EC7EC7" w:rsidRPr="00DA36C0">
              <w:rPr>
                <w:color w:val="373737"/>
              </w:rPr>
              <w:t xml:space="preserve">gas </w:t>
            </w:r>
            <w:r w:rsidR="002B498D">
              <w:rPr>
                <w:color w:val="373737"/>
              </w:rPr>
              <w:t>coming</w:t>
            </w:r>
            <w:r w:rsidR="00EC7EC7" w:rsidRPr="00DA36C0">
              <w:rPr>
                <w:color w:val="373737"/>
              </w:rPr>
              <w:t xml:space="preserve"> from the Blacktip field. However, production from Blacktip has </w:t>
            </w:r>
            <w:r w:rsidR="002B498D">
              <w:rPr>
                <w:color w:val="373737"/>
              </w:rPr>
              <w:t>recently</w:t>
            </w:r>
            <w:r w:rsidR="00EC7EC7" w:rsidRPr="00DA36C0">
              <w:rPr>
                <w:color w:val="373737"/>
              </w:rPr>
              <w:t xml:space="preserve"> been lower than expected. </w:t>
            </w:r>
          </w:p>
          <w:p w14:paraId="179E0EF9" w14:textId="5096488D" w:rsidR="00DF3C27" w:rsidRPr="00465FE5" w:rsidRDefault="00EC7EC7" w:rsidP="00465FE5">
            <w:pPr>
              <w:pStyle w:val="Boxtext"/>
              <w:spacing w:beforeLines="60" w:before="144" w:afterLines="60" w:after="144"/>
              <w:ind w:left="113" w:right="113"/>
              <w:rPr>
                <w:color w:val="373737"/>
              </w:rPr>
            </w:pPr>
            <w:r w:rsidRPr="00DA36C0">
              <w:rPr>
                <w:color w:val="373737"/>
              </w:rPr>
              <w:t xml:space="preserve">The Northern Territory market is connected via </w:t>
            </w:r>
            <w:r w:rsidR="00246987">
              <w:rPr>
                <w:color w:val="373737"/>
              </w:rPr>
              <w:t xml:space="preserve">a </w:t>
            </w:r>
            <w:r w:rsidRPr="00DA36C0">
              <w:rPr>
                <w:color w:val="373737"/>
              </w:rPr>
              <w:t>pipeline to Mt Isa. Previously, the Northern Territory had exported up to 20 PJ of gas to eastern states. However, with field decline – especially from Blacktip –Northern Territory domestic gas supply is no longer able to meet local demand. In 2023, just over 4 PJ of the 26 PJ of domestic demand were supplied by the Ichthys LNG project.</w:t>
            </w:r>
            <w:r w:rsidR="00DF3C27">
              <w:rPr>
                <w:color w:val="373737"/>
              </w:rPr>
              <w:t xml:space="preserve"> </w:t>
            </w:r>
            <w:r w:rsidR="006C3326" w:rsidRPr="00DA36C0">
              <w:rPr>
                <w:color w:val="373737"/>
              </w:rPr>
              <w:t>Northern Territory</w:t>
            </w:r>
            <w:r w:rsidR="00DF3C27" w:rsidRPr="00732986">
              <w:rPr>
                <w:rFonts w:asciiTheme="majorHAnsi" w:hAnsiTheme="majorHAnsi"/>
                <w:color w:val="373737"/>
              </w:rPr>
              <w:t xml:space="preserve"> LNG projects </w:t>
            </w:r>
            <w:r w:rsidR="006C3326">
              <w:rPr>
                <w:color w:val="373737"/>
              </w:rPr>
              <w:t xml:space="preserve">typically </w:t>
            </w:r>
            <w:r w:rsidR="00DF3C27" w:rsidRPr="00732986">
              <w:rPr>
                <w:rFonts w:asciiTheme="majorHAnsi" w:hAnsiTheme="majorHAnsi"/>
                <w:color w:val="373737"/>
              </w:rPr>
              <w:t xml:space="preserve">do </w:t>
            </w:r>
            <w:r w:rsidR="006C3326">
              <w:rPr>
                <w:color w:val="373737"/>
              </w:rPr>
              <w:t>not</w:t>
            </w:r>
            <w:r w:rsidR="00DF3C27" w:rsidRPr="00732986">
              <w:rPr>
                <w:rFonts w:asciiTheme="majorHAnsi" w:hAnsiTheme="majorHAnsi"/>
                <w:color w:val="373737"/>
              </w:rPr>
              <w:t xml:space="preserve"> supply</w:t>
            </w:r>
            <w:r w:rsidR="006C3326">
              <w:rPr>
                <w:color w:val="373737"/>
              </w:rPr>
              <w:t xml:space="preserve"> </w:t>
            </w:r>
            <w:r w:rsidR="00DF3C27" w:rsidRPr="00732986">
              <w:rPr>
                <w:rFonts w:asciiTheme="majorHAnsi" w:hAnsiTheme="majorHAnsi"/>
                <w:color w:val="373737"/>
              </w:rPr>
              <w:t>domestic demand</w:t>
            </w:r>
            <w:r w:rsidR="006C3326">
              <w:rPr>
                <w:color w:val="373737"/>
              </w:rPr>
              <w:t>.</w:t>
            </w:r>
            <w:r w:rsidR="00DF3C27" w:rsidRPr="00732986">
              <w:rPr>
                <w:rFonts w:asciiTheme="majorHAnsi" w:hAnsiTheme="majorHAnsi"/>
                <w:color w:val="373737"/>
              </w:rPr>
              <w:t xml:space="preserve"> LNG has </w:t>
            </w:r>
            <w:r w:rsidR="00732986">
              <w:rPr>
                <w:rFonts w:asciiTheme="majorHAnsi" w:hAnsiTheme="majorHAnsi"/>
                <w:color w:val="373737"/>
              </w:rPr>
              <w:t>recently</w:t>
            </w:r>
            <w:r w:rsidR="00DF3C27" w:rsidRPr="00732986">
              <w:rPr>
                <w:rFonts w:asciiTheme="majorHAnsi" w:hAnsiTheme="majorHAnsi"/>
                <w:color w:val="373737"/>
              </w:rPr>
              <w:t xml:space="preserve"> been supplying domestic demand under emergency supply procedures.</w:t>
            </w:r>
          </w:p>
          <w:p w14:paraId="25B128C5" w14:textId="4BE0704F" w:rsidR="00EC7EC7" w:rsidRPr="00DA36C0" w:rsidRDefault="00EC7EC7" w:rsidP="00C50D71">
            <w:pPr>
              <w:pStyle w:val="Boxtext"/>
              <w:spacing w:beforeLines="60" w:before="144" w:afterLines="60" w:after="144"/>
              <w:ind w:left="113" w:right="113"/>
              <w:rPr>
                <w:color w:val="373737"/>
              </w:rPr>
            </w:pPr>
            <w:r w:rsidRPr="00DA36C0">
              <w:rPr>
                <w:color w:val="373737"/>
              </w:rPr>
              <w:t xml:space="preserve">Domestic gas pricing in the Northern Territory is relatively opaque. Gas is supplied to the sole GPG provider and mining companies </w:t>
            </w:r>
            <w:r w:rsidR="00246987">
              <w:rPr>
                <w:color w:val="373737"/>
              </w:rPr>
              <w:t>through</w:t>
            </w:r>
            <w:r w:rsidRPr="00DA36C0">
              <w:rPr>
                <w:color w:val="373737"/>
              </w:rPr>
              <w:t xml:space="preserve"> individual contracts. </w:t>
            </w:r>
            <w:r w:rsidR="001A585D">
              <w:rPr>
                <w:color w:val="373737"/>
              </w:rPr>
              <w:t>Gas</w:t>
            </w:r>
            <w:r w:rsidRPr="00DA36C0">
              <w:rPr>
                <w:color w:val="373737"/>
              </w:rPr>
              <w:t xml:space="preserve"> costs have been increasing</w:t>
            </w:r>
            <w:r w:rsidR="00246987">
              <w:rPr>
                <w:color w:val="373737"/>
              </w:rPr>
              <w:t xml:space="preserve"> and</w:t>
            </w:r>
            <w:r w:rsidRPr="00DA36C0">
              <w:rPr>
                <w:color w:val="373737"/>
              </w:rPr>
              <w:t xml:space="preserve"> </w:t>
            </w:r>
            <w:r w:rsidR="00BF5898">
              <w:rPr>
                <w:color w:val="373737"/>
              </w:rPr>
              <w:t>EnergyQuest</w:t>
            </w:r>
            <w:r w:rsidRPr="00DA36C0">
              <w:rPr>
                <w:color w:val="373737"/>
              </w:rPr>
              <w:t xml:space="preserve"> estimate the cost of Blacktip production is now over $14/GJ.</w:t>
            </w:r>
          </w:p>
          <w:p w14:paraId="1875DDE4" w14:textId="2B9F003A" w:rsidR="00EC7EC7" w:rsidRPr="00732986" w:rsidRDefault="00EC7EC7" w:rsidP="00C50D71">
            <w:pPr>
              <w:pStyle w:val="Boxtext"/>
              <w:spacing w:beforeLines="60" w:before="144" w:afterLines="60" w:after="144"/>
              <w:ind w:left="113" w:right="113"/>
              <w:rPr>
                <w:color w:val="373737"/>
              </w:rPr>
            </w:pPr>
            <w:r w:rsidRPr="00DA36C0">
              <w:rPr>
                <w:color w:val="373737"/>
              </w:rPr>
              <w:t xml:space="preserve">The Beetaloo Sub Basin has large quantities of gas. </w:t>
            </w:r>
            <w:r w:rsidR="00310077">
              <w:rPr>
                <w:color w:val="373737"/>
              </w:rPr>
              <w:t>G</w:t>
            </w:r>
            <w:r w:rsidRPr="00DA36C0">
              <w:rPr>
                <w:color w:val="373737"/>
              </w:rPr>
              <w:t xml:space="preserve">as developers are continuing to drill, prove reserves and optimise completion techniques. If technical hurdles continue to be overcome and </w:t>
            </w:r>
            <w:r w:rsidR="000D7278">
              <w:rPr>
                <w:color w:val="373737"/>
              </w:rPr>
              <w:t xml:space="preserve">competing </w:t>
            </w:r>
            <w:r w:rsidRPr="00DA36C0">
              <w:rPr>
                <w:color w:val="373737"/>
              </w:rPr>
              <w:t xml:space="preserve">landowner </w:t>
            </w:r>
            <w:r w:rsidR="00DB0191">
              <w:rPr>
                <w:color w:val="373737"/>
              </w:rPr>
              <w:t>land use</w:t>
            </w:r>
            <w:r w:rsidR="00DB0191" w:rsidRPr="00DA36C0">
              <w:rPr>
                <w:color w:val="373737"/>
              </w:rPr>
              <w:t xml:space="preserve"> </w:t>
            </w:r>
            <w:r w:rsidR="000D7278">
              <w:rPr>
                <w:color w:val="373737"/>
              </w:rPr>
              <w:t>claims</w:t>
            </w:r>
            <w:r w:rsidRPr="00DA36C0">
              <w:rPr>
                <w:color w:val="373737"/>
              </w:rPr>
              <w:t xml:space="preserve"> </w:t>
            </w:r>
            <w:r w:rsidR="00992689">
              <w:rPr>
                <w:color w:val="373737"/>
              </w:rPr>
              <w:t xml:space="preserve">are </w:t>
            </w:r>
            <w:r w:rsidRPr="00DA36C0">
              <w:rPr>
                <w:color w:val="373737"/>
              </w:rPr>
              <w:t>resolved, the Beetaloo Sub Basin can provide LNG backfill, as well as gas to the Northern Territory and eastern domestic markets (via connection to pipeline infrastructure or as LNG shipped around the coast to import terminals).</w:t>
            </w:r>
          </w:p>
          <w:p w14:paraId="7CCE42E0" w14:textId="2CB42907" w:rsidR="00EC7EC7" w:rsidRPr="00732986" w:rsidRDefault="00EC7EC7" w:rsidP="00C50D71">
            <w:pPr>
              <w:pStyle w:val="Boxtext"/>
              <w:spacing w:beforeLines="60" w:before="144" w:afterLines="60" w:after="144"/>
              <w:ind w:left="113" w:right="113"/>
              <w:rPr>
                <w:color w:val="373737"/>
              </w:rPr>
            </w:pPr>
            <w:r w:rsidRPr="00DA36C0">
              <w:rPr>
                <w:color w:val="373737"/>
              </w:rPr>
              <w:t>If commercial development is viable, Beetaloo gas is expected to be relatively low cost and low carbon.</w:t>
            </w:r>
          </w:p>
        </w:tc>
      </w:tr>
    </w:tbl>
    <w:p w14:paraId="030C0915" w14:textId="77777777" w:rsidR="00EC7EC7" w:rsidRDefault="00EC7EC7" w:rsidP="001C0D43">
      <w:pPr>
        <w:pStyle w:val="Heading2"/>
        <w:numPr>
          <w:ilvl w:val="1"/>
          <w:numId w:val="3"/>
        </w:numPr>
        <w:spacing w:before="240"/>
      </w:pPr>
      <w:bookmarkStart w:id="175" w:name="_Toc172794537"/>
      <w:r w:rsidRPr="00863A39">
        <w:t>Increasing</w:t>
      </w:r>
      <w:r>
        <w:t xml:space="preserve"> transport </w:t>
      </w:r>
      <w:r w:rsidRPr="00863A39">
        <w:t xml:space="preserve">capacity on the </w:t>
      </w:r>
      <w:r w:rsidR="00D50059">
        <w:t>east c</w:t>
      </w:r>
      <w:r w:rsidRPr="00863A39">
        <w:t>oast</w:t>
      </w:r>
      <w:bookmarkEnd w:id="175"/>
    </w:p>
    <w:p w14:paraId="514F9265" w14:textId="38461423" w:rsidR="00EC7EC7" w:rsidRPr="00223242" w:rsidRDefault="00EC7EC7" w:rsidP="00EC7EC7">
      <w:pPr>
        <w:pStyle w:val="BodyText"/>
      </w:pPr>
      <w:r>
        <w:t xml:space="preserve">New transport capacity is required to overcome shortfalls in the south-eastern fields </w:t>
      </w:r>
      <w:r w:rsidR="008761ED">
        <w:t>coupled with</w:t>
      </w:r>
      <w:r>
        <w:t xml:space="preserve"> </w:t>
      </w:r>
      <w:r w:rsidR="00246987">
        <w:t xml:space="preserve">the </w:t>
      </w:r>
      <w:r w:rsidR="00260774">
        <w:t>additional</w:t>
      </w:r>
      <w:r>
        <w:t xml:space="preserve"> supply of gas. In particular, the </w:t>
      </w:r>
      <w:r w:rsidRPr="00B17B8F">
        <w:t>South</w:t>
      </w:r>
      <w:r w:rsidR="00006846">
        <w:t xml:space="preserve"> </w:t>
      </w:r>
      <w:r w:rsidRPr="00B17B8F">
        <w:t xml:space="preserve">West </w:t>
      </w:r>
      <w:r>
        <w:t xml:space="preserve">Queensland </w:t>
      </w:r>
      <w:r w:rsidRPr="00B17B8F">
        <w:t xml:space="preserve">Pipeline </w:t>
      </w:r>
      <w:r>
        <w:t xml:space="preserve">(SWQP) </w:t>
      </w:r>
      <w:r w:rsidR="004866EE">
        <w:t>and Moomba to Sydney Pipeline (MSP) are</w:t>
      </w:r>
      <w:r w:rsidRPr="00B17B8F">
        <w:t xml:space="preserve"> key constraint</w:t>
      </w:r>
      <w:r w:rsidR="004866EE">
        <w:t>s</w:t>
      </w:r>
      <w:r w:rsidRPr="00B17B8F">
        <w:t xml:space="preserve"> within the system and would prevent northern gas from filling the full demand from southern </w:t>
      </w:r>
      <w:r w:rsidR="00246987">
        <w:t>s</w:t>
      </w:r>
      <w:r w:rsidRPr="00B17B8F">
        <w:t>tates.</w:t>
      </w:r>
      <w:r>
        <w:t xml:space="preserve"> This section looks at </w:t>
      </w:r>
      <w:r w:rsidR="00656055">
        <w:t xml:space="preserve">the </w:t>
      </w:r>
      <w:r>
        <w:t xml:space="preserve">potential for </w:t>
      </w:r>
      <w:r w:rsidR="00E7055D">
        <w:t xml:space="preserve">more </w:t>
      </w:r>
      <w:r>
        <w:t xml:space="preserve">pipelines and </w:t>
      </w:r>
      <w:r w:rsidR="00656055">
        <w:t xml:space="preserve">the </w:t>
      </w:r>
      <w:r>
        <w:t>impact of LNG import terminals.</w:t>
      </w:r>
    </w:p>
    <w:p w14:paraId="74B00242" w14:textId="137B786F" w:rsidR="00EC7EC7" w:rsidRPr="00F175F5" w:rsidRDefault="00EC7EC7" w:rsidP="001C0D43">
      <w:pPr>
        <w:pStyle w:val="Heading3"/>
        <w:numPr>
          <w:ilvl w:val="2"/>
          <w:numId w:val="3"/>
        </w:numPr>
        <w:spacing w:before="0"/>
      </w:pPr>
      <w:r w:rsidRPr="00863A39">
        <w:t xml:space="preserve">Potential new pipelines and pipeline expansion on the </w:t>
      </w:r>
      <w:r w:rsidR="00D50059">
        <w:t>east c</w:t>
      </w:r>
      <w:r w:rsidRPr="00863A39">
        <w:t>oast</w:t>
      </w:r>
    </w:p>
    <w:p w14:paraId="1F538874" w14:textId="3B8F1C51" w:rsidR="00EC7EC7" w:rsidRPr="00863A39" w:rsidRDefault="00EC7EC7" w:rsidP="00EC7EC7">
      <w:pPr>
        <w:spacing w:after="120"/>
        <w:rPr>
          <w:color w:val="373737"/>
          <w:sz w:val="20"/>
        </w:rPr>
      </w:pPr>
      <w:r w:rsidRPr="00863A39">
        <w:rPr>
          <w:color w:val="373737"/>
          <w:sz w:val="20"/>
        </w:rPr>
        <w:t xml:space="preserve">Developing pipeline infrastructure and expanding pipeline capacity </w:t>
      </w:r>
      <w:r w:rsidR="00246987">
        <w:rPr>
          <w:color w:val="373737"/>
          <w:sz w:val="20"/>
        </w:rPr>
        <w:t>is</w:t>
      </w:r>
      <w:r w:rsidRPr="00863A39">
        <w:rPr>
          <w:color w:val="373737"/>
          <w:sz w:val="20"/>
        </w:rPr>
        <w:t xml:space="preserve"> crucial to bring</w:t>
      </w:r>
      <w:r>
        <w:rPr>
          <w:color w:val="373737"/>
          <w:sz w:val="20"/>
        </w:rPr>
        <w:t>ing</w:t>
      </w:r>
      <w:r w:rsidRPr="00863A39">
        <w:rPr>
          <w:color w:val="373737"/>
          <w:sz w:val="20"/>
        </w:rPr>
        <w:t xml:space="preserve"> more sources of supply to the </w:t>
      </w:r>
      <w:r w:rsidR="00D50059">
        <w:rPr>
          <w:color w:val="373737"/>
          <w:sz w:val="20"/>
        </w:rPr>
        <w:t>east c</w:t>
      </w:r>
      <w:r w:rsidRPr="00863A39">
        <w:rPr>
          <w:color w:val="373737"/>
          <w:sz w:val="20"/>
        </w:rPr>
        <w:t>oast market</w:t>
      </w:r>
      <w:r>
        <w:rPr>
          <w:color w:val="373737"/>
          <w:sz w:val="20"/>
        </w:rPr>
        <w:t xml:space="preserve">. This reflects the need to connect gas fields to the existing network, expand existing regional pipelines to move gas from north to south in particular, and additional distribution network expansions within southern </w:t>
      </w:r>
      <w:r w:rsidR="00246987">
        <w:rPr>
          <w:color w:val="373737"/>
          <w:sz w:val="20"/>
        </w:rPr>
        <w:t>s</w:t>
      </w:r>
      <w:r>
        <w:rPr>
          <w:color w:val="373737"/>
          <w:sz w:val="20"/>
        </w:rPr>
        <w:t>tates.</w:t>
      </w:r>
    </w:p>
    <w:p w14:paraId="62A681F6" w14:textId="1E839E43" w:rsidR="00EC7EC7" w:rsidRPr="00863A39" w:rsidRDefault="00EC7EC7" w:rsidP="001C0D43">
      <w:pPr>
        <w:pStyle w:val="ListBullet2"/>
        <w:ind w:left="568" w:hanging="284"/>
      </w:pPr>
      <w:r w:rsidRPr="00863A39">
        <w:t>Table 7.</w:t>
      </w:r>
      <w:r w:rsidR="00616C9E">
        <w:t>1</w:t>
      </w:r>
      <w:r w:rsidRPr="00863A39">
        <w:t xml:space="preserve"> lists the potential new gas pipeline projects for commissioning by 2028. These potential new gas pipeline projects essentially aim to connect the potential new gas supply from Beetaloo sub-basin and Narrabri gas projects in Gunnedah </w:t>
      </w:r>
      <w:r>
        <w:t>B</w:t>
      </w:r>
      <w:r w:rsidRPr="00863A39">
        <w:t xml:space="preserve">asin to the </w:t>
      </w:r>
      <w:r w:rsidR="00006846">
        <w:t>e</w:t>
      </w:r>
      <w:r w:rsidRPr="00863A39">
        <w:t xml:space="preserve">ast </w:t>
      </w:r>
      <w:r w:rsidR="00006846">
        <w:t>c</w:t>
      </w:r>
      <w:r w:rsidRPr="00863A39">
        <w:t xml:space="preserve">oast market (discussed in section 5.4). </w:t>
      </w:r>
    </w:p>
    <w:p w14:paraId="28D4A092" w14:textId="30AE2A0B" w:rsidR="00EC7EC7" w:rsidRPr="00863A39" w:rsidRDefault="00EC7EC7" w:rsidP="00732986">
      <w:pPr>
        <w:pStyle w:val="ListBullet2"/>
        <w:ind w:left="568" w:hanging="284"/>
      </w:pPr>
      <w:r w:rsidRPr="00863A39">
        <w:t>Table 7.</w:t>
      </w:r>
      <w:r w:rsidR="00616C9E">
        <w:t>2</w:t>
      </w:r>
      <w:r w:rsidRPr="00863A39">
        <w:t xml:space="preserve"> summarises major pipeline expansions that have the potential for commissioning by 2028. One of the major pipeline expansion project</w:t>
      </w:r>
      <w:r>
        <w:t>s</w:t>
      </w:r>
      <w:r w:rsidRPr="00863A39">
        <w:t xml:space="preserve"> is currently </w:t>
      </w:r>
      <w:r>
        <w:t xml:space="preserve">being </w:t>
      </w:r>
      <w:r w:rsidRPr="00863A39">
        <w:t xml:space="preserve">carried out by APA, which aims to </w:t>
      </w:r>
      <w:r w:rsidR="00E260D8">
        <w:t>raise</w:t>
      </w:r>
      <w:r w:rsidRPr="00863A39">
        <w:t xml:space="preserve"> the nameplate capacity </w:t>
      </w:r>
      <w:r w:rsidRPr="00B17B8F">
        <w:t>of SW</w:t>
      </w:r>
      <w:r>
        <w:t>Q</w:t>
      </w:r>
      <w:r w:rsidRPr="00B17B8F">
        <w:t>P</w:t>
      </w:r>
      <w:r w:rsidRPr="00863A39">
        <w:t xml:space="preserve"> and MSP by 25%. </w:t>
      </w:r>
      <w:r w:rsidR="00B21D11" w:rsidRPr="00B21D11">
        <w:t>Stage 1 was commissioned prior to winter 2023 while stage 2 will be commissioned shortly ahead of winter 2024.</w:t>
      </w:r>
    </w:p>
    <w:p w14:paraId="0020D197" w14:textId="4601DCEF" w:rsidR="00EC7EC7" w:rsidRDefault="00246987" w:rsidP="00B36747">
      <w:pPr>
        <w:spacing w:before="120" w:after="40"/>
        <w:rPr>
          <w:color w:val="373737"/>
          <w:sz w:val="20"/>
        </w:rPr>
      </w:pPr>
      <w:r>
        <w:rPr>
          <w:color w:val="373737"/>
          <w:sz w:val="20"/>
        </w:rPr>
        <w:t>T</w:t>
      </w:r>
      <w:r w:rsidR="00EC7EC7" w:rsidRPr="00863A39">
        <w:rPr>
          <w:color w:val="373737"/>
          <w:sz w:val="20"/>
        </w:rPr>
        <w:t xml:space="preserve">hese pipeline projects are yet to achieve </w:t>
      </w:r>
      <w:r w:rsidR="007978AE">
        <w:rPr>
          <w:color w:val="373737"/>
          <w:sz w:val="20"/>
        </w:rPr>
        <w:t>FID</w:t>
      </w:r>
      <w:r w:rsidR="002B498D">
        <w:rPr>
          <w:color w:val="373737"/>
          <w:sz w:val="20"/>
        </w:rPr>
        <w:t>, with</w:t>
      </w:r>
      <w:r w:rsidR="00E43061">
        <w:rPr>
          <w:color w:val="373737"/>
          <w:sz w:val="20"/>
        </w:rPr>
        <w:t xml:space="preserve"> </w:t>
      </w:r>
      <w:r w:rsidR="00CE71C5">
        <w:rPr>
          <w:color w:val="373737"/>
          <w:sz w:val="20"/>
        </w:rPr>
        <w:t xml:space="preserve">competing </w:t>
      </w:r>
      <w:r w:rsidR="00EC7EC7" w:rsidRPr="00863A39">
        <w:rPr>
          <w:color w:val="373737"/>
          <w:sz w:val="20"/>
        </w:rPr>
        <w:t xml:space="preserve">land </w:t>
      </w:r>
      <w:r w:rsidR="00CE71C5">
        <w:rPr>
          <w:color w:val="373737"/>
          <w:sz w:val="20"/>
        </w:rPr>
        <w:t>use claims</w:t>
      </w:r>
      <w:r w:rsidR="002B498D">
        <w:rPr>
          <w:color w:val="373737"/>
          <w:sz w:val="20"/>
        </w:rPr>
        <w:t xml:space="preserve"> and</w:t>
      </w:r>
      <w:r w:rsidR="00EC7EC7" w:rsidRPr="00863A39">
        <w:rPr>
          <w:color w:val="373737"/>
          <w:sz w:val="20"/>
        </w:rPr>
        <w:t xml:space="preserve"> commercial and financial concerns</w:t>
      </w:r>
      <w:r w:rsidR="002B498D">
        <w:rPr>
          <w:color w:val="373737"/>
          <w:sz w:val="20"/>
        </w:rPr>
        <w:t xml:space="preserve"> yet to be fully addressed</w:t>
      </w:r>
      <w:r w:rsidR="00EC7EC7" w:rsidRPr="00863A39">
        <w:rPr>
          <w:color w:val="373737"/>
          <w:sz w:val="20"/>
        </w:rPr>
        <w:t xml:space="preserve">. </w:t>
      </w:r>
    </w:p>
    <w:p w14:paraId="79FC3A17" w14:textId="2064594D" w:rsidR="00EC7EC7" w:rsidRPr="00863A39" w:rsidRDefault="00EC7EC7" w:rsidP="00C97679">
      <w:pPr>
        <w:pStyle w:val="Caption"/>
        <w:rPr>
          <w:lang w:val="en"/>
        </w:rPr>
      </w:pPr>
      <w:r w:rsidRPr="00863A39">
        <w:rPr>
          <w:lang w:val="en"/>
        </w:rPr>
        <w:t xml:space="preserve">Table </w:t>
      </w:r>
      <w:r w:rsidR="000565F6">
        <w:rPr>
          <w:lang w:val="en"/>
        </w:rPr>
        <w:fldChar w:fldCharType="begin"/>
      </w:r>
      <w:r w:rsidR="000565F6">
        <w:rPr>
          <w:lang w:val="en"/>
        </w:rPr>
        <w:instrText xml:space="preserve"> STYLEREF 1 \s </w:instrText>
      </w:r>
      <w:r w:rsidR="000565F6">
        <w:rPr>
          <w:lang w:val="en"/>
        </w:rPr>
        <w:fldChar w:fldCharType="separate"/>
      </w:r>
      <w:r w:rsidR="00BF178A">
        <w:rPr>
          <w:noProof/>
          <w:lang w:val="en"/>
        </w:rPr>
        <w:t>7</w:t>
      </w:r>
      <w:r w:rsidR="000565F6">
        <w:rPr>
          <w:lang w:val="en"/>
        </w:rPr>
        <w:fldChar w:fldCharType="end"/>
      </w:r>
      <w:r w:rsidR="000565F6">
        <w:rPr>
          <w:lang w:val="en"/>
        </w:rPr>
        <w:t>.</w:t>
      </w:r>
      <w:r w:rsidR="000565F6">
        <w:rPr>
          <w:lang w:val="en"/>
        </w:rPr>
        <w:fldChar w:fldCharType="begin"/>
      </w:r>
      <w:r w:rsidR="000565F6">
        <w:rPr>
          <w:lang w:val="en"/>
        </w:rPr>
        <w:instrText xml:space="preserve"> SEQ Table \* ARABIC \s 1 </w:instrText>
      </w:r>
      <w:r w:rsidR="000565F6">
        <w:rPr>
          <w:lang w:val="en"/>
        </w:rPr>
        <w:fldChar w:fldCharType="separate"/>
      </w:r>
      <w:r w:rsidR="00BF178A">
        <w:rPr>
          <w:noProof/>
          <w:lang w:val="en"/>
        </w:rPr>
        <w:t>1</w:t>
      </w:r>
      <w:r w:rsidR="000565F6">
        <w:rPr>
          <w:lang w:val="en"/>
        </w:rPr>
        <w:fldChar w:fldCharType="end"/>
      </w:r>
      <w:r w:rsidRPr="00863A39">
        <w:rPr>
          <w:lang w:val="en"/>
        </w:rPr>
        <w:t xml:space="preserve">: Potential new pipelines for commissioning by 2028 </w:t>
      </w:r>
    </w:p>
    <w:tbl>
      <w:tblPr>
        <w:tblStyle w:val="OCETable"/>
        <w:tblW w:w="5000" w:type="pct"/>
        <w:tblLook w:val="04A0" w:firstRow="1" w:lastRow="0" w:firstColumn="1" w:lastColumn="0" w:noHBand="0" w:noVBand="1"/>
      </w:tblPr>
      <w:tblGrid>
        <w:gridCol w:w="1087"/>
        <w:gridCol w:w="2741"/>
        <w:gridCol w:w="1275"/>
        <w:gridCol w:w="1522"/>
      </w:tblGrid>
      <w:tr w:rsidR="00EC7EC7" w:rsidRPr="00863A39" w14:paraId="6236E027" w14:textId="77777777" w:rsidTr="001C0D43">
        <w:trPr>
          <w:cnfStyle w:val="100000000000" w:firstRow="1" w:lastRow="0" w:firstColumn="0" w:lastColumn="0" w:oddVBand="0" w:evenVBand="0" w:oddHBand="0" w:evenHBand="0" w:firstRowFirstColumn="0" w:firstRowLastColumn="0" w:lastRowFirstColumn="0" w:lastRowLastColumn="0"/>
          <w:trHeight w:val="478"/>
        </w:trPr>
        <w:tc>
          <w:tcPr>
            <w:tcW w:w="820" w:type="pct"/>
          </w:tcPr>
          <w:p w14:paraId="5C4D7F39" w14:textId="77777777" w:rsidR="00EC7EC7" w:rsidRPr="00863A39" w:rsidRDefault="00EC7EC7" w:rsidP="00C50D71">
            <w:pPr>
              <w:keepNext/>
              <w:spacing w:before="120" w:after="120" w:line="240" w:lineRule="auto"/>
              <w:rPr>
                <w:rFonts w:cs="Arial"/>
                <w:b/>
                <w:szCs w:val="18"/>
              </w:rPr>
            </w:pPr>
            <w:r w:rsidRPr="00863A39">
              <w:rPr>
                <w:rFonts w:cs="Arial"/>
                <w:b/>
                <w:szCs w:val="18"/>
              </w:rPr>
              <w:t>Developer</w:t>
            </w:r>
          </w:p>
        </w:tc>
        <w:tc>
          <w:tcPr>
            <w:tcW w:w="2069" w:type="pct"/>
          </w:tcPr>
          <w:p w14:paraId="241692F0" w14:textId="77777777" w:rsidR="00EC7EC7" w:rsidRPr="00863A39" w:rsidRDefault="00EC7EC7" w:rsidP="00C50D71">
            <w:pPr>
              <w:keepNext/>
              <w:spacing w:before="120" w:after="120" w:line="240" w:lineRule="auto"/>
              <w:rPr>
                <w:rFonts w:cs="Arial"/>
                <w:b/>
                <w:szCs w:val="18"/>
              </w:rPr>
            </w:pPr>
            <w:r w:rsidRPr="00863A39">
              <w:rPr>
                <w:rFonts w:cs="Arial"/>
                <w:b/>
                <w:szCs w:val="18"/>
              </w:rPr>
              <w:t>Name/Description</w:t>
            </w:r>
          </w:p>
        </w:tc>
        <w:tc>
          <w:tcPr>
            <w:tcW w:w="962" w:type="pct"/>
          </w:tcPr>
          <w:p w14:paraId="110FC3E0" w14:textId="77777777" w:rsidR="00EC7EC7" w:rsidRPr="00863A39" w:rsidRDefault="00EC7EC7" w:rsidP="00C50D71">
            <w:pPr>
              <w:keepNext/>
              <w:spacing w:before="120" w:after="120" w:line="240" w:lineRule="auto"/>
              <w:rPr>
                <w:rFonts w:cs="Arial"/>
                <w:b/>
                <w:szCs w:val="18"/>
              </w:rPr>
            </w:pPr>
            <w:r w:rsidRPr="00863A39">
              <w:rPr>
                <w:rFonts w:cs="Arial"/>
                <w:b/>
                <w:szCs w:val="18"/>
              </w:rPr>
              <w:t>Nameplate capacity</w:t>
            </w:r>
          </w:p>
        </w:tc>
        <w:tc>
          <w:tcPr>
            <w:tcW w:w="1149" w:type="pct"/>
          </w:tcPr>
          <w:p w14:paraId="24DA352E" w14:textId="77777777" w:rsidR="00EC7EC7" w:rsidRPr="00863A39" w:rsidRDefault="00EC7EC7" w:rsidP="00C50D71">
            <w:pPr>
              <w:keepNext/>
              <w:spacing w:before="120" w:after="120" w:line="240" w:lineRule="auto"/>
              <w:rPr>
                <w:rFonts w:cs="Arial"/>
                <w:b/>
                <w:szCs w:val="18"/>
              </w:rPr>
            </w:pPr>
            <w:r w:rsidRPr="00863A39">
              <w:rPr>
                <w:rFonts w:cs="Arial"/>
                <w:b/>
                <w:szCs w:val="18"/>
              </w:rPr>
              <w:t>Key dates (FID, Commission)</w:t>
            </w:r>
          </w:p>
        </w:tc>
      </w:tr>
      <w:tr w:rsidR="00EC7EC7" w:rsidRPr="00863A39" w14:paraId="09F84866" w14:textId="77777777" w:rsidTr="001C0D43">
        <w:trPr>
          <w:cnfStyle w:val="000000100000" w:firstRow="0" w:lastRow="0" w:firstColumn="0" w:lastColumn="0" w:oddVBand="0" w:evenVBand="0" w:oddHBand="1" w:evenHBand="0" w:firstRowFirstColumn="0" w:firstRowLastColumn="0" w:lastRowFirstColumn="0" w:lastRowLastColumn="0"/>
        </w:trPr>
        <w:tc>
          <w:tcPr>
            <w:tcW w:w="820" w:type="pct"/>
          </w:tcPr>
          <w:p w14:paraId="6E422C14" w14:textId="77777777" w:rsidR="00EC7EC7" w:rsidRPr="00863A39" w:rsidRDefault="00EC7EC7" w:rsidP="00C50D71">
            <w:pPr>
              <w:keepNext/>
              <w:keepLines/>
              <w:spacing w:before="60" w:after="60" w:line="240" w:lineRule="auto"/>
              <w:rPr>
                <w:rFonts w:cs="Arial"/>
                <w:szCs w:val="18"/>
              </w:rPr>
            </w:pPr>
            <w:r w:rsidRPr="00863A39">
              <w:rPr>
                <w:rFonts w:cs="Arial"/>
                <w:szCs w:val="18"/>
              </w:rPr>
              <w:t>APA</w:t>
            </w:r>
          </w:p>
        </w:tc>
        <w:tc>
          <w:tcPr>
            <w:tcW w:w="2069" w:type="pct"/>
          </w:tcPr>
          <w:p w14:paraId="7BA1FB64" w14:textId="77777777" w:rsidR="00EC7EC7" w:rsidRPr="00863A39" w:rsidRDefault="00EC7EC7" w:rsidP="00C50D71">
            <w:pPr>
              <w:keepNext/>
              <w:keepLines/>
              <w:spacing w:before="60" w:after="60" w:line="240" w:lineRule="auto"/>
              <w:rPr>
                <w:rFonts w:cs="Arial"/>
                <w:szCs w:val="18"/>
              </w:rPr>
            </w:pPr>
            <w:r w:rsidRPr="00863A39">
              <w:rPr>
                <w:rFonts w:cs="Arial"/>
                <w:szCs w:val="18"/>
              </w:rPr>
              <w:t>Shenandoah South to Amadeus Gas Pipeline (AGP): connects Beetaloo to Amadeus Gas Pipeline (AGP) in NT</w:t>
            </w:r>
          </w:p>
        </w:tc>
        <w:tc>
          <w:tcPr>
            <w:tcW w:w="962" w:type="pct"/>
          </w:tcPr>
          <w:p w14:paraId="10361C8C" w14:textId="78CE08D6" w:rsidR="00EC7EC7" w:rsidRPr="00863A39" w:rsidRDefault="00EC7EC7" w:rsidP="00C50D71">
            <w:pPr>
              <w:keepNext/>
              <w:keepLines/>
              <w:spacing w:before="60" w:after="60" w:line="240" w:lineRule="auto"/>
              <w:rPr>
                <w:rFonts w:cs="Arial"/>
                <w:szCs w:val="18"/>
              </w:rPr>
            </w:pPr>
            <w:r w:rsidRPr="00863A39">
              <w:rPr>
                <w:rFonts w:cs="Arial"/>
                <w:szCs w:val="18"/>
              </w:rPr>
              <w:t>~40</w:t>
            </w:r>
            <w:r w:rsidR="00DB5745">
              <w:rPr>
                <w:rFonts w:cs="Arial"/>
                <w:szCs w:val="18"/>
              </w:rPr>
              <w:t>–</w:t>
            </w:r>
            <w:r w:rsidRPr="00863A39">
              <w:rPr>
                <w:rFonts w:cs="Arial"/>
                <w:szCs w:val="18"/>
              </w:rPr>
              <w:t>100 TJ/day</w:t>
            </w:r>
          </w:p>
        </w:tc>
        <w:tc>
          <w:tcPr>
            <w:tcW w:w="1149" w:type="pct"/>
          </w:tcPr>
          <w:p w14:paraId="06F1EC06" w14:textId="77777777" w:rsidR="00EC7EC7" w:rsidRPr="00863A39" w:rsidRDefault="00EC7EC7" w:rsidP="00C50D71">
            <w:pPr>
              <w:keepNext/>
              <w:keepLines/>
              <w:spacing w:before="60" w:after="60" w:line="240" w:lineRule="auto"/>
              <w:rPr>
                <w:rFonts w:cs="Arial"/>
                <w:szCs w:val="18"/>
              </w:rPr>
            </w:pPr>
            <w:r w:rsidRPr="00863A39">
              <w:rPr>
                <w:rFonts w:cs="Arial"/>
                <w:szCs w:val="18"/>
              </w:rPr>
              <w:t>2024, 2025</w:t>
            </w:r>
          </w:p>
        </w:tc>
      </w:tr>
      <w:tr w:rsidR="00EC7EC7" w:rsidRPr="00863A39" w14:paraId="48A93EF7" w14:textId="77777777" w:rsidTr="001C0D43">
        <w:trPr>
          <w:cnfStyle w:val="000000010000" w:firstRow="0" w:lastRow="0" w:firstColumn="0" w:lastColumn="0" w:oddVBand="0" w:evenVBand="0" w:oddHBand="0" w:evenHBand="1" w:firstRowFirstColumn="0" w:firstRowLastColumn="0" w:lastRowFirstColumn="0" w:lastRowLastColumn="0"/>
        </w:trPr>
        <w:tc>
          <w:tcPr>
            <w:tcW w:w="820" w:type="pct"/>
          </w:tcPr>
          <w:p w14:paraId="14FE1699" w14:textId="77777777" w:rsidR="00EC7EC7" w:rsidRPr="00863A39" w:rsidRDefault="00EC7EC7" w:rsidP="00C50D71">
            <w:pPr>
              <w:keepNext/>
              <w:keepLines/>
              <w:spacing w:before="60" w:after="60" w:line="240" w:lineRule="auto"/>
              <w:rPr>
                <w:rFonts w:cs="Arial"/>
                <w:szCs w:val="18"/>
              </w:rPr>
            </w:pPr>
            <w:r w:rsidRPr="00863A39">
              <w:rPr>
                <w:rFonts w:cs="Arial"/>
                <w:szCs w:val="18"/>
              </w:rPr>
              <w:t>APA</w:t>
            </w:r>
          </w:p>
        </w:tc>
        <w:tc>
          <w:tcPr>
            <w:tcW w:w="2069" w:type="pct"/>
          </w:tcPr>
          <w:p w14:paraId="72B59F21" w14:textId="3BA057A0" w:rsidR="00EC7EC7" w:rsidRPr="00863A39" w:rsidRDefault="00EC7EC7" w:rsidP="00C50D71">
            <w:pPr>
              <w:keepNext/>
              <w:keepLines/>
              <w:spacing w:before="60" w:after="60" w:line="240" w:lineRule="auto"/>
              <w:rPr>
                <w:rFonts w:cs="Arial"/>
                <w:szCs w:val="18"/>
              </w:rPr>
            </w:pPr>
            <w:r w:rsidRPr="00863A39">
              <w:rPr>
                <w:rFonts w:cs="Arial"/>
                <w:szCs w:val="18"/>
              </w:rPr>
              <w:t xml:space="preserve">NT - Beetaloo - East Coast Pipeline: connects Beetaloo to </w:t>
            </w:r>
            <w:r w:rsidR="00006846">
              <w:rPr>
                <w:rFonts w:cs="Arial"/>
                <w:szCs w:val="18"/>
              </w:rPr>
              <w:t>e</w:t>
            </w:r>
            <w:r w:rsidRPr="00863A39">
              <w:rPr>
                <w:rFonts w:cs="Arial"/>
                <w:szCs w:val="18"/>
              </w:rPr>
              <w:t xml:space="preserve">ast </w:t>
            </w:r>
            <w:r w:rsidR="00006846">
              <w:rPr>
                <w:rFonts w:cs="Arial"/>
                <w:szCs w:val="18"/>
              </w:rPr>
              <w:t>c</w:t>
            </w:r>
            <w:r w:rsidRPr="00863A39">
              <w:rPr>
                <w:rFonts w:cs="Arial"/>
                <w:szCs w:val="18"/>
              </w:rPr>
              <w:t>oast gas network</w:t>
            </w:r>
          </w:p>
        </w:tc>
        <w:tc>
          <w:tcPr>
            <w:tcW w:w="962" w:type="pct"/>
          </w:tcPr>
          <w:p w14:paraId="3CA6B3FE" w14:textId="77777777" w:rsidR="00EC7EC7" w:rsidRPr="00863A39" w:rsidRDefault="00EC7EC7" w:rsidP="00C50D71">
            <w:pPr>
              <w:keepNext/>
              <w:keepLines/>
              <w:spacing w:before="60" w:after="60" w:line="240" w:lineRule="auto"/>
              <w:rPr>
                <w:rFonts w:cs="Arial"/>
                <w:szCs w:val="18"/>
              </w:rPr>
            </w:pPr>
            <w:r w:rsidRPr="00863A39">
              <w:rPr>
                <w:rFonts w:cs="Arial"/>
                <w:szCs w:val="18"/>
              </w:rPr>
              <w:t>~</w:t>
            </w:r>
            <w:r w:rsidRPr="003116B2">
              <w:rPr>
                <w:rFonts w:cs="Arial"/>
                <w:szCs w:val="18"/>
              </w:rPr>
              <w:t>500</w:t>
            </w:r>
            <w:r w:rsidRPr="00863A39">
              <w:rPr>
                <w:rFonts w:cs="Arial"/>
                <w:szCs w:val="18"/>
              </w:rPr>
              <w:t xml:space="preserve"> TJ/day</w:t>
            </w:r>
          </w:p>
        </w:tc>
        <w:tc>
          <w:tcPr>
            <w:tcW w:w="1149" w:type="pct"/>
          </w:tcPr>
          <w:p w14:paraId="6253EC9D" w14:textId="77777777" w:rsidR="00EC7EC7" w:rsidRPr="00863A39" w:rsidRDefault="00EC7EC7" w:rsidP="00C50D71">
            <w:pPr>
              <w:keepNext/>
              <w:keepLines/>
              <w:spacing w:before="60" w:after="60" w:line="240" w:lineRule="auto"/>
              <w:rPr>
                <w:rFonts w:cs="Arial"/>
                <w:szCs w:val="18"/>
              </w:rPr>
            </w:pPr>
            <w:r w:rsidRPr="00863A39">
              <w:rPr>
                <w:rFonts w:cs="Arial"/>
                <w:szCs w:val="18"/>
              </w:rPr>
              <w:t>N/A, 2028</w:t>
            </w:r>
          </w:p>
        </w:tc>
      </w:tr>
      <w:tr w:rsidR="00EC7EC7" w:rsidRPr="00863A39" w14:paraId="01211AD0" w14:textId="77777777" w:rsidTr="001C0D43">
        <w:trPr>
          <w:cnfStyle w:val="000000100000" w:firstRow="0" w:lastRow="0" w:firstColumn="0" w:lastColumn="0" w:oddVBand="0" w:evenVBand="0" w:oddHBand="1" w:evenHBand="0" w:firstRowFirstColumn="0" w:firstRowLastColumn="0" w:lastRowFirstColumn="0" w:lastRowLastColumn="0"/>
        </w:trPr>
        <w:tc>
          <w:tcPr>
            <w:tcW w:w="820" w:type="pct"/>
          </w:tcPr>
          <w:p w14:paraId="1FE17435" w14:textId="77777777" w:rsidR="00EC7EC7" w:rsidRPr="00863A39" w:rsidRDefault="00EC7EC7" w:rsidP="00C50D71">
            <w:pPr>
              <w:keepNext/>
              <w:keepLines/>
              <w:spacing w:before="60" w:after="60" w:line="240" w:lineRule="auto"/>
              <w:rPr>
                <w:rFonts w:cs="Arial"/>
                <w:szCs w:val="18"/>
              </w:rPr>
            </w:pPr>
            <w:r w:rsidRPr="00863A39">
              <w:rPr>
                <w:rFonts w:cs="Arial"/>
                <w:szCs w:val="18"/>
              </w:rPr>
              <w:t>Santos</w:t>
            </w:r>
          </w:p>
        </w:tc>
        <w:tc>
          <w:tcPr>
            <w:tcW w:w="2069" w:type="pct"/>
          </w:tcPr>
          <w:p w14:paraId="2733CD01" w14:textId="77777777" w:rsidR="00EC7EC7" w:rsidRPr="00863A39" w:rsidRDefault="00EC7EC7" w:rsidP="00C50D71">
            <w:pPr>
              <w:keepNext/>
              <w:keepLines/>
              <w:spacing w:before="60" w:after="60" w:line="240" w:lineRule="auto"/>
              <w:rPr>
                <w:rFonts w:cs="Arial"/>
                <w:szCs w:val="18"/>
              </w:rPr>
            </w:pPr>
            <w:r w:rsidRPr="00863A39">
              <w:rPr>
                <w:rFonts w:cs="Arial"/>
                <w:szCs w:val="18"/>
              </w:rPr>
              <w:t>Hunter Gas Pipeline (HGP): connects Narrabri to Newcastle</w:t>
            </w:r>
          </w:p>
        </w:tc>
        <w:tc>
          <w:tcPr>
            <w:tcW w:w="962" w:type="pct"/>
          </w:tcPr>
          <w:p w14:paraId="094C583D" w14:textId="77777777" w:rsidR="00EC7EC7" w:rsidRPr="00863A39" w:rsidRDefault="00EC7EC7" w:rsidP="00C50D71">
            <w:pPr>
              <w:keepNext/>
              <w:keepLines/>
              <w:spacing w:before="60" w:after="60" w:line="240" w:lineRule="auto"/>
              <w:rPr>
                <w:rFonts w:cs="Arial"/>
                <w:szCs w:val="18"/>
              </w:rPr>
            </w:pPr>
            <w:r w:rsidRPr="00863A39">
              <w:rPr>
                <w:rFonts w:cs="Arial"/>
                <w:szCs w:val="18"/>
              </w:rPr>
              <w:t>250 TJ/day</w:t>
            </w:r>
          </w:p>
        </w:tc>
        <w:tc>
          <w:tcPr>
            <w:tcW w:w="1149" w:type="pct"/>
          </w:tcPr>
          <w:p w14:paraId="50E1CA77" w14:textId="77777777" w:rsidR="00EC7EC7" w:rsidRPr="00863A39" w:rsidRDefault="00EC7EC7" w:rsidP="00C50D71">
            <w:pPr>
              <w:keepNext/>
              <w:keepLines/>
              <w:spacing w:before="60" w:after="60" w:line="240" w:lineRule="auto"/>
              <w:rPr>
                <w:rFonts w:cs="Arial"/>
                <w:szCs w:val="18"/>
              </w:rPr>
            </w:pPr>
            <w:r w:rsidRPr="00863A39">
              <w:rPr>
                <w:rFonts w:cs="Arial"/>
                <w:szCs w:val="18"/>
              </w:rPr>
              <w:t>2025, 2027</w:t>
            </w:r>
          </w:p>
        </w:tc>
      </w:tr>
      <w:tr w:rsidR="00EC7EC7" w:rsidRPr="00863A39" w14:paraId="664E118F" w14:textId="77777777" w:rsidTr="001C0D43">
        <w:trPr>
          <w:cnfStyle w:val="000000010000" w:firstRow="0" w:lastRow="0" w:firstColumn="0" w:lastColumn="0" w:oddVBand="0" w:evenVBand="0" w:oddHBand="0" w:evenHBand="1" w:firstRowFirstColumn="0" w:firstRowLastColumn="0" w:lastRowFirstColumn="0" w:lastRowLastColumn="0"/>
        </w:trPr>
        <w:tc>
          <w:tcPr>
            <w:tcW w:w="820" w:type="pct"/>
          </w:tcPr>
          <w:p w14:paraId="6E0E6065" w14:textId="77777777" w:rsidR="00EC7EC7" w:rsidRPr="00863A39" w:rsidRDefault="00EC7EC7" w:rsidP="00C50D71">
            <w:pPr>
              <w:keepNext/>
              <w:keepLines/>
              <w:spacing w:before="60" w:after="60" w:line="240" w:lineRule="auto"/>
              <w:rPr>
                <w:rFonts w:cs="Arial"/>
                <w:szCs w:val="18"/>
              </w:rPr>
            </w:pPr>
            <w:r w:rsidRPr="00863A39">
              <w:rPr>
                <w:rFonts w:cs="Arial"/>
                <w:szCs w:val="18"/>
              </w:rPr>
              <w:t>Santos</w:t>
            </w:r>
          </w:p>
        </w:tc>
        <w:tc>
          <w:tcPr>
            <w:tcW w:w="2069" w:type="pct"/>
          </w:tcPr>
          <w:p w14:paraId="389503CB" w14:textId="5BFFBE68" w:rsidR="00EC7EC7" w:rsidRPr="00863A39" w:rsidRDefault="00EC7EC7" w:rsidP="00C50D71">
            <w:pPr>
              <w:keepNext/>
              <w:keepLines/>
              <w:spacing w:before="60" w:after="60" w:line="240" w:lineRule="auto"/>
              <w:rPr>
                <w:rFonts w:cs="Arial"/>
                <w:szCs w:val="18"/>
              </w:rPr>
            </w:pPr>
            <w:r w:rsidRPr="00863A39">
              <w:rPr>
                <w:rFonts w:cs="Arial"/>
                <w:szCs w:val="18"/>
              </w:rPr>
              <w:t>Narrabri Lateral Pipeline: connects Narrabri to HGP</w:t>
            </w:r>
          </w:p>
        </w:tc>
        <w:tc>
          <w:tcPr>
            <w:tcW w:w="962" w:type="pct"/>
          </w:tcPr>
          <w:p w14:paraId="47BF66ED" w14:textId="77777777" w:rsidR="00EC7EC7" w:rsidRPr="00863A39" w:rsidRDefault="00EC7EC7" w:rsidP="00C50D71">
            <w:pPr>
              <w:keepNext/>
              <w:keepLines/>
              <w:spacing w:before="60" w:after="60" w:line="240" w:lineRule="auto"/>
              <w:rPr>
                <w:rFonts w:cs="Arial"/>
                <w:szCs w:val="18"/>
              </w:rPr>
            </w:pPr>
            <w:r w:rsidRPr="00863A39">
              <w:rPr>
                <w:rFonts w:cs="Arial"/>
                <w:szCs w:val="18"/>
              </w:rPr>
              <w:t>250 TJ/day</w:t>
            </w:r>
          </w:p>
        </w:tc>
        <w:tc>
          <w:tcPr>
            <w:tcW w:w="1149" w:type="pct"/>
          </w:tcPr>
          <w:p w14:paraId="14DC6652" w14:textId="77777777" w:rsidR="00EC7EC7" w:rsidRPr="00863A39" w:rsidRDefault="00EC7EC7" w:rsidP="00C50D71">
            <w:pPr>
              <w:keepNext/>
              <w:keepLines/>
              <w:spacing w:before="60" w:after="60" w:line="240" w:lineRule="auto"/>
              <w:rPr>
                <w:rFonts w:cs="Arial"/>
                <w:szCs w:val="18"/>
              </w:rPr>
            </w:pPr>
            <w:r w:rsidRPr="00863A39">
              <w:rPr>
                <w:rFonts w:cs="Arial"/>
                <w:szCs w:val="18"/>
              </w:rPr>
              <w:t>2025, 2027</w:t>
            </w:r>
          </w:p>
        </w:tc>
      </w:tr>
    </w:tbl>
    <w:p w14:paraId="5C047683" w14:textId="77777777" w:rsidR="00EC7EC7" w:rsidRPr="00863A39" w:rsidRDefault="00EC7EC7" w:rsidP="00C64EAC">
      <w:pPr>
        <w:pStyle w:val="Source"/>
        <w:spacing w:before="60"/>
      </w:pPr>
      <w:r w:rsidRPr="00863A39">
        <w:t>Source: ACCC (2023)</w:t>
      </w:r>
    </w:p>
    <w:p w14:paraId="32435815" w14:textId="2FAF447C" w:rsidR="00EC7EC7" w:rsidRPr="00863A39" w:rsidRDefault="00EC7EC7" w:rsidP="00C97679">
      <w:pPr>
        <w:pStyle w:val="Caption"/>
        <w:rPr>
          <w:lang w:val="en"/>
        </w:rPr>
      </w:pPr>
      <w:r w:rsidRPr="00863A39">
        <w:rPr>
          <w:lang w:val="en"/>
        </w:rPr>
        <w:t xml:space="preserve">Table </w:t>
      </w:r>
      <w:r w:rsidR="000565F6">
        <w:rPr>
          <w:lang w:val="en"/>
        </w:rPr>
        <w:fldChar w:fldCharType="begin"/>
      </w:r>
      <w:r w:rsidR="000565F6">
        <w:rPr>
          <w:lang w:val="en"/>
        </w:rPr>
        <w:instrText xml:space="preserve"> STYLEREF 1 \s </w:instrText>
      </w:r>
      <w:r w:rsidR="000565F6">
        <w:rPr>
          <w:lang w:val="en"/>
        </w:rPr>
        <w:fldChar w:fldCharType="separate"/>
      </w:r>
      <w:r w:rsidR="00BF178A">
        <w:rPr>
          <w:noProof/>
          <w:lang w:val="en"/>
        </w:rPr>
        <w:t>7</w:t>
      </w:r>
      <w:r w:rsidR="000565F6">
        <w:rPr>
          <w:lang w:val="en"/>
        </w:rPr>
        <w:fldChar w:fldCharType="end"/>
      </w:r>
      <w:r w:rsidR="000565F6">
        <w:rPr>
          <w:lang w:val="en"/>
        </w:rPr>
        <w:t>.</w:t>
      </w:r>
      <w:r w:rsidR="000565F6">
        <w:rPr>
          <w:lang w:val="en"/>
        </w:rPr>
        <w:fldChar w:fldCharType="begin"/>
      </w:r>
      <w:r w:rsidR="000565F6">
        <w:rPr>
          <w:lang w:val="en"/>
        </w:rPr>
        <w:instrText xml:space="preserve"> SEQ Table \* ARABIC \s 1 </w:instrText>
      </w:r>
      <w:r w:rsidR="000565F6">
        <w:rPr>
          <w:lang w:val="en"/>
        </w:rPr>
        <w:fldChar w:fldCharType="separate"/>
      </w:r>
      <w:r w:rsidR="00BF178A">
        <w:rPr>
          <w:noProof/>
          <w:lang w:val="en"/>
        </w:rPr>
        <w:t>2</w:t>
      </w:r>
      <w:r w:rsidR="000565F6">
        <w:rPr>
          <w:lang w:val="en"/>
        </w:rPr>
        <w:fldChar w:fldCharType="end"/>
      </w:r>
      <w:r w:rsidRPr="00863A39">
        <w:rPr>
          <w:lang w:val="en"/>
        </w:rPr>
        <w:t xml:space="preserve">: Potential pipeline expansions for commissioning by 2028 </w:t>
      </w:r>
    </w:p>
    <w:tbl>
      <w:tblPr>
        <w:tblStyle w:val="OCETable"/>
        <w:tblW w:w="5123" w:type="pct"/>
        <w:tblLook w:val="04A0" w:firstRow="1" w:lastRow="0" w:firstColumn="1" w:lastColumn="0" w:noHBand="0" w:noVBand="1"/>
      </w:tblPr>
      <w:tblGrid>
        <w:gridCol w:w="1134"/>
        <w:gridCol w:w="2127"/>
        <w:gridCol w:w="1417"/>
        <w:gridCol w:w="2110"/>
      </w:tblGrid>
      <w:tr w:rsidR="00EC7EC7" w:rsidRPr="00863A39" w14:paraId="7AF5D385" w14:textId="77777777" w:rsidTr="00C50D71">
        <w:trPr>
          <w:cnfStyle w:val="100000000000" w:firstRow="1" w:lastRow="0" w:firstColumn="0" w:lastColumn="0" w:oddVBand="0" w:evenVBand="0" w:oddHBand="0" w:evenHBand="0" w:firstRowFirstColumn="0" w:firstRowLastColumn="0" w:lastRowFirstColumn="0" w:lastRowLastColumn="0"/>
          <w:trHeight w:val="785"/>
        </w:trPr>
        <w:tc>
          <w:tcPr>
            <w:tcW w:w="835" w:type="pct"/>
          </w:tcPr>
          <w:p w14:paraId="5C96E4F6" w14:textId="77777777" w:rsidR="00EC7EC7" w:rsidRPr="00863A39" w:rsidRDefault="00EC7EC7" w:rsidP="00C50D71">
            <w:pPr>
              <w:keepNext/>
              <w:spacing w:before="120" w:after="120" w:line="240" w:lineRule="auto"/>
              <w:rPr>
                <w:rFonts w:cs="Arial"/>
                <w:b/>
                <w:szCs w:val="18"/>
              </w:rPr>
            </w:pPr>
            <w:r w:rsidRPr="00863A39">
              <w:rPr>
                <w:rFonts w:cs="Arial"/>
                <w:b/>
                <w:szCs w:val="18"/>
              </w:rPr>
              <w:t>Developer</w:t>
            </w:r>
          </w:p>
        </w:tc>
        <w:tc>
          <w:tcPr>
            <w:tcW w:w="1567" w:type="pct"/>
          </w:tcPr>
          <w:p w14:paraId="23DA8836" w14:textId="77777777" w:rsidR="00EC7EC7" w:rsidRPr="00863A39" w:rsidRDefault="00EC7EC7" w:rsidP="00C50D71">
            <w:pPr>
              <w:keepNext/>
              <w:spacing w:before="120" w:after="120" w:line="240" w:lineRule="auto"/>
              <w:rPr>
                <w:rFonts w:cs="Arial"/>
                <w:b/>
                <w:szCs w:val="18"/>
              </w:rPr>
            </w:pPr>
            <w:r w:rsidRPr="00863A39">
              <w:rPr>
                <w:rFonts w:cs="Arial"/>
                <w:b/>
                <w:szCs w:val="18"/>
              </w:rPr>
              <w:t>Name/Description</w:t>
            </w:r>
          </w:p>
        </w:tc>
        <w:tc>
          <w:tcPr>
            <w:tcW w:w="1044" w:type="pct"/>
          </w:tcPr>
          <w:p w14:paraId="11A8471A" w14:textId="77777777" w:rsidR="00EC7EC7" w:rsidRPr="00863A39" w:rsidRDefault="00EC7EC7" w:rsidP="00C50D71">
            <w:pPr>
              <w:keepNext/>
              <w:spacing w:before="120" w:after="120" w:line="240" w:lineRule="auto"/>
              <w:rPr>
                <w:rFonts w:cs="Arial"/>
                <w:b/>
                <w:szCs w:val="18"/>
              </w:rPr>
            </w:pPr>
            <w:r w:rsidRPr="00863A39">
              <w:rPr>
                <w:rFonts w:cs="Arial"/>
                <w:b/>
                <w:szCs w:val="18"/>
              </w:rPr>
              <w:t>Nameplate capacity</w:t>
            </w:r>
          </w:p>
        </w:tc>
        <w:tc>
          <w:tcPr>
            <w:tcW w:w="1554" w:type="pct"/>
          </w:tcPr>
          <w:p w14:paraId="7FBC6EDB" w14:textId="77777777" w:rsidR="00EC7EC7" w:rsidRPr="00863A39" w:rsidRDefault="00EC7EC7" w:rsidP="00C50D71">
            <w:pPr>
              <w:keepNext/>
              <w:spacing w:before="120" w:after="120" w:line="240" w:lineRule="auto"/>
              <w:rPr>
                <w:rFonts w:cs="Arial"/>
                <w:b/>
                <w:szCs w:val="18"/>
              </w:rPr>
            </w:pPr>
            <w:r w:rsidRPr="00863A39">
              <w:rPr>
                <w:rFonts w:cs="Arial"/>
                <w:b/>
                <w:szCs w:val="18"/>
              </w:rPr>
              <w:t>Key dates (FID, Start)</w:t>
            </w:r>
          </w:p>
        </w:tc>
      </w:tr>
      <w:tr w:rsidR="00EC7EC7" w:rsidRPr="00863A39" w14:paraId="6526710B" w14:textId="77777777" w:rsidTr="00C50D71">
        <w:trPr>
          <w:cnfStyle w:val="000000100000" w:firstRow="0" w:lastRow="0" w:firstColumn="0" w:lastColumn="0" w:oddVBand="0" w:evenVBand="0" w:oddHBand="1" w:evenHBand="0" w:firstRowFirstColumn="0" w:firstRowLastColumn="0" w:lastRowFirstColumn="0" w:lastRowLastColumn="0"/>
          <w:trHeight w:val="857"/>
        </w:trPr>
        <w:tc>
          <w:tcPr>
            <w:tcW w:w="835" w:type="pct"/>
          </w:tcPr>
          <w:p w14:paraId="43C0A135" w14:textId="77777777" w:rsidR="00EC7EC7" w:rsidRPr="00863A39" w:rsidRDefault="00EC7EC7" w:rsidP="00C50D71">
            <w:pPr>
              <w:keepNext/>
              <w:keepLines/>
              <w:spacing w:before="60" w:after="60" w:line="240" w:lineRule="auto"/>
              <w:rPr>
                <w:rFonts w:cs="Arial"/>
                <w:szCs w:val="18"/>
              </w:rPr>
            </w:pPr>
            <w:r w:rsidRPr="00863A39">
              <w:rPr>
                <w:rFonts w:cs="Arial"/>
                <w:szCs w:val="18"/>
              </w:rPr>
              <w:t>APA</w:t>
            </w:r>
          </w:p>
        </w:tc>
        <w:tc>
          <w:tcPr>
            <w:tcW w:w="1567" w:type="pct"/>
          </w:tcPr>
          <w:p w14:paraId="4FF54CE3" w14:textId="77777777" w:rsidR="00EC7EC7" w:rsidRPr="00863A39" w:rsidRDefault="00EC7EC7" w:rsidP="00C50D71">
            <w:pPr>
              <w:keepNext/>
              <w:keepLines/>
              <w:spacing w:before="60" w:after="60" w:line="240" w:lineRule="auto"/>
              <w:rPr>
                <w:rFonts w:cs="Arial"/>
                <w:szCs w:val="18"/>
              </w:rPr>
            </w:pPr>
            <w:r w:rsidRPr="00863A39">
              <w:rPr>
                <w:rFonts w:cs="Arial"/>
                <w:szCs w:val="18"/>
              </w:rPr>
              <w:t>Western Outer Ring Main (WORM): provides new connection between Melbourne and Wollert in the north</w:t>
            </w:r>
          </w:p>
        </w:tc>
        <w:tc>
          <w:tcPr>
            <w:tcW w:w="1044" w:type="pct"/>
          </w:tcPr>
          <w:p w14:paraId="10938A1E" w14:textId="77777777" w:rsidR="00EC7EC7" w:rsidRPr="00863A39" w:rsidRDefault="00EC7EC7" w:rsidP="00C50D71">
            <w:pPr>
              <w:keepNext/>
              <w:keepLines/>
              <w:spacing w:before="60" w:after="60" w:line="240" w:lineRule="auto"/>
              <w:rPr>
                <w:rFonts w:cs="Arial"/>
                <w:szCs w:val="18"/>
              </w:rPr>
            </w:pPr>
            <w:r w:rsidRPr="00863A39">
              <w:rPr>
                <w:rFonts w:cs="Arial"/>
                <w:szCs w:val="18"/>
              </w:rPr>
              <w:t>Add 23 TJ/day to 517 TJ/day</w:t>
            </w:r>
          </w:p>
        </w:tc>
        <w:tc>
          <w:tcPr>
            <w:tcW w:w="1554" w:type="pct"/>
          </w:tcPr>
          <w:p w14:paraId="072658B9" w14:textId="77777777" w:rsidR="00EC7EC7" w:rsidRPr="00863A39" w:rsidRDefault="00EC7EC7" w:rsidP="00C50D71">
            <w:pPr>
              <w:keepNext/>
              <w:keepLines/>
              <w:spacing w:before="60" w:after="60" w:line="240" w:lineRule="auto"/>
              <w:rPr>
                <w:rFonts w:cs="Arial"/>
                <w:szCs w:val="18"/>
              </w:rPr>
            </w:pPr>
            <w:r w:rsidRPr="00863A39">
              <w:rPr>
                <w:rFonts w:cs="Arial"/>
                <w:szCs w:val="18"/>
              </w:rPr>
              <w:t>Complete;</w:t>
            </w:r>
            <w:r w:rsidRPr="00863A39">
              <w:rPr>
                <w:rFonts w:cs="Arial"/>
                <w:szCs w:val="18"/>
              </w:rPr>
              <w:br/>
              <w:t>Jan 2024</w:t>
            </w:r>
          </w:p>
        </w:tc>
      </w:tr>
      <w:tr w:rsidR="00EC7EC7" w:rsidRPr="00863A39" w14:paraId="3BB2CE94" w14:textId="77777777" w:rsidTr="00C50D71">
        <w:trPr>
          <w:cnfStyle w:val="000000010000" w:firstRow="0" w:lastRow="0" w:firstColumn="0" w:lastColumn="0" w:oddVBand="0" w:evenVBand="0" w:oddHBand="0" w:evenHBand="1" w:firstRowFirstColumn="0" w:firstRowLastColumn="0" w:lastRowFirstColumn="0" w:lastRowLastColumn="0"/>
          <w:trHeight w:val="324"/>
        </w:trPr>
        <w:tc>
          <w:tcPr>
            <w:tcW w:w="835" w:type="pct"/>
          </w:tcPr>
          <w:p w14:paraId="0ECBA9E9" w14:textId="77777777" w:rsidR="00EC7EC7" w:rsidRPr="00863A39" w:rsidRDefault="00EC7EC7" w:rsidP="00C50D71">
            <w:pPr>
              <w:keepNext/>
              <w:keepLines/>
              <w:spacing w:before="60" w:after="60" w:line="240" w:lineRule="auto"/>
              <w:rPr>
                <w:rFonts w:cs="Arial"/>
                <w:szCs w:val="18"/>
              </w:rPr>
            </w:pPr>
            <w:r w:rsidRPr="00863A39">
              <w:rPr>
                <w:rFonts w:cs="Arial"/>
                <w:szCs w:val="18"/>
              </w:rPr>
              <w:t>APA</w:t>
            </w:r>
          </w:p>
        </w:tc>
        <w:tc>
          <w:tcPr>
            <w:tcW w:w="1567" w:type="pct"/>
          </w:tcPr>
          <w:p w14:paraId="36420D3D" w14:textId="130431C1" w:rsidR="00EC7EC7" w:rsidRPr="00863A39" w:rsidRDefault="00EC7EC7" w:rsidP="00C50D71">
            <w:pPr>
              <w:keepNext/>
              <w:keepLines/>
              <w:spacing w:before="60" w:after="60" w:line="240" w:lineRule="auto"/>
              <w:rPr>
                <w:rFonts w:cs="Arial"/>
                <w:szCs w:val="18"/>
              </w:rPr>
            </w:pPr>
            <w:r w:rsidRPr="00863A39">
              <w:rPr>
                <w:rFonts w:cs="Arial"/>
                <w:szCs w:val="18"/>
              </w:rPr>
              <w:t xml:space="preserve">East Coast Gas Grid Expansion: increases winter peak capacity of the </w:t>
            </w:r>
            <w:r w:rsidR="00246987">
              <w:rPr>
                <w:rFonts w:cs="Arial"/>
                <w:szCs w:val="18"/>
              </w:rPr>
              <w:t>e</w:t>
            </w:r>
            <w:r w:rsidRPr="00863A39">
              <w:rPr>
                <w:rFonts w:cs="Arial"/>
                <w:szCs w:val="18"/>
              </w:rPr>
              <w:t xml:space="preserve">ast </w:t>
            </w:r>
            <w:r w:rsidR="00246987">
              <w:rPr>
                <w:rFonts w:cs="Arial"/>
                <w:szCs w:val="18"/>
              </w:rPr>
              <w:t>c</w:t>
            </w:r>
            <w:r w:rsidRPr="00863A39">
              <w:rPr>
                <w:rFonts w:cs="Arial"/>
                <w:szCs w:val="18"/>
              </w:rPr>
              <w:t xml:space="preserve">oast </w:t>
            </w:r>
            <w:r w:rsidR="00246987">
              <w:rPr>
                <w:rFonts w:cs="Arial"/>
                <w:szCs w:val="18"/>
              </w:rPr>
              <w:t>g</w:t>
            </w:r>
            <w:r w:rsidRPr="00863A39">
              <w:rPr>
                <w:rFonts w:cs="Arial"/>
                <w:szCs w:val="18"/>
              </w:rPr>
              <w:t>rid by 25%</w:t>
            </w:r>
          </w:p>
        </w:tc>
        <w:tc>
          <w:tcPr>
            <w:tcW w:w="1044" w:type="pct"/>
          </w:tcPr>
          <w:p w14:paraId="1F029C7A" w14:textId="77777777" w:rsidR="00EC7EC7" w:rsidRPr="00863A39" w:rsidRDefault="00EC7EC7" w:rsidP="00C50D71">
            <w:pPr>
              <w:keepNext/>
              <w:keepLines/>
              <w:spacing w:before="60" w:after="60" w:line="240" w:lineRule="auto"/>
              <w:rPr>
                <w:rFonts w:cs="Arial"/>
                <w:szCs w:val="18"/>
              </w:rPr>
            </w:pPr>
            <w:r w:rsidRPr="00863A39">
              <w:rPr>
                <w:rFonts w:cs="Arial"/>
                <w:szCs w:val="18"/>
              </w:rPr>
              <w:t>Add to 565 TJ/day, then to 599 TJ/day</w:t>
            </w:r>
          </w:p>
        </w:tc>
        <w:tc>
          <w:tcPr>
            <w:tcW w:w="1554" w:type="pct"/>
          </w:tcPr>
          <w:p w14:paraId="4239BA74" w14:textId="6B61FDBD" w:rsidR="00EC7EC7" w:rsidRPr="00863A39" w:rsidRDefault="00EC7EC7" w:rsidP="00C50D71">
            <w:pPr>
              <w:keepNext/>
              <w:keepLines/>
              <w:spacing w:before="60" w:after="60" w:line="240" w:lineRule="auto"/>
              <w:rPr>
                <w:rFonts w:cs="Arial"/>
                <w:szCs w:val="18"/>
              </w:rPr>
            </w:pPr>
            <w:r w:rsidRPr="00F175F5">
              <w:rPr>
                <w:rFonts w:cs="Arial"/>
                <w:szCs w:val="18"/>
              </w:rPr>
              <w:t>Stage</w:t>
            </w:r>
            <w:r w:rsidR="00246987">
              <w:rPr>
                <w:rFonts w:cs="Arial"/>
                <w:szCs w:val="18"/>
              </w:rPr>
              <w:t xml:space="preserve"> </w:t>
            </w:r>
            <w:r w:rsidRPr="00F175F5">
              <w:rPr>
                <w:rFonts w:cs="Arial"/>
                <w:szCs w:val="18"/>
              </w:rPr>
              <w:t xml:space="preserve">1 completed and </w:t>
            </w:r>
            <w:r w:rsidR="00246987">
              <w:rPr>
                <w:rFonts w:cs="Arial"/>
                <w:szCs w:val="18"/>
              </w:rPr>
              <w:t xml:space="preserve">commissioning </w:t>
            </w:r>
            <w:r w:rsidRPr="00F175F5">
              <w:rPr>
                <w:rFonts w:cs="Arial"/>
                <w:szCs w:val="18"/>
              </w:rPr>
              <w:t xml:space="preserve">commenced for stage 2, </w:t>
            </w:r>
            <w:r w:rsidR="00246987">
              <w:rPr>
                <w:rFonts w:cs="Arial"/>
                <w:szCs w:val="18"/>
              </w:rPr>
              <w:t>with</w:t>
            </w:r>
            <w:r w:rsidRPr="00F175F5">
              <w:rPr>
                <w:rFonts w:cs="Arial"/>
                <w:szCs w:val="18"/>
              </w:rPr>
              <w:t xml:space="preserve"> operation expected </w:t>
            </w:r>
            <w:r w:rsidR="00246987">
              <w:rPr>
                <w:rFonts w:cs="Arial"/>
                <w:szCs w:val="18"/>
              </w:rPr>
              <w:t xml:space="preserve">in </w:t>
            </w:r>
            <w:r w:rsidRPr="00F175F5">
              <w:rPr>
                <w:rFonts w:cs="Arial"/>
                <w:szCs w:val="18"/>
              </w:rPr>
              <w:t xml:space="preserve">2024; undertaking engineering and design work for Stage 3a </w:t>
            </w:r>
          </w:p>
        </w:tc>
      </w:tr>
      <w:tr w:rsidR="00EC7EC7" w:rsidRPr="00863A39" w14:paraId="6FF511A0" w14:textId="77777777" w:rsidTr="00C50D71">
        <w:trPr>
          <w:cnfStyle w:val="000000100000" w:firstRow="0" w:lastRow="0" w:firstColumn="0" w:lastColumn="0" w:oddVBand="0" w:evenVBand="0" w:oddHBand="1" w:evenHBand="0" w:firstRowFirstColumn="0" w:firstRowLastColumn="0" w:lastRowFirstColumn="0" w:lastRowLastColumn="0"/>
          <w:trHeight w:val="737"/>
        </w:trPr>
        <w:tc>
          <w:tcPr>
            <w:tcW w:w="835" w:type="pct"/>
          </w:tcPr>
          <w:p w14:paraId="55ABE6D2" w14:textId="77777777" w:rsidR="00EC7EC7" w:rsidRPr="00863A39" w:rsidRDefault="00EC7EC7" w:rsidP="00C50D71">
            <w:pPr>
              <w:keepNext/>
              <w:keepLines/>
              <w:spacing w:before="60" w:after="60" w:line="240" w:lineRule="auto"/>
              <w:rPr>
                <w:rFonts w:cs="Arial"/>
                <w:szCs w:val="18"/>
              </w:rPr>
            </w:pPr>
            <w:r w:rsidRPr="00863A39">
              <w:rPr>
                <w:rFonts w:cs="Arial"/>
                <w:szCs w:val="18"/>
              </w:rPr>
              <w:t>Jemena EGP</w:t>
            </w:r>
          </w:p>
        </w:tc>
        <w:tc>
          <w:tcPr>
            <w:tcW w:w="1567" w:type="pct"/>
          </w:tcPr>
          <w:p w14:paraId="3EC2E513" w14:textId="77777777" w:rsidR="00EC7EC7" w:rsidRPr="00863A39" w:rsidRDefault="00EC7EC7" w:rsidP="00C50D71">
            <w:pPr>
              <w:keepNext/>
              <w:keepLines/>
              <w:spacing w:before="60" w:after="60" w:line="240" w:lineRule="auto"/>
              <w:rPr>
                <w:rFonts w:cs="Arial"/>
                <w:szCs w:val="18"/>
              </w:rPr>
            </w:pPr>
            <w:r w:rsidRPr="00863A39">
              <w:rPr>
                <w:rFonts w:cs="Arial"/>
                <w:szCs w:val="18"/>
              </w:rPr>
              <w:t>Project Marlin: connects PKET with EGP in NSW</w:t>
            </w:r>
          </w:p>
        </w:tc>
        <w:tc>
          <w:tcPr>
            <w:tcW w:w="1044" w:type="pct"/>
          </w:tcPr>
          <w:p w14:paraId="55DADB20" w14:textId="77777777" w:rsidR="00EC7EC7" w:rsidRPr="00863A39" w:rsidRDefault="00EC7EC7" w:rsidP="00C50D71">
            <w:pPr>
              <w:keepNext/>
              <w:keepLines/>
              <w:spacing w:before="60" w:after="60" w:line="240" w:lineRule="auto"/>
              <w:rPr>
                <w:rFonts w:cs="Arial"/>
                <w:szCs w:val="18"/>
              </w:rPr>
            </w:pPr>
            <w:r w:rsidRPr="00863A39">
              <w:rPr>
                <w:rFonts w:cs="Arial"/>
                <w:szCs w:val="18"/>
              </w:rPr>
              <w:t>522 TJ/day, Bi-directional 200 TJ/day</w:t>
            </w:r>
          </w:p>
        </w:tc>
        <w:tc>
          <w:tcPr>
            <w:tcW w:w="1554" w:type="pct"/>
          </w:tcPr>
          <w:p w14:paraId="48153091" w14:textId="2E1325E6" w:rsidR="00EC7EC7" w:rsidRPr="00863A39" w:rsidRDefault="00EC7EC7" w:rsidP="00C50D71">
            <w:pPr>
              <w:keepNext/>
              <w:keepLines/>
              <w:spacing w:before="60" w:after="60" w:line="240" w:lineRule="auto"/>
              <w:rPr>
                <w:rFonts w:cs="Arial"/>
                <w:szCs w:val="18"/>
              </w:rPr>
            </w:pPr>
            <w:r w:rsidRPr="00863A39">
              <w:rPr>
                <w:rFonts w:cs="Arial"/>
                <w:szCs w:val="18"/>
              </w:rPr>
              <w:t xml:space="preserve">Lateral </w:t>
            </w:r>
            <w:r w:rsidR="001A585D">
              <w:rPr>
                <w:rFonts w:cs="Arial"/>
                <w:szCs w:val="18"/>
              </w:rPr>
              <w:t>complete</w:t>
            </w:r>
          </w:p>
        </w:tc>
      </w:tr>
      <w:tr w:rsidR="00EC7EC7" w:rsidRPr="00863A39" w14:paraId="096E200B" w14:textId="77777777" w:rsidTr="00C50D71">
        <w:trPr>
          <w:cnfStyle w:val="000000010000" w:firstRow="0" w:lastRow="0" w:firstColumn="0" w:lastColumn="0" w:oddVBand="0" w:evenVBand="0" w:oddHBand="0" w:evenHBand="1" w:firstRowFirstColumn="0" w:firstRowLastColumn="0" w:lastRowFirstColumn="0" w:lastRowLastColumn="0"/>
          <w:trHeight w:val="799"/>
        </w:trPr>
        <w:tc>
          <w:tcPr>
            <w:tcW w:w="835" w:type="pct"/>
          </w:tcPr>
          <w:p w14:paraId="27B216FF" w14:textId="77777777" w:rsidR="00EC7EC7" w:rsidRPr="00863A39" w:rsidRDefault="00EC7EC7" w:rsidP="00C50D71">
            <w:pPr>
              <w:keepNext/>
              <w:keepLines/>
              <w:spacing w:before="60" w:after="60" w:line="240" w:lineRule="auto"/>
              <w:rPr>
                <w:rFonts w:cs="Arial"/>
                <w:szCs w:val="18"/>
              </w:rPr>
            </w:pPr>
            <w:r w:rsidRPr="00863A39">
              <w:rPr>
                <w:rFonts w:cs="Arial"/>
                <w:szCs w:val="18"/>
              </w:rPr>
              <w:t>Tasmanian Gas Pipeline (TGP)</w:t>
            </w:r>
          </w:p>
        </w:tc>
        <w:tc>
          <w:tcPr>
            <w:tcW w:w="1567" w:type="pct"/>
          </w:tcPr>
          <w:p w14:paraId="7628EF74" w14:textId="77777777" w:rsidR="00EC7EC7" w:rsidRPr="00863A39" w:rsidRDefault="00EC7EC7" w:rsidP="00C50D71">
            <w:pPr>
              <w:keepNext/>
              <w:keepLines/>
              <w:spacing w:before="60" w:after="60" w:line="240" w:lineRule="auto"/>
              <w:rPr>
                <w:rFonts w:cs="Arial"/>
                <w:szCs w:val="18"/>
              </w:rPr>
            </w:pPr>
            <w:r w:rsidRPr="00863A39">
              <w:rPr>
                <w:rFonts w:cs="Arial"/>
                <w:szCs w:val="18"/>
              </w:rPr>
              <w:t>Expansion of VicHub: increases gas receipt options for TGP</w:t>
            </w:r>
          </w:p>
        </w:tc>
        <w:tc>
          <w:tcPr>
            <w:tcW w:w="1044" w:type="pct"/>
          </w:tcPr>
          <w:p w14:paraId="1B772589" w14:textId="77777777" w:rsidR="00EC7EC7" w:rsidRPr="00863A39" w:rsidRDefault="00EC7EC7" w:rsidP="00C50D71">
            <w:pPr>
              <w:keepNext/>
              <w:keepLines/>
              <w:spacing w:before="60" w:after="60" w:line="240" w:lineRule="auto"/>
              <w:rPr>
                <w:rFonts w:cs="Arial"/>
                <w:szCs w:val="18"/>
              </w:rPr>
            </w:pPr>
            <w:r w:rsidRPr="00863A39">
              <w:rPr>
                <w:rFonts w:cs="Arial"/>
                <w:szCs w:val="18"/>
              </w:rPr>
              <w:t>Increase capacity from 129 TJ/day to between 150-350 TJ/day</w:t>
            </w:r>
          </w:p>
        </w:tc>
        <w:tc>
          <w:tcPr>
            <w:tcW w:w="1554" w:type="pct"/>
          </w:tcPr>
          <w:p w14:paraId="44E7BDEE" w14:textId="44468CE1" w:rsidR="00EC7EC7" w:rsidRPr="00863A39" w:rsidRDefault="00EC7EC7" w:rsidP="00C50D71">
            <w:pPr>
              <w:keepNext/>
              <w:keepLines/>
              <w:spacing w:before="60" w:after="60" w:line="240" w:lineRule="auto"/>
              <w:rPr>
                <w:rFonts w:cs="Arial"/>
                <w:szCs w:val="18"/>
              </w:rPr>
            </w:pPr>
            <w:r w:rsidRPr="00863A39">
              <w:rPr>
                <w:rFonts w:cs="Arial"/>
                <w:szCs w:val="18"/>
              </w:rPr>
              <w:t>2024, 2024</w:t>
            </w:r>
            <w:r w:rsidR="00DB5745">
              <w:rPr>
                <w:rFonts w:cs="Arial"/>
                <w:szCs w:val="18"/>
              </w:rPr>
              <w:t>–</w:t>
            </w:r>
            <w:r w:rsidRPr="00863A39">
              <w:rPr>
                <w:rFonts w:cs="Arial"/>
                <w:szCs w:val="18"/>
              </w:rPr>
              <w:t>25</w:t>
            </w:r>
          </w:p>
        </w:tc>
      </w:tr>
      <w:tr w:rsidR="00EC7EC7" w:rsidRPr="00863A39" w14:paraId="4A422ED9" w14:textId="77777777" w:rsidTr="00C50D71">
        <w:trPr>
          <w:cnfStyle w:val="000000100000" w:firstRow="0" w:lastRow="0" w:firstColumn="0" w:lastColumn="0" w:oddVBand="0" w:evenVBand="0" w:oddHBand="1" w:evenHBand="0" w:firstRowFirstColumn="0" w:firstRowLastColumn="0" w:lastRowFirstColumn="0" w:lastRowLastColumn="0"/>
          <w:trHeight w:val="936"/>
        </w:trPr>
        <w:tc>
          <w:tcPr>
            <w:tcW w:w="835" w:type="pct"/>
          </w:tcPr>
          <w:p w14:paraId="60CFEB89" w14:textId="77777777" w:rsidR="00EC7EC7" w:rsidRPr="00863A39" w:rsidRDefault="00EC7EC7" w:rsidP="00C50D71">
            <w:pPr>
              <w:keepNext/>
              <w:keepLines/>
              <w:spacing w:before="60" w:after="60" w:line="240" w:lineRule="auto"/>
              <w:rPr>
                <w:rFonts w:cs="Arial"/>
                <w:szCs w:val="18"/>
              </w:rPr>
            </w:pPr>
            <w:r w:rsidRPr="00863A39">
              <w:rPr>
                <w:rFonts w:cs="Arial"/>
                <w:szCs w:val="18"/>
              </w:rPr>
              <w:t>SEA Gas</w:t>
            </w:r>
          </w:p>
        </w:tc>
        <w:tc>
          <w:tcPr>
            <w:tcW w:w="1567" w:type="pct"/>
          </w:tcPr>
          <w:p w14:paraId="238BC0AF" w14:textId="77777777" w:rsidR="00EC7EC7" w:rsidRPr="00863A39" w:rsidRDefault="00EC7EC7" w:rsidP="00C50D71">
            <w:pPr>
              <w:keepNext/>
              <w:keepLines/>
              <w:spacing w:before="60" w:after="60" w:line="240" w:lineRule="auto"/>
              <w:rPr>
                <w:rFonts w:cs="Arial"/>
                <w:szCs w:val="18"/>
              </w:rPr>
            </w:pPr>
            <w:r w:rsidRPr="00863A39">
              <w:rPr>
                <w:rFonts w:cs="Arial"/>
                <w:szCs w:val="18"/>
              </w:rPr>
              <w:t>Port Campbell to Adelaide (PCA) East: creates Bi-directional reconfiguration of the PCA to send gas west-east (SA to VIC).</w:t>
            </w:r>
          </w:p>
        </w:tc>
        <w:tc>
          <w:tcPr>
            <w:tcW w:w="1044" w:type="pct"/>
          </w:tcPr>
          <w:p w14:paraId="436BD237" w14:textId="77777777" w:rsidR="00EC7EC7" w:rsidRPr="00863A39" w:rsidRDefault="00EC7EC7" w:rsidP="00C50D71">
            <w:pPr>
              <w:keepNext/>
              <w:keepLines/>
              <w:spacing w:before="60" w:after="60" w:line="240" w:lineRule="auto"/>
              <w:rPr>
                <w:rFonts w:cs="Arial"/>
                <w:szCs w:val="18"/>
              </w:rPr>
            </w:pPr>
            <w:r w:rsidRPr="00863A39">
              <w:rPr>
                <w:rFonts w:cs="Arial"/>
                <w:szCs w:val="18"/>
              </w:rPr>
              <w:t>In development</w:t>
            </w:r>
          </w:p>
        </w:tc>
        <w:tc>
          <w:tcPr>
            <w:tcW w:w="1554" w:type="pct"/>
          </w:tcPr>
          <w:p w14:paraId="1A6C5D40" w14:textId="77777777" w:rsidR="00EC7EC7" w:rsidRPr="00863A39" w:rsidRDefault="00EC7EC7" w:rsidP="00C50D71">
            <w:pPr>
              <w:keepNext/>
              <w:keepLines/>
              <w:spacing w:before="60" w:after="60" w:line="240" w:lineRule="auto"/>
              <w:rPr>
                <w:rFonts w:cs="Arial"/>
                <w:szCs w:val="18"/>
              </w:rPr>
            </w:pPr>
            <w:r w:rsidRPr="00863A39">
              <w:rPr>
                <w:rFonts w:cs="Arial"/>
                <w:szCs w:val="18"/>
              </w:rPr>
              <w:t>Unknown, unknown</w:t>
            </w:r>
          </w:p>
        </w:tc>
      </w:tr>
    </w:tbl>
    <w:p w14:paraId="680C296D" w14:textId="77777777" w:rsidR="00EC7EC7" w:rsidRPr="00863A39" w:rsidRDefault="00EC7EC7" w:rsidP="00C64EAC">
      <w:pPr>
        <w:pStyle w:val="Source"/>
        <w:spacing w:before="60"/>
      </w:pPr>
      <w:r w:rsidRPr="00863A39">
        <w:t>Source: ACCC (2023)</w:t>
      </w:r>
    </w:p>
    <w:p w14:paraId="359E1855" w14:textId="1E06C243" w:rsidR="00EC7EC7" w:rsidRPr="00863A39" w:rsidRDefault="00EC7EC7" w:rsidP="00EC7EC7">
      <w:pPr>
        <w:pStyle w:val="Heading3"/>
        <w:numPr>
          <w:ilvl w:val="2"/>
          <w:numId w:val="3"/>
        </w:numPr>
        <w:rPr>
          <w:rFonts w:asciiTheme="minorHAnsi" w:hAnsiTheme="minorHAnsi" w:cstheme="minorHAnsi"/>
        </w:rPr>
      </w:pPr>
      <w:r>
        <w:br w:type="column"/>
      </w:r>
      <w:r w:rsidRPr="00863A39">
        <w:t xml:space="preserve">New gas storage developments on the </w:t>
      </w:r>
      <w:r w:rsidR="00D50059">
        <w:t>east c</w:t>
      </w:r>
      <w:r w:rsidRPr="00863A39">
        <w:t>oast</w:t>
      </w:r>
    </w:p>
    <w:p w14:paraId="0D1857A3" w14:textId="1DB4E4A5" w:rsidR="00EC7EC7" w:rsidRPr="00863A39" w:rsidRDefault="00EC7EC7" w:rsidP="00EC7EC7">
      <w:pPr>
        <w:spacing w:after="120"/>
        <w:rPr>
          <w:color w:val="373737"/>
          <w:sz w:val="20"/>
        </w:rPr>
      </w:pPr>
      <w:r w:rsidRPr="00863A39">
        <w:rPr>
          <w:color w:val="373737"/>
          <w:sz w:val="20"/>
        </w:rPr>
        <w:t>Gas storage plays a crucial role in balancing supply and demand. It helps to build reserves during low gas demand period</w:t>
      </w:r>
      <w:r w:rsidR="00246987">
        <w:rPr>
          <w:color w:val="373737"/>
          <w:sz w:val="20"/>
        </w:rPr>
        <w:t>s</w:t>
      </w:r>
      <w:r w:rsidRPr="00863A39">
        <w:rPr>
          <w:color w:val="373737"/>
          <w:sz w:val="20"/>
        </w:rPr>
        <w:t xml:space="preserve"> and allows withdraw</w:t>
      </w:r>
      <w:r w:rsidR="00246987">
        <w:rPr>
          <w:color w:val="373737"/>
          <w:sz w:val="20"/>
        </w:rPr>
        <w:t>als</w:t>
      </w:r>
      <w:r w:rsidRPr="00863A39">
        <w:rPr>
          <w:color w:val="373737"/>
          <w:sz w:val="20"/>
        </w:rPr>
        <w:t xml:space="preserve"> as required. Adequate storage near high-demand areas ensures timely delivery during peak times and helps to address peak</w:t>
      </w:r>
      <w:r w:rsidR="00246987">
        <w:rPr>
          <w:color w:val="373737"/>
          <w:sz w:val="20"/>
        </w:rPr>
        <w:t>-</w:t>
      </w:r>
      <w:r w:rsidRPr="00863A39">
        <w:rPr>
          <w:color w:val="373737"/>
          <w:sz w:val="20"/>
        </w:rPr>
        <w:t>day gas supply shortfalls.</w:t>
      </w:r>
    </w:p>
    <w:p w14:paraId="79E6CB1F" w14:textId="0E1A3308" w:rsidR="00EC7EC7" w:rsidRPr="00863A39" w:rsidRDefault="00EC7EC7" w:rsidP="00EC7EC7">
      <w:pPr>
        <w:spacing w:after="120"/>
        <w:rPr>
          <w:color w:val="373737"/>
          <w:sz w:val="20"/>
        </w:rPr>
      </w:pPr>
      <w:r w:rsidRPr="00863A39">
        <w:rPr>
          <w:color w:val="373737"/>
          <w:sz w:val="20"/>
        </w:rPr>
        <w:t>Table 7.</w:t>
      </w:r>
      <w:r w:rsidR="00616C9E">
        <w:rPr>
          <w:color w:val="373737"/>
          <w:sz w:val="20"/>
        </w:rPr>
        <w:t>3</w:t>
      </w:r>
      <w:r w:rsidRPr="00863A39">
        <w:rPr>
          <w:color w:val="373737"/>
          <w:sz w:val="20"/>
        </w:rPr>
        <w:t xml:space="preserve"> summarises the gas storage developments with potential for commissioning prior to 2028 (both projects are yet to reach FID).</w:t>
      </w:r>
    </w:p>
    <w:p w14:paraId="260B6C55" w14:textId="1E8DBD2B" w:rsidR="00EC7EC7" w:rsidRPr="00863A39" w:rsidRDefault="00EC7EC7" w:rsidP="00C97679">
      <w:pPr>
        <w:pStyle w:val="Caption"/>
        <w:rPr>
          <w:lang w:val="en"/>
        </w:rPr>
      </w:pPr>
      <w:r w:rsidRPr="00863A39">
        <w:rPr>
          <w:lang w:val="en"/>
        </w:rPr>
        <w:t xml:space="preserve">Table </w:t>
      </w:r>
      <w:r w:rsidR="000565F6">
        <w:rPr>
          <w:lang w:val="en"/>
        </w:rPr>
        <w:fldChar w:fldCharType="begin"/>
      </w:r>
      <w:r w:rsidR="000565F6">
        <w:rPr>
          <w:lang w:val="en"/>
        </w:rPr>
        <w:instrText xml:space="preserve"> STYLEREF 1 \s </w:instrText>
      </w:r>
      <w:r w:rsidR="000565F6">
        <w:rPr>
          <w:lang w:val="en"/>
        </w:rPr>
        <w:fldChar w:fldCharType="separate"/>
      </w:r>
      <w:r w:rsidR="00BF178A">
        <w:rPr>
          <w:noProof/>
          <w:lang w:val="en"/>
        </w:rPr>
        <w:t>7</w:t>
      </w:r>
      <w:r w:rsidR="000565F6">
        <w:rPr>
          <w:lang w:val="en"/>
        </w:rPr>
        <w:fldChar w:fldCharType="end"/>
      </w:r>
      <w:r w:rsidR="000565F6">
        <w:rPr>
          <w:lang w:val="en"/>
        </w:rPr>
        <w:t>.</w:t>
      </w:r>
      <w:r w:rsidR="000565F6">
        <w:rPr>
          <w:lang w:val="en"/>
        </w:rPr>
        <w:fldChar w:fldCharType="begin"/>
      </w:r>
      <w:r w:rsidR="000565F6">
        <w:rPr>
          <w:lang w:val="en"/>
        </w:rPr>
        <w:instrText xml:space="preserve"> SEQ Table \* ARABIC \s 1 </w:instrText>
      </w:r>
      <w:r w:rsidR="000565F6">
        <w:rPr>
          <w:lang w:val="en"/>
        </w:rPr>
        <w:fldChar w:fldCharType="separate"/>
      </w:r>
      <w:r w:rsidR="00BF178A">
        <w:rPr>
          <w:noProof/>
          <w:lang w:val="en"/>
        </w:rPr>
        <w:t>3</w:t>
      </w:r>
      <w:r w:rsidR="000565F6">
        <w:rPr>
          <w:lang w:val="en"/>
        </w:rPr>
        <w:fldChar w:fldCharType="end"/>
      </w:r>
      <w:r w:rsidRPr="00863A39">
        <w:rPr>
          <w:lang w:val="en"/>
        </w:rPr>
        <w:t>: Gas storage development with potential for commissioning by 2028</w:t>
      </w:r>
    </w:p>
    <w:tbl>
      <w:tblPr>
        <w:tblStyle w:val="OCETable"/>
        <w:tblW w:w="5000" w:type="pct"/>
        <w:tblLook w:val="04A0" w:firstRow="1" w:lastRow="0" w:firstColumn="1" w:lastColumn="0" w:noHBand="0" w:noVBand="1"/>
      </w:tblPr>
      <w:tblGrid>
        <w:gridCol w:w="1087"/>
        <w:gridCol w:w="2174"/>
        <w:gridCol w:w="2007"/>
        <w:gridCol w:w="1357"/>
      </w:tblGrid>
      <w:tr w:rsidR="00EC7EC7" w:rsidRPr="00863A39" w14:paraId="2582CC5A" w14:textId="77777777" w:rsidTr="00C50D71">
        <w:trPr>
          <w:cnfStyle w:val="100000000000" w:firstRow="1" w:lastRow="0" w:firstColumn="0" w:lastColumn="0" w:oddVBand="0" w:evenVBand="0" w:oddHBand="0" w:evenHBand="0" w:firstRowFirstColumn="0" w:firstRowLastColumn="0" w:lastRowFirstColumn="0" w:lastRowLastColumn="0"/>
        </w:trPr>
        <w:tc>
          <w:tcPr>
            <w:tcW w:w="820" w:type="pct"/>
          </w:tcPr>
          <w:p w14:paraId="1F47CD53" w14:textId="77777777" w:rsidR="00EC7EC7" w:rsidRPr="00863A39" w:rsidRDefault="00EC7EC7" w:rsidP="00C50D71">
            <w:pPr>
              <w:keepNext/>
              <w:spacing w:before="120" w:after="120" w:line="240" w:lineRule="auto"/>
              <w:rPr>
                <w:rFonts w:cs="Arial"/>
                <w:b/>
                <w:szCs w:val="18"/>
              </w:rPr>
            </w:pPr>
            <w:r w:rsidRPr="00863A39">
              <w:rPr>
                <w:rFonts w:cs="Arial"/>
                <w:b/>
                <w:szCs w:val="18"/>
              </w:rPr>
              <w:t>Developer</w:t>
            </w:r>
          </w:p>
        </w:tc>
        <w:tc>
          <w:tcPr>
            <w:tcW w:w="1641" w:type="pct"/>
          </w:tcPr>
          <w:p w14:paraId="209CB7D4" w14:textId="77777777" w:rsidR="00EC7EC7" w:rsidRPr="00863A39" w:rsidRDefault="00EC7EC7" w:rsidP="00C50D71">
            <w:pPr>
              <w:keepNext/>
              <w:spacing w:before="120" w:after="120" w:line="240" w:lineRule="auto"/>
              <w:rPr>
                <w:rFonts w:cs="Arial"/>
                <w:b/>
                <w:szCs w:val="18"/>
              </w:rPr>
            </w:pPr>
            <w:r w:rsidRPr="00863A39">
              <w:rPr>
                <w:rFonts w:cs="Arial"/>
                <w:b/>
                <w:szCs w:val="18"/>
              </w:rPr>
              <w:t>Name/Description</w:t>
            </w:r>
          </w:p>
        </w:tc>
        <w:tc>
          <w:tcPr>
            <w:tcW w:w="1515" w:type="pct"/>
          </w:tcPr>
          <w:p w14:paraId="37450F37" w14:textId="77777777" w:rsidR="00EC7EC7" w:rsidRPr="00863A39" w:rsidRDefault="00EC7EC7" w:rsidP="00C50D71">
            <w:pPr>
              <w:keepNext/>
              <w:spacing w:before="120" w:after="120" w:line="240" w:lineRule="auto"/>
              <w:rPr>
                <w:rFonts w:cs="Arial"/>
                <w:b/>
                <w:szCs w:val="18"/>
              </w:rPr>
            </w:pPr>
            <w:r w:rsidRPr="00863A39">
              <w:rPr>
                <w:rFonts w:cs="Arial"/>
                <w:b/>
                <w:szCs w:val="18"/>
              </w:rPr>
              <w:t>Nameplate capacity</w:t>
            </w:r>
          </w:p>
        </w:tc>
        <w:tc>
          <w:tcPr>
            <w:tcW w:w="1024" w:type="pct"/>
          </w:tcPr>
          <w:p w14:paraId="6F658A98" w14:textId="77777777" w:rsidR="00EC7EC7" w:rsidRPr="00863A39" w:rsidRDefault="00EC7EC7" w:rsidP="00C50D71">
            <w:pPr>
              <w:keepNext/>
              <w:spacing w:before="120" w:after="120" w:line="240" w:lineRule="auto"/>
              <w:rPr>
                <w:rFonts w:cs="Arial"/>
                <w:b/>
                <w:szCs w:val="18"/>
              </w:rPr>
            </w:pPr>
            <w:r w:rsidRPr="00863A39">
              <w:rPr>
                <w:rFonts w:cs="Arial"/>
                <w:b/>
                <w:szCs w:val="18"/>
              </w:rPr>
              <w:t>Key dates (FID, Commission)</w:t>
            </w:r>
          </w:p>
        </w:tc>
      </w:tr>
      <w:tr w:rsidR="00EC7EC7" w:rsidRPr="00863A39" w14:paraId="1A04CDA9" w14:textId="77777777" w:rsidTr="00C50D71">
        <w:trPr>
          <w:cnfStyle w:val="000000100000" w:firstRow="0" w:lastRow="0" w:firstColumn="0" w:lastColumn="0" w:oddVBand="0" w:evenVBand="0" w:oddHBand="1" w:evenHBand="0" w:firstRowFirstColumn="0" w:firstRowLastColumn="0" w:lastRowFirstColumn="0" w:lastRowLastColumn="0"/>
        </w:trPr>
        <w:tc>
          <w:tcPr>
            <w:tcW w:w="820" w:type="pct"/>
          </w:tcPr>
          <w:p w14:paraId="25E65829" w14:textId="77777777" w:rsidR="00EC7EC7" w:rsidRPr="00863A39" w:rsidRDefault="00EC7EC7" w:rsidP="00C50D71">
            <w:pPr>
              <w:keepNext/>
              <w:keepLines/>
              <w:spacing w:before="60" w:after="60" w:line="240" w:lineRule="auto"/>
              <w:rPr>
                <w:rFonts w:cs="Arial"/>
                <w:szCs w:val="18"/>
              </w:rPr>
            </w:pPr>
            <w:r w:rsidRPr="00863A39">
              <w:rPr>
                <w:rFonts w:cs="Arial"/>
                <w:szCs w:val="18"/>
              </w:rPr>
              <w:t>GB Energy</w:t>
            </w:r>
          </w:p>
        </w:tc>
        <w:tc>
          <w:tcPr>
            <w:tcW w:w="1641" w:type="pct"/>
          </w:tcPr>
          <w:p w14:paraId="10D0F0F8" w14:textId="3969DC31" w:rsidR="00EC7EC7" w:rsidRPr="00863A39" w:rsidRDefault="00EC7EC7" w:rsidP="00C50D71">
            <w:pPr>
              <w:keepNext/>
              <w:keepLines/>
              <w:spacing w:before="60" w:after="60" w:line="240" w:lineRule="auto"/>
              <w:rPr>
                <w:rFonts w:cs="Arial"/>
                <w:szCs w:val="18"/>
              </w:rPr>
            </w:pPr>
            <w:r w:rsidRPr="00863A39">
              <w:rPr>
                <w:rFonts w:cs="Arial"/>
                <w:szCs w:val="18"/>
              </w:rPr>
              <w:t>Golden Beach Energy Storage: adds new gas storage field</w:t>
            </w:r>
            <w:r w:rsidR="000E60FD">
              <w:rPr>
                <w:rFonts w:cs="Arial"/>
                <w:szCs w:val="18"/>
              </w:rPr>
              <w:t xml:space="preserve"> in Victoria</w:t>
            </w:r>
          </w:p>
        </w:tc>
        <w:tc>
          <w:tcPr>
            <w:tcW w:w="1515" w:type="pct"/>
          </w:tcPr>
          <w:p w14:paraId="5ED8898A" w14:textId="43174755" w:rsidR="00EC7EC7" w:rsidRDefault="00EC7EC7" w:rsidP="00C50D71">
            <w:pPr>
              <w:keepNext/>
              <w:keepLines/>
              <w:spacing w:before="60" w:after="60" w:line="240" w:lineRule="auto"/>
              <w:rPr>
                <w:rFonts w:cs="Arial"/>
                <w:szCs w:val="18"/>
              </w:rPr>
            </w:pPr>
            <w:r w:rsidRPr="00863A39">
              <w:rPr>
                <w:rFonts w:cs="Arial"/>
                <w:szCs w:val="18"/>
              </w:rPr>
              <w:t xml:space="preserve">Up to 35 PJ of gas storage capacity </w:t>
            </w:r>
            <w:r w:rsidRPr="00F175F5">
              <w:rPr>
                <w:rFonts w:cs="Arial"/>
                <w:szCs w:val="18"/>
              </w:rPr>
              <w:t>(but much of which is cushioning to maintain sufficient pressure so usable capacity is lower)</w:t>
            </w:r>
            <w:r w:rsidRPr="00863A39">
              <w:rPr>
                <w:rFonts w:cs="Arial"/>
                <w:szCs w:val="18"/>
              </w:rPr>
              <w:t xml:space="preserve"> - 250 TJ/day withdrawal - 125 TJ/day injection</w:t>
            </w:r>
            <w:r w:rsidR="006C3326">
              <w:rPr>
                <w:rFonts w:cs="Arial"/>
                <w:szCs w:val="18"/>
              </w:rPr>
              <w:t>.</w:t>
            </w:r>
          </w:p>
          <w:p w14:paraId="3AB905ED" w14:textId="223ACC2D" w:rsidR="00EC7EC7" w:rsidRPr="00F54CC4" w:rsidRDefault="00B21D11" w:rsidP="00C50D71">
            <w:pPr>
              <w:keepNext/>
              <w:keepLines/>
              <w:spacing w:before="60" w:after="60" w:line="240" w:lineRule="auto"/>
              <w:rPr>
                <w:rFonts w:cs="Arial"/>
                <w:szCs w:val="18"/>
              </w:rPr>
            </w:pPr>
            <w:r w:rsidRPr="00F54CC4">
              <w:rPr>
                <w:rFonts w:cs="Arial"/>
                <w:szCs w:val="18"/>
              </w:rPr>
              <w:t>-</w:t>
            </w:r>
            <w:r w:rsidR="006C3326" w:rsidRPr="00F54CC4">
              <w:rPr>
                <w:rFonts w:cs="Arial"/>
                <w:szCs w:val="18"/>
              </w:rPr>
              <w:t xml:space="preserve"> </w:t>
            </w:r>
            <w:r w:rsidR="006C3326" w:rsidRPr="00732986">
              <w:rPr>
                <w:rFonts w:cs="Arial"/>
                <w:szCs w:val="18"/>
              </w:rPr>
              <w:t>375 TJ/d capacity is being considered, with the possibility of 500 TJ/d.</w:t>
            </w:r>
          </w:p>
        </w:tc>
        <w:tc>
          <w:tcPr>
            <w:tcW w:w="1024" w:type="pct"/>
          </w:tcPr>
          <w:p w14:paraId="672538E6" w14:textId="77777777" w:rsidR="00EC7EC7" w:rsidRPr="00863A39" w:rsidRDefault="00EC7EC7" w:rsidP="00C50D71">
            <w:pPr>
              <w:keepNext/>
              <w:keepLines/>
              <w:spacing w:before="60" w:after="60" w:line="240" w:lineRule="auto"/>
              <w:rPr>
                <w:rFonts w:cs="Arial"/>
                <w:szCs w:val="18"/>
              </w:rPr>
            </w:pPr>
            <w:r w:rsidRPr="00863A39">
              <w:rPr>
                <w:rFonts w:cs="Arial"/>
                <w:szCs w:val="18"/>
              </w:rPr>
              <w:t>2024, 2027</w:t>
            </w:r>
          </w:p>
        </w:tc>
      </w:tr>
      <w:tr w:rsidR="00EC7EC7" w:rsidRPr="00863A39" w14:paraId="090F723B" w14:textId="77777777" w:rsidTr="00C50D71">
        <w:trPr>
          <w:cnfStyle w:val="000000010000" w:firstRow="0" w:lastRow="0" w:firstColumn="0" w:lastColumn="0" w:oddVBand="0" w:evenVBand="0" w:oddHBand="0" w:evenHBand="1" w:firstRowFirstColumn="0" w:firstRowLastColumn="0" w:lastRowFirstColumn="0" w:lastRowLastColumn="0"/>
        </w:trPr>
        <w:tc>
          <w:tcPr>
            <w:tcW w:w="820" w:type="pct"/>
          </w:tcPr>
          <w:p w14:paraId="45529AC5" w14:textId="77777777" w:rsidR="00EC7EC7" w:rsidRPr="00863A39" w:rsidRDefault="00EC7EC7" w:rsidP="00C50D71">
            <w:pPr>
              <w:keepNext/>
              <w:keepLines/>
              <w:spacing w:before="60" w:after="60" w:line="240" w:lineRule="auto"/>
              <w:rPr>
                <w:rFonts w:cs="Arial"/>
                <w:szCs w:val="18"/>
              </w:rPr>
            </w:pPr>
            <w:r w:rsidRPr="00863A39">
              <w:rPr>
                <w:rFonts w:cs="Arial"/>
                <w:szCs w:val="18"/>
              </w:rPr>
              <w:t>Lochard Energy</w:t>
            </w:r>
          </w:p>
        </w:tc>
        <w:tc>
          <w:tcPr>
            <w:tcW w:w="1641" w:type="pct"/>
          </w:tcPr>
          <w:p w14:paraId="0D085142" w14:textId="77777777" w:rsidR="00EC7EC7" w:rsidRPr="00863A39" w:rsidRDefault="00EC7EC7" w:rsidP="00C50D71">
            <w:pPr>
              <w:keepNext/>
              <w:keepLines/>
              <w:spacing w:before="60" w:after="60" w:line="240" w:lineRule="auto"/>
              <w:rPr>
                <w:rFonts w:cs="Arial"/>
                <w:szCs w:val="18"/>
              </w:rPr>
            </w:pPr>
            <w:r w:rsidRPr="00863A39">
              <w:rPr>
                <w:rFonts w:cs="Arial"/>
                <w:szCs w:val="18"/>
              </w:rPr>
              <w:t>Heytesbury Underground Gas Storage expansion project (HUGS Project): expands Iona Gas Storage Facility in Victoria</w:t>
            </w:r>
          </w:p>
        </w:tc>
        <w:tc>
          <w:tcPr>
            <w:tcW w:w="1515" w:type="pct"/>
          </w:tcPr>
          <w:p w14:paraId="132214B7" w14:textId="41171D0C" w:rsidR="00EC7EC7" w:rsidRPr="00863A39" w:rsidRDefault="00EC7EC7" w:rsidP="00C50D71">
            <w:pPr>
              <w:keepNext/>
              <w:keepLines/>
              <w:spacing w:before="60" w:after="60" w:line="240" w:lineRule="auto"/>
              <w:rPr>
                <w:rFonts w:cs="Arial"/>
                <w:szCs w:val="18"/>
              </w:rPr>
            </w:pPr>
            <w:r w:rsidRPr="00863A39">
              <w:rPr>
                <w:rFonts w:cs="Arial"/>
                <w:szCs w:val="18"/>
              </w:rPr>
              <w:t xml:space="preserve">Increase Iona's capacity from 570 TJ/day and 24.4 PJ nameplate capacity to 615 TJ/day and </w:t>
            </w:r>
            <w:r w:rsidRPr="00863A39" w:rsidDel="006C3326">
              <w:rPr>
                <w:rFonts w:cs="Arial"/>
                <w:szCs w:val="18"/>
              </w:rPr>
              <w:t>26</w:t>
            </w:r>
            <w:r w:rsidR="001A585D">
              <w:rPr>
                <w:rFonts w:cs="Arial"/>
                <w:szCs w:val="18"/>
              </w:rPr>
              <w:t xml:space="preserve"> to 28</w:t>
            </w:r>
            <w:r w:rsidRPr="00863A39">
              <w:rPr>
                <w:rFonts w:cs="Arial"/>
                <w:szCs w:val="18"/>
              </w:rPr>
              <w:t xml:space="preserve"> PJ nameplate capacity</w:t>
            </w:r>
          </w:p>
        </w:tc>
        <w:tc>
          <w:tcPr>
            <w:tcW w:w="1024" w:type="pct"/>
          </w:tcPr>
          <w:p w14:paraId="1D816BC0" w14:textId="77777777" w:rsidR="00EC7EC7" w:rsidRPr="00863A39" w:rsidRDefault="00EC7EC7" w:rsidP="00C50D71">
            <w:pPr>
              <w:keepNext/>
              <w:keepLines/>
              <w:spacing w:before="60" w:after="60" w:line="240" w:lineRule="auto"/>
              <w:rPr>
                <w:rFonts w:cs="Arial"/>
                <w:szCs w:val="18"/>
              </w:rPr>
            </w:pPr>
            <w:r w:rsidRPr="00863A39">
              <w:rPr>
                <w:rFonts w:cs="Arial"/>
                <w:szCs w:val="18"/>
              </w:rPr>
              <w:t>2024, 2026</w:t>
            </w:r>
          </w:p>
        </w:tc>
      </w:tr>
    </w:tbl>
    <w:p w14:paraId="309DEDDE" w14:textId="77777777" w:rsidR="00EC7EC7" w:rsidRDefault="00EC7EC7" w:rsidP="00EC7EC7">
      <w:pPr>
        <w:spacing w:after="120"/>
        <w:rPr>
          <w:rFonts w:eastAsia="Times New Roman" w:cs="Arial"/>
          <w:color w:val="005CAF"/>
          <w:sz w:val="16"/>
          <w:szCs w:val="20"/>
          <w:lang w:val="en" w:eastAsia="en-AU"/>
        </w:rPr>
      </w:pPr>
      <w:r w:rsidRPr="00863A39">
        <w:rPr>
          <w:rFonts w:eastAsia="Times New Roman" w:cs="Arial"/>
          <w:color w:val="005CAF"/>
          <w:sz w:val="16"/>
          <w:szCs w:val="20"/>
          <w:lang w:val="en" w:eastAsia="en-AU"/>
        </w:rPr>
        <w:t>Source: ACCC (2023)</w:t>
      </w:r>
    </w:p>
    <w:p w14:paraId="35BB2C79" w14:textId="77777777" w:rsidR="00EC7EC7" w:rsidRDefault="00EC7EC7" w:rsidP="00EC7EC7">
      <w:pPr>
        <w:spacing w:after="120"/>
        <w:rPr>
          <w:rFonts w:eastAsia="Times New Roman" w:cs="Arial"/>
          <w:color w:val="005CAF"/>
          <w:sz w:val="16"/>
          <w:szCs w:val="20"/>
          <w:lang w:val="en" w:eastAsia="en-AU"/>
        </w:rPr>
      </w:pPr>
    </w:p>
    <w:p w14:paraId="68A5FB17" w14:textId="77777777" w:rsidR="00EC7EC7" w:rsidRDefault="00EC7EC7" w:rsidP="00EC7EC7">
      <w:pPr>
        <w:spacing w:after="120"/>
        <w:rPr>
          <w:rFonts w:eastAsia="Times New Roman" w:cs="Arial"/>
          <w:color w:val="005CAF"/>
          <w:sz w:val="16"/>
          <w:szCs w:val="20"/>
          <w:lang w:val="en" w:eastAsia="en-AU"/>
        </w:rPr>
      </w:pPr>
    </w:p>
    <w:p w14:paraId="5963EB3C" w14:textId="28060EDD" w:rsidR="00EC7EC7" w:rsidRPr="009D5FB6" w:rsidRDefault="00EC7EC7" w:rsidP="00EC7EC7">
      <w:pPr>
        <w:pStyle w:val="Heading3"/>
        <w:numPr>
          <w:ilvl w:val="2"/>
          <w:numId w:val="3"/>
        </w:numPr>
      </w:pPr>
      <w:r w:rsidRPr="009D5FB6">
        <w:t xml:space="preserve">Potential LNG </w:t>
      </w:r>
      <w:r w:rsidR="004964D0">
        <w:t>i</w:t>
      </w:r>
      <w:r w:rsidRPr="009D5FB6">
        <w:t xml:space="preserve">mport </w:t>
      </w:r>
      <w:r w:rsidR="004964D0">
        <w:t>t</w:t>
      </w:r>
      <w:r w:rsidRPr="009D5FB6">
        <w:t xml:space="preserve">erminals on the </w:t>
      </w:r>
      <w:r w:rsidR="00D50059">
        <w:t>east c</w:t>
      </w:r>
      <w:r w:rsidRPr="009D5FB6">
        <w:t>oast</w:t>
      </w:r>
    </w:p>
    <w:p w14:paraId="55C00161" w14:textId="7D67BCCF" w:rsidR="00B7237C" w:rsidRDefault="00F71E59" w:rsidP="00F71E59">
      <w:pPr>
        <w:pStyle w:val="BodyText"/>
      </w:pPr>
      <w:r w:rsidRPr="00863A39">
        <w:t xml:space="preserve">LNG terminals </w:t>
      </w:r>
      <w:r>
        <w:t>offer some advantages compared to pipelines in</w:t>
      </w:r>
      <w:r w:rsidRPr="00863A39">
        <w:t xml:space="preserve"> </w:t>
      </w:r>
      <w:r w:rsidR="00B7237C">
        <w:t>expanding the supply of gas to the south-east region</w:t>
      </w:r>
      <w:r w:rsidRPr="00863A39">
        <w:t xml:space="preserve">. </w:t>
      </w:r>
    </w:p>
    <w:p w14:paraId="74674052" w14:textId="29CB1DC0" w:rsidR="00374A1A" w:rsidRDefault="000E60FD" w:rsidP="00B7237C">
      <w:pPr>
        <w:pStyle w:val="BodyText"/>
      </w:pPr>
      <w:r>
        <w:t xml:space="preserve">The key advantage is </w:t>
      </w:r>
      <w:r w:rsidR="005D3452">
        <w:t>they offer a source of significant new gas supply from 2026, which could help reduce or close shortfalls due to emerge in the south-east region from 2028</w:t>
      </w:r>
      <w:r w:rsidR="00B7237C">
        <w:t xml:space="preserve">. </w:t>
      </w:r>
      <w:r w:rsidR="00B7237C" w:rsidRPr="00863A39">
        <w:t>Table 7.</w:t>
      </w:r>
      <w:r w:rsidR="00B7237C">
        <w:t>4</w:t>
      </w:r>
      <w:r w:rsidR="00B7237C" w:rsidRPr="00863A39">
        <w:t xml:space="preserve"> outlines known import terminal proposals</w:t>
      </w:r>
      <w:r w:rsidR="00B7237C">
        <w:t xml:space="preserve">, </w:t>
      </w:r>
      <w:r w:rsidR="00B7237C" w:rsidRPr="00863A39">
        <w:t>their capacity</w:t>
      </w:r>
      <w:r w:rsidR="00B7237C">
        <w:t xml:space="preserve"> and potential completion dates</w:t>
      </w:r>
      <w:r w:rsidR="00B7237C" w:rsidRPr="00863A39">
        <w:t xml:space="preserve">. </w:t>
      </w:r>
      <w:r w:rsidR="00E368F5">
        <w:t>Together, t</w:t>
      </w:r>
      <w:r w:rsidR="00B7237C" w:rsidRPr="00863A39">
        <w:t>wo</w:t>
      </w:r>
      <w:r w:rsidR="00B7237C" w:rsidRPr="003116B2">
        <w:t xml:space="preserve"> import </w:t>
      </w:r>
      <w:r w:rsidR="00B7237C" w:rsidRPr="00863A39">
        <w:t xml:space="preserve">terminals </w:t>
      </w:r>
      <w:r w:rsidR="00B7237C" w:rsidRPr="003116B2">
        <w:t xml:space="preserve">would </w:t>
      </w:r>
      <w:r w:rsidR="008607B7">
        <w:t>almost</w:t>
      </w:r>
      <w:r w:rsidR="00B7237C" w:rsidRPr="003116B2">
        <w:t xml:space="preserve"> bridge the gap between expected supply and expected demand in the south-east region from 2028. </w:t>
      </w:r>
    </w:p>
    <w:p w14:paraId="194089F2" w14:textId="0B057A26" w:rsidR="00B21D11" w:rsidRDefault="00374A1A" w:rsidP="00A270EA">
      <w:pPr>
        <w:pStyle w:val="BodyText"/>
      </w:pPr>
      <w:r>
        <w:t xml:space="preserve">A range of additional infrastructure would also been needed before supply can flow effectively from proposed terminals to where it is likely to be needed. </w:t>
      </w:r>
      <w:r w:rsidR="00B21D11" w:rsidRPr="00B21D11">
        <w:t xml:space="preserve">An Adelaide terminal would </w:t>
      </w:r>
      <w:r>
        <w:t>require additional pipeline capacity to</w:t>
      </w:r>
      <w:r w:rsidR="00B21D11" w:rsidRPr="00B21D11">
        <w:t xml:space="preserve"> Victoria</w:t>
      </w:r>
      <w:r>
        <w:t>.</w:t>
      </w:r>
      <w:r w:rsidR="00B21D11" w:rsidRPr="00B21D11">
        <w:t xml:space="preserve"> </w:t>
      </w:r>
      <w:r>
        <w:t xml:space="preserve">A Port Kembla terminal would </w:t>
      </w:r>
      <w:r w:rsidR="00B21D11" w:rsidRPr="00B21D11">
        <w:t xml:space="preserve">need </w:t>
      </w:r>
      <w:r>
        <w:t xml:space="preserve">additional </w:t>
      </w:r>
      <w:r w:rsidR="00B21D11" w:rsidRPr="00B21D11">
        <w:t xml:space="preserve">compression to increased supply into Victoria. An import terminal at Geelong </w:t>
      </w:r>
      <w:r>
        <w:t>would require</w:t>
      </w:r>
      <w:r w:rsidR="00B21D11" w:rsidRPr="00B21D11">
        <w:t xml:space="preserve"> </w:t>
      </w:r>
      <w:r>
        <w:t>additional</w:t>
      </w:r>
      <w:r w:rsidR="00B21D11" w:rsidRPr="00B21D11">
        <w:t xml:space="preserve"> pipeline looping and compression.</w:t>
      </w:r>
      <w:r w:rsidR="00B21D11">
        <w:t xml:space="preserve"> </w:t>
      </w:r>
      <w:r w:rsidR="00A270EA" w:rsidRPr="003116B2">
        <w:t xml:space="preserve">In addition, floating import terminals offer flexibility that can add to </w:t>
      </w:r>
      <w:r w:rsidR="00E368F5">
        <w:t>the</w:t>
      </w:r>
      <w:r w:rsidR="00A270EA" w:rsidRPr="003116B2">
        <w:t xml:space="preserve"> resilience </w:t>
      </w:r>
      <w:r w:rsidR="004E602A">
        <w:t xml:space="preserve">of supply </w:t>
      </w:r>
      <w:r w:rsidR="00A270EA" w:rsidRPr="003116B2">
        <w:t xml:space="preserve">and potentially reduce price volatility. First, the source of supply is not fixed, </w:t>
      </w:r>
      <w:r w:rsidR="00E368F5">
        <w:t xml:space="preserve">meaning </w:t>
      </w:r>
      <w:r w:rsidR="00A270EA" w:rsidRPr="003116B2">
        <w:t xml:space="preserve">supply can be sourced from Queensland, the Northern Territory, Western Australia or foreign fields. Second, </w:t>
      </w:r>
      <w:r w:rsidR="004E602A">
        <w:t>the f</w:t>
      </w:r>
      <w:r w:rsidR="004E602A" w:rsidRPr="00863A39">
        <w:t>loating storage and regasification units (FSRUs)</w:t>
      </w:r>
      <w:r w:rsidR="00A270EA" w:rsidRPr="00863A39">
        <w:t xml:space="preserve"> can provide</w:t>
      </w:r>
      <w:r w:rsidR="00A270EA" w:rsidRPr="003116B2">
        <w:t xml:space="preserve"> storage services to the network at much higher volumes than gas pipelines and </w:t>
      </w:r>
      <w:r w:rsidR="00E368F5">
        <w:t xml:space="preserve">can </w:t>
      </w:r>
      <w:r w:rsidR="00A270EA" w:rsidRPr="003116B2">
        <w:t xml:space="preserve">be delivered at times of peak demand </w:t>
      </w:r>
      <w:r w:rsidR="004E602A">
        <w:t>closer to where gas is needed</w:t>
      </w:r>
      <w:r w:rsidR="00A270EA" w:rsidRPr="00863A39">
        <w:t>.</w:t>
      </w:r>
      <w:r w:rsidR="00A270EA">
        <w:t xml:space="preserve"> Third, </w:t>
      </w:r>
      <w:r w:rsidR="00A270EA" w:rsidRPr="003116B2">
        <w:t xml:space="preserve">FSRUs can be relocated if utilisation rates </w:t>
      </w:r>
      <w:r w:rsidR="004E602A">
        <w:t>fall in the future</w:t>
      </w:r>
      <w:r w:rsidR="00A270EA" w:rsidRPr="003116B2">
        <w:t>, reducing the risk the asset become</w:t>
      </w:r>
      <w:r w:rsidR="00E368F5">
        <w:t>s</w:t>
      </w:r>
      <w:r w:rsidR="00A270EA" w:rsidRPr="003116B2">
        <w:t xml:space="preserve"> stranded.</w:t>
      </w:r>
      <w:r w:rsidR="00F92503">
        <w:t xml:space="preserve"> </w:t>
      </w:r>
    </w:p>
    <w:p w14:paraId="21095F08" w14:textId="687057F6" w:rsidR="00047534" w:rsidRDefault="00B21D11" w:rsidP="00047534">
      <w:pPr>
        <w:pStyle w:val="BodyText"/>
      </w:pPr>
      <w:r>
        <w:t xml:space="preserve">LNG import terminal developers are </w:t>
      </w:r>
      <w:r w:rsidR="00E368F5">
        <w:t>having</w:t>
      </w:r>
      <w:r w:rsidDel="00E368F5">
        <w:t xml:space="preserve"> </w:t>
      </w:r>
      <w:r>
        <w:t>difficult</w:t>
      </w:r>
      <w:r w:rsidR="00E368F5">
        <w:t>ies</w:t>
      </w:r>
      <w:r>
        <w:t xml:space="preserve"> secur</w:t>
      </w:r>
      <w:r w:rsidR="00E368F5">
        <w:t>ing</w:t>
      </w:r>
      <w:r>
        <w:t xml:space="preserve"> offtake agreements with domestic users. </w:t>
      </w:r>
      <w:r w:rsidR="002B26DD">
        <w:t xml:space="preserve">Larger users and smaller retailers remain reluctant to contract their full annual volume requirements as uncertainties around future needs and supply options </w:t>
      </w:r>
      <w:r w:rsidR="00E368F5">
        <w:t>are</w:t>
      </w:r>
      <w:r w:rsidR="002B26DD">
        <w:t xml:space="preserve"> high. A second</w:t>
      </w:r>
      <w:r>
        <w:t xml:space="preserve"> problem lies in the seasonal need for gas in southern </w:t>
      </w:r>
      <w:r w:rsidR="00E368F5">
        <w:t>s</w:t>
      </w:r>
      <w:r>
        <w:t>tates. Terminals can provide large capacity</w:t>
      </w:r>
      <w:r w:rsidR="004C7019">
        <w:t>,</w:t>
      </w:r>
      <w:r>
        <w:t xml:space="preserve"> but the annual capacity is not well matched to seasonal winter demand. Large</w:t>
      </w:r>
      <w:r w:rsidR="00E368F5">
        <w:t>r</w:t>
      </w:r>
      <w:r>
        <w:t xml:space="preserve"> annual capacity will not be needed until 2028 when Longford capacity is forecast to step down. </w:t>
      </w:r>
    </w:p>
    <w:p w14:paraId="31C10C05" w14:textId="5CA0D49C" w:rsidR="00047534" w:rsidRDefault="00047534">
      <w:pPr>
        <w:spacing w:after="200" w:line="276" w:lineRule="auto"/>
        <w:rPr>
          <w:color w:val="373737"/>
          <w:sz w:val="20"/>
        </w:rPr>
      </w:pPr>
      <w:r>
        <w:br w:type="page"/>
      </w:r>
    </w:p>
    <w:p w14:paraId="018DE65E" w14:textId="77777777" w:rsidR="008C4505" w:rsidRPr="000324DC" w:rsidRDefault="008C4505" w:rsidP="008D0C2F">
      <w:pPr>
        <w:pStyle w:val="BodyText"/>
      </w:pPr>
      <w:r w:rsidRPr="000324DC">
        <w:t xml:space="preserve">There is also no current </w:t>
      </w:r>
      <w:r w:rsidRPr="00560D98">
        <w:t xml:space="preserve">legislative </w:t>
      </w:r>
      <w:r w:rsidRPr="000324DC">
        <w:t>requirement for gas supply reliability. Large users and small retailers are increasingly not contracting gas to cover all their requirements.</w:t>
      </w:r>
    </w:p>
    <w:p w14:paraId="1FBCED80" w14:textId="6EED9463" w:rsidR="00EC7EC7" w:rsidRPr="00863A39" w:rsidRDefault="00EC7EC7" w:rsidP="00C97679">
      <w:pPr>
        <w:pStyle w:val="Caption"/>
        <w:rPr>
          <w:lang w:val="en"/>
        </w:rPr>
      </w:pPr>
      <w:bookmarkStart w:id="176" w:name="_Hlk160697113"/>
      <w:r w:rsidRPr="00863A39">
        <w:rPr>
          <w:lang w:val="en"/>
        </w:rPr>
        <w:t xml:space="preserve">Table </w:t>
      </w:r>
      <w:r w:rsidR="00900411" w:rsidRPr="00863A39">
        <w:rPr>
          <w:lang w:val="en"/>
        </w:rPr>
        <w:fldChar w:fldCharType="begin"/>
      </w:r>
      <w:r w:rsidR="00900411" w:rsidRPr="00863A39">
        <w:rPr>
          <w:lang w:val="en"/>
        </w:rPr>
        <w:instrText xml:space="preserve"> STYLEREF 1 \s </w:instrText>
      </w:r>
      <w:r w:rsidR="00900411" w:rsidRPr="00863A39">
        <w:rPr>
          <w:lang w:val="en"/>
        </w:rPr>
        <w:fldChar w:fldCharType="separate"/>
      </w:r>
      <w:r w:rsidR="00BF178A">
        <w:rPr>
          <w:noProof/>
          <w:lang w:val="en"/>
        </w:rPr>
        <w:t>7</w:t>
      </w:r>
      <w:r w:rsidR="00900411" w:rsidRPr="00863A39">
        <w:rPr>
          <w:lang w:val="en"/>
        </w:rPr>
        <w:fldChar w:fldCharType="end"/>
      </w:r>
      <w:r w:rsidR="00900411" w:rsidRPr="00863A39">
        <w:rPr>
          <w:lang w:val="en"/>
        </w:rPr>
        <w:t>.</w:t>
      </w:r>
      <w:r w:rsidR="00900411">
        <w:rPr>
          <w:lang w:val="en"/>
        </w:rPr>
        <w:t>4</w:t>
      </w:r>
      <w:r w:rsidRPr="00863A39">
        <w:rPr>
          <w:lang w:val="en"/>
        </w:rPr>
        <w:t>: Proposed LNG Import Terminals</w:t>
      </w:r>
      <w:r w:rsidRPr="00863A39" w:rsidDel="000472CD">
        <w:rPr>
          <w:lang w:val="en"/>
        </w:rPr>
        <w:t xml:space="preserve"> </w:t>
      </w:r>
    </w:p>
    <w:tbl>
      <w:tblPr>
        <w:tblStyle w:val="OCETable"/>
        <w:tblW w:w="0" w:type="auto"/>
        <w:tblLook w:val="04A0" w:firstRow="1" w:lastRow="0" w:firstColumn="1" w:lastColumn="0" w:noHBand="0" w:noVBand="1"/>
      </w:tblPr>
      <w:tblGrid>
        <w:gridCol w:w="1539"/>
        <w:gridCol w:w="1533"/>
        <w:gridCol w:w="1274"/>
        <w:gridCol w:w="967"/>
        <w:gridCol w:w="1312"/>
      </w:tblGrid>
      <w:tr w:rsidR="00EC7EC7" w14:paraId="37B1C9D4" w14:textId="77777777" w:rsidTr="00C50D71">
        <w:trPr>
          <w:cnfStyle w:val="100000000000" w:firstRow="1" w:lastRow="0" w:firstColumn="0" w:lastColumn="0" w:oddVBand="0" w:evenVBand="0" w:oddHBand="0" w:evenHBand="0" w:firstRowFirstColumn="0" w:firstRowLastColumn="0" w:lastRowFirstColumn="0" w:lastRowLastColumn="0"/>
        </w:trPr>
        <w:tc>
          <w:tcPr>
            <w:tcW w:w="1560" w:type="dxa"/>
          </w:tcPr>
          <w:p w14:paraId="2DF00E9C" w14:textId="77777777" w:rsidR="00EC7EC7" w:rsidRPr="00DA36C0" w:rsidRDefault="00EC7EC7" w:rsidP="00C50D71">
            <w:pPr>
              <w:keepNext/>
              <w:spacing w:before="60" w:after="60" w:line="240" w:lineRule="auto"/>
              <w:rPr>
                <w:rFonts w:eastAsia="Times New Roman" w:cs="Arial"/>
                <w:b/>
                <w:bCs/>
                <w:color w:val="FFFFFF" w:themeColor="background1"/>
                <w:szCs w:val="18"/>
                <w:lang w:val="en"/>
              </w:rPr>
            </w:pPr>
            <w:r w:rsidRPr="00DA36C0">
              <w:rPr>
                <w:rFonts w:eastAsia="Times New Roman" w:cs="Arial"/>
                <w:b/>
                <w:bCs/>
                <w:color w:val="FFFFFF" w:themeColor="background1"/>
                <w:szCs w:val="18"/>
                <w:lang w:val="en"/>
              </w:rPr>
              <w:t>Company</w:t>
            </w:r>
          </w:p>
        </w:tc>
        <w:tc>
          <w:tcPr>
            <w:tcW w:w="1559" w:type="dxa"/>
          </w:tcPr>
          <w:p w14:paraId="6D6D389B" w14:textId="77777777" w:rsidR="00EC7EC7" w:rsidRPr="00DA36C0" w:rsidRDefault="00EC7EC7" w:rsidP="00C50D71">
            <w:pPr>
              <w:keepNext/>
              <w:spacing w:before="60" w:after="60" w:line="240" w:lineRule="auto"/>
              <w:rPr>
                <w:rFonts w:eastAsia="Times New Roman" w:cs="Arial"/>
                <w:b/>
                <w:bCs/>
                <w:color w:val="FFFFFF" w:themeColor="background1"/>
                <w:szCs w:val="18"/>
                <w:lang w:val="en"/>
              </w:rPr>
            </w:pPr>
            <w:r w:rsidRPr="00DA36C0">
              <w:rPr>
                <w:rFonts w:eastAsia="Times New Roman" w:cs="Arial"/>
                <w:b/>
                <w:bCs/>
                <w:color w:val="FFFFFF" w:themeColor="background1"/>
                <w:szCs w:val="18"/>
                <w:lang w:val="en"/>
              </w:rPr>
              <w:t>Name</w:t>
            </w:r>
          </w:p>
        </w:tc>
        <w:tc>
          <w:tcPr>
            <w:tcW w:w="1276" w:type="dxa"/>
          </w:tcPr>
          <w:p w14:paraId="12218C85" w14:textId="77777777" w:rsidR="00EC7EC7" w:rsidRPr="00DA36C0" w:rsidRDefault="00EC7EC7" w:rsidP="00C50D71">
            <w:pPr>
              <w:keepNext/>
              <w:spacing w:before="60" w:after="60" w:line="240" w:lineRule="auto"/>
              <w:rPr>
                <w:rFonts w:eastAsia="Times New Roman" w:cs="Arial"/>
                <w:b/>
                <w:bCs/>
                <w:color w:val="FFFFFF" w:themeColor="background1"/>
                <w:szCs w:val="18"/>
                <w:lang w:val="en"/>
              </w:rPr>
            </w:pPr>
            <w:r w:rsidRPr="00DA36C0">
              <w:rPr>
                <w:rFonts w:eastAsia="Times New Roman" w:cs="Arial"/>
                <w:b/>
                <w:bCs/>
                <w:color w:val="FFFFFF" w:themeColor="background1"/>
                <w:szCs w:val="18"/>
                <w:lang w:val="en"/>
              </w:rPr>
              <w:t>Current Status</w:t>
            </w:r>
          </w:p>
        </w:tc>
        <w:tc>
          <w:tcPr>
            <w:tcW w:w="905" w:type="dxa"/>
          </w:tcPr>
          <w:p w14:paraId="2C1887AF" w14:textId="77777777" w:rsidR="00EC7EC7" w:rsidRPr="00DA36C0" w:rsidRDefault="00EC7EC7" w:rsidP="00C50D71">
            <w:pPr>
              <w:keepNext/>
              <w:spacing w:before="60" w:after="60" w:line="240" w:lineRule="auto"/>
              <w:rPr>
                <w:rFonts w:eastAsia="Times New Roman" w:cs="Arial"/>
                <w:b/>
                <w:bCs/>
                <w:color w:val="FFFFFF" w:themeColor="background1"/>
                <w:szCs w:val="18"/>
                <w:lang w:val="en"/>
              </w:rPr>
            </w:pPr>
            <w:r w:rsidRPr="00DA36C0">
              <w:rPr>
                <w:rFonts w:eastAsia="Times New Roman" w:cs="Arial"/>
                <w:b/>
                <w:bCs/>
                <w:color w:val="FFFFFF" w:themeColor="background1"/>
                <w:szCs w:val="18"/>
                <w:lang w:val="en"/>
              </w:rPr>
              <w:t>Capacity</w:t>
            </w:r>
          </w:p>
        </w:tc>
        <w:tc>
          <w:tcPr>
            <w:tcW w:w="1325" w:type="dxa"/>
          </w:tcPr>
          <w:p w14:paraId="441A1559" w14:textId="77777777" w:rsidR="00EC7EC7" w:rsidRPr="00DA36C0" w:rsidRDefault="00EC7EC7" w:rsidP="00C50D71">
            <w:pPr>
              <w:keepNext/>
              <w:spacing w:before="60" w:after="60" w:line="240" w:lineRule="auto"/>
              <w:rPr>
                <w:rFonts w:eastAsia="Times New Roman" w:cs="Arial"/>
                <w:b/>
                <w:bCs/>
                <w:color w:val="FFFFFF" w:themeColor="background1"/>
                <w:szCs w:val="18"/>
                <w:lang w:val="en"/>
              </w:rPr>
            </w:pPr>
            <w:r w:rsidRPr="00DA36C0">
              <w:rPr>
                <w:rFonts w:eastAsia="Times New Roman" w:cs="Arial"/>
                <w:b/>
                <w:bCs/>
                <w:color w:val="FFFFFF" w:themeColor="background1"/>
                <w:szCs w:val="18"/>
                <w:lang w:val="en"/>
              </w:rPr>
              <w:t>Earliest assumed year</w:t>
            </w:r>
          </w:p>
        </w:tc>
      </w:tr>
      <w:tr w:rsidR="00EC7EC7" w14:paraId="340EA668" w14:textId="77777777" w:rsidTr="00C50D71">
        <w:trPr>
          <w:cnfStyle w:val="000000100000" w:firstRow="0" w:lastRow="0" w:firstColumn="0" w:lastColumn="0" w:oddVBand="0" w:evenVBand="0" w:oddHBand="1" w:evenHBand="0" w:firstRowFirstColumn="0" w:firstRowLastColumn="0" w:lastRowFirstColumn="0" w:lastRowLastColumn="0"/>
        </w:trPr>
        <w:tc>
          <w:tcPr>
            <w:tcW w:w="1560" w:type="dxa"/>
          </w:tcPr>
          <w:p w14:paraId="3A98A355" w14:textId="77777777" w:rsidR="00EC7EC7" w:rsidRDefault="00EC7EC7" w:rsidP="00C50D71">
            <w:pPr>
              <w:pStyle w:val="Tableheader"/>
              <w:rPr>
                <w:lang w:val="en"/>
              </w:rPr>
            </w:pPr>
            <w:r w:rsidRPr="00DA36C0">
              <w:rPr>
                <w:color w:val="auto"/>
                <w:lang w:val="en"/>
              </w:rPr>
              <w:t>NSW</w:t>
            </w:r>
          </w:p>
        </w:tc>
        <w:tc>
          <w:tcPr>
            <w:tcW w:w="1559" w:type="dxa"/>
          </w:tcPr>
          <w:p w14:paraId="0CBEBB24" w14:textId="77777777" w:rsidR="00EC7EC7" w:rsidRDefault="00EC7EC7" w:rsidP="00C50D71">
            <w:pPr>
              <w:pStyle w:val="Tablebodytext"/>
              <w:rPr>
                <w:lang w:val="en"/>
              </w:rPr>
            </w:pPr>
          </w:p>
        </w:tc>
        <w:tc>
          <w:tcPr>
            <w:tcW w:w="1276" w:type="dxa"/>
          </w:tcPr>
          <w:p w14:paraId="0C1DFD98" w14:textId="77777777" w:rsidR="00EC7EC7" w:rsidRDefault="00EC7EC7" w:rsidP="00C50D71">
            <w:pPr>
              <w:pStyle w:val="Tablebodytext"/>
              <w:rPr>
                <w:lang w:val="en"/>
              </w:rPr>
            </w:pPr>
          </w:p>
        </w:tc>
        <w:tc>
          <w:tcPr>
            <w:tcW w:w="905" w:type="dxa"/>
          </w:tcPr>
          <w:p w14:paraId="75965575" w14:textId="77777777" w:rsidR="00EC7EC7" w:rsidRDefault="00EC7EC7" w:rsidP="00C50D71">
            <w:pPr>
              <w:pStyle w:val="Tablebodytext"/>
              <w:rPr>
                <w:lang w:val="en"/>
              </w:rPr>
            </w:pPr>
          </w:p>
        </w:tc>
        <w:tc>
          <w:tcPr>
            <w:tcW w:w="1325" w:type="dxa"/>
          </w:tcPr>
          <w:p w14:paraId="23594DE9" w14:textId="77777777" w:rsidR="00EC7EC7" w:rsidRDefault="00EC7EC7" w:rsidP="00C50D71">
            <w:pPr>
              <w:pStyle w:val="Tablebodytext"/>
              <w:rPr>
                <w:lang w:val="en"/>
              </w:rPr>
            </w:pPr>
          </w:p>
        </w:tc>
      </w:tr>
      <w:tr w:rsidR="00EC7EC7" w14:paraId="67AD19C8" w14:textId="77777777" w:rsidTr="00C50D71">
        <w:trPr>
          <w:cnfStyle w:val="000000010000" w:firstRow="0" w:lastRow="0" w:firstColumn="0" w:lastColumn="0" w:oddVBand="0" w:evenVBand="0" w:oddHBand="0" w:evenHBand="1" w:firstRowFirstColumn="0" w:firstRowLastColumn="0" w:lastRowFirstColumn="0" w:lastRowLastColumn="0"/>
        </w:trPr>
        <w:tc>
          <w:tcPr>
            <w:tcW w:w="1560" w:type="dxa"/>
          </w:tcPr>
          <w:p w14:paraId="3112B78D" w14:textId="66A3DBB6" w:rsidR="00EC7EC7" w:rsidRDefault="00B428B4" w:rsidP="00C50D71">
            <w:pPr>
              <w:pStyle w:val="Tablebodytext"/>
              <w:rPr>
                <w:lang w:val="en"/>
              </w:rPr>
            </w:pPr>
            <w:r>
              <w:rPr>
                <w:lang w:val="en"/>
              </w:rPr>
              <w:t>Squadron</w:t>
            </w:r>
            <w:r w:rsidR="00EC7EC7" w:rsidDel="006C3326">
              <w:rPr>
                <w:lang w:val="en"/>
              </w:rPr>
              <w:t xml:space="preserve"> Energy </w:t>
            </w:r>
          </w:p>
        </w:tc>
        <w:tc>
          <w:tcPr>
            <w:tcW w:w="1559" w:type="dxa"/>
          </w:tcPr>
          <w:p w14:paraId="361878E9" w14:textId="77777777" w:rsidR="00EC7EC7" w:rsidRDefault="00EC7EC7" w:rsidP="00C50D71">
            <w:pPr>
              <w:pStyle w:val="Tablebodytext"/>
              <w:rPr>
                <w:lang w:val="en"/>
              </w:rPr>
            </w:pPr>
            <w:r w:rsidRPr="00863A39">
              <w:rPr>
                <w:lang w:eastAsia="en-AU"/>
              </w:rPr>
              <w:t>Port Kembla Energy Terminal (PKET)</w:t>
            </w:r>
          </w:p>
        </w:tc>
        <w:tc>
          <w:tcPr>
            <w:tcW w:w="1276" w:type="dxa"/>
          </w:tcPr>
          <w:p w14:paraId="63E35091" w14:textId="0641F6B9" w:rsidR="00EC7EC7" w:rsidRDefault="00EC7EC7" w:rsidP="00C50D71">
            <w:pPr>
              <w:keepNext/>
              <w:keepLines/>
              <w:spacing w:before="60" w:after="60" w:line="240" w:lineRule="auto"/>
              <w:rPr>
                <w:lang w:val="en"/>
              </w:rPr>
            </w:pPr>
            <w:r w:rsidRPr="00863A39">
              <w:rPr>
                <w:rFonts w:cs="Arial"/>
                <w:szCs w:val="18"/>
                <w:lang w:eastAsia="en-AU"/>
              </w:rPr>
              <w:t>Construction</w:t>
            </w:r>
            <w:r>
              <w:rPr>
                <w:rFonts w:cs="Arial"/>
                <w:szCs w:val="18"/>
                <w:lang w:eastAsia="en-AU"/>
              </w:rPr>
              <w:t xml:space="preserve"> </w:t>
            </w:r>
            <w:r w:rsidR="00E368F5">
              <w:rPr>
                <w:rFonts w:cs="Arial"/>
                <w:szCs w:val="18"/>
                <w:lang w:eastAsia="en-AU"/>
              </w:rPr>
              <w:t>u</w:t>
            </w:r>
            <w:r w:rsidRPr="00863A39">
              <w:rPr>
                <w:rFonts w:cs="Arial"/>
                <w:szCs w:val="18"/>
                <w:lang w:eastAsia="en-AU"/>
              </w:rPr>
              <w:t>nderway</w:t>
            </w:r>
          </w:p>
        </w:tc>
        <w:tc>
          <w:tcPr>
            <w:tcW w:w="905" w:type="dxa"/>
          </w:tcPr>
          <w:p w14:paraId="2296C749" w14:textId="77777777" w:rsidR="00EC7EC7" w:rsidRDefault="00EC7EC7" w:rsidP="00C50D71">
            <w:pPr>
              <w:pStyle w:val="Tablebodytext"/>
              <w:rPr>
                <w:lang w:val="en"/>
              </w:rPr>
            </w:pPr>
            <w:r w:rsidRPr="00863A39">
              <w:rPr>
                <w:lang w:eastAsia="en-AU"/>
              </w:rPr>
              <w:t>130 PJ/y</w:t>
            </w:r>
          </w:p>
        </w:tc>
        <w:tc>
          <w:tcPr>
            <w:tcW w:w="1325" w:type="dxa"/>
          </w:tcPr>
          <w:p w14:paraId="0D67F19F" w14:textId="77777777" w:rsidR="00EC7EC7" w:rsidRDefault="00EC7EC7" w:rsidP="00C50D71">
            <w:pPr>
              <w:pStyle w:val="Tablebodytext"/>
              <w:rPr>
                <w:lang w:val="en"/>
              </w:rPr>
            </w:pPr>
            <w:r w:rsidRPr="00863A39">
              <w:rPr>
                <w:lang w:eastAsia="en-AU"/>
              </w:rPr>
              <w:t>2026</w:t>
            </w:r>
          </w:p>
        </w:tc>
      </w:tr>
      <w:tr w:rsidR="00EC7EC7" w14:paraId="23286DD6" w14:textId="77777777" w:rsidTr="00C50D71">
        <w:trPr>
          <w:cnfStyle w:val="000000100000" w:firstRow="0" w:lastRow="0" w:firstColumn="0" w:lastColumn="0" w:oddVBand="0" w:evenVBand="0" w:oddHBand="1" w:evenHBand="0" w:firstRowFirstColumn="0" w:firstRowLastColumn="0" w:lastRowFirstColumn="0" w:lastRowLastColumn="0"/>
        </w:trPr>
        <w:tc>
          <w:tcPr>
            <w:tcW w:w="1560" w:type="dxa"/>
          </w:tcPr>
          <w:p w14:paraId="76C2F042" w14:textId="77777777" w:rsidR="00EC7EC7" w:rsidRDefault="00EC7EC7" w:rsidP="00C50D71">
            <w:pPr>
              <w:pStyle w:val="Tableheader"/>
              <w:rPr>
                <w:lang w:val="en"/>
              </w:rPr>
            </w:pPr>
            <w:r w:rsidRPr="00DA36C0">
              <w:rPr>
                <w:color w:val="auto"/>
                <w:lang w:val="en"/>
              </w:rPr>
              <w:t>SA</w:t>
            </w:r>
          </w:p>
        </w:tc>
        <w:tc>
          <w:tcPr>
            <w:tcW w:w="1559" w:type="dxa"/>
          </w:tcPr>
          <w:p w14:paraId="2F8815AE" w14:textId="77777777" w:rsidR="00EC7EC7" w:rsidRDefault="00EC7EC7" w:rsidP="00C50D71">
            <w:pPr>
              <w:pStyle w:val="Tablebodytext"/>
              <w:rPr>
                <w:lang w:val="en"/>
              </w:rPr>
            </w:pPr>
          </w:p>
        </w:tc>
        <w:tc>
          <w:tcPr>
            <w:tcW w:w="1276" w:type="dxa"/>
          </w:tcPr>
          <w:p w14:paraId="12B477E0" w14:textId="77777777" w:rsidR="00EC7EC7" w:rsidRDefault="00EC7EC7" w:rsidP="00C50D71">
            <w:pPr>
              <w:pStyle w:val="Tablebodytext"/>
              <w:rPr>
                <w:lang w:val="en"/>
              </w:rPr>
            </w:pPr>
          </w:p>
        </w:tc>
        <w:tc>
          <w:tcPr>
            <w:tcW w:w="905" w:type="dxa"/>
          </w:tcPr>
          <w:p w14:paraId="306780AD" w14:textId="77777777" w:rsidR="00EC7EC7" w:rsidRDefault="00EC7EC7" w:rsidP="00C50D71">
            <w:pPr>
              <w:pStyle w:val="Tablebodytext"/>
              <w:rPr>
                <w:lang w:val="en"/>
              </w:rPr>
            </w:pPr>
          </w:p>
        </w:tc>
        <w:tc>
          <w:tcPr>
            <w:tcW w:w="1325" w:type="dxa"/>
          </w:tcPr>
          <w:p w14:paraId="0DC03E73" w14:textId="77777777" w:rsidR="00EC7EC7" w:rsidRDefault="00EC7EC7" w:rsidP="00C50D71">
            <w:pPr>
              <w:pStyle w:val="Tablebodytext"/>
              <w:rPr>
                <w:lang w:val="en"/>
              </w:rPr>
            </w:pPr>
          </w:p>
        </w:tc>
      </w:tr>
      <w:tr w:rsidR="00EC7EC7" w14:paraId="17C9FC61" w14:textId="77777777" w:rsidTr="00C50D71">
        <w:trPr>
          <w:cnfStyle w:val="000000010000" w:firstRow="0" w:lastRow="0" w:firstColumn="0" w:lastColumn="0" w:oddVBand="0" w:evenVBand="0" w:oddHBand="0" w:evenHBand="1" w:firstRowFirstColumn="0" w:firstRowLastColumn="0" w:lastRowFirstColumn="0" w:lastRowLastColumn="0"/>
        </w:trPr>
        <w:tc>
          <w:tcPr>
            <w:tcW w:w="1560" w:type="dxa"/>
          </w:tcPr>
          <w:p w14:paraId="610A7D16" w14:textId="77777777" w:rsidR="00EC7EC7" w:rsidRDefault="00EC7EC7" w:rsidP="00C50D71">
            <w:pPr>
              <w:pStyle w:val="Tablebodytext"/>
              <w:rPr>
                <w:lang w:val="en"/>
              </w:rPr>
            </w:pPr>
            <w:r>
              <w:rPr>
                <w:lang w:val="en"/>
              </w:rPr>
              <w:t>Venice Energy</w:t>
            </w:r>
          </w:p>
        </w:tc>
        <w:tc>
          <w:tcPr>
            <w:tcW w:w="1559" w:type="dxa"/>
          </w:tcPr>
          <w:p w14:paraId="6A6DA6BB" w14:textId="77777777" w:rsidR="00EC7EC7" w:rsidRDefault="00EC7EC7" w:rsidP="00C50D71">
            <w:pPr>
              <w:pStyle w:val="Tablebodytext"/>
              <w:rPr>
                <w:lang w:val="en"/>
              </w:rPr>
            </w:pPr>
            <w:r w:rsidRPr="00863A39">
              <w:rPr>
                <w:lang w:eastAsia="en-AU"/>
              </w:rPr>
              <w:t>Port Adelaide</w:t>
            </w:r>
          </w:p>
        </w:tc>
        <w:tc>
          <w:tcPr>
            <w:tcW w:w="1276" w:type="dxa"/>
          </w:tcPr>
          <w:p w14:paraId="0BA249CD" w14:textId="77777777" w:rsidR="00EC7EC7" w:rsidRDefault="00EC7EC7" w:rsidP="00C50D71">
            <w:pPr>
              <w:pStyle w:val="Tablebodytext"/>
              <w:rPr>
                <w:lang w:val="en"/>
              </w:rPr>
            </w:pPr>
            <w:r w:rsidRPr="00863A39">
              <w:rPr>
                <w:lang w:eastAsia="en-AU"/>
              </w:rPr>
              <w:t>Pre-FID</w:t>
            </w:r>
          </w:p>
        </w:tc>
        <w:tc>
          <w:tcPr>
            <w:tcW w:w="905" w:type="dxa"/>
          </w:tcPr>
          <w:p w14:paraId="6BF5E63B" w14:textId="0095FC80" w:rsidR="00EC7EC7" w:rsidRDefault="00B428B4" w:rsidP="00C50D71">
            <w:pPr>
              <w:pStyle w:val="Tablebodytext"/>
              <w:rPr>
                <w:lang w:val="en"/>
              </w:rPr>
            </w:pPr>
            <w:r>
              <w:rPr>
                <w:lang w:eastAsia="en-AU"/>
              </w:rPr>
              <w:t>110</w:t>
            </w:r>
            <w:r w:rsidR="00E368F5">
              <w:rPr>
                <w:lang w:eastAsia="en-AU"/>
              </w:rPr>
              <w:t xml:space="preserve"> </w:t>
            </w:r>
            <w:r w:rsidR="00EC7EC7" w:rsidRPr="00863A39">
              <w:rPr>
                <w:lang w:eastAsia="en-AU"/>
              </w:rPr>
              <w:t>PJ/y</w:t>
            </w:r>
          </w:p>
        </w:tc>
        <w:tc>
          <w:tcPr>
            <w:tcW w:w="1325" w:type="dxa"/>
          </w:tcPr>
          <w:p w14:paraId="538E5E71" w14:textId="77777777" w:rsidR="00EC7EC7" w:rsidRDefault="00EC7EC7" w:rsidP="00C50D71">
            <w:pPr>
              <w:pStyle w:val="Tablebodytext"/>
              <w:rPr>
                <w:lang w:val="en"/>
              </w:rPr>
            </w:pPr>
            <w:r w:rsidRPr="00863A39">
              <w:rPr>
                <w:lang w:eastAsia="en-AU"/>
              </w:rPr>
              <w:t>2026</w:t>
            </w:r>
          </w:p>
        </w:tc>
      </w:tr>
      <w:tr w:rsidR="00EC7EC7" w14:paraId="67B2982F" w14:textId="77777777" w:rsidTr="00C50D71">
        <w:trPr>
          <w:cnfStyle w:val="000000100000" w:firstRow="0" w:lastRow="0" w:firstColumn="0" w:lastColumn="0" w:oddVBand="0" w:evenVBand="0" w:oddHBand="1" w:evenHBand="0" w:firstRowFirstColumn="0" w:firstRowLastColumn="0" w:lastRowFirstColumn="0" w:lastRowLastColumn="0"/>
        </w:trPr>
        <w:tc>
          <w:tcPr>
            <w:tcW w:w="1560" w:type="dxa"/>
          </w:tcPr>
          <w:p w14:paraId="3AE3DB39" w14:textId="77777777" w:rsidR="00EC7EC7" w:rsidRDefault="00EC7EC7" w:rsidP="00C50D71">
            <w:pPr>
              <w:pStyle w:val="Tableheader"/>
              <w:rPr>
                <w:lang w:val="en"/>
              </w:rPr>
            </w:pPr>
            <w:r w:rsidRPr="00DA36C0">
              <w:rPr>
                <w:color w:val="auto"/>
                <w:lang w:val="en"/>
              </w:rPr>
              <w:t>VIC</w:t>
            </w:r>
          </w:p>
        </w:tc>
        <w:tc>
          <w:tcPr>
            <w:tcW w:w="1559" w:type="dxa"/>
          </w:tcPr>
          <w:p w14:paraId="525DE635" w14:textId="77777777" w:rsidR="00EC7EC7" w:rsidRDefault="00EC7EC7" w:rsidP="00C50D71">
            <w:pPr>
              <w:pStyle w:val="Tablebodytext"/>
              <w:rPr>
                <w:lang w:val="en"/>
              </w:rPr>
            </w:pPr>
          </w:p>
        </w:tc>
        <w:tc>
          <w:tcPr>
            <w:tcW w:w="1276" w:type="dxa"/>
          </w:tcPr>
          <w:p w14:paraId="77556A8C" w14:textId="77777777" w:rsidR="00EC7EC7" w:rsidRDefault="00EC7EC7" w:rsidP="00C50D71">
            <w:pPr>
              <w:pStyle w:val="Tablebodytext"/>
              <w:rPr>
                <w:lang w:val="en"/>
              </w:rPr>
            </w:pPr>
          </w:p>
        </w:tc>
        <w:tc>
          <w:tcPr>
            <w:tcW w:w="905" w:type="dxa"/>
          </w:tcPr>
          <w:p w14:paraId="22E58143" w14:textId="77777777" w:rsidR="00EC7EC7" w:rsidRDefault="00EC7EC7" w:rsidP="00C50D71">
            <w:pPr>
              <w:pStyle w:val="Tablebodytext"/>
              <w:rPr>
                <w:lang w:val="en"/>
              </w:rPr>
            </w:pPr>
          </w:p>
        </w:tc>
        <w:tc>
          <w:tcPr>
            <w:tcW w:w="1325" w:type="dxa"/>
          </w:tcPr>
          <w:p w14:paraId="599C9951" w14:textId="77777777" w:rsidR="00EC7EC7" w:rsidRDefault="00EC7EC7" w:rsidP="00C50D71">
            <w:pPr>
              <w:pStyle w:val="Tablebodytext"/>
              <w:rPr>
                <w:lang w:val="en"/>
              </w:rPr>
            </w:pPr>
          </w:p>
        </w:tc>
      </w:tr>
      <w:tr w:rsidR="00EC7EC7" w14:paraId="0BD5DD2B" w14:textId="77777777" w:rsidTr="00C50D71">
        <w:trPr>
          <w:cnfStyle w:val="000000010000" w:firstRow="0" w:lastRow="0" w:firstColumn="0" w:lastColumn="0" w:oddVBand="0" w:evenVBand="0" w:oddHBand="0" w:evenHBand="1" w:firstRowFirstColumn="0" w:firstRowLastColumn="0" w:lastRowFirstColumn="0" w:lastRowLastColumn="0"/>
        </w:trPr>
        <w:tc>
          <w:tcPr>
            <w:tcW w:w="1560" w:type="dxa"/>
          </w:tcPr>
          <w:p w14:paraId="49852228" w14:textId="77777777" w:rsidR="00EC7EC7" w:rsidRDefault="00EC7EC7" w:rsidP="00C50D71">
            <w:pPr>
              <w:pStyle w:val="Tablebodytext"/>
              <w:rPr>
                <w:lang w:val="en"/>
              </w:rPr>
            </w:pPr>
            <w:r>
              <w:rPr>
                <w:lang w:val="en"/>
              </w:rPr>
              <w:t>Viva Energy</w:t>
            </w:r>
          </w:p>
        </w:tc>
        <w:tc>
          <w:tcPr>
            <w:tcW w:w="1559" w:type="dxa"/>
          </w:tcPr>
          <w:p w14:paraId="137C45A1" w14:textId="77777777" w:rsidR="00EC7EC7" w:rsidRDefault="00EC7EC7" w:rsidP="00C50D71">
            <w:pPr>
              <w:pStyle w:val="Tablebodytext"/>
              <w:rPr>
                <w:lang w:val="en"/>
              </w:rPr>
            </w:pPr>
            <w:r w:rsidRPr="00863A39">
              <w:rPr>
                <w:lang w:eastAsia="en-AU"/>
              </w:rPr>
              <w:t>Geelong</w:t>
            </w:r>
          </w:p>
        </w:tc>
        <w:tc>
          <w:tcPr>
            <w:tcW w:w="1276" w:type="dxa"/>
          </w:tcPr>
          <w:p w14:paraId="2187F6F3" w14:textId="77777777" w:rsidR="00EC7EC7" w:rsidRDefault="00EC7EC7" w:rsidP="00C50D71">
            <w:pPr>
              <w:pStyle w:val="Tablebodytext"/>
              <w:rPr>
                <w:lang w:val="en"/>
              </w:rPr>
            </w:pPr>
            <w:r w:rsidRPr="00863A39">
              <w:rPr>
                <w:lang w:eastAsia="en-AU"/>
              </w:rPr>
              <w:t>FEED completed</w:t>
            </w:r>
          </w:p>
        </w:tc>
        <w:tc>
          <w:tcPr>
            <w:tcW w:w="905" w:type="dxa"/>
          </w:tcPr>
          <w:p w14:paraId="78198A5C" w14:textId="74570468" w:rsidR="00EC7EC7" w:rsidRDefault="00EC7EC7" w:rsidP="00C50D71">
            <w:pPr>
              <w:pStyle w:val="Tablebodytext"/>
              <w:rPr>
                <w:lang w:val="en"/>
              </w:rPr>
            </w:pPr>
            <w:r w:rsidRPr="00863A39">
              <w:rPr>
                <w:lang w:eastAsia="en-AU"/>
              </w:rPr>
              <w:t>140 PJ/y</w:t>
            </w:r>
          </w:p>
        </w:tc>
        <w:tc>
          <w:tcPr>
            <w:tcW w:w="1325" w:type="dxa"/>
          </w:tcPr>
          <w:p w14:paraId="06DDF392" w14:textId="77777777" w:rsidR="00EC7EC7" w:rsidRDefault="00EC7EC7" w:rsidP="00C50D71">
            <w:pPr>
              <w:pStyle w:val="Tablebodytext"/>
              <w:rPr>
                <w:lang w:val="en"/>
              </w:rPr>
            </w:pPr>
            <w:r w:rsidRPr="00863A39">
              <w:rPr>
                <w:lang w:eastAsia="en-AU"/>
              </w:rPr>
              <w:t>2027</w:t>
            </w:r>
          </w:p>
        </w:tc>
      </w:tr>
      <w:tr w:rsidR="00EC7EC7" w14:paraId="656D3B88" w14:textId="77777777" w:rsidTr="00C50D71">
        <w:trPr>
          <w:cnfStyle w:val="000000100000" w:firstRow="0" w:lastRow="0" w:firstColumn="0" w:lastColumn="0" w:oddVBand="0" w:evenVBand="0" w:oddHBand="1" w:evenHBand="0" w:firstRowFirstColumn="0" w:firstRowLastColumn="0" w:lastRowFirstColumn="0" w:lastRowLastColumn="0"/>
        </w:trPr>
        <w:tc>
          <w:tcPr>
            <w:tcW w:w="1560" w:type="dxa"/>
          </w:tcPr>
          <w:p w14:paraId="269265C8" w14:textId="77777777" w:rsidR="00EC7EC7" w:rsidRDefault="00EC7EC7" w:rsidP="00C50D71">
            <w:pPr>
              <w:pStyle w:val="Tablebodytext"/>
              <w:rPr>
                <w:lang w:val="en"/>
              </w:rPr>
            </w:pPr>
            <w:r>
              <w:rPr>
                <w:lang w:val="en"/>
              </w:rPr>
              <w:t>Vopak</w:t>
            </w:r>
          </w:p>
        </w:tc>
        <w:tc>
          <w:tcPr>
            <w:tcW w:w="1559" w:type="dxa"/>
          </w:tcPr>
          <w:p w14:paraId="5957751C" w14:textId="77777777" w:rsidR="00EC7EC7" w:rsidRDefault="00EC7EC7" w:rsidP="00C50D71">
            <w:pPr>
              <w:pStyle w:val="Tablebodytext"/>
              <w:rPr>
                <w:lang w:val="en"/>
              </w:rPr>
            </w:pPr>
            <w:r w:rsidRPr="00863A39">
              <w:rPr>
                <w:lang w:eastAsia="en-AU"/>
              </w:rPr>
              <w:t>Port Phillip Bay</w:t>
            </w:r>
          </w:p>
        </w:tc>
        <w:tc>
          <w:tcPr>
            <w:tcW w:w="1276" w:type="dxa"/>
          </w:tcPr>
          <w:p w14:paraId="0B3489A5" w14:textId="77777777" w:rsidR="00EC7EC7" w:rsidRDefault="00EC7EC7" w:rsidP="00C50D71">
            <w:pPr>
              <w:pStyle w:val="Tablebodytext"/>
              <w:rPr>
                <w:lang w:val="en"/>
              </w:rPr>
            </w:pPr>
            <w:r w:rsidRPr="00863A39">
              <w:rPr>
                <w:lang w:eastAsia="en-AU"/>
              </w:rPr>
              <w:t>Pre-FEED</w:t>
            </w:r>
          </w:p>
        </w:tc>
        <w:tc>
          <w:tcPr>
            <w:tcW w:w="905" w:type="dxa"/>
          </w:tcPr>
          <w:p w14:paraId="79912394" w14:textId="3F74FABE" w:rsidR="00EC7EC7" w:rsidRDefault="00B428B4" w:rsidP="00C50D71">
            <w:pPr>
              <w:pStyle w:val="Tablebodytext"/>
              <w:rPr>
                <w:lang w:val="en"/>
              </w:rPr>
            </w:pPr>
            <w:r>
              <w:rPr>
                <w:lang w:eastAsia="en-AU"/>
              </w:rPr>
              <w:t xml:space="preserve">270 </w:t>
            </w:r>
            <w:r w:rsidR="00EC7EC7" w:rsidRPr="00863A39">
              <w:rPr>
                <w:lang w:eastAsia="en-AU"/>
              </w:rPr>
              <w:t>PJ/y</w:t>
            </w:r>
          </w:p>
        </w:tc>
        <w:tc>
          <w:tcPr>
            <w:tcW w:w="1325" w:type="dxa"/>
          </w:tcPr>
          <w:p w14:paraId="500EDE26" w14:textId="77777777" w:rsidR="00EC7EC7" w:rsidRDefault="00EC7EC7" w:rsidP="00C50D71">
            <w:pPr>
              <w:pStyle w:val="Tablebodytext"/>
              <w:rPr>
                <w:lang w:val="en"/>
              </w:rPr>
            </w:pPr>
            <w:r w:rsidRPr="00863A39">
              <w:rPr>
                <w:lang w:eastAsia="en-AU"/>
              </w:rPr>
              <w:t>2028</w:t>
            </w:r>
          </w:p>
        </w:tc>
      </w:tr>
    </w:tbl>
    <w:p w14:paraId="2A91C78B" w14:textId="77777777" w:rsidR="00EC7EC7" w:rsidRPr="00863A39" w:rsidRDefault="00EC7EC7" w:rsidP="00907F6D">
      <w:pPr>
        <w:pStyle w:val="Source"/>
        <w:spacing w:before="60"/>
      </w:pPr>
      <w:r w:rsidRPr="00863A39">
        <w:t>Notes: Figures are based on estimates and/or upper range.</w:t>
      </w:r>
    </w:p>
    <w:p w14:paraId="35A0F1FE" w14:textId="77777777" w:rsidR="00EC7EC7" w:rsidRDefault="00EC7EC7" w:rsidP="00E22960">
      <w:pPr>
        <w:pStyle w:val="Source"/>
      </w:pPr>
      <w:r w:rsidRPr="00863A39">
        <w:t>Source: ACCC (2023)</w:t>
      </w:r>
    </w:p>
    <w:bookmarkEnd w:id="176"/>
    <w:p w14:paraId="481A83E4" w14:textId="2A58549A" w:rsidR="00530AF2" w:rsidRPr="000324DC" w:rsidRDefault="00530AF2" w:rsidP="000324DC">
      <w:pPr>
        <w:pStyle w:val="BodyText"/>
      </w:pPr>
      <w:r w:rsidRPr="000324DC">
        <w:t xml:space="preserve">A combination of solutions is </w:t>
      </w:r>
      <w:r w:rsidRPr="004964D0">
        <w:t xml:space="preserve">most likely </w:t>
      </w:r>
      <w:r w:rsidRPr="000324DC">
        <w:t>needed. More pipeline capacity from the north will help with baseload supply as southern supply falls away p</w:t>
      </w:r>
      <w:r w:rsidR="00E368F5">
        <w:t>ost</w:t>
      </w:r>
      <w:r w:rsidR="00DB5745">
        <w:t>–</w:t>
      </w:r>
      <w:r w:rsidRPr="000324DC">
        <w:t xml:space="preserve">2030, but storage and import terminals </w:t>
      </w:r>
      <w:r w:rsidRPr="004964D0">
        <w:t>may</w:t>
      </w:r>
      <w:r w:rsidRPr="000324DC">
        <w:t xml:space="preserve"> be more economical solutions for winter seasonal supply and to support gas generation.</w:t>
      </w:r>
    </w:p>
    <w:p w14:paraId="06EB9647" w14:textId="676C3C3C" w:rsidR="00A270EA" w:rsidRDefault="00A270EA" w:rsidP="004E02BB">
      <w:pPr>
        <w:pStyle w:val="BodyText"/>
        <w:spacing w:before="60"/>
        <w:rPr>
          <w:rFonts w:eastAsia="Times New Roman"/>
        </w:rPr>
      </w:pPr>
      <w:r>
        <w:t>The key cost will be the price of LNG</w:t>
      </w:r>
      <w:r w:rsidR="00F92503">
        <w:t xml:space="preserve"> in international markets (which may be sourced from Australia)</w:t>
      </w:r>
      <w:r>
        <w:t xml:space="preserve">. While </w:t>
      </w:r>
      <w:r w:rsidR="00E368F5">
        <w:t>international prices</w:t>
      </w:r>
      <w:r>
        <w:t xml:space="preserve"> </w:t>
      </w:r>
      <w:r w:rsidR="00E368F5">
        <w:t>have</w:t>
      </w:r>
      <w:r>
        <w:t xml:space="preserve"> been very high relative to domestic prices in recent years, the next few years are likely to see international prices ease (</w:t>
      </w:r>
      <w:r w:rsidR="00284268">
        <w:t>DISR</w:t>
      </w:r>
      <w:r w:rsidR="00B17BCB">
        <w:t xml:space="preserve"> 2024</w:t>
      </w:r>
      <w:r>
        <w:t>)</w:t>
      </w:r>
      <w:r w:rsidR="00710326">
        <w:t xml:space="preserve">. </w:t>
      </w:r>
      <w:r w:rsidRPr="00863A39">
        <w:t xml:space="preserve">New international LNG developments are being priced relatively </w:t>
      </w:r>
      <w:r w:rsidR="00B17BCB">
        <w:t xml:space="preserve">cheaply compared to recent years. For example, </w:t>
      </w:r>
      <w:r w:rsidR="00710326">
        <w:t xml:space="preserve">recent Qatari contracts have been priced at around 12.5% of the oil price they are linked to, down from 14.5% </w:t>
      </w:r>
      <w:r w:rsidR="00E368F5">
        <w:t>in 2022</w:t>
      </w:r>
      <w:r w:rsidR="00710326">
        <w:t xml:space="preserve">. At the same time, the cost of production on the </w:t>
      </w:r>
      <w:r w:rsidR="00E368F5">
        <w:t>e</w:t>
      </w:r>
      <w:r w:rsidR="00710326">
        <w:t xml:space="preserve">ast </w:t>
      </w:r>
      <w:r w:rsidR="00E368F5">
        <w:t>c</w:t>
      </w:r>
      <w:r w:rsidR="00710326">
        <w:t>oast is likely to rise.</w:t>
      </w:r>
    </w:p>
    <w:p w14:paraId="16F0D366" w14:textId="30814E90" w:rsidR="00A270EA" w:rsidRDefault="00A270EA" w:rsidP="00A270EA">
      <w:pPr>
        <w:pStyle w:val="BodyText"/>
      </w:pPr>
      <w:r>
        <w:rPr>
          <w:rFonts w:eastAsia="Times New Roman"/>
        </w:rPr>
        <w:t xml:space="preserve">LNG terminals may prove to be a similar cost to pipelines for delivery of northern gas to the south-east. </w:t>
      </w:r>
      <w:r w:rsidRPr="00863A39">
        <w:t xml:space="preserve">A recent study suggests costs of transport by pipeline versus LNG </w:t>
      </w:r>
      <w:r>
        <w:t xml:space="preserve">liquefaction and </w:t>
      </w:r>
      <w:r w:rsidRPr="00863A39">
        <w:t xml:space="preserve">shipping </w:t>
      </w:r>
      <w:r>
        <w:t>equalises</w:t>
      </w:r>
      <w:r w:rsidRPr="00863A39">
        <w:t xml:space="preserve"> between 3</w:t>
      </w:r>
      <w:r w:rsidR="004E02BB">
        <w:t>,</w:t>
      </w:r>
      <w:r w:rsidRPr="00863A39">
        <w:t>000km and 7</w:t>
      </w:r>
      <w:r w:rsidR="004E02BB">
        <w:t>,</w:t>
      </w:r>
      <w:r w:rsidRPr="00863A39">
        <w:t>000km, within the distance from the Northern Territory offshore fields to Victoria.</w:t>
      </w:r>
    </w:p>
    <w:p w14:paraId="3378A5B5" w14:textId="4EDFE822" w:rsidR="00F92503" w:rsidRDefault="00F92503" w:rsidP="00A270EA">
      <w:pPr>
        <w:pStyle w:val="BodyText"/>
        <w:rPr>
          <w:rFonts w:eastAsia="Times New Roman"/>
        </w:rPr>
      </w:pPr>
      <w:r>
        <w:t>There will also be additional costs to cover capital and operating expenses of terminal</w:t>
      </w:r>
      <w:r w:rsidR="00E368F5">
        <w:t>s</w:t>
      </w:r>
      <w:r>
        <w:t xml:space="preserve"> and regassification. </w:t>
      </w:r>
      <w:r w:rsidR="00E368F5">
        <w:t>T</w:t>
      </w:r>
      <w:r>
        <w:t xml:space="preserve">his will </w:t>
      </w:r>
      <w:r w:rsidR="00E368F5">
        <w:t xml:space="preserve">largely </w:t>
      </w:r>
      <w:r>
        <w:t>depend on the expected throughput of the terminal.</w:t>
      </w:r>
      <w:r w:rsidR="00E45F0B">
        <w:t xml:space="preserve"> The sum of these costs can be thought of as </w:t>
      </w:r>
      <w:r w:rsidR="00BD393C">
        <w:t>‘</w:t>
      </w:r>
      <w:r w:rsidR="00E45F0B">
        <w:t>LNG plus (regas)</w:t>
      </w:r>
      <w:r w:rsidR="00BD393C">
        <w:t>’</w:t>
      </w:r>
      <w:r w:rsidR="00E45F0B">
        <w:t>.</w:t>
      </w:r>
    </w:p>
    <w:p w14:paraId="2FEAACF9" w14:textId="32D789FA" w:rsidR="00A270EA" w:rsidRDefault="00A270EA" w:rsidP="00A270EA">
      <w:pPr>
        <w:pStyle w:val="BodyText"/>
      </w:pPr>
      <w:r>
        <w:rPr>
          <w:rFonts w:eastAsia="Times New Roman"/>
        </w:rPr>
        <w:t>With additional supply from other exporters coming online, there is also the potential for Australian i</w:t>
      </w:r>
      <w:r w:rsidRPr="00863A39">
        <w:t xml:space="preserve">mport terminal operators </w:t>
      </w:r>
      <w:r>
        <w:t>to</w:t>
      </w:r>
      <w:r w:rsidRPr="00863A39">
        <w:t xml:space="preserve"> buy offshore volume and swap with Australian LNG producers (both east and west) to deliver </w:t>
      </w:r>
      <w:r w:rsidR="00E45F0B">
        <w:t>gas</w:t>
      </w:r>
      <w:r w:rsidR="00F92503">
        <w:t xml:space="preserve"> at </w:t>
      </w:r>
      <w:r w:rsidR="00E45F0B">
        <w:t>price</w:t>
      </w:r>
      <w:r w:rsidR="00E368F5">
        <w:t>s</w:t>
      </w:r>
      <w:r w:rsidR="00E45F0B">
        <w:t xml:space="preserve"> below LNG plus to Australian consumers</w:t>
      </w:r>
      <w:r w:rsidDel="00E45F0B">
        <w:t xml:space="preserve"> </w:t>
      </w:r>
      <w:r>
        <w:t xml:space="preserve">(Box </w:t>
      </w:r>
      <w:r w:rsidR="00BF679D">
        <w:t>7.2</w:t>
      </w:r>
      <w:r>
        <w:t>).</w:t>
      </w:r>
    </w:p>
    <w:p w14:paraId="622CD7E3" w14:textId="160EA206" w:rsidR="00A04B67" w:rsidRPr="009A79E4" w:rsidRDefault="00A04B67" w:rsidP="00A04B67">
      <w:pPr>
        <w:pStyle w:val="Heading3"/>
        <w:spacing w:before="120"/>
      </w:pPr>
      <w:r w:rsidRPr="009A79E4">
        <w:t xml:space="preserve">LNG terminals setting </w:t>
      </w:r>
      <w:r w:rsidR="003C2DC2">
        <w:t>e</w:t>
      </w:r>
      <w:r>
        <w:t xml:space="preserve">ast </w:t>
      </w:r>
      <w:r w:rsidR="003C2DC2">
        <w:t>c</w:t>
      </w:r>
      <w:r>
        <w:t>oast</w:t>
      </w:r>
      <w:r w:rsidRPr="009A79E4">
        <w:t xml:space="preserve"> gas prices</w:t>
      </w:r>
    </w:p>
    <w:p w14:paraId="6D63072A" w14:textId="2F1B42E1" w:rsidR="00A04B67" w:rsidRDefault="00A04B67" w:rsidP="00A04B67">
      <w:pPr>
        <w:spacing w:after="120"/>
        <w:rPr>
          <w:color w:val="373737"/>
          <w:sz w:val="20"/>
        </w:rPr>
      </w:pPr>
      <w:r w:rsidRPr="00A80CF3">
        <w:rPr>
          <w:color w:val="373737"/>
          <w:sz w:val="20"/>
        </w:rPr>
        <w:t xml:space="preserve">As the </w:t>
      </w:r>
      <w:r>
        <w:rPr>
          <w:color w:val="373737"/>
          <w:sz w:val="20"/>
        </w:rPr>
        <w:t>south-east</w:t>
      </w:r>
      <w:r w:rsidRPr="00A80CF3">
        <w:rPr>
          <w:color w:val="373737"/>
          <w:sz w:val="20"/>
        </w:rPr>
        <w:t xml:space="preserve"> supply gap continues to grow </w:t>
      </w:r>
      <w:r>
        <w:rPr>
          <w:lang w:eastAsia="en-AU"/>
        </w:rPr>
        <w:t>—</w:t>
      </w:r>
      <w:r w:rsidRPr="00A80CF3">
        <w:rPr>
          <w:color w:val="373737"/>
          <w:sz w:val="20"/>
        </w:rPr>
        <w:t xml:space="preserve"> as a likely result of natural field decline from the Bass Strait and Moomba </w:t>
      </w:r>
      <w:r>
        <w:rPr>
          <w:lang w:eastAsia="en-AU"/>
        </w:rPr>
        <w:t>—</w:t>
      </w:r>
      <w:r w:rsidRPr="00A80CF3">
        <w:rPr>
          <w:color w:val="373737"/>
          <w:sz w:val="20"/>
        </w:rPr>
        <w:t xml:space="preserve"> LNG terminals could play an increasingly significant role in providing gas to southern states. In such a scenario, LNG terminals would effectively set southern states gas prices. </w:t>
      </w:r>
    </w:p>
    <w:p w14:paraId="0B16BF16" w14:textId="619B2A61" w:rsidR="00A04B67" w:rsidRDefault="00A04B67" w:rsidP="00A04B67">
      <w:pPr>
        <w:spacing w:after="120"/>
        <w:rPr>
          <w:color w:val="373737"/>
          <w:sz w:val="20"/>
        </w:rPr>
      </w:pPr>
      <w:r>
        <w:rPr>
          <w:color w:val="373737"/>
          <w:sz w:val="20"/>
        </w:rPr>
        <w:t xml:space="preserve">Today, wholesale prices on the </w:t>
      </w:r>
      <w:r w:rsidR="003C2DC2">
        <w:rPr>
          <w:color w:val="373737"/>
          <w:sz w:val="20"/>
        </w:rPr>
        <w:t>e</w:t>
      </w:r>
      <w:r>
        <w:rPr>
          <w:color w:val="373737"/>
          <w:sz w:val="20"/>
        </w:rPr>
        <w:t xml:space="preserve">ast </w:t>
      </w:r>
      <w:r w:rsidR="003C2DC2">
        <w:rPr>
          <w:color w:val="373737"/>
          <w:sz w:val="20"/>
        </w:rPr>
        <w:t>c</w:t>
      </w:r>
      <w:r>
        <w:rPr>
          <w:color w:val="373737"/>
          <w:sz w:val="20"/>
        </w:rPr>
        <w:t>oast are linked to the JKM netback price, which is the price of LNG in the Asian region less liquefaction and transport costs. The JKM price is an average price reflecting a range of different pricing slopes, indexes and contracts. The price of imports, however, would likely reflect JKM including liquefaction</w:t>
      </w:r>
      <w:r w:rsidR="00503727">
        <w:rPr>
          <w:color w:val="373737"/>
          <w:sz w:val="20"/>
        </w:rPr>
        <w:t>,</w:t>
      </w:r>
      <w:r>
        <w:rPr>
          <w:color w:val="373737"/>
          <w:sz w:val="20"/>
        </w:rPr>
        <w:t xml:space="preserve"> some shipping costs (although lower than the cost to </w:t>
      </w:r>
      <w:r w:rsidR="000467B1">
        <w:rPr>
          <w:color w:val="373737"/>
          <w:sz w:val="20"/>
        </w:rPr>
        <w:t>East</w:t>
      </w:r>
      <w:r>
        <w:rPr>
          <w:color w:val="373737"/>
          <w:sz w:val="20"/>
        </w:rPr>
        <w:t xml:space="preserve"> Asia) and regassification, above the current netback price. Delivered prices would also include a component to cover capital costs of import terminals</w:t>
      </w:r>
      <w:r w:rsidR="00E368F5">
        <w:rPr>
          <w:color w:val="373737"/>
          <w:sz w:val="20"/>
        </w:rPr>
        <w:t>,</w:t>
      </w:r>
      <w:r>
        <w:rPr>
          <w:color w:val="373737"/>
          <w:sz w:val="20"/>
        </w:rPr>
        <w:t xml:space="preserve"> as well as pipeline transport from ship to final destination.</w:t>
      </w:r>
    </w:p>
    <w:p w14:paraId="02AD66F8" w14:textId="08BC3F33" w:rsidR="00A04B67" w:rsidRDefault="00A04B67" w:rsidP="00A04B67">
      <w:pPr>
        <w:spacing w:after="120"/>
        <w:rPr>
          <w:color w:val="373737"/>
          <w:sz w:val="20"/>
        </w:rPr>
      </w:pPr>
      <w:r>
        <w:rPr>
          <w:color w:val="373737"/>
          <w:sz w:val="20"/>
        </w:rPr>
        <w:t xml:space="preserve">Current forecasts suggest a relatively low price for JKM as international supply expands. However, </w:t>
      </w:r>
      <w:r w:rsidR="00873D4F">
        <w:rPr>
          <w:color w:val="373737"/>
          <w:sz w:val="20"/>
        </w:rPr>
        <w:t>high</w:t>
      </w:r>
      <w:r>
        <w:rPr>
          <w:color w:val="373737"/>
          <w:sz w:val="20"/>
        </w:rPr>
        <w:t xml:space="preserve"> historic volatility in international prices and reliance on import terminals will increase exposure of south-east customers to this volatility. Table 7.6 sets out the volatility of JKM prices</w:t>
      </w:r>
      <w:r w:rsidR="00873D4F">
        <w:rPr>
          <w:color w:val="373737"/>
          <w:sz w:val="20"/>
        </w:rPr>
        <w:t xml:space="preserve">, </w:t>
      </w:r>
      <w:r>
        <w:rPr>
          <w:color w:val="373737"/>
          <w:sz w:val="20"/>
        </w:rPr>
        <w:t>tak</w:t>
      </w:r>
      <w:r w:rsidR="00873D4F">
        <w:rPr>
          <w:color w:val="373737"/>
          <w:sz w:val="20"/>
        </w:rPr>
        <w:t>ing</w:t>
      </w:r>
      <w:r>
        <w:rPr>
          <w:color w:val="373737"/>
          <w:sz w:val="20"/>
        </w:rPr>
        <w:t xml:space="preserve"> into account the costs of regas and transport from LNG terminal</w:t>
      </w:r>
      <w:r w:rsidR="00873D4F">
        <w:rPr>
          <w:color w:val="373737"/>
          <w:sz w:val="20"/>
        </w:rPr>
        <w:t>s</w:t>
      </w:r>
      <w:r>
        <w:rPr>
          <w:color w:val="373737"/>
          <w:sz w:val="20"/>
        </w:rPr>
        <w:t xml:space="preserve"> to Melbourne or Sydney.</w:t>
      </w:r>
      <w:r w:rsidRPr="00A04B67">
        <w:rPr>
          <w:color w:val="373737"/>
          <w:sz w:val="20"/>
        </w:rPr>
        <w:t xml:space="preserve"> </w:t>
      </w:r>
    </w:p>
    <w:tbl>
      <w:tblPr>
        <w:tblStyle w:val="OCETable"/>
        <w:tblW w:w="6804" w:type="dxa"/>
        <w:shd w:val="clear" w:color="auto" w:fill="DEE8F1"/>
        <w:tblCellMar>
          <w:top w:w="57" w:type="dxa"/>
          <w:bottom w:w="57" w:type="dxa"/>
        </w:tblCellMar>
        <w:tblLook w:val="04A0" w:firstRow="1" w:lastRow="0" w:firstColumn="1" w:lastColumn="0" w:noHBand="0" w:noVBand="1"/>
      </w:tblPr>
      <w:tblGrid>
        <w:gridCol w:w="6804"/>
      </w:tblGrid>
      <w:tr w:rsidR="00A73B69" w14:paraId="575FF012" w14:textId="77777777" w:rsidTr="00AA38BB">
        <w:trPr>
          <w:cnfStyle w:val="100000000000" w:firstRow="1" w:lastRow="0" w:firstColumn="0" w:lastColumn="0" w:oddVBand="0" w:evenVBand="0" w:oddHBand="0" w:evenHBand="0" w:firstRowFirstColumn="0" w:firstRowLastColumn="0" w:lastRowFirstColumn="0" w:lastRowLastColumn="0"/>
          <w:trHeight w:val="994"/>
        </w:trPr>
        <w:tc>
          <w:tcPr>
            <w:tcW w:w="0" w:type="pct"/>
            <w:shd w:val="clear" w:color="auto" w:fill="DEE8F1"/>
          </w:tcPr>
          <w:p w14:paraId="3D3A067F" w14:textId="7329DB17" w:rsidR="00A73B69" w:rsidRPr="00766310" w:rsidRDefault="00A73B69" w:rsidP="00AA38BB">
            <w:pPr>
              <w:pStyle w:val="Boxtext"/>
              <w:spacing w:beforeLines="50" w:before="120" w:afterLines="60" w:after="144"/>
              <w:ind w:left="119" w:right="113"/>
              <w:jc w:val="both"/>
              <w:rPr>
                <w:b/>
                <w:color w:val="005CAF" w:themeColor="accent1"/>
              </w:rPr>
            </w:pPr>
            <w:r>
              <w:br w:type="column"/>
            </w:r>
            <w:r>
              <w:br w:type="column"/>
            </w:r>
            <w:r>
              <w:br w:type="column"/>
            </w:r>
            <w:r w:rsidRPr="00DA36C0">
              <w:rPr>
                <w:b/>
                <w:bCs/>
                <w:color w:val="005CAF" w:themeColor="accent1"/>
              </w:rPr>
              <w:t>Box 7.</w:t>
            </w:r>
            <w:r>
              <w:rPr>
                <w:b/>
                <w:bCs/>
                <w:color w:val="005CAF" w:themeColor="accent1"/>
              </w:rPr>
              <w:t>2</w:t>
            </w:r>
            <w:r w:rsidRPr="00DA36C0">
              <w:rPr>
                <w:b/>
                <w:bCs/>
                <w:color w:val="005CAF" w:themeColor="accent1"/>
              </w:rPr>
              <w:t xml:space="preserve">: </w:t>
            </w:r>
            <w:r w:rsidRPr="00766310">
              <w:rPr>
                <w:b/>
                <w:color w:val="005CAF" w:themeColor="accent1"/>
              </w:rPr>
              <w:t>Using international swaps to reduce costs of gas</w:t>
            </w:r>
          </w:p>
          <w:p w14:paraId="1C332E7D" w14:textId="420FF1FA" w:rsidR="00A73B69" w:rsidRPr="00863A39" w:rsidRDefault="00A73B69" w:rsidP="004E02BB">
            <w:pPr>
              <w:pStyle w:val="Boxtext"/>
              <w:spacing w:beforeLines="60" w:before="144" w:afterLines="60" w:after="144"/>
              <w:ind w:left="113" w:right="113"/>
              <w:rPr>
                <w:color w:val="373737"/>
              </w:rPr>
            </w:pPr>
            <w:r w:rsidRPr="004E02BB">
              <w:rPr>
                <w:color w:val="373737"/>
              </w:rPr>
              <w:t>Table 7.</w:t>
            </w:r>
            <w:r w:rsidR="00616C9E">
              <w:rPr>
                <w:color w:val="373737"/>
              </w:rPr>
              <w:t>5</w:t>
            </w:r>
            <w:r w:rsidRPr="004E02BB">
              <w:rPr>
                <w:color w:val="373737"/>
              </w:rPr>
              <w:t xml:space="preserve"> sets out the potential for pric</w:t>
            </w:r>
            <w:r>
              <w:rPr>
                <w:color w:val="373737"/>
              </w:rPr>
              <w:t>e</w:t>
            </w:r>
            <w:r w:rsidRPr="00863A39">
              <w:rPr>
                <w:color w:val="373737"/>
              </w:rPr>
              <w:t xml:space="preserve"> arbitrage. At </w:t>
            </w:r>
            <w:r>
              <w:rPr>
                <w:color w:val="373737"/>
              </w:rPr>
              <w:t xml:space="preserve">an oil price of </w:t>
            </w:r>
            <w:r w:rsidRPr="00863A39">
              <w:rPr>
                <w:color w:val="373737"/>
              </w:rPr>
              <w:t>US</w:t>
            </w:r>
            <w:r w:rsidR="00E44C85">
              <w:rPr>
                <w:color w:val="373737"/>
              </w:rPr>
              <w:t xml:space="preserve">D </w:t>
            </w:r>
            <w:r w:rsidRPr="00863A39">
              <w:rPr>
                <w:color w:val="373737"/>
              </w:rPr>
              <w:t xml:space="preserve">80 a barrel, </w:t>
            </w:r>
            <w:r w:rsidR="00F92503">
              <w:rPr>
                <w:color w:val="373737"/>
              </w:rPr>
              <w:t xml:space="preserve">a </w:t>
            </w:r>
            <w:r w:rsidRPr="00863A39">
              <w:rPr>
                <w:color w:val="373737"/>
              </w:rPr>
              <w:t xml:space="preserve">new LNG contract </w:t>
            </w:r>
            <w:r w:rsidR="00F92503">
              <w:rPr>
                <w:color w:val="373737"/>
              </w:rPr>
              <w:t xml:space="preserve">that </w:t>
            </w:r>
            <w:r w:rsidRPr="00863A39">
              <w:rPr>
                <w:color w:val="373737"/>
              </w:rPr>
              <w:t xml:space="preserve">prices at a 12% slope plus a </w:t>
            </w:r>
            <w:r w:rsidRPr="004E02BB">
              <w:rPr>
                <w:color w:val="373737"/>
              </w:rPr>
              <w:t>regassification</w:t>
            </w:r>
            <w:r w:rsidRPr="00863A39" w:rsidDel="00EA1478">
              <w:rPr>
                <w:color w:val="373737"/>
              </w:rPr>
              <w:t xml:space="preserve"> </w:t>
            </w:r>
            <w:r w:rsidRPr="00863A39">
              <w:rPr>
                <w:color w:val="373737"/>
              </w:rPr>
              <w:t xml:space="preserve">cost of $1.85 </w:t>
            </w:r>
            <w:r w:rsidR="00F92503">
              <w:rPr>
                <w:color w:val="373737"/>
              </w:rPr>
              <w:t>would give a final price of</w:t>
            </w:r>
            <w:r w:rsidR="00F92503" w:rsidRPr="004E02BB">
              <w:rPr>
                <w:color w:val="373737"/>
              </w:rPr>
              <w:t xml:space="preserve"> </w:t>
            </w:r>
            <w:r w:rsidRPr="00863A39">
              <w:rPr>
                <w:color w:val="373737"/>
              </w:rPr>
              <w:t>$15.6/GJ</w:t>
            </w:r>
            <w:r w:rsidR="00F92503">
              <w:rPr>
                <w:color w:val="373737"/>
              </w:rPr>
              <w:t xml:space="preserve"> to the consumer</w:t>
            </w:r>
            <w:r w:rsidRPr="004E02BB">
              <w:rPr>
                <w:color w:val="373737"/>
              </w:rPr>
              <w:t>.</w:t>
            </w:r>
            <w:r w:rsidRPr="00863A39">
              <w:rPr>
                <w:color w:val="373737"/>
              </w:rPr>
              <w:t xml:space="preserve"> At a slope of 14% the price </w:t>
            </w:r>
            <w:r w:rsidR="00F92503">
              <w:rPr>
                <w:color w:val="373737"/>
              </w:rPr>
              <w:t>would be</w:t>
            </w:r>
            <w:r w:rsidR="00F92503" w:rsidRPr="004E02BB">
              <w:rPr>
                <w:color w:val="373737"/>
              </w:rPr>
              <w:t xml:space="preserve"> </w:t>
            </w:r>
            <w:r w:rsidRPr="00863A39">
              <w:rPr>
                <w:color w:val="373737"/>
              </w:rPr>
              <w:t>$17.90/GJ. The $2.30 saving offsets the regassification</w:t>
            </w:r>
            <w:r w:rsidRPr="00863A39" w:rsidDel="00EA1478">
              <w:rPr>
                <w:color w:val="373737"/>
              </w:rPr>
              <w:t xml:space="preserve"> </w:t>
            </w:r>
            <w:r w:rsidRPr="00863A39">
              <w:rPr>
                <w:color w:val="373737"/>
              </w:rPr>
              <w:t>cost. Import terminal</w:t>
            </w:r>
            <w:r>
              <w:rPr>
                <w:color w:val="373737"/>
              </w:rPr>
              <w:t>s</w:t>
            </w:r>
            <w:r w:rsidRPr="00863A39">
              <w:rPr>
                <w:color w:val="373737"/>
              </w:rPr>
              <w:t xml:space="preserve"> could buy cargoes with similar shipping times to large Australian customers (like Canadian LNG) and simply swap with existing east, north or </w:t>
            </w:r>
            <w:r>
              <w:rPr>
                <w:color w:val="373737"/>
              </w:rPr>
              <w:t>w</w:t>
            </w:r>
            <w:r w:rsidRPr="00863A39">
              <w:rPr>
                <w:color w:val="373737"/>
              </w:rPr>
              <w:t xml:space="preserve">est </w:t>
            </w:r>
            <w:r>
              <w:rPr>
                <w:color w:val="373737"/>
              </w:rPr>
              <w:t>c</w:t>
            </w:r>
            <w:r w:rsidRPr="00863A39">
              <w:rPr>
                <w:color w:val="373737"/>
              </w:rPr>
              <w:t>oast for gas delivered into Adelaide, Melbourne or Wollongong.</w:t>
            </w:r>
          </w:p>
          <w:p w14:paraId="5F43C7F0" w14:textId="4CE609DC" w:rsidR="00A73B69" w:rsidRPr="00863A39" w:rsidRDefault="00873D4F" w:rsidP="004E02BB">
            <w:pPr>
              <w:pStyle w:val="Boxtext"/>
              <w:spacing w:beforeLines="60" w:before="144" w:afterLines="60" w:after="144"/>
              <w:ind w:left="113" w:right="113"/>
              <w:rPr>
                <w:color w:val="373737"/>
              </w:rPr>
            </w:pPr>
            <w:r>
              <w:rPr>
                <w:color w:val="373737"/>
              </w:rPr>
              <w:t>When</w:t>
            </w:r>
            <w:r w:rsidR="00A73B69" w:rsidRPr="004E02BB">
              <w:rPr>
                <w:color w:val="373737"/>
              </w:rPr>
              <w:t xml:space="preserve"> account</w:t>
            </w:r>
            <w:r>
              <w:rPr>
                <w:color w:val="373737"/>
              </w:rPr>
              <w:t>ing for</w:t>
            </w:r>
            <w:r w:rsidR="00A73B69" w:rsidRPr="004E02BB">
              <w:rPr>
                <w:color w:val="373737"/>
              </w:rPr>
              <w:t xml:space="preserve"> </w:t>
            </w:r>
            <w:r w:rsidR="00A73B69">
              <w:rPr>
                <w:color w:val="373737"/>
              </w:rPr>
              <w:t xml:space="preserve">the </w:t>
            </w:r>
            <w:r w:rsidR="00A73B69" w:rsidRPr="00863A39">
              <w:rPr>
                <w:color w:val="373737"/>
              </w:rPr>
              <w:t xml:space="preserve">infrastructure investment needed to connect northern basins to existing pipelines, plus the associated portion of transport costs, imported LNG (applying a 12% pricing slope) at oil prices under </w:t>
            </w:r>
            <w:r w:rsidR="00E44C85">
              <w:rPr>
                <w:color w:val="373737"/>
              </w:rPr>
              <w:t>USD</w:t>
            </w:r>
            <w:r w:rsidR="00A73B69" w:rsidRPr="00863A39">
              <w:rPr>
                <w:color w:val="373737"/>
              </w:rPr>
              <w:t>80</w:t>
            </w:r>
            <w:r w:rsidR="00E44C85">
              <w:rPr>
                <w:color w:val="373737"/>
              </w:rPr>
              <w:t>/</w:t>
            </w:r>
            <w:r w:rsidR="00A73B69" w:rsidRPr="00863A39">
              <w:rPr>
                <w:color w:val="373737"/>
              </w:rPr>
              <w:t xml:space="preserve">barrel is likely to be cost competitive. However, whether the market will move to take advantage of potential swaps and realise commercial opportunities is uncertain. At this point, </w:t>
            </w:r>
            <w:r w:rsidR="000D7278">
              <w:rPr>
                <w:color w:val="373737"/>
              </w:rPr>
              <w:t xml:space="preserve">commercial uncertainty remains </w:t>
            </w:r>
            <w:r w:rsidR="00A73B69" w:rsidRPr="00863A39">
              <w:rPr>
                <w:color w:val="373737"/>
              </w:rPr>
              <w:t xml:space="preserve">for all </w:t>
            </w:r>
            <w:r>
              <w:rPr>
                <w:color w:val="373737"/>
              </w:rPr>
              <w:t>3</w:t>
            </w:r>
            <w:r w:rsidR="00A73B69" w:rsidRPr="00863A39">
              <w:rPr>
                <w:color w:val="373737"/>
              </w:rPr>
              <w:t xml:space="preserve"> LNG import options securing foundational contracts and funding.</w:t>
            </w:r>
          </w:p>
          <w:p w14:paraId="465A2252" w14:textId="0799CEAF" w:rsidR="00A73B69" w:rsidRPr="00863A39" w:rsidRDefault="00A73B69" w:rsidP="00C97679">
            <w:pPr>
              <w:pStyle w:val="Caption"/>
              <w:rPr>
                <w:lang w:val="en"/>
              </w:rPr>
            </w:pPr>
            <w:r w:rsidRPr="00863A39">
              <w:rPr>
                <w:lang w:val="en"/>
              </w:rPr>
              <w:t xml:space="preserve">Table </w:t>
            </w:r>
            <w:r w:rsidRPr="00863A39">
              <w:rPr>
                <w:lang w:val="en"/>
              </w:rPr>
              <w:fldChar w:fldCharType="begin"/>
            </w:r>
            <w:r w:rsidRPr="00863A39">
              <w:rPr>
                <w:lang w:val="en"/>
              </w:rPr>
              <w:instrText xml:space="preserve"> STYLEREF 1 \s </w:instrText>
            </w:r>
            <w:r w:rsidRPr="00863A39">
              <w:rPr>
                <w:lang w:val="en"/>
              </w:rPr>
              <w:fldChar w:fldCharType="separate"/>
            </w:r>
            <w:r w:rsidR="00BF178A">
              <w:rPr>
                <w:noProof/>
                <w:lang w:val="en"/>
              </w:rPr>
              <w:t>7</w:t>
            </w:r>
            <w:r w:rsidRPr="00863A39">
              <w:rPr>
                <w:lang w:val="en"/>
              </w:rPr>
              <w:fldChar w:fldCharType="end"/>
            </w:r>
            <w:r w:rsidRPr="00863A39">
              <w:rPr>
                <w:lang w:val="en"/>
              </w:rPr>
              <w:t>.</w:t>
            </w:r>
            <w:r w:rsidR="00616C9E">
              <w:rPr>
                <w:lang w:val="en"/>
              </w:rPr>
              <w:t>5</w:t>
            </w:r>
            <w:r w:rsidRPr="00863A39">
              <w:rPr>
                <w:lang w:val="en"/>
              </w:rPr>
              <w:t>: Arbitraging new versus established LNG contracts (delivered Victorian price)</w:t>
            </w:r>
          </w:p>
          <w:tbl>
            <w:tblPr>
              <w:tblStyle w:val="OCETable"/>
              <w:tblW w:w="5000" w:type="pct"/>
              <w:tblLook w:val="04A0" w:firstRow="1" w:lastRow="0" w:firstColumn="1" w:lastColumn="0" w:noHBand="0" w:noVBand="1"/>
            </w:tblPr>
            <w:tblGrid>
              <w:gridCol w:w="1126"/>
              <w:gridCol w:w="1127"/>
              <w:gridCol w:w="1127"/>
              <w:gridCol w:w="1127"/>
              <w:gridCol w:w="1127"/>
              <w:gridCol w:w="954"/>
            </w:tblGrid>
            <w:tr w:rsidR="008D0C2F" w:rsidRPr="008D0C2F" w14:paraId="711E3524" w14:textId="77777777" w:rsidTr="008D0C2F">
              <w:trPr>
                <w:cnfStyle w:val="100000000000" w:firstRow="1" w:lastRow="0" w:firstColumn="0" w:lastColumn="0" w:oddVBand="0" w:evenVBand="0" w:oddHBand="0" w:evenHBand="0" w:firstRowFirstColumn="0" w:firstRowLastColumn="0" w:lastRowFirstColumn="0" w:lastRowLastColumn="0"/>
              </w:trPr>
              <w:tc>
                <w:tcPr>
                  <w:tcW w:w="855" w:type="pct"/>
                </w:tcPr>
                <w:p w14:paraId="2B55E645" w14:textId="0FE45429" w:rsidR="008D0C2F" w:rsidRPr="008D0C2F" w:rsidRDefault="008D0C2F" w:rsidP="001332E8">
                  <w:pPr>
                    <w:pStyle w:val="BodyText"/>
                    <w:ind w:left="38"/>
                    <w:rPr>
                      <w:rFonts w:cstheme="majorHAnsi"/>
                      <w:b/>
                      <w:bCs/>
                      <w:color w:val="FFFFFF" w:themeColor="background1"/>
                      <w:sz w:val="18"/>
                      <w:szCs w:val="18"/>
                      <w:lang w:val="en"/>
                    </w:rPr>
                  </w:pPr>
                  <w:r w:rsidRPr="008D0C2F">
                    <w:rPr>
                      <w:b/>
                      <w:bCs/>
                      <w:color w:val="FFFFFF" w:themeColor="background1"/>
                      <w:sz w:val="18"/>
                      <w:szCs w:val="18"/>
                    </w:rPr>
                    <w:t>Oil Price (US</w:t>
                  </w:r>
                  <w:r w:rsidR="00E44C85">
                    <w:rPr>
                      <w:b/>
                      <w:bCs/>
                      <w:color w:val="FFFFFF" w:themeColor="background1"/>
                      <w:sz w:val="18"/>
                      <w:szCs w:val="18"/>
                    </w:rPr>
                    <w:t>D</w:t>
                  </w:r>
                  <w:r w:rsidRPr="008D0C2F">
                    <w:rPr>
                      <w:b/>
                      <w:bCs/>
                      <w:color w:val="FFFFFF" w:themeColor="background1"/>
                      <w:sz w:val="18"/>
                      <w:szCs w:val="18"/>
                    </w:rPr>
                    <w:t>)</w:t>
                  </w:r>
                </w:p>
              </w:tc>
              <w:tc>
                <w:tcPr>
                  <w:tcW w:w="855" w:type="pct"/>
                </w:tcPr>
                <w:p w14:paraId="6AEDEAA3" w14:textId="18C0CFEC" w:rsidR="008D0C2F" w:rsidRPr="008D0C2F" w:rsidRDefault="008D0C2F" w:rsidP="001332E8">
                  <w:pPr>
                    <w:pStyle w:val="BodyText"/>
                    <w:ind w:left="38"/>
                    <w:rPr>
                      <w:rFonts w:cstheme="majorHAnsi"/>
                      <w:b/>
                      <w:bCs/>
                      <w:color w:val="FFFFFF" w:themeColor="background1"/>
                      <w:sz w:val="18"/>
                      <w:szCs w:val="18"/>
                      <w:lang w:val="en"/>
                    </w:rPr>
                  </w:pPr>
                  <w:r w:rsidRPr="008D0C2F">
                    <w:rPr>
                      <w:rFonts w:ascii="Calibri" w:hAnsi="Calibri" w:cs="Calibri"/>
                      <w:b/>
                      <w:bCs/>
                      <w:color w:val="FFFFFF" w:themeColor="background1"/>
                      <w:sz w:val="18"/>
                      <w:szCs w:val="18"/>
                    </w:rPr>
                    <w:t> </w:t>
                  </w:r>
                  <w:r w:rsidRPr="008D0C2F">
                    <w:rPr>
                      <w:b/>
                      <w:bCs/>
                      <w:color w:val="FFFFFF" w:themeColor="background1"/>
                      <w:sz w:val="18"/>
                      <w:szCs w:val="18"/>
                    </w:rPr>
                    <w:t>12%</w:t>
                  </w:r>
                  <w:r>
                    <w:rPr>
                      <w:b/>
                      <w:bCs/>
                      <w:color w:val="FFFFFF" w:themeColor="background1"/>
                      <w:sz w:val="18"/>
                      <w:szCs w:val="18"/>
                    </w:rPr>
                    <w:t xml:space="preserve"> </w:t>
                  </w:r>
                  <w:r w:rsidRPr="008D0C2F">
                    <w:rPr>
                      <w:b/>
                      <w:bCs/>
                      <w:color w:val="FFFFFF" w:themeColor="background1"/>
                      <w:sz w:val="18"/>
                      <w:szCs w:val="18"/>
                    </w:rPr>
                    <w:t>index</w:t>
                  </w:r>
                </w:p>
              </w:tc>
              <w:tc>
                <w:tcPr>
                  <w:tcW w:w="855" w:type="pct"/>
                </w:tcPr>
                <w:p w14:paraId="444F6680" w14:textId="42E18042" w:rsidR="008D0C2F" w:rsidRPr="008D0C2F" w:rsidRDefault="008D0C2F" w:rsidP="001332E8">
                  <w:pPr>
                    <w:pStyle w:val="BodyText"/>
                    <w:ind w:left="38"/>
                    <w:rPr>
                      <w:rFonts w:cstheme="majorHAnsi"/>
                      <w:b/>
                      <w:bCs/>
                      <w:color w:val="FFFFFF" w:themeColor="background1"/>
                      <w:sz w:val="18"/>
                      <w:szCs w:val="18"/>
                      <w:lang w:val="en"/>
                    </w:rPr>
                  </w:pPr>
                  <w:r w:rsidRPr="008D0C2F">
                    <w:rPr>
                      <w:b/>
                      <w:bCs/>
                      <w:color w:val="FFFFFF" w:themeColor="background1"/>
                      <w:sz w:val="18"/>
                      <w:szCs w:val="18"/>
                    </w:rPr>
                    <w:t>12% LNG plus regas</w:t>
                  </w:r>
                </w:p>
              </w:tc>
              <w:tc>
                <w:tcPr>
                  <w:tcW w:w="855" w:type="pct"/>
                </w:tcPr>
                <w:p w14:paraId="351C1CEF" w14:textId="600236C5" w:rsidR="008D0C2F" w:rsidRPr="008D0C2F" w:rsidRDefault="008D0C2F" w:rsidP="001332E8">
                  <w:pPr>
                    <w:pStyle w:val="BodyText"/>
                    <w:ind w:left="38"/>
                    <w:rPr>
                      <w:rFonts w:cstheme="majorHAnsi"/>
                      <w:b/>
                      <w:bCs/>
                      <w:color w:val="FFFFFF" w:themeColor="background1"/>
                      <w:sz w:val="18"/>
                      <w:szCs w:val="18"/>
                      <w:lang w:val="en"/>
                    </w:rPr>
                  </w:pPr>
                  <w:r w:rsidRPr="008D0C2F">
                    <w:rPr>
                      <w:b/>
                      <w:bCs/>
                      <w:color w:val="FFFFFF" w:themeColor="background1"/>
                      <w:sz w:val="18"/>
                      <w:szCs w:val="18"/>
                    </w:rPr>
                    <w:t>14% index</w:t>
                  </w:r>
                </w:p>
              </w:tc>
              <w:tc>
                <w:tcPr>
                  <w:tcW w:w="855" w:type="pct"/>
                </w:tcPr>
                <w:p w14:paraId="128ECDE6" w14:textId="4FFC18C1" w:rsidR="008D0C2F" w:rsidRPr="008D0C2F" w:rsidRDefault="008D0C2F" w:rsidP="001332E8">
                  <w:pPr>
                    <w:pStyle w:val="BodyText"/>
                    <w:ind w:left="38"/>
                    <w:rPr>
                      <w:rFonts w:cstheme="majorHAnsi"/>
                      <w:b/>
                      <w:bCs/>
                      <w:color w:val="FFFFFF" w:themeColor="background1"/>
                      <w:sz w:val="18"/>
                      <w:szCs w:val="18"/>
                      <w:lang w:val="en"/>
                    </w:rPr>
                  </w:pPr>
                  <w:r w:rsidRPr="008D0C2F">
                    <w:rPr>
                      <w:b/>
                      <w:bCs/>
                      <w:color w:val="FFFFFF" w:themeColor="background1"/>
                      <w:sz w:val="18"/>
                      <w:szCs w:val="18"/>
                    </w:rPr>
                    <w:t>14% LNG plus regas</w:t>
                  </w:r>
                </w:p>
              </w:tc>
              <w:tc>
                <w:tcPr>
                  <w:tcW w:w="724" w:type="pct"/>
                </w:tcPr>
                <w:p w14:paraId="0B7DB890" w14:textId="154E8141" w:rsidR="008D0C2F" w:rsidRPr="008D0C2F" w:rsidRDefault="008D0C2F" w:rsidP="001332E8">
                  <w:pPr>
                    <w:pStyle w:val="BodyText"/>
                    <w:ind w:left="38" w:right="-17"/>
                    <w:rPr>
                      <w:rFonts w:cstheme="majorHAnsi"/>
                      <w:b/>
                      <w:bCs/>
                      <w:color w:val="FFFFFF" w:themeColor="background1"/>
                      <w:sz w:val="18"/>
                      <w:szCs w:val="18"/>
                      <w:lang w:val="en"/>
                    </w:rPr>
                  </w:pPr>
                  <w:r w:rsidRPr="008D0C2F">
                    <w:rPr>
                      <w:b/>
                      <w:bCs/>
                      <w:color w:val="FFFFFF" w:themeColor="background1"/>
                      <w:sz w:val="18"/>
                      <w:szCs w:val="18"/>
                    </w:rPr>
                    <w:t>Delta</w:t>
                  </w:r>
                </w:p>
              </w:tc>
            </w:tr>
            <w:tr w:rsidR="008D0C2F" w:rsidRPr="008D0C2F" w14:paraId="1DD61734" w14:textId="77777777" w:rsidTr="008D0C2F">
              <w:trPr>
                <w:cnfStyle w:val="000000100000" w:firstRow="0" w:lastRow="0" w:firstColumn="0" w:lastColumn="0" w:oddVBand="0" w:evenVBand="0" w:oddHBand="1" w:evenHBand="0" w:firstRowFirstColumn="0" w:firstRowLastColumn="0" w:lastRowFirstColumn="0" w:lastRowLastColumn="0"/>
              </w:trPr>
              <w:tc>
                <w:tcPr>
                  <w:tcW w:w="855" w:type="pct"/>
                </w:tcPr>
                <w:p w14:paraId="2EE99533" w14:textId="7FC1459E" w:rsidR="008D0C2F" w:rsidRPr="008D0C2F" w:rsidRDefault="008D0C2F" w:rsidP="001332E8">
                  <w:pPr>
                    <w:pStyle w:val="BodyText"/>
                    <w:ind w:left="38"/>
                    <w:rPr>
                      <w:rFonts w:cstheme="majorHAnsi"/>
                      <w:color w:val="auto"/>
                      <w:sz w:val="18"/>
                      <w:szCs w:val="18"/>
                      <w:lang w:val="en"/>
                    </w:rPr>
                  </w:pPr>
                  <w:r w:rsidRPr="008D0C2F">
                    <w:rPr>
                      <w:color w:val="auto"/>
                      <w:sz w:val="18"/>
                      <w:szCs w:val="18"/>
                    </w:rPr>
                    <w:t>40</w:t>
                  </w:r>
                </w:p>
              </w:tc>
              <w:tc>
                <w:tcPr>
                  <w:tcW w:w="855" w:type="pct"/>
                </w:tcPr>
                <w:p w14:paraId="6C0FD434" w14:textId="64561A5C" w:rsidR="008D0C2F" w:rsidRPr="008D0C2F" w:rsidRDefault="008D0C2F" w:rsidP="001332E8">
                  <w:pPr>
                    <w:pStyle w:val="BodyText"/>
                    <w:ind w:left="38"/>
                    <w:rPr>
                      <w:rFonts w:cstheme="majorHAnsi"/>
                      <w:color w:val="auto"/>
                      <w:sz w:val="18"/>
                      <w:szCs w:val="18"/>
                      <w:lang w:val="en"/>
                    </w:rPr>
                  </w:pPr>
                  <w:r w:rsidRPr="008D0C2F">
                    <w:rPr>
                      <w:color w:val="auto"/>
                      <w:sz w:val="18"/>
                      <w:szCs w:val="18"/>
                    </w:rPr>
                    <w:t>6.9</w:t>
                  </w:r>
                </w:p>
              </w:tc>
              <w:tc>
                <w:tcPr>
                  <w:tcW w:w="855" w:type="pct"/>
                </w:tcPr>
                <w:p w14:paraId="364CB6AB" w14:textId="563E3302" w:rsidR="008D0C2F" w:rsidRPr="008D0C2F" w:rsidRDefault="008D0C2F" w:rsidP="001332E8">
                  <w:pPr>
                    <w:pStyle w:val="BodyText"/>
                    <w:ind w:left="38"/>
                    <w:rPr>
                      <w:rFonts w:cstheme="majorHAnsi"/>
                      <w:color w:val="auto"/>
                      <w:sz w:val="18"/>
                      <w:szCs w:val="18"/>
                      <w:lang w:val="en"/>
                    </w:rPr>
                  </w:pPr>
                  <w:r w:rsidRPr="008D0C2F">
                    <w:rPr>
                      <w:color w:val="auto"/>
                      <w:sz w:val="18"/>
                      <w:szCs w:val="18"/>
                    </w:rPr>
                    <w:t>8.7</w:t>
                  </w:r>
                </w:p>
              </w:tc>
              <w:tc>
                <w:tcPr>
                  <w:tcW w:w="855" w:type="pct"/>
                </w:tcPr>
                <w:p w14:paraId="380887A0" w14:textId="2B37A9AC" w:rsidR="008D0C2F" w:rsidRPr="008D0C2F" w:rsidRDefault="008D0C2F" w:rsidP="001332E8">
                  <w:pPr>
                    <w:pStyle w:val="BodyText"/>
                    <w:ind w:left="38"/>
                    <w:rPr>
                      <w:rFonts w:cstheme="majorHAnsi"/>
                      <w:color w:val="auto"/>
                      <w:sz w:val="18"/>
                      <w:szCs w:val="18"/>
                      <w:lang w:val="en"/>
                    </w:rPr>
                  </w:pPr>
                  <w:r w:rsidRPr="008D0C2F">
                    <w:rPr>
                      <w:color w:val="auto"/>
                      <w:sz w:val="18"/>
                      <w:szCs w:val="18"/>
                    </w:rPr>
                    <w:t>8.0</w:t>
                  </w:r>
                </w:p>
              </w:tc>
              <w:tc>
                <w:tcPr>
                  <w:tcW w:w="855" w:type="pct"/>
                </w:tcPr>
                <w:p w14:paraId="3A47E63C" w14:textId="1174EC13" w:rsidR="008D0C2F" w:rsidRPr="008D0C2F" w:rsidRDefault="008D0C2F" w:rsidP="001332E8">
                  <w:pPr>
                    <w:pStyle w:val="BodyText"/>
                    <w:ind w:left="38"/>
                    <w:rPr>
                      <w:rFonts w:cstheme="majorHAnsi"/>
                      <w:color w:val="auto"/>
                      <w:sz w:val="18"/>
                      <w:szCs w:val="18"/>
                      <w:lang w:val="en"/>
                    </w:rPr>
                  </w:pPr>
                  <w:r w:rsidRPr="008D0C2F">
                    <w:rPr>
                      <w:color w:val="auto"/>
                      <w:sz w:val="18"/>
                      <w:szCs w:val="18"/>
                    </w:rPr>
                    <w:t>9.9</w:t>
                  </w:r>
                </w:p>
              </w:tc>
              <w:tc>
                <w:tcPr>
                  <w:tcW w:w="724" w:type="pct"/>
                </w:tcPr>
                <w:p w14:paraId="73584EDB" w14:textId="4D915E68" w:rsidR="008D0C2F" w:rsidRPr="008D0C2F" w:rsidRDefault="008D0C2F" w:rsidP="001332E8">
                  <w:pPr>
                    <w:pStyle w:val="BodyText"/>
                    <w:ind w:left="38"/>
                    <w:rPr>
                      <w:rFonts w:cstheme="majorHAnsi"/>
                      <w:color w:val="auto"/>
                      <w:sz w:val="18"/>
                      <w:szCs w:val="18"/>
                      <w:lang w:val="en"/>
                    </w:rPr>
                  </w:pPr>
                  <w:r w:rsidRPr="008D0C2F">
                    <w:rPr>
                      <w:color w:val="auto"/>
                      <w:sz w:val="18"/>
                      <w:szCs w:val="18"/>
                    </w:rPr>
                    <w:t>1.1</w:t>
                  </w:r>
                </w:p>
              </w:tc>
            </w:tr>
            <w:tr w:rsidR="008D0C2F" w:rsidRPr="008D0C2F" w14:paraId="60FE46A9" w14:textId="77777777" w:rsidTr="008D0C2F">
              <w:trPr>
                <w:cnfStyle w:val="000000010000" w:firstRow="0" w:lastRow="0" w:firstColumn="0" w:lastColumn="0" w:oddVBand="0" w:evenVBand="0" w:oddHBand="0" w:evenHBand="1" w:firstRowFirstColumn="0" w:firstRowLastColumn="0" w:lastRowFirstColumn="0" w:lastRowLastColumn="0"/>
              </w:trPr>
              <w:tc>
                <w:tcPr>
                  <w:tcW w:w="855" w:type="pct"/>
                </w:tcPr>
                <w:p w14:paraId="3944F23E" w14:textId="5CDF9CE3" w:rsidR="008D0C2F" w:rsidRPr="008D0C2F" w:rsidRDefault="008D0C2F" w:rsidP="001332E8">
                  <w:pPr>
                    <w:pStyle w:val="BodyText"/>
                    <w:ind w:left="38"/>
                    <w:rPr>
                      <w:rFonts w:cstheme="majorHAnsi"/>
                      <w:color w:val="auto"/>
                      <w:sz w:val="18"/>
                      <w:szCs w:val="18"/>
                      <w:lang w:val="en"/>
                    </w:rPr>
                  </w:pPr>
                  <w:r w:rsidRPr="008D0C2F">
                    <w:rPr>
                      <w:color w:val="auto"/>
                      <w:sz w:val="18"/>
                      <w:szCs w:val="18"/>
                    </w:rPr>
                    <w:t>60</w:t>
                  </w:r>
                </w:p>
              </w:tc>
              <w:tc>
                <w:tcPr>
                  <w:tcW w:w="855" w:type="pct"/>
                </w:tcPr>
                <w:p w14:paraId="27D0F161" w14:textId="5826891B" w:rsidR="008D0C2F" w:rsidRPr="008D0C2F" w:rsidRDefault="008D0C2F" w:rsidP="001332E8">
                  <w:pPr>
                    <w:pStyle w:val="BodyText"/>
                    <w:ind w:left="38"/>
                    <w:rPr>
                      <w:rFonts w:cstheme="majorHAnsi"/>
                      <w:color w:val="auto"/>
                      <w:sz w:val="18"/>
                      <w:szCs w:val="18"/>
                      <w:lang w:val="en"/>
                    </w:rPr>
                  </w:pPr>
                  <w:r w:rsidRPr="008D0C2F">
                    <w:rPr>
                      <w:color w:val="auto"/>
                      <w:sz w:val="18"/>
                      <w:szCs w:val="18"/>
                    </w:rPr>
                    <w:t>10.3</w:t>
                  </w:r>
                </w:p>
              </w:tc>
              <w:tc>
                <w:tcPr>
                  <w:tcW w:w="855" w:type="pct"/>
                </w:tcPr>
                <w:p w14:paraId="15C8EDC2" w14:textId="5966C35F" w:rsidR="008D0C2F" w:rsidRPr="008D0C2F" w:rsidRDefault="008D0C2F" w:rsidP="001332E8">
                  <w:pPr>
                    <w:pStyle w:val="BodyText"/>
                    <w:ind w:left="38"/>
                    <w:rPr>
                      <w:rFonts w:cstheme="majorHAnsi"/>
                      <w:color w:val="auto"/>
                      <w:sz w:val="18"/>
                      <w:szCs w:val="18"/>
                      <w:lang w:val="en"/>
                    </w:rPr>
                  </w:pPr>
                  <w:r w:rsidRPr="008D0C2F">
                    <w:rPr>
                      <w:color w:val="auto"/>
                      <w:sz w:val="18"/>
                      <w:szCs w:val="18"/>
                    </w:rPr>
                    <w:t>12.1</w:t>
                  </w:r>
                </w:p>
              </w:tc>
              <w:tc>
                <w:tcPr>
                  <w:tcW w:w="855" w:type="pct"/>
                </w:tcPr>
                <w:p w14:paraId="5855E4F2" w14:textId="5662094C" w:rsidR="008D0C2F" w:rsidRPr="008D0C2F" w:rsidRDefault="008D0C2F" w:rsidP="001332E8">
                  <w:pPr>
                    <w:pStyle w:val="BodyText"/>
                    <w:ind w:left="38"/>
                    <w:rPr>
                      <w:rFonts w:cstheme="majorHAnsi"/>
                      <w:color w:val="auto"/>
                      <w:sz w:val="18"/>
                      <w:szCs w:val="18"/>
                      <w:lang w:val="en"/>
                    </w:rPr>
                  </w:pPr>
                  <w:r w:rsidRPr="008D0C2F">
                    <w:rPr>
                      <w:color w:val="auto"/>
                      <w:sz w:val="18"/>
                      <w:szCs w:val="18"/>
                    </w:rPr>
                    <w:t>12.0</w:t>
                  </w:r>
                </w:p>
              </w:tc>
              <w:tc>
                <w:tcPr>
                  <w:tcW w:w="855" w:type="pct"/>
                </w:tcPr>
                <w:p w14:paraId="723CFDF7" w14:textId="0A0B9722" w:rsidR="008D0C2F" w:rsidRPr="008D0C2F" w:rsidRDefault="008D0C2F" w:rsidP="001332E8">
                  <w:pPr>
                    <w:pStyle w:val="BodyText"/>
                    <w:ind w:left="38"/>
                    <w:rPr>
                      <w:rFonts w:cstheme="majorHAnsi"/>
                      <w:color w:val="auto"/>
                      <w:sz w:val="18"/>
                      <w:szCs w:val="18"/>
                      <w:lang w:val="en"/>
                    </w:rPr>
                  </w:pPr>
                  <w:r w:rsidRPr="008D0C2F">
                    <w:rPr>
                      <w:color w:val="auto"/>
                      <w:sz w:val="18"/>
                      <w:szCs w:val="18"/>
                    </w:rPr>
                    <w:t>13.9</w:t>
                  </w:r>
                </w:p>
              </w:tc>
              <w:tc>
                <w:tcPr>
                  <w:tcW w:w="724" w:type="pct"/>
                </w:tcPr>
                <w:p w14:paraId="28E7D5B5" w14:textId="79B1A3C1" w:rsidR="008D0C2F" w:rsidRPr="008D0C2F" w:rsidRDefault="008D0C2F" w:rsidP="001332E8">
                  <w:pPr>
                    <w:pStyle w:val="BodyText"/>
                    <w:ind w:left="38"/>
                    <w:rPr>
                      <w:rFonts w:cstheme="majorHAnsi"/>
                      <w:color w:val="auto"/>
                      <w:sz w:val="18"/>
                      <w:szCs w:val="18"/>
                      <w:lang w:val="en"/>
                    </w:rPr>
                  </w:pPr>
                  <w:r w:rsidRPr="008D0C2F">
                    <w:rPr>
                      <w:color w:val="auto"/>
                      <w:sz w:val="18"/>
                      <w:szCs w:val="18"/>
                    </w:rPr>
                    <w:t>1.7</w:t>
                  </w:r>
                </w:p>
              </w:tc>
            </w:tr>
            <w:tr w:rsidR="008D0C2F" w:rsidRPr="008D0C2F" w14:paraId="20C337CC" w14:textId="77777777" w:rsidTr="008D0C2F">
              <w:trPr>
                <w:cnfStyle w:val="000000100000" w:firstRow="0" w:lastRow="0" w:firstColumn="0" w:lastColumn="0" w:oddVBand="0" w:evenVBand="0" w:oddHBand="1" w:evenHBand="0" w:firstRowFirstColumn="0" w:firstRowLastColumn="0" w:lastRowFirstColumn="0" w:lastRowLastColumn="0"/>
              </w:trPr>
              <w:tc>
                <w:tcPr>
                  <w:tcW w:w="855" w:type="pct"/>
                </w:tcPr>
                <w:p w14:paraId="15E9AD4B" w14:textId="2EE409FE" w:rsidR="008D0C2F" w:rsidRPr="008D0C2F" w:rsidRDefault="008D0C2F" w:rsidP="001332E8">
                  <w:pPr>
                    <w:pStyle w:val="BodyText"/>
                    <w:ind w:left="38"/>
                    <w:rPr>
                      <w:rFonts w:cstheme="majorHAnsi"/>
                      <w:color w:val="auto"/>
                      <w:sz w:val="18"/>
                      <w:szCs w:val="18"/>
                      <w:lang w:val="en"/>
                    </w:rPr>
                  </w:pPr>
                  <w:r w:rsidRPr="008D0C2F">
                    <w:rPr>
                      <w:color w:val="auto"/>
                      <w:sz w:val="18"/>
                      <w:szCs w:val="18"/>
                    </w:rPr>
                    <w:t>80</w:t>
                  </w:r>
                </w:p>
              </w:tc>
              <w:tc>
                <w:tcPr>
                  <w:tcW w:w="855" w:type="pct"/>
                </w:tcPr>
                <w:p w14:paraId="4FE86AA2" w14:textId="6A81254C" w:rsidR="008D0C2F" w:rsidRPr="008D0C2F" w:rsidRDefault="008D0C2F" w:rsidP="001332E8">
                  <w:pPr>
                    <w:pStyle w:val="BodyText"/>
                    <w:ind w:left="38"/>
                    <w:rPr>
                      <w:rFonts w:cstheme="majorHAnsi"/>
                      <w:color w:val="auto"/>
                      <w:sz w:val="18"/>
                      <w:szCs w:val="18"/>
                      <w:lang w:val="en"/>
                    </w:rPr>
                  </w:pPr>
                  <w:r w:rsidRPr="008D0C2F">
                    <w:rPr>
                      <w:color w:val="auto"/>
                      <w:sz w:val="18"/>
                      <w:szCs w:val="18"/>
                    </w:rPr>
                    <w:t>13.7</w:t>
                  </w:r>
                </w:p>
              </w:tc>
              <w:tc>
                <w:tcPr>
                  <w:tcW w:w="855" w:type="pct"/>
                </w:tcPr>
                <w:p w14:paraId="224FA4A4" w14:textId="7780B989" w:rsidR="008D0C2F" w:rsidRPr="008D0C2F" w:rsidRDefault="008D0C2F" w:rsidP="001332E8">
                  <w:pPr>
                    <w:pStyle w:val="BodyText"/>
                    <w:ind w:left="38"/>
                    <w:rPr>
                      <w:rFonts w:cstheme="majorHAnsi"/>
                      <w:color w:val="auto"/>
                      <w:sz w:val="18"/>
                      <w:szCs w:val="18"/>
                      <w:lang w:val="en"/>
                    </w:rPr>
                  </w:pPr>
                  <w:r w:rsidRPr="008D0C2F">
                    <w:rPr>
                      <w:color w:val="auto"/>
                      <w:sz w:val="18"/>
                      <w:szCs w:val="18"/>
                    </w:rPr>
                    <w:t>15.6</w:t>
                  </w:r>
                </w:p>
              </w:tc>
              <w:tc>
                <w:tcPr>
                  <w:tcW w:w="855" w:type="pct"/>
                </w:tcPr>
                <w:p w14:paraId="646BEE9C" w14:textId="205AB050" w:rsidR="008D0C2F" w:rsidRPr="008D0C2F" w:rsidRDefault="008D0C2F" w:rsidP="001332E8">
                  <w:pPr>
                    <w:pStyle w:val="BodyText"/>
                    <w:ind w:left="38"/>
                    <w:rPr>
                      <w:rFonts w:cstheme="majorHAnsi"/>
                      <w:color w:val="auto"/>
                      <w:sz w:val="18"/>
                      <w:szCs w:val="18"/>
                      <w:lang w:val="en"/>
                    </w:rPr>
                  </w:pPr>
                  <w:r w:rsidRPr="008D0C2F">
                    <w:rPr>
                      <w:color w:val="auto"/>
                      <w:sz w:val="18"/>
                      <w:szCs w:val="18"/>
                    </w:rPr>
                    <w:t>16.0</w:t>
                  </w:r>
                </w:p>
              </w:tc>
              <w:tc>
                <w:tcPr>
                  <w:tcW w:w="855" w:type="pct"/>
                </w:tcPr>
                <w:p w14:paraId="1BADB802" w14:textId="522AA422" w:rsidR="008D0C2F" w:rsidRPr="008D0C2F" w:rsidRDefault="008D0C2F" w:rsidP="001332E8">
                  <w:pPr>
                    <w:pStyle w:val="BodyText"/>
                    <w:ind w:left="38"/>
                    <w:rPr>
                      <w:rFonts w:cstheme="majorHAnsi"/>
                      <w:color w:val="auto"/>
                      <w:sz w:val="18"/>
                      <w:szCs w:val="18"/>
                      <w:lang w:val="en"/>
                    </w:rPr>
                  </w:pPr>
                  <w:r w:rsidRPr="008D0C2F">
                    <w:rPr>
                      <w:color w:val="auto"/>
                      <w:sz w:val="18"/>
                      <w:szCs w:val="18"/>
                    </w:rPr>
                    <w:t>17.9</w:t>
                  </w:r>
                </w:p>
              </w:tc>
              <w:tc>
                <w:tcPr>
                  <w:tcW w:w="724" w:type="pct"/>
                </w:tcPr>
                <w:p w14:paraId="7278D654" w14:textId="48E79999" w:rsidR="008D0C2F" w:rsidRPr="008D0C2F" w:rsidRDefault="008D0C2F" w:rsidP="001332E8">
                  <w:pPr>
                    <w:pStyle w:val="BodyText"/>
                    <w:ind w:left="38"/>
                    <w:rPr>
                      <w:rFonts w:cstheme="majorHAnsi"/>
                      <w:color w:val="auto"/>
                      <w:sz w:val="18"/>
                      <w:szCs w:val="18"/>
                      <w:lang w:val="en"/>
                    </w:rPr>
                  </w:pPr>
                  <w:r w:rsidRPr="008D0C2F">
                    <w:rPr>
                      <w:color w:val="auto"/>
                      <w:sz w:val="18"/>
                      <w:szCs w:val="18"/>
                    </w:rPr>
                    <w:t>2.3</w:t>
                  </w:r>
                </w:p>
              </w:tc>
            </w:tr>
            <w:tr w:rsidR="008D0C2F" w:rsidRPr="008D0C2F" w14:paraId="29EC1B83" w14:textId="77777777" w:rsidTr="008D0C2F">
              <w:trPr>
                <w:cnfStyle w:val="000000010000" w:firstRow="0" w:lastRow="0" w:firstColumn="0" w:lastColumn="0" w:oddVBand="0" w:evenVBand="0" w:oddHBand="0" w:evenHBand="1" w:firstRowFirstColumn="0" w:firstRowLastColumn="0" w:lastRowFirstColumn="0" w:lastRowLastColumn="0"/>
              </w:trPr>
              <w:tc>
                <w:tcPr>
                  <w:tcW w:w="855" w:type="pct"/>
                </w:tcPr>
                <w:p w14:paraId="7C405A82" w14:textId="77FC55F9" w:rsidR="008D0C2F" w:rsidRPr="008D0C2F" w:rsidRDefault="008D0C2F" w:rsidP="001332E8">
                  <w:pPr>
                    <w:pStyle w:val="BodyText"/>
                    <w:ind w:left="38"/>
                    <w:rPr>
                      <w:rFonts w:cstheme="majorHAnsi"/>
                      <w:color w:val="auto"/>
                      <w:sz w:val="18"/>
                      <w:szCs w:val="18"/>
                      <w:lang w:val="en"/>
                    </w:rPr>
                  </w:pPr>
                  <w:r w:rsidRPr="008D0C2F">
                    <w:rPr>
                      <w:color w:val="auto"/>
                      <w:sz w:val="18"/>
                      <w:szCs w:val="18"/>
                    </w:rPr>
                    <w:t>100</w:t>
                  </w:r>
                </w:p>
              </w:tc>
              <w:tc>
                <w:tcPr>
                  <w:tcW w:w="855" w:type="pct"/>
                </w:tcPr>
                <w:p w14:paraId="7D0B1ED0" w14:textId="60214712" w:rsidR="008D0C2F" w:rsidRPr="008D0C2F" w:rsidRDefault="008D0C2F" w:rsidP="001332E8">
                  <w:pPr>
                    <w:pStyle w:val="BodyText"/>
                    <w:ind w:left="38"/>
                    <w:rPr>
                      <w:rFonts w:cstheme="majorHAnsi"/>
                      <w:color w:val="auto"/>
                      <w:sz w:val="18"/>
                      <w:szCs w:val="18"/>
                      <w:lang w:val="en"/>
                    </w:rPr>
                  </w:pPr>
                  <w:r w:rsidRPr="008D0C2F">
                    <w:rPr>
                      <w:color w:val="auto"/>
                      <w:sz w:val="18"/>
                      <w:szCs w:val="18"/>
                    </w:rPr>
                    <w:t>17.1</w:t>
                  </w:r>
                </w:p>
              </w:tc>
              <w:tc>
                <w:tcPr>
                  <w:tcW w:w="855" w:type="pct"/>
                </w:tcPr>
                <w:p w14:paraId="2EAA14B0" w14:textId="77B07845" w:rsidR="008D0C2F" w:rsidRPr="008D0C2F" w:rsidRDefault="008D0C2F" w:rsidP="001332E8">
                  <w:pPr>
                    <w:pStyle w:val="BodyText"/>
                    <w:ind w:left="38"/>
                    <w:rPr>
                      <w:rFonts w:cstheme="majorHAnsi"/>
                      <w:color w:val="auto"/>
                      <w:sz w:val="18"/>
                      <w:szCs w:val="18"/>
                      <w:lang w:val="en"/>
                    </w:rPr>
                  </w:pPr>
                  <w:r w:rsidRPr="008D0C2F">
                    <w:rPr>
                      <w:color w:val="auto"/>
                      <w:sz w:val="18"/>
                      <w:szCs w:val="18"/>
                    </w:rPr>
                    <w:t>19.0</w:t>
                  </w:r>
                </w:p>
              </w:tc>
              <w:tc>
                <w:tcPr>
                  <w:tcW w:w="855" w:type="pct"/>
                </w:tcPr>
                <w:p w14:paraId="4DE878FB" w14:textId="4802DD23" w:rsidR="008D0C2F" w:rsidRPr="008D0C2F" w:rsidRDefault="008D0C2F" w:rsidP="001332E8">
                  <w:pPr>
                    <w:pStyle w:val="BodyText"/>
                    <w:ind w:left="38"/>
                    <w:rPr>
                      <w:rFonts w:cstheme="majorHAnsi"/>
                      <w:color w:val="auto"/>
                      <w:sz w:val="18"/>
                      <w:szCs w:val="18"/>
                      <w:lang w:val="en"/>
                    </w:rPr>
                  </w:pPr>
                  <w:r w:rsidRPr="008D0C2F">
                    <w:rPr>
                      <w:color w:val="auto"/>
                      <w:sz w:val="18"/>
                      <w:szCs w:val="18"/>
                    </w:rPr>
                    <w:t>20.0</w:t>
                  </w:r>
                </w:p>
              </w:tc>
              <w:tc>
                <w:tcPr>
                  <w:tcW w:w="855" w:type="pct"/>
                </w:tcPr>
                <w:p w14:paraId="6A76153D" w14:textId="30EA5B1C" w:rsidR="008D0C2F" w:rsidRPr="008D0C2F" w:rsidRDefault="008D0C2F" w:rsidP="001332E8">
                  <w:pPr>
                    <w:pStyle w:val="BodyText"/>
                    <w:ind w:left="38"/>
                    <w:rPr>
                      <w:rFonts w:cstheme="majorHAnsi"/>
                      <w:color w:val="auto"/>
                      <w:sz w:val="18"/>
                      <w:szCs w:val="18"/>
                      <w:lang w:val="en"/>
                    </w:rPr>
                  </w:pPr>
                  <w:r w:rsidRPr="008D0C2F">
                    <w:rPr>
                      <w:color w:val="auto"/>
                      <w:sz w:val="18"/>
                      <w:szCs w:val="18"/>
                    </w:rPr>
                    <w:t>21.9</w:t>
                  </w:r>
                </w:p>
              </w:tc>
              <w:tc>
                <w:tcPr>
                  <w:tcW w:w="724" w:type="pct"/>
                </w:tcPr>
                <w:p w14:paraId="4F19C01E" w14:textId="29B62162" w:rsidR="008D0C2F" w:rsidRPr="008D0C2F" w:rsidRDefault="008D0C2F" w:rsidP="001332E8">
                  <w:pPr>
                    <w:pStyle w:val="BodyText"/>
                    <w:ind w:left="38"/>
                    <w:rPr>
                      <w:rFonts w:cstheme="majorHAnsi"/>
                      <w:color w:val="auto"/>
                      <w:sz w:val="18"/>
                      <w:szCs w:val="18"/>
                      <w:lang w:val="en"/>
                    </w:rPr>
                  </w:pPr>
                  <w:r w:rsidRPr="008D0C2F">
                    <w:rPr>
                      <w:color w:val="auto"/>
                      <w:sz w:val="18"/>
                      <w:szCs w:val="18"/>
                    </w:rPr>
                    <w:t>2.9</w:t>
                  </w:r>
                </w:p>
              </w:tc>
            </w:tr>
          </w:tbl>
          <w:p w14:paraId="16A37A46" w14:textId="1FE6D428" w:rsidR="00A73B69" w:rsidRPr="00863A39" w:rsidRDefault="00A73B69" w:rsidP="00341B3B">
            <w:pPr>
              <w:pStyle w:val="Source"/>
              <w:spacing w:before="60"/>
              <w:ind w:left="40"/>
              <w:rPr>
                <w:lang w:eastAsia="en-AU"/>
              </w:rPr>
            </w:pPr>
            <w:r w:rsidRPr="00863A39">
              <w:rPr>
                <w:lang w:eastAsia="en-AU"/>
              </w:rPr>
              <w:t xml:space="preserve">Notes: </w:t>
            </w:r>
            <w:r w:rsidR="003413BD">
              <w:rPr>
                <w:lang w:eastAsia="en-AU"/>
              </w:rPr>
              <w:t>Conversion</w:t>
            </w:r>
            <w:r w:rsidRPr="00863A39">
              <w:rPr>
                <w:lang w:eastAsia="en-AU"/>
              </w:rPr>
              <w:t xml:space="preserve"> assumes 70 c AUD/US </w:t>
            </w:r>
            <w:r w:rsidR="003413BD">
              <w:rPr>
                <w:lang w:eastAsia="en-AU"/>
              </w:rPr>
              <w:t>and</w:t>
            </w:r>
            <w:r w:rsidRPr="00863A39">
              <w:rPr>
                <w:lang w:eastAsia="en-AU"/>
              </w:rPr>
              <w:t xml:space="preserve"> $1.85/GJ regasification cost. </w:t>
            </w:r>
            <w:r w:rsidR="003413BD" w:rsidRPr="00E22960">
              <w:t>EnergyQuest estimates the cost of transporting gas from Port Kembla to Sydney to be $0.73/GJ and Geelong to Melbourne to be $0.44/GJ.</w:t>
            </w:r>
            <w:r w:rsidRPr="00863A39">
              <w:rPr>
                <w:lang w:eastAsia="en-AU"/>
              </w:rPr>
              <w:t xml:space="preserve"> </w:t>
            </w:r>
          </w:p>
          <w:p w14:paraId="3B23617E" w14:textId="0DEDF795" w:rsidR="00A73B69" w:rsidRPr="004E02BB" w:rsidRDefault="00A73B69" w:rsidP="001332E8">
            <w:pPr>
              <w:pStyle w:val="Source"/>
              <w:ind w:left="38"/>
              <w:rPr>
                <w:lang w:eastAsia="en-AU"/>
              </w:rPr>
            </w:pPr>
            <w:r w:rsidRPr="00863A39">
              <w:rPr>
                <w:lang w:eastAsia="en-AU"/>
              </w:rPr>
              <w:t>Source: DISR estimates</w:t>
            </w:r>
          </w:p>
        </w:tc>
      </w:tr>
    </w:tbl>
    <w:p w14:paraId="69875874" w14:textId="1C07FBD5" w:rsidR="00BC0461" w:rsidRDefault="00BC0461" w:rsidP="00F932E3">
      <w:pPr>
        <w:spacing w:after="120"/>
        <w:rPr>
          <w:color w:val="373737"/>
          <w:sz w:val="20"/>
        </w:rPr>
      </w:pPr>
      <w:bookmarkStart w:id="177" w:name="_Hlk160800420"/>
    </w:p>
    <w:p w14:paraId="4B49E65A" w14:textId="44F9DAAA" w:rsidR="005D5D3E" w:rsidRDefault="00BC0461" w:rsidP="00F932E3">
      <w:pPr>
        <w:spacing w:after="120"/>
        <w:rPr>
          <w:color w:val="373737"/>
          <w:sz w:val="20"/>
        </w:rPr>
      </w:pPr>
      <w:r>
        <w:rPr>
          <w:color w:val="373737"/>
          <w:sz w:val="20"/>
        </w:rPr>
        <w:t>Table 7.6 illustrates that if a JKM</w:t>
      </w:r>
      <w:r w:rsidDel="00B27D06">
        <w:rPr>
          <w:color w:val="373737"/>
          <w:sz w:val="20"/>
        </w:rPr>
        <w:t xml:space="preserve"> </w:t>
      </w:r>
      <w:r>
        <w:rPr>
          <w:color w:val="373737"/>
          <w:sz w:val="20"/>
        </w:rPr>
        <w:t xml:space="preserve">plus pricing methodology had been in place (assuming no price caps, ability to arbitrate or hedge) between 2012 and 2024, end users would have seen costs as low as $5.15/GJ in Melbourne during the COVID pandemic, </w:t>
      </w:r>
      <w:r w:rsidR="00260774">
        <w:rPr>
          <w:color w:val="373737"/>
          <w:sz w:val="20"/>
        </w:rPr>
        <w:t>however</w:t>
      </w:r>
      <w:r>
        <w:rPr>
          <w:color w:val="373737"/>
          <w:sz w:val="20"/>
        </w:rPr>
        <w:t xml:space="preserve"> on average paid over $19/GJ and over $30/GJ since the start of the Ukraine War.</w:t>
      </w:r>
    </w:p>
    <w:p w14:paraId="09C2590E" w14:textId="74DAEB2B" w:rsidR="00C5533C" w:rsidRPr="00E22960" w:rsidRDefault="00A73B69" w:rsidP="00C97679">
      <w:pPr>
        <w:pStyle w:val="Caption"/>
      </w:pPr>
      <w:r w:rsidRPr="00E22960">
        <w:t xml:space="preserve">Table </w:t>
      </w:r>
      <w:r w:rsidR="00341B3B">
        <w:fldChar w:fldCharType="begin"/>
      </w:r>
      <w:r w:rsidR="00341B3B">
        <w:instrText xml:space="preserve"> STYLEREF 1 \s </w:instrText>
      </w:r>
      <w:r w:rsidR="00341B3B">
        <w:fldChar w:fldCharType="separate"/>
      </w:r>
      <w:r w:rsidR="00BF178A">
        <w:rPr>
          <w:noProof/>
        </w:rPr>
        <w:t>7</w:t>
      </w:r>
      <w:r w:rsidR="00341B3B">
        <w:rPr>
          <w:noProof/>
        </w:rPr>
        <w:fldChar w:fldCharType="end"/>
      </w:r>
      <w:r w:rsidR="00C5533C" w:rsidRPr="00E22960">
        <w:t>.</w:t>
      </w:r>
      <w:r w:rsidR="00616C9E" w:rsidRPr="00E22960">
        <w:t>6</w:t>
      </w:r>
      <w:r w:rsidR="00C5533C" w:rsidRPr="00E22960">
        <w:t>: Examples of JKM</w:t>
      </w:r>
      <w:r w:rsidR="00B27D06" w:rsidRPr="00E22960">
        <w:t>-</w:t>
      </w:r>
      <w:r w:rsidR="00C5533C" w:rsidRPr="00E22960">
        <w:t xml:space="preserve">plus </w:t>
      </w:r>
      <w:r w:rsidR="00B27D06" w:rsidRPr="00E22960">
        <w:t>price</w:t>
      </w:r>
      <w:r w:rsidR="00873D4F" w:rsidRPr="00E22960">
        <w:t>s</w:t>
      </w:r>
      <w:r w:rsidR="00C5533C" w:rsidRPr="00E22960">
        <w:t xml:space="preserve"> to Melbourne and Sydney (prices 2012 to 2024)</w:t>
      </w:r>
    </w:p>
    <w:tbl>
      <w:tblPr>
        <w:tblStyle w:val="OCETable"/>
        <w:tblW w:w="6663" w:type="dxa"/>
        <w:tblLayout w:type="fixed"/>
        <w:tblLook w:val="04A0" w:firstRow="1" w:lastRow="0" w:firstColumn="1" w:lastColumn="0" w:noHBand="0" w:noVBand="1"/>
      </w:tblPr>
      <w:tblGrid>
        <w:gridCol w:w="1560"/>
        <w:gridCol w:w="708"/>
        <w:gridCol w:w="851"/>
        <w:gridCol w:w="850"/>
        <w:gridCol w:w="1134"/>
        <w:gridCol w:w="1560"/>
      </w:tblGrid>
      <w:tr w:rsidR="00C5533C" w14:paraId="02625AC1" w14:textId="77777777" w:rsidTr="008D0C2F">
        <w:trPr>
          <w:cnfStyle w:val="100000000000" w:firstRow="1" w:lastRow="0" w:firstColumn="0" w:lastColumn="0" w:oddVBand="0" w:evenVBand="0" w:oddHBand="0" w:evenHBand="0" w:firstRowFirstColumn="0" w:firstRowLastColumn="0" w:lastRowFirstColumn="0" w:lastRowLastColumn="0"/>
        </w:trPr>
        <w:tc>
          <w:tcPr>
            <w:tcW w:w="1560" w:type="dxa"/>
          </w:tcPr>
          <w:p w14:paraId="7FDF187E" w14:textId="7FC2514B" w:rsidR="00C5533C" w:rsidRDefault="00C5533C" w:rsidP="00F172F3">
            <w:pPr>
              <w:pStyle w:val="Tableheader"/>
              <w:rPr>
                <w:lang w:eastAsia="en-AU"/>
              </w:rPr>
            </w:pPr>
            <w:r>
              <w:rPr>
                <w:lang w:eastAsia="en-AU"/>
              </w:rPr>
              <w:t>JKM</w:t>
            </w:r>
            <w:r w:rsidR="00B27D06">
              <w:rPr>
                <w:lang w:eastAsia="en-AU"/>
              </w:rPr>
              <w:t>-plus pr</w:t>
            </w:r>
            <w:r>
              <w:rPr>
                <w:lang w:eastAsia="en-AU"/>
              </w:rPr>
              <w:t>ice</w:t>
            </w:r>
          </w:p>
        </w:tc>
        <w:tc>
          <w:tcPr>
            <w:tcW w:w="708" w:type="dxa"/>
          </w:tcPr>
          <w:p w14:paraId="43D925C5" w14:textId="77777777" w:rsidR="00C5533C" w:rsidRDefault="00C5533C" w:rsidP="00F172F3">
            <w:pPr>
              <w:pStyle w:val="Tableheader"/>
              <w:rPr>
                <w:lang w:eastAsia="en-AU"/>
              </w:rPr>
            </w:pPr>
            <w:r>
              <w:rPr>
                <w:lang w:eastAsia="en-AU"/>
              </w:rPr>
              <w:t>USD</w:t>
            </w:r>
          </w:p>
        </w:tc>
        <w:tc>
          <w:tcPr>
            <w:tcW w:w="851" w:type="dxa"/>
          </w:tcPr>
          <w:p w14:paraId="6329F38F" w14:textId="20B110AB" w:rsidR="00C5533C" w:rsidRDefault="00C5533C" w:rsidP="00F172F3">
            <w:pPr>
              <w:pStyle w:val="Tableheader"/>
              <w:rPr>
                <w:lang w:eastAsia="en-AU"/>
              </w:rPr>
            </w:pPr>
            <w:r>
              <w:rPr>
                <w:lang w:eastAsia="en-AU"/>
              </w:rPr>
              <w:t>AUD</w:t>
            </w:r>
          </w:p>
        </w:tc>
        <w:tc>
          <w:tcPr>
            <w:tcW w:w="850" w:type="dxa"/>
          </w:tcPr>
          <w:p w14:paraId="5B71AA36" w14:textId="59957C55" w:rsidR="00C5533C" w:rsidRDefault="00C5533C" w:rsidP="00F172F3">
            <w:pPr>
              <w:pStyle w:val="Tableheader"/>
              <w:rPr>
                <w:lang w:eastAsia="en-AU"/>
              </w:rPr>
            </w:pPr>
            <w:r>
              <w:rPr>
                <w:lang w:eastAsia="en-AU"/>
              </w:rPr>
              <w:t>Regas price</w:t>
            </w:r>
          </w:p>
        </w:tc>
        <w:tc>
          <w:tcPr>
            <w:tcW w:w="1134" w:type="dxa"/>
          </w:tcPr>
          <w:p w14:paraId="329BBDB9" w14:textId="6C2DFD2F" w:rsidR="00C5533C" w:rsidRDefault="00C5533C" w:rsidP="00F172F3">
            <w:pPr>
              <w:pStyle w:val="Tableheader"/>
              <w:rPr>
                <w:lang w:eastAsia="en-AU"/>
              </w:rPr>
            </w:pPr>
            <w:r>
              <w:rPr>
                <w:lang w:eastAsia="en-AU"/>
              </w:rPr>
              <w:t>Melbourne (landed Geelong)</w:t>
            </w:r>
          </w:p>
        </w:tc>
        <w:tc>
          <w:tcPr>
            <w:tcW w:w="1560" w:type="dxa"/>
          </w:tcPr>
          <w:p w14:paraId="32F52A3E" w14:textId="38C009BB" w:rsidR="00C5533C" w:rsidRDefault="00C5533C" w:rsidP="00F172F3">
            <w:pPr>
              <w:pStyle w:val="Tableheader"/>
              <w:rPr>
                <w:lang w:eastAsia="en-AU"/>
              </w:rPr>
            </w:pPr>
            <w:r>
              <w:rPr>
                <w:lang w:eastAsia="en-AU"/>
              </w:rPr>
              <w:t>Sydney (landed Port Kembla)</w:t>
            </w:r>
          </w:p>
        </w:tc>
      </w:tr>
      <w:tr w:rsidR="00C5533C" w14:paraId="5C095DBA" w14:textId="77777777" w:rsidTr="008D0C2F">
        <w:trPr>
          <w:cnfStyle w:val="000000100000" w:firstRow="0" w:lastRow="0" w:firstColumn="0" w:lastColumn="0" w:oddVBand="0" w:evenVBand="0" w:oddHBand="1" w:evenHBand="0" w:firstRowFirstColumn="0" w:firstRowLastColumn="0" w:lastRowFirstColumn="0" w:lastRowLastColumn="0"/>
        </w:trPr>
        <w:tc>
          <w:tcPr>
            <w:tcW w:w="1560" w:type="dxa"/>
          </w:tcPr>
          <w:p w14:paraId="12404381" w14:textId="411CF86D" w:rsidR="00C5533C" w:rsidRDefault="00C5533C" w:rsidP="00F172F3">
            <w:pPr>
              <w:pStyle w:val="Tabletext"/>
              <w:rPr>
                <w:lang w:eastAsia="en-AU"/>
              </w:rPr>
            </w:pPr>
            <w:r>
              <w:rPr>
                <w:lang w:eastAsia="en-AU"/>
              </w:rPr>
              <w:t>Low (</w:t>
            </w:r>
            <w:r w:rsidR="000907A5">
              <w:rPr>
                <w:lang w:eastAsia="en-AU"/>
              </w:rPr>
              <w:t xml:space="preserve">1 Apr </w:t>
            </w:r>
            <w:r>
              <w:rPr>
                <w:lang w:eastAsia="en-AU"/>
              </w:rPr>
              <w:t>2020)</w:t>
            </w:r>
          </w:p>
        </w:tc>
        <w:tc>
          <w:tcPr>
            <w:tcW w:w="708" w:type="dxa"/>
          </w:tcPr>
          <w:p w14:paraId="7ACCD4A5" w14:textId="73D456B4" w:rsidR="00C5533C" w:rsidRDefault="00C5533C" w:rsidP="00F172F3">
            <w:pPr>
              <w:pStyle w:val="Tabletext"/>
              <w:rPr>
                <w:lang w:eastAsia="en-AU"/>
              </w:rPr>
            </w:pPr>
            <w:r>
              <w:rPr>
                <w:lang w:eastAsia="en-AU"/>
              </w:rPr>
              <w:t>2.00</w:t>
            </w:r>
          </w:p>
        </w:tc>
        <w:tc>
          <w:tcPr>
            <w:tcW w:w="851" w:type="dxa"/>
          </w:tcPr>
          <w:p w14:paraId="1F06C171" w14:textId="5542E47C" w:rsidR="00C5533C" w:rsidRDefault="00C5533C" w:rsidP="00F172F3">
            <w:pPr>
              <w:pStyle w:val="Tabletext"/>
              <w:rPr>
                <w:lang w:eastAsia="en-AU"/>
              </w:rPr>
            </w:pPr>
            <w:r>
              <w:rPr>
                <w:lang w:eastAsia="en-AU"/>
              </w:rPr>
              <w:t>2.86</w:t>
            </w:r>
          </w:p>
        </w:tc>
        <w:tc>
          <w:tcPr>
            <w:tcW w:w="850" w:type="dxa"/>
          </w:tcPr>
          <w:p w14:paraId="6137DD7F" w14:textId="33368C46" w:rsidR="00C5533C" w:rsidRDefault="00C5533C" w:rsidP="00F172F3">
            <w:pPr>
              <w:pStyle w:val="Tabletext"/>
              <w:rPr>
                <w:lang w:eastAsia="en-AU"/>
              </w:rPr>
            </w:pPr>
            <w:r>
              <w:rPr>
                <w:lang w:eastAsia="en-AU"/>
              </w:rPr>
              <w:t>4.71</w:t>
            </w:r>
          </w:p>
        </w:tc>
        <w:tc>
          <w:tcPr>
            <w:tcW w:w="1134" w:type="dxa"/>
          </w:tcPr>
          <w:p w14:paraId="37393BFC" w14:textId="68A3C3BD" w:rsidR="00C5533C" w:rsidRDefault="00C5533C" w:rsidP="00F172F3">
            <w:pPr>
              <w:pStyle w:val="Tabletext"/>
              <w:rPr>
                <w:lang w:eastAsia="en-AU"/>
              </w:rPr>
            </w:pPr>
            <w:r>
              <w:rPr>
                <w:lang w:eastAsia="en-AU"/>
              </w:rPr>
              <w:t>5.15</w:t>
            </w:r>
          </w:p>
        </w:tc>
        <w:tc>
          <w:tcPr>
            <w:tcW w:w="1560" w:type="dxa"/>
          </w:tcPr>
          <w:p w14:paraId="7D846AFD" w14:textId="098487A5" w:rsidR="00C5533C" w:rsidRDefault="00C5533C" w:rsidP="00F172F3">
            <w:pPr>
              <w:pStyle w:val="Tabletext"/>
              <w:rPr>
                <w:lang w:eastAsia="en-AU"/>
              </w:rPr>
            </w:pPr>
            <w:r>
              <w:rPr>
                <w:lang w:eastAsia="en-AU"/>
              </w:rPr>
              <w:t>5.44</w:t>
            </w:r>
          </w:p>
        </w:tc>
      </w:tr>
      <w:tr w:rsidR="00C5533C" w14:paraId="6355C678" w14:textId="77777777" w:rsidTr="008D0C2F">
        <w:trPr>
          <w:cnfStyle w:val="000000010000" w:firstRow="0" w:lastRow="0" w:firstColumn="0" w:lastColumn="0" w:oddVBand="0" w:evenVBand="0" w:oddHBand="0" w:evenHBand="1" w:firstRowFirstColumn="0" w:firstRowLastColumn="0" w:lastRowFirstColumn="0" w:lastRowLastColumn="0"/>
        </w:trPr>
        <w:tc>
          <w:tcPr>
            <w:tcW w:w="1560" w:type="dxa"/>
          </w:tcPr>
          <w:p w14:paraId="6E5D7F1C" w14:textId="34C81E84" w:rsidR="00C5533C" w:rsidRDefault="00C5533C" w:rsidP="00F172F3">
            <w:pPr>
              <w:pStyle w:val="Tabletext"/>
              <w:rPr>
                <w:lang w:eastAsia="en-AU"/>
              </w:rPr>
            </w:pPr>
            <w:r>
              <w:rPr>
                <w:lang w:eastAsia="en-AU"/>
              </w:rPr>
              <w:t>2015</w:t>
            </w:r>
            <w:r w:rsidR="00DB5745">
              <w:rPr>
                <w:lang w:eastAsia="en-AU"/>
              </w:rPr>
              <w:t>–</w:t>
            </w:r>
            <w:r>
              <w:rPr>
                <w:lang w:eastAsia="en-AU"/>
              </w:rPr>
              <w:t>2020</w:t>
            </w:r>
          </w:p>
        </w:tc>
        <w:tc>
          <w:tcPr>
            <w:tcW w:w="708" w:type="dxa"/>
          </w:tcPr>
          <w:p w14:paraId="232BC862" w14:textId="2A46EAD7" w:rsidR="00C5533C" w:rsidRDefault="00C5533C" w:rsidP="00F172F3">
            <w:pPr>
              <w:pStyle w:val="Tabletext"/>
              <w:rPr>
                <w:lang w:eastAsia="en-AU"/>
              </w:rPr>
            </w:pPr>
            <w:r>
              <w:rPr>
                <w:lang w:eastAsia="en-AU"/>
              </w:rPr>
              <w:t>7.09</w:t>
            </w:r>
          </w:p>
        </w:tc>
        <w:tc>
          <w:tcPr>
            <w:tcW w:w="851" w:type="dxa"/>
          </w:tcPr>
          <w:p w14:paraId="61B325FA" w14:textId="09829B67" w:rsidR="00C5533C" w:rsidRDefault="00C5533C" w:rsidP="00F172F3">
            <w:pPr>
              <w:pStyle w:val="Tabletext"/>
              <w:rPr>
                <w:lang w:eastAsia="en-AU"/>
              </w:rPr>
            </w:pPr>
            <w:r>
              <w:rPr>
                <w:lang w:eastAsia="en-AU"/>
              </w:rPr>
              <w:t>10.13</w:t>
            </w:r>
          </w:p>
        </w:tc>
        <w:tc>
          <w:tcPr>
            <w:tcW w:w="850" w:type="dxa"/>
          </w:tcPr>
          <w:p w14:paraId="30C4C183" w14:textId="4256A1DE" w:rsidR="00C5533C" w:rsidRDefault="00C5533C" w:rsidP="00F172F3">
            <w:pPr>
              <w:pStyle w:val="Tabletext"/>
              <w:rPr>
                <w:lang w:eastAsia="en-AU"/>
              </w:rPr>
            </w:pPr>
            <w:r>
              <w:rPr>
                <w:lang w:eastAsia="en-AU"/>
              </w:rPr>
              <w:t>11.98</w:t>
            </w:r>
          </w:p>
        </w:tc>
        <w:tc>
          <w:tcPr>
            <w:tcW w:w="1134" w:type="dxa"/>
          </w:tcPr>
          <w:p w14:paraId="07408254" w14:textId="2FF4D7F7" w:rsidR="00C5533C" w:rsidRDefault="00C5533C" w:rsidP="00F172F3">
            <w:pPr>
              <w:pStyle w:val="Tabletext"/>
              <w:rPr>
                <w:lang w:eastAsia="en-AU"/>
              </w:rPr>
            </w:pPr>
            <w:r>
              <w:rPr>
                <w:lang w:eastAsia="en-AU"/>
              </w:rPr>
              <w:t>12.42</w:t>
            </w:r>
          </w:p>
        </w:tc>
        <w:tc>
          <w:tcPr>
            <w:tcW w:w="1560" w:type="dxa"/>
          </w:tcPr>
          <w:p w14:paraId="6BC44346" w14:textId="27FF893C" w:rsidR="00C5533C" w:rsidRDefault="00C5533C" w:rsidP="00F172F3">
            <w:pPr>
              <w:pStyle w:val="Tabletext"/>
              <w:rPr>
                <w:lang w:eastAsia="en-AU"/>
              </w:rPr>
            </w:pPr>
            <w:r>
              <w:rPr>
                <w:lang w:eastAsia="en-AU"/>
              </w:rPr>
              <w:t>12.71</w:t>
            </w:r>
          </w:p>
        </w:tc>
      </w:tr>
      <w:tr w:rsidR="00C5533C" w14:paraId="7913745C" w14:textId="77777777" w:rsidTr="008D0C2F">
        <w:trPr>
          <w:cnfStyle w:val="000000100000" w:firstRow="0" w:lastRow="0" w:firstColumn="0" w:lastColumn="0" w:oddVBand="0" w:evenVBand="0" w:oddHBand="1" w:evenHBand="0" w:firstRowFirstColumn="0" w:firstRowLastColumn="0" w:lastRowFirstColumn="0" w:lastRowLastColumn="0"/>
        </w:trPr>
        <w:tc>
          <w:tcPr>
            <w:tcW w:w="1560" w:type="dxa"/>
          </w:tcPr>
          <w:p w14:paraId="6CABD51D" w14:textId="7FC4C2A7" w:rsidR="00C5533C" w:rsidRDefault="00C5533C" w:rsidP="00F172F3">
            <w:pPr>
              <w:pStyle w:val="Tabletext"/>
              <w:rPr>
                <w:lang w:eastAsia="en-AU"/>
              </w:rPr>
            </w:pPr>
            <w:r>
              <w:rPr>
                <w:lang w:eastAsia="en-AU"/>
              </w:rPr>
              <w:t>Average</w:t>
            </w:r>
          </w:p>
        </w:tc>
        <w:tc>
          <w:tcPr>
            <w:tcW w:w="708" w:type="dxa"/>
          </w:tcPr>
          <w:p w14:paraId="11D6A2C3" w14:textId="51A0F862" w:rsidR="00C5533C" w:rsidRDefault="00C5533C" w:rsidP="00F172F3">
            <w:pPr>
              <w:pStyle w:val="Tabletext"/>
              <w:rPr>
                <w:lang w:eastAsia="en-AU"/>
              </w:rPr>
            </w:pPr>
            <w:r>
              <w:rPr>
                <w:lang w:eastAsia="en-AU"/>
              </w:rPr>
              <w:t>11.76</w:t>
            </w:r>
          </w:p>
        </w:tc>
        <w:tc>
          <w:tcPr>
            <w:tcW w:w="851" w:type="dxa"/>
          </w:tcPr>
          <w:p w14:paraId="722ECF28" w14:textId="3347A779" w:rsidR="00C5533C" w:rsidRDefault="00C5533C" w:rsidP="00F172F3">
            <w:pPr>
              <w:pStyle w:val="Tabletext"/>
              <w:rPr>
                <w:lang w:eastAsia="en-AU"/>
              </w:rPr>
            </w:pPr>
            <w:r>
              <w:rPr>
                <w:lang w:eastAsia="en-AU"/>
              </w:rPr>
              <w:t>16.80</w:t>
            </w:r>
          </w:p>
        </w:tc>
        <w:tc>
          <w:tcPr>
            <w:tcW w:w="850" w:type="dxa"/>
          </w:tcPr>
          <w:p w14:paraId="08CE13D7" w14:textId="6AF1692A" w:rsidR="00C5533C" w:rsidRDefault="00C5533C" w:rsidP="00F172F3">
            <w:pPr>
              <w:pStyle w:val="Tabletext"/>
              <w:rPr>
                <w:lang w:eastAsia="en-AU"/>
              </w:rPr>
            </w:pPr>
            <w:r>
              <w:rPr>
                <w:lang w:eastAsia="en-AU"/>
              </w:rPr>
              <w:t>18.65</w:t>
            </w:r>
          </w:p>
        </w:tc>
        <w:tc>
          <w:tcPr>
            <w:tcW w:w="1134" w:type="dxa"/>
          </w:tcPr>
          <w:p w14:paraId="64DBDE91" w14:textId="7A5FA852" w:rsidR="00C5533C" w:rsidRDefault="00C5533C" w:rsidP="00F172F3">
            <w:pPr>
              <w:pStyle w:val="Tabletext"/>
              <w:rPr>
                <w:lang w:eastAsia="en-AU"/>
              </w:rPr>
            </w:pPr>
            <w:r>
              <w:rPr>
                <w:lang w:eastAsia="en-AU"/>
              </w:rPr>
              <w:t>19.09</w:t>
            </w:r>
          </w:p>
        </w:tc>
        <w:tc>
          <w:tcPr>
            <w:tcW w:w="1560" w:type="dxa"/>
          </w:tcPr>
          <w:p w14:paraId="1BB49060" w14:textId="1D22B687" w:rsidR="00C5533C" w:rsidRDefault="00C5533C" w:rsidP="00F172F3">
            <w:pPr>
              <w:pStyle w:val="Tabletext"/>
              <w:rPr>
                <w:lang w:eastAsia="en-AU"/>
              </w:rPr>
            </w:pPr>
            <w:r>
              <w:rPr>
                <w:lang w:eastAsia="en-AU"/>
              </w:rPr>
              <w:t>19.38</w:t>
            </w:r>
          </w:p>
        </w:tc>
      </w:tr>
      <w:tr w:rsidR="00C5533C" w14:paraId="39246711" w14:textId="77777777" w:rsidTr="008D0C2F">
        <w:trPr>
          <w:cnfStyle w:val="000000010000" w:firstRow="0" w:lastRow="0" w:firstColumn="0" w:lastColumn="0" w:oddVBand="0" w:evenVBand="0" w:oddHBand="0" w:evenHBand="1" w:firstRowFirstColumn="0" w:firstRowLastColumn="0" w:lastRowFirstColumn="0" w:lastRowLastColumn="0"/>
        </w:trPr>
        <w:tc>
          <w:tcPr>
            <w:tcW w:w="1560" w:type="dxa"/>
          </w:tcPr>
          <w:p w14:paraId="1D1BCD1F" w14:textId="620FBC27" w:rsidR="00C5533C" w:rsidRDefault="00C5533C" w:rsidP="00F172F3">
            <w:pPr>
              <w:pStyle w:val="Tabletext"/>
              <w:rPr>
                <w:lang w:eastAsia="en-AU"/>
              </w:rPr>
            </w:pPr>
            <w:r>
              <w:rPr>
                <w:lang w:eastAsia="en-AU"/>
              </w:rPr>
              <w:t>Post Ukraine Invasion</w:t>
            </w:r>
            <w:r w:rsidR="00B21D11">
              <w:rPr>
                <w:lang w:eastAsia="en-AU"/>
              </w:rPr>
              <w:t xml:space="preserve"> (Feb 2022 to 2024)</w:t>
            </w:r>
          </w:p>
        </w:tc>
        <w:tc>
          <w:tcPr>
            <w:tcW w:w="708" w:type="dxa"/>
          </w:tcPr>
          <w:p w14:paraId="4E98D0C3" w14:textId="41114D53" w:rsidR="00C5533C" w:rsidRDefault="00C5533C" w:rsidP="00F172F3">
            <w:pPr>
              <w:pStyle w:val="Tabletext"/>
              <w:rPr>
                <w:lang w:eastAsia="en-AU"/>
              </w:rPr>
            </w:pPr>
            <w:r>
              <w:rPr>
                <w:lang w:eastAsia="en-AU"/>
              </w:rPr>
              <w:t>21.37</w:t>
            </w:r>
          </w:p>
        </w:tc>
        <w:tc>
          <w:tcPr>
            <w:tcW w:w="851" w:type="dxa"/>
          </w:tcPr>
          <w:p w14:paraId="578DB303" w14:textId="7B24444C" w:rsidR="00C5533C" w:rsidRDefault="00C5533C" w:rsidP="00F172F3">
            <w:pPr>
              <w:pStyle w:val="Tabletext"/>
              <w:rPr>
                <w:lang w:eastAsia="en-AU"/>
              </w:rPr>
            </w:pPr>
            <w:r>
              <w:rPr>
                <w:lang w:eastAsia="en-AU"/>
              </w:rPr>
              <w:t>30.53</w:t>
            </w:r>
          </w:p>
        </w:tc>
        <w:tc>
          <w:tcPr>
            <w:tcW w:w="850" w:type="dxa"/>
          </w:tcPr>
          <w:p w14:paraId="721962B0" w14:textId="46C78E11" w:rsidR="00C5533C" w:rsidRDefault="00C5533C" w:rsidP="00F172F3">
            <w:pPr>
              <w:pStyle w:val="Tabletext"/>
              <w:rPr>
                <w:lang w:eastAsia="en-AU"/>
              </w:rPr>
            </w:pPr>
            <w:r>
              <w:rPr>
                <w:lang w:eastAsia="en-AU"/>
              </w:rPr>
              <w:t>32.38</w:t>
            </w:r>
          </w:p>
        </w:tc>
        <w:tc>
          <w:tcPr>
            <w:tcW w:w="1134" w:type="dxa"/>
          </w:tcPr>
          <w:p w14:paraId="52EBE9A8" w14:textId="37DA759B" w:rsidR="00C5533C" w:rsidRDefault="00C5533C" w:rsidP="00F172F3">
            <w:pPr>
              <w:pStyle w:val="Tabletext"/>
              <w:rPr>
                <w:lang w:eastAsia="en-AU"/>
              </w:rPr>
            </w:pPr>
            <w:r>
              <w:rPr>
                <w:lang w:eastAsia="en-AU"/>
              </w:rPr>
              <w:t>32.82</w:t>
            </w:r>
          </w:p>
        </w:tc>
        <w:tc>
          <w:tcPr>
            <w:tcW w:w="1560" w:type="dxa"/>
          </w:tcPr>
          <w:p w14:paraId="3F6FA547" w14:textId="3E3643E7" w:rsidR="00C5533C" w:rsidRDefault="00C5533C" w:rsidP="00F172F3">
            <w:pPr>
              <w:pStyle w:val="Tabletext"/>
              <w:rPr>
                <w:lang w:eastAsia="en-AU"/>
              </w:rPr>
            </w:pPr>
            <w:r>
              <w:rPr>
                <w:lang w:eastAsia="en-AU"/>
              </w:rPr>
              <w:t>33.11</w:t>
            </w:r>
          </w:p>
        </w:tc>
      </w:tr>
    </w:tbl>
    <w:p w14:paraId="7A63E42E" w14:textId="55145D6F" w:rsidR="00C5533C" w:rsidRPr="00E22960" w:rsidRDefault="00C5533C" w:rsidP="00341B3B">
      <w:pPr>
        <w:pStyle w:val="Source"/>
        <w:spacing w:before="60"/>
      </w:pPr>
      <w:r w:rsidRPr="00E22960">
        <w:t xml:space="preserve">Notes: </w:t>
      </w:r>
      <w:r w:rsidR="003413BD">
        <w:t>Conversions</w:t>
      </w:r>
      <w:r w:rsidRPr="00E22960">
        <w:t xml:space="preserve"> assumes 70 c AUD/US </w:t>
      </w:r>
      <w:r w:rsidR="003413BD">
        <w:t>and</w:t>
      </w:r>
      <w:r w:rsidRPr="00E22960">
        <w:t xml:space="preserve"> $1.85/GJ regasification cost</w:t>
      </w:r>
      <w:r w:rsidR="003413BD">
        <w:t>.</w:t>
      </w:r>
      <w:r w:rsidRPr="00E22960">
        <w:t xml:space="preserve"> </w:t>
      </w:r>
      <w:r w:rsidR="00BF5898" w:rsidRPr="00E22960">
        <w:t>EnergyQuest</w:t>
      </w:r>
      <w:r w:rsidRPr="00E22960">
        <w:t xml:space="preserve"> estimates the cost of transporting gas from Port Kembla to Sydney to be $0.73/GJ and Geelong to Melbourne to be $0.44/GJ.</w:t>
      </w:r>
    </w:p>
    <w:p w14:paraId="4CB5B6AD" w14:textId="42010860" w:rsidR="00A73B69" w:rsidRPr="00E22960" w:rsidRDefault="00A73B69" w:rsidP="00E22960">
      <w:pPr>
        <w:pStyle w:val="Source"/>
      </w:pPr>
      <w:r w:rsidRPr="00E22960" w:rsidDel="00116C20">
        <w:t xml:space="preserve">Source: DISR </w:t>
      </w:r>
      <w:r w:rsidRPr="00E22960">
        <w:t>estimates</w:t>
      </w:r>
    </w:p>
    <w:tbl>
      <w:tblPr>
        <w:tblStyle w:val="OCETable"/>
        <w:tblW w:w="6804" w:type="dxa"/>
        <w:tblBorders>
          <w:top w:val="single" w:sz="36" w:space="0" w:color="005CAF" w:themeColor="accent1"/>
          <w:left w:val="single" w:sz="36" w:space="0" w:color="005CAF" w:themeColor="accent1"/>
          <w:bottom w:val="single" w:sz="36" w:space="0" w:color="005CAF" w:themeColor="accent1"/>
          <w:right w:val="single" w:sz="36" w:space="0" w:color="005CAF" w:themeColor="accent1"/>
        </w:tblBorders>
        <w:shd w:val="clear" w:color="auto" w:fill="F1CFCF"/>
        <w:tblLayout w:type="fixed"/>
        <w:tblLook w:val="04A0" w:firstRow="1" w:lastRow="0" w:firstColumn="1" w:lastColumn="0" w:noHBand="0" w:noVBand="1"/>
      </w:tblPr>
      <w:tblGrid>
        <w:gridCol w:w="6804"/>
      </w:tblGrid>
      <w:tr w:rsidR="00C5533C" w14:paraId="6845E79B" w14:textId="77777777" w:rsidTr="00D81BB3">
        <w:trPr>
          <w:cnfStyle w:val="100000000000" w:firstRow="1" w:lastRow="0" w:firstColumn="0" w:lastColumn="0" w:oddVBand="0" w:evenVBand="0" w:oddHBand="0" w:evenHBand="0" w:firstRowFirstColumn="0" w:firstRowLastColumn="0" w:lastRowFirstColumn="0" w:lastRowLastColumn="0"/>
        </w:trPr>
        <w:tc>
          <w:tcPr>
            <w:tcW w:w="0" w:type="pct"/>
            <w:shd w:val="clear" w:color="auto" w:fill="F1CFCF"/>
          </w:tcPr>
          <w:p w14:paraId="722DF611" w14:textId="6DDF63E0" w:rsidR="00C5533C" w:rsidRPr="00401289" w:rsidRDefault="00C5533C" w:rsidP="007C4939">
            <w:pPr>
              <w:pStyle w:val="Boxtext"/>
              <w:spacing w:beforeLines="60" w:before="144" w:afterLines="60" w:after="144"/>
              <w:ind w:left="113" w:right="113"/>
              <w:jc w:val="both"/>
              <w:rPr>
                <w:color w:val="auto"/>
              </w:rPr>
            </w:pPr>
            <w:r w:rsidRPr="005458FA">
              <w:rPr>
                <w:b/>
                <w:bCs/>
                <w:color w:val="auto"/>
              </w:rPr>
              <w:t xml:space="preserve">Insight: </w:t>
            </w:r>
            <w:r w:rsidRPr="00C5533C">
              <w:rPr>
                <w:color w:val="auto"/>
              </w:rPr>
              <w:t xml:space="preserve">South-eastern </w:t>
            </w:r>
            <w:r w:rsidR="005334A8">
              <w:rPr>
                <w:color w:val="auto"/>
              </w:rPr>
              <w:t xml:space="preserve">LNG </w:t>
            </w:r>
            <w:r w:rsidRPr="00C5533C">
              <w:rPr>
                <w:color w:val="auto"/>
              </w:rPr>
              <w:t xml:space="preserve">import terminals </w:t>
            </w:r>
            <w:r w:rsidR="000B4177">
              <w:rPr>
                <w:color w:val="auto"/>
              </w:rPr>
              <w:t xml:space="preserve">may </w:t>
            </w:r>
            <w:r w:rsidRPr="00C5533C">
              <w:rPr>
                <w:color w:val="auto"/>
              </w:rPr>
              <w:t xml:space="preserve">provide supply to </w:t>
            </w:r>
            <w:r w:rsidR="00260774">
              <w:rPr>
                <w:color w:val="auto"/>
              </w:rPr>
              <w:t>reduce</w:t>
            </w:r>
            <w:r w:rsidRPr="00C5533C">
              <w:rPr>
                <w:color w:val="auto"/>
              </w:rPr>
              <w:t xml:space="preserve"> the south-east supply gap in the timeframes </w:t>
            </w:r>
            <w:r w:rsidR="000B4177">
              <w:rPr>
                <w:color w:val="auto"/>
              </w:rPr>
              <w:t>needed</w:t>
            </w:r>
            <w:r w:rsidR="0075485C" w:rsidRPr="00C5533C">
              <w:rPr>
                <w:color w:val="auto"/>
              </w:rPr>
              <w:t xml:space="preserve"> but</w:t>
            </w:r>
            <w:r w:rsidRPr="00C5533C">
              <w:rPr>
                <w:color w:val="auto"/>
              </w:rPr>
              <w:t xml:space="preserve"> </w:t>
            </w:r>
            <w:r w:rsidR="005334A8">
              <w:rPr>
                <w:color w:val="auto"/>
              </w:rPr>
              <w:t xml:space="preserve">face barriers and </w:t>
            </w:r>
            <w:r w:rsidRPr="00C5533C">
              <w:rPr>
                <w:color w:val="auto"/>
              </w:rPr>
              <w:t xml:space="preserve">will expose south-eastern markets to a </w:t>
            </w:r>
            <w:r w:rsidR="00BD393C">
              <w:rPr>
                <w:color w:val="auto"/>
              </w:rPr>
              <w:t>‘</w:t>
            </w:r>
            <w:r w:rsidRPr="00C5533C">
              <w:rPr>
                <w:color w:val="auto"/>
              </w:rPr>
              <w:t xml:space="preserve">JKM-plus </w:t>
            </w:r>
            <w:r w:rsidR="00C026F4">
              <w:rPr>
                <w:color w:val="auto"/>
              </w:rPr>
              <w:t>(</w:t>
            </w:r>
            <w:r w:rsidRPr="00C5533C">
              <w:rPr>
                <w:color w:val="auto"/>
              </w:rPr>
              <w:t>regas</w:t>
            </w:r>
            <w:r w:rsidR="00C026F4">
              <w:rPr>
                <w:color w:val="auto"/>
              </w:rPr>
              <w:t>)</w:t>
            </w:r>
            <w:r w:rsidR="00BD393C">
              <w:rPr>
                <w:color w:val="auto"/>
              </w:rPr>
              <w:t>’</w:t>
            </w:r>
            <w:r w:rsidRPr="00C5533C">
              <w:rPr>
                <w:color w:val="auto"/>
              </w:rPr>
              <w:t xml:space="preserve"> price.</w:t>
            </w:r>
          </w:p>
        </w:tc>
      </w:tr>
    </w:tbl>
    <w:p w14:paraId="75A4C17D" w14:textId="77777777" w:rsidR="00F932E3" w:rsidRPr="00BC2B59" w:rsidRDefault="00EC7EC7" w:rsidP="0014570E">
      <w:pPr>
        <w:pStyle w:val="Heading3"/>
        <w:numPr>
          <w:ilvl w:val="0"/>
          <w:numId w:val="0"/>
        </w:numPr>
        <w:spacing w:before="120"/>
      </w:pPr>
      <w:r>
        <w:t>Risks to LNG terminal completion</w:t>
      </w:r>
    </w:p>
    <w:p w14:paraId="4C9FC01C" w14:textId="1986820C" w:rsidR="00F932E3" w:rsidRPr="00EB2C3D" w:rsidRDefault="00F932E3" w:rsidP="00F932E3">
      <w:pPr>
        <w:spacing w:after="120"/>
        <w:rPr>
          <w:color w:val="373737"/>
          <w:sz w:val="20"/>
        </w:rPr>
      </w:pPr>
      <w:r w:rsidRPr="00BC2B59">
        <w:rPr>
          <w:color w:val="373737"/>
          <w:sz w:val="20"/>
        </w:rPr>
        <w:t xml:space="preserve">Table 7.1 outlines the nameplate capacity of the </w:t>
      </w:r>
      <w:r w:rsidR="00873D4F">
        <w:rPr>
          <w:color w:val="373737"/>
          <w:sz w:val="20"/>
        </w:rPr>
        <w:t>4</w:t>
      </w:r>
      <w:r w:rsidRPr="00BC2B59">
        <w:rPr>
          <w:color w:val="373737"/>
          <w:sz w:val="20"/>
        </w:rPr>
        <w:t xml:space="preserve"> import terminal</w:t>
      </w:r>
      <w:r>
        <w:rPr>
          <w:color w:val="373737"/>
          <w:sz w:val="20"/>
        </w:rPr>
        <w:t>s</w:t>
      </w:r>
      <w:r w:rsidRPr="00BC2B59">
        <w:rPr>
          <w:color w:val="373737"/>
          <w:sz w:val="20"/>
        </w:rPr>
        <w:t xml:space="preserve"> currently under consideration. </w:t>
      </w:r>
      <w:r>
        <w:rPr>
          <w:color w:val="373737"/>
          <w:sz w:val="20"/>
        </w:rPr>
        <w:t>I</w:t>
      </w:r>
      <w:r w:rsidRPr="00BC2B59">
        <w:rPr>
          <w:color w:val="373737"/>
          <w:sz w:val="20"/>
        </w:rPr>
        <w:t xml:space="preserve">f the terminals are </w:t>
      </w:r>
      <w:r>
        <w:rPr>
          <w:color w:val="373737"/>
          <w:sz w:val="20"/>
        </w:rPr>
        <w:t>developed</w:t>
      </w:r>
      <w:r w:rsidRPr="00BC2B59">
        <w:rPr>
          <w:color w:val="373737"/>
          <w:sz w:val="20"/>
        </w:rPr>
        <w:t xml:space="preserve">, additional pipeline and injection capacity spend </w:t>
      </w:r>
      <w:r w:rsidR="00873D4F">
        <w:rPr>
          <w:color w:val="373737"/>
          <w:sz w:val="20"/>
        </w:rPr>
        <w:t>will be</w:t>
      </w:r>
      <w:r>
        <w:rPr>
          <w:color w:val="373737"/>
          <w:sz w:val="20"/>
        </w:rPr>
        <w:t xml:space="preserve"> </w:t>
      </w:r>
      <w:r w:rsidRPr="00BC2B59">
        <w:rPr>
          <w:color w:val="373737"/>
          <w:sz w:val="20"/>
        </w:rPr>
        <w:t xml:space="preserve">required to match import delivery with the ability to deliver gas to market. For example, the SWP pipeline between Geelong (site of </w:t>
      </w:r>
      <w:r w:rsidR="00873D4F">
        <w:rPr>
          <w:color w:val="373737"/>
          <w:sz w:val="20"/>
        </w:rPr>
        <w:t>2</w:t>
      </w:r>
      <w:r w:rsidRPr="00BC2B59">
        <w:rPr>
          <w:color w:val="373737"/>
          <w:sz w:val="20"/>
        </w:rPr>
        <w:t xml:space="preserve"> proposed terminals) to Melbourne</w:t>
      </w:r>
      <w:r w:rsidRPr="00EB2C3D">
        <w:rPr>
          <w:color w:val="373737"/>
          <w:sz w:val="20"/>
        </w:rPr>
        <w:t>.</w:t>
      </w:r>
    </w:p>
    <w:p w14:paraId="2799DB00" w14:textId="04DDA0C4" w:rsidR="00F932E3" w:rsidRPr="00EB2C3D" w:rsidRDefault="00F932E3" w:rsidP="00F932E3">
      <w:pPr>
        <w:spacing w:after="120"/>
        <w:rPr>
          <w:color w:val="373737"/>
          <w:sz w:val="20"/>
        </w:rPr>
      </w:pPr>
      <w:r w:rsidRPr="00BC2B59">
        <w:rPr>
          <w:color w:val="373737"/>
          <w:sz w:val="20"/>
        </w:rPr>
        <w:t>To bridge the forecast ACCC east coast shortfall of 300</w:t>
      </w:r>
      <w:r>
        <w:rPr>
          <w:color w:val="373737"/>
          <w:sz w:val="20"/>
        </w:rPr>
        <w:t xml:space="preserve"> </w:t>
      </w:r>
      <w:r w:rsidRPr="00BC2B59">
        <w:rPr>
          <w:color w:val="373737"/>
          <w:sz w:val="20"/>
        </w:rPr>
        <w:t>PJ by 2030</w:t>
      </w:r>
      <w:r w:rsidR="00873D4F">
        <w:rPr>
          <w:color w:val="373737"/>
          <w:sz w:val="20"/>
        </w:rPr>
        <w:t>,</w:t>
      </w:r>
      <w:r w:rsidRPr="00BC2B59">
        <w:rPr>
          <w:color w:val="373737"/>
          <w:sz w:val="20"/>
        </w:rPr>
        <w:t xml:space="preserve"> two import terminals would be needed. To bridge a larger gap of 3</w:t>
      </w:r>
      <w:r>
        <w:rPr>
          <w:color w:val="373737"/>
          <w:sz w:val="20"/>
        </w:rPr>
        <w:t>60</w:t>
      </w:r>
      <w:r w:rsidR="00873D4F">
        <w:rPr>
          <w:color w:val="373737"/>
          <w:sz w:val="20"/>
        </w:rPr>
        <w:t xml:space="preserve"> </w:t>
      </w:r>
      <w:r w:rsidRPr="00BC2B59">
        <w:rPr>
          <w:color w:val="373737"/>
          <w:sz w:val="20"/>
        </w:rPr>
        <w:t xml:space="preserve">PJ if </w:t>
      </w:r>
      <w:r w:rsidR="00C026F4">
        <w:rPr>
          <w:color w:val="373737"/>
          <w:sz w:val="20"/>
        </w:rPr>
        <w:t xml:space="preserve">the expected </w:t>
      </w:r>
      <w:r w:rsidRPr="00BC2B59">
        <w:rPr>
          <w:color w:val="373737"/>
          <w:sz w:val="20"/>
        </w:rPr>
        <w:t xml:space="preserve">Narrabri, Surat and Beetaloo </w:t>
      </w:r>
      <w:r w:rsidR="00C026F4">
        <w:rPr>
          <w:color w:val="373737"/>
          <w:sz w:val="20"/>
        </w:rPr>
        <w:t xml:space="preserve">developments </w:t>
      </w:r>
      <w:r w:rsidRPr="00BC2B59">
        <w:rPr>
          <w:color w:val="373737"/>
          <w:sz w:val="20"/>
        </w:rPr>
        <w:t xml:space="preserve">are late or no longer proceed, at least </w:t>
      </w:r>
      <w:r w:rsidR="00873D4F">
        <w:rPr>
          <w:color w:val="373737"/>
          <w:sz w:val="20"/>
        </w:rPr>
        <w:t xml:space="preserve">2 </w:t>
      </w:r>
      <w:r w:rsidRPr="00BC2B59">
        <w:rPr>
          <w:color w:val="373737"/>
          <w:sz w:val="20"/>
        </w:rPr>
        <w:t>import terminals would be needed.</w:t>
      </w:r>
    </w:p>
    <w:p w14:paraId="547346E5" w14:textId="1E020904" w:rsidR="00F932E3" w:rsidRPr="00BC2B59" w:rsidRDefault="004E02BB" w:rsidP="004E02BB">
      <w:pPr>
        <w:pStyle w:val="BodyText"/>
      </w:pPr>
      <w:r>
        <w:t>However,</w:t>
      </w:r>
      <w:r w:rsidR="00F932E3" w:rsidRPr="00BC2B59">
        <w:t xml:space="preserve"> the commercial viability of import terminals and contracts underpinning offtake are complex. Potential </w:t>
      </w:r>
      <w:r w:rsidR="00F932E3" w:rsidRPr="00803714">
        <w:t>gen</w:t>
      </w:r>
      <w:r w:rsidR="00F932E3">
        <w:t>-</w:t>
      </w:r>
      <w:r w:rsidR="00F932E3" w:rsidRPr="00803714">
        <w:t>tail</w:t>
      </w:r>
      <w:r w:rsidR="00F932E3">
        <w:t xml:space="preserve">er and large industrial </w:t>
      </w:r>
      <w:r w:rsidR="00F932E3" w:rsidRPr="00BC2B59">
        <w:t xml:space="preserve">partners are unwilling to bear all the delivery and offtake risks. There are also competition issues. While import terminals would help close the looming supply gap, development is far from certain. </w:t>
      </w:r>
    </w:p>
    <w:p w14:paraId="567CE0AF" w14:textId="3E305BA1" w:rsidR="00EC7EC7" w:rsidRPr="00BC2B59" w:rsidRDefault="004E02BB" w:rsidP="00D91D95">
      <w:pPr>
        <w:pStyle w:val="Heading2"/>
      </w:pPr>
      <w:bookmarkStart w:id="178" w:name="_Toc172794538"/>
      <w:r>
        <w:t xml:space="preserve">Increasing production on the </w:t>
      </w:r>
      <w:r w:rsidR="0014570E">
        <w:t>w</w:t>
      </w:r>
      <w:r>
        <w:t xml:space="preserve">est </w:t>
      </w:r>
      <w:r w:rsidDel="000B4177">
        <w:t>c</w:t>
      </w:r>
      <w:r>
        <w:t>oast</w:t>
      </w:r>
      <w:bookmarkEnd w:id="178"/>
    </w:p>
    <w:bookmarkEnd w:id="177"/>
    <w:p w14:paraId="29B75101" w14:textId="7E19028D" w:rsidR="00D10273" w:rsidRDefault="00EC7EC7" w:rsidP="00EC7EC7">
      <w:pPr>
        <w:spacing w:after="120"/>
        <w:rPr>
          <w:color w:val="373737"/>
          <w:sz w:val="20"/>
          <w:lang w:val="en"/>
        </w:rPr>
      </w:pPr>
      <w:r w:rsidRPr="00863A39">
        <w:rPr>
          <w:color w:val="373737"/>
          <w:sz w:val="20"/>
        </w:rPr>
        <w:t>AEMO</w:t>
      </w:r>
      <w:r w:rsidR="00436869">
        <w:rPr>
          <w:color w:val="373737"/>
          <w:sz w:val="20"/>
        </w:rPr>
        <w:t xml:space="preserve"> (2023</w:t>
      </w:r>
      <w:r w:rsidR="00600BD3">
        <w:rPr>
          <w:color w:val="373737"/>
          <w:sz w:val="20"/>
        </w:rPr>
        <w:t>c</w:t>
      </w:r>
      <w:r w:rsidR="00436869">
        <w:rPr>
          <w:color w:val="373737"/>
          <w:sz w:val="20"/>
        </w:rPr>
        <w:t>)</w:t>
      </w:r>
      <w:r w:rsidRPr="00863A39">
        <w:rPr>
          <w:color w:val="373737"/>
          <w:sz w:val="20"/>
        </w:rPr>
        <w:t xml:space="preserve"> forecasts gas prices in Western Australia’s domestic market to remain relatively low despite a forecast </w:t>
      </w:r>
      <w:r>
        <w:rPr>
          <w:color w:val="373737"/>
          <w:sz w:val="20"/>
        </w:rPr>
        <w:t>market</w:t>
      </w:r>
      <w:r w:rsidRPr="00863A39">
        <w:rPr>
          <w:color w:val="373737"/>
          <w:sz w:val="20"/>
        </w:rPr>
        <w:t xml:space="preserve"> shortfall. </w:t>
      </w:r>
      <w:r w:rsidR="00D10273" w:rsidRPr="00EF7A17">
        <w:rPr>
          <w:rStyle w:val="BodyTextChar"/>
        </w:rPr>
        <w:t xml:space="preserve">Western Australian gas supply is forecast to be 105 PJ short to 2026. </w:t>
      </w:r>
      <w:r w:rsidRPr="00863A39">
        <w:rPr>
          <w:color w:val="373737"/>
          <w:sz w:val="20"/>
          <w:lang w:val="en"/>
        </w:rPr>
        <w:t>The low-cost base and domestic gas reservation scheme, coupled with declining residential demand</w:t>
      </w:r>
      <w:r>
        <w:rPr>
          <w:color w:val="373737"/>
          <w:sz w:val="20"/>
          <w:lang w:val="en"/>
        </w:rPr>
        <w:t>,</w:t>
      </w:r>
      <w:r w:rsidRPr="00863A39">
        <w:rPr>
          <w:color w:val="373737"/>
          <w:sz w:val="20"/>
          <w:lang w:val="en"/>
        </w:rPr>
        <w:t xml:space="preserve"> </w:t>
      </w:r>
      <w:r>
        <w:rPr>
          <w:color w:val="373737"/>
          <w:sz w:val="20"/>
          <w:lang w:val="en"/>
        </w:rPr>
        <w:t xml:space="preserve">is forecast to </w:t>
      </w:r>
      <w:r w:rsidRPr="00863A39">
        <w:rPr>
          <w:color w:val="373737"/>
          <w:sz w:val="20"/>
          <w:lang w:val="en"/>
        </w:rPr>
        <w:t xml:space="preserve">keep </w:t>
      </w:r>
      <w:r w:rsidRPr="000324DC">
        <w:rPr>
          <w:color w:val="373737"/>
          <w:sz w:val="20"/>
          <w:lang w:val="en"/>
        </w:rPr>
        <w:t>Western Australia</w:t>
      </w:r>
      <w:r w:rsidRPr="00863A39">
        <w:rPr>
          <w:color w:val="373737"/>
          <w:sz w:val="20"/>
          <w:lang w:val="en"/>
        </w:rPr>
        <w:t xml:space="preserve"> wholesale prices low</w:t>
      </w:r>
      <w:r w:rsidR="00D10273">
        <w:rPr>
          <w:color w:val="373737"/>
          <w:sz w:val="20"/>
          <w:lang w:val="en"/>
        </w:rPr>
        <w:t xml:space="preserve"> relative to the east coast</w:t>
      </w:r>
      <w:r w:rsidRPr="00863A39">
        <w:rPr>
          <w:color w:val="373737"/>
          <w:sz w:val="20"/>
          <w:lang w:val="en"/>
        </w:rPr>
        <w:t xml:space="preserve">. </w:t>
      </w:r>
    </w:p>
    <w:p w14:paraId="577EC15D" w14:textId="37A6A4FE" w:rsidR="00D10273" w:rsidRDefault="00D10273" w:rsidP="00D10273">
      <w:pPr>
        <w:pStyle w:val="BodyText"/>
      </w:pPr>
      <w:r>
        <w:rPr>
          <w:lang w:val="en"/>
        </w:rPr>
        <w:t xml:space="preserve">There are options in the near term to keep prices from rising too quickly. </w:t>
      </w:r>
      <w:r w:rsidRPr="00EF7A17">
        <w:rPr>
          <w:rStyle w:val="BodyTextChar"/>
        </w:rPr>
        <w:t>Western Australia will have to rely on long-term storage at Tubridgi to meet near</w:t>
      </w:r>
      <w:r w:rsidR="008F3B4C">
        <w:rPr>
          <w:rStyle w:val="BodyTextChar"/>
        </w:rPr>
        <w:t>-</w:t>
      </w:r>
      <w:r w:rsidRPr="00EF7A17">
        <w:rPr>
          <w:rStyle w:val="BodyTextChar"/>
        </w:rPr>
        <w:t xml:space="preserve">term shortfalls. However, the Tubridgi long-term storage will be depleted by the end of 2026. </w:t>
      </w:r>
      <w:r>
        <w:t xml:space="preserve">Uncontracted LNG </w:t>
      </w:r>
      <w:r w:rsidR="00E85E3C">
        <w:rPr>
          <w:lang w:eastAsia="en-AU"/>
        </w:rPr>
        <w:t>—</w:t>
      </w:r>
      <w:r>
        <w:t xml:space="preserve"> a much larger share of production on the west coast compared to east coast LNG producers </w:t>
      </w:r>
      <w:r w:rsidR="00E85E3C">
        <w:rPr>
          <w:lang w:eastAsia="en-AU"/>
        </w:rPr>
        <w:t>—</w:t>
      </w:r>
      <w:r>
        <w:t xml:space="preserve"> may also offer an option to fill demand shortfalls. </w:t>
      </w:r>
    </w:p>
    <w:p w14:paraId="0B34644B" w14:textId="7427BB51" w:rsidR="00D10273" w:rsidRDefault="00D10273" w:rsidP="00D10273">
      <w:pPr>
        <w:spacing w:after="120"/>
        <w:rPr>
          <w:color w:val="373737"/>
          <w:sz w:val="20"/>
        </w:rPr>
      </w:pPr>
      <w:r>
        <w:rPr>
          <w:color w:val="373737"/>
          <w:sz w:val="20"/>
        </w:rPr>
        <w:t xml:space="preserve">Nonetheless, </w:t>
      </w:r>
      <w:r w:rsidR="00873D4F">
        <w:rPr>
          <w:color w:val="373737"/>
          <w:sz w:val="20"/>
        </w:rPr>
        <w:t xml:space="preserve">gas </w:t>
      </w:r>
      <w:r>
        <w:rPr>
          <w:color w:val="373737"/>
          <w:sz w:val="20"/>
        </w:rPr>
        <w:t>p</w:t>
      </w:r>
      <w:r w:rsidRPr="00FC5C58">
        <w:rPr>
          <w:color w:val="373737"/>
          <w:sz w:val="20"/>
        </w:rPr>
        <w:t>ric</w:t>
      </w:r>
      <w:r w:rsidR="00873D4F">
        <w:rPr>
          <w:color w:val="373737"/>
          <w:sz w:val="20"/>
        </w:rPr>
        <w:t>es</w:t>
      </w:r>
      <w:r w:rsidRPr="00FC5C58">
        <w:rPr>
          <w:color w:val="373737"/>
          <w:sz w:val="20"/>
        </w:rPr>
        <w:t xml:space="preserve"> may be put under pressure as the market tightens. </w:t>
      </w:r>
      <w:r>
        <w:rPr>
          <w:color w:val="373737"/>
          <w:sz w:val="20"/>
        </w:rPr>
        <w:t>T</w:t>
      </w:r>
      <w:r w:rsidRPr="00FC5C58">
        <w:rPr>
          <w:color w:val="373737"/>
          <w:sz w:val="20"/>
        </w:rPr>
        <w:t>he demand and supply balance in Western Australia is tightening due to delays in project development</w:t>
      </w:r>
      <w:r>
        <w:rPr>
          <w:color w:val="373737"/>
          <w:sz w:val="20"/>
        </w:rPr>
        <w:t>, the expiration of legacy domestic supply contracts</w:t>
      </w:r>
      <w:r w:rsidRPr="00FC5C58">
        <w:rPr>
          <w:color w:val="373737"/>
          <w:sz w:val="20"/>
        </w:rPr>
        <w:t xml:space="preserve"> and changing demand patterns. </w:t>
      </w:r>
    </w:p>
    <w:p w14:paraId="571220CD" w14:textId="29708CBA" w:rsidR="00951B0A" w:rsidRDefault="00951B0A" w:rsidP="00951B0A">
      <w:pPr>
        <w:pStyle w:val="BodyText"/>
      </w:pPr>
      <w:r w:rsidRPr="003A062C">
        <w:t>Between 2027 and 2029, supply is forecast to grow</w:t>
      </w:r>
      <w:r>
        <w:t xml:space="preserve">. The </w:t>
      </w:r>
      <w:r w:rsidRPr="003A062C">
        <w:t>Scarborough</w:t>
      </w:r>
      <w:r>
        <w:t xml:space="preserve"> (timing uncertain)</w:t>
      </w:r>
      <w:r w:rsidRPr="003A062C">
        <w:t xml:space="preserve">, South Erregulla, Lockyer Deep, and Waitsia </w:t>
      </w:r>
      <w:r>
        <w:t xml:space="preserve">developments </w:t>
      </w:r>
      <w:r w:rsidRPr="003A062C">
        <w:t>are expected to enter the domestic market.</w:t>
      </w:r>
      <w:r>
        <w:t xml:space="preserve"> Progressing </w:t>
      </w:r>
      <w:r w:rsidRPr="008C3218">
        <w:t xml:space="preserve">the </w:t>
      </w:r>
      <w:r>
        <w:t>West</w:t>
      </w:r>
      <w:r w:rsidRPr="008C3218">
        <w:t xml:space="preserve"> Erregulla or further expansion of Beharra Springs will also help alleviate shortages. However, </w:t>
      </w:r>
      <w:r>
        <w:t xml:space="preserve">by </w:t>
      </w:r>
      <w:r w:rsidRPr="008C3218">
        <w:t>2030, unles</w:t>
      </w:r>
      <w:r>
        <w:t>s undeveloped resources</w:t>
      </w:r>
      <w:r w:rsidRPr="008C3218">
        <w:t xml:space="preserve"> </w:t>
      </w:r>
      <w:r>
        <w:t>commence production,</w:t>
      </w:r>
      <w:r w:rsidRPr="008C3218">
        <w:t xml:space="preserve"> supply </w:t>
      </w:r>
      <w:r w:rsidR="00873D4F">
        <w:t xml:space="preserve">will </w:t>
      </w:r>
      <w:r w:rsidRPr="008C3218">
        <w:t xml:space="preserve">begin to decline due to natural field </w:t>
      </w:r>
      <w:r>
        <w:t>depletion</w:t>
      </w:r>
      <w:r w:rsidRPr="008C3218">
        <w:t>.</w:t>
      </w:r>
      <w:r>
        <w:t xml:space="preserve"> </w:t>
      </w:r>
    </w:p>
    <w:p w14:paraId="753E6CCC" w14:textId="540E70CF" w:rsidR="00EC7EC7" w:rsidRPr="00863A39" w:rsidRDefault="00951B0A" w:rsidP="00EC7EC7">
      <w:pPr>
        <w:spacing w:after="120"/>
        <w:rPr>
          <w:color w:val="373737"/>
          <w:sz w:val="20"/>
          <w:lang w:val="en"/>
        </w:rPr>
      </w:pPr>
      <w:r>
        <w:rPr>
          <w:color w:val="373737"/>
          <w:sz w:val="20"/>
          <w:lang w:val="en"/>
        </w:rPr>
        <w:t xml:space="preserve">Demand conditions have </w:t>
      </w:r>
      <w:r w:rsidR="00260774">
        <w:rPr>
          <w:color w:val="373737"/>
          <w:sz w:val="20"/>
          <w:lang w:val="en"/>
        </w:rPr>
        <w:t>and will continue to</w:t>
      </w:r>
      <w:r>
        <w:rPr>
          <w:color w:val="373737"/>
          <w:sz w:val="20"/>
          <w:lang w:val="en"/>
        </w:rPr>
        <w:t xml:space="preserve"> change. With higher prices some users may reduce demand.</w:t>
      </w:r>
      <w:r w:rsidR="00EC7EC7" w:rsidRPr="00863A39">
        <w:rPr>
          <w:color w:val="373737"/>
          <w:sz w:val="20"/>
          <w:lang w:val="en"/>
        </w:rPr>
        <w:t xml:space="preserve"> AEMO </w:t>
      </w:r>
      <w:r w:rsidR="00D10273">
        <w:rPr>
          <w:color w:val="373737"/>
          <w:sz w:val="20"/>
          <w:lang w:val="en"/>
        </w:rPr>
        <w:t>(</w:t>
      </w:r>
      <w:r w:rsidR="00B428B4">
        <w:rPr>
          <w:color w:val="373737"/>
          <w:sz w:val="20"/>
          <w:lang w:val="en"/>
        </w:rPr>
        <w:t>2023</w:t>
      </w:r>
      <w:r w:rsidR="00351BBD">
        <w:rPr>
          <w:color w:val="373737"/>
          <w:sz w:val="20"/>
          <w:lang w:val="en"/>
        </w:rPr>
        <w:t>c</w:t>
      </w:r>
      <w:r w:rsidR="00D10273">
        <w:rPr>
          <w:color w:val="373737"/>
          <w:sz w:val="20"/>
          <w:lang w:val="en"/>
        </w:rPr>
        <w:t xml:space="preserve">) has </w:t>
      </w:r>
      <w:r w:rsidR="00EC7EC7" w:rsidRPr="00863A39">
        <w:rPr>
          <w:color w:val="373737"/>
          <w:sz w:val="20"/>
          <w:lang w:val="en"/>
        </w:rPr>
        <w:t xml:space="preserve">found </w:t>
      </w:r>
      <w:r w:rsidR="00B428B4">
        <w:rPr>
          <w:color w:val="373737"/>
          <w:sz w:val="20"/>
          <w:lang w:val="en"/>
        </w:rPr>
        <w:t>that</w:t>
      </w:r>
      <w:r w:rsidR="00EC7EC7" w:rsidRPr="00863A39">
        <w:rPr>
          <w:color w:val="373737"/>
          <w:sz w:val="20"/>
          <w:lang w:val="en"/>
        </w:rPr>
        <w:t xml:space="preserve"> </w:t>
      </w:r>
      <w:r w:rsidR="00D10273">
        <w:rPr>
          <w:color w:val="373737"/>
          <w:sz w:val="20"/>
          <w:lang w:val="en"/>
        </w:rPr>
        <w:t>industrial</w:t>
      </w:r>
      <w:r w:rsidR="00D10273" w:rsidRPr="00863A39">
        <w:rPr>
          <w:color w:val="373737"/>
          <w:sz w:val="20"/>
          <w:lang w:val="en"/>
        </w:rPr>
        <w:t xml:space="preserve"> </w:t>
      </w:r>
      <w:r w:rsidR="00D10273">
        <w:rPr>
          <w:color w:val="373737"/>
          <w:sz w:val="20"/>
          <w:lang w:val="en"/>
        </w:rPr>
        <w:t xml:space="preserve">demand </w:t>
      </w:r>
      <w:r w:rsidR="00B428B4">
        <w:rPr>
          <w:color w:val="373737"/>
          <w:sz w:val="20"/>
          <w:lang w:val="en"/>
        </w:rPr>
        <w:t>is priced out of the market</w:t>
      </w:r>
      <w:r w:rsidR="00D10273">
        <w:rPr>
          <w:color w:val="373737"/>
          <w:sz w:val="20"/>
          <w:lang w:val="en"/>
        </w:rPr>
        <w:t xml:space="preserve"> from around</w:t>
      </w:r>
      <w:r w:rsidR="00EC7EC7" w:rsidRPr="00863A39">
        <w:rPr>
          <w:color w:val="373737"/>
          <w:sz w:val="20"/>
          <w:lang w:val="en"/>
        </w:rPr>
        <w:t xml:space="preserve"> $10/GJ. </w:t>
      </w:r>
      <w:r>
        <w:rPr>
          <w:color w:val="373737"/>
          <w:sz w:val="20"/>
          <w:lang w:val="en"/>
        </w:rPr>
        <w:t>On the other hand, n</w:t>
      </w:r>
      <w:r w:rsidR="00EC7EC7" w:rsidRPr="00863A39">
        <w:rPr>
          <w:color w:val="373737"/>
          <w:sz w:val="20"/>
          <w:lang w:val="en"/>
        </w:rPr>
        <w:t>ew large industrial projects are incentivi</w:t>
      </w:r>
      <w:r w:rsidR="00EC7EC7">
        <w:rPr>
          <w:color w:val="373737"/>
          <w:sz w:val="20"/>
          <w:lang w:val="en"/>
        </w:rPr>
        <w:t>s</w:t>
      </w:r>
      <w:r w:rsidR="00EC7EC7" w:rsidRPr="00863A39">
        <w:rPr>
          <w:color w:val="373737"/>
          <w:sz w:val="20"/>
          <w:lang w:val="en"/>
        </w:rPr>
        <w:t>ed at prices around $5/GJ</w:t>
      </w:r>
      <w:r>
        <w:rPr>
          <w:color w:val="373737"/>
          <w:sz w:val="20"/>
          <w:lang w:val="en"/>
        </w:rPr>
        <w:t>, suggesting a floor on prices</w:t>
      </w:r>
      <w:r w:rsidR="00EC7EC7" w:rsidRPr="00863A39">
        <w:rPr>
          <w:color w:val="373737"/>
          <w:sz w:val="20"/>
          <w:lang w:val="en"/>
        </w:rPr>
        <w:t xml:space="preserve">. </w:t>
      </w:r>
    </w:p>
    <w:p w14:paraId="7195CF68" w14:textId="310280A6" w:rsidR="00EC7EC7" w:rsidRDefault="00951B0A" w:rsidP="00EC7EC7">
      <w:pPr>
        <w:spacing w:after="120"/>
        <w:rPr>
          <w:color w:val="373737"/>
          <w:sz w:val="20"/>
        </w:rPr>
      </w:pPr>
      <w:r>
        <w:rPr>
          <w:color w:val="373737"/>
          <w:sz w:val="20"/>
        </w:rPr>
        <w:t xml:space="preserve">A further issue on the west coast is the operation of the domestic gas policy of the Western Australian Government </w:t>
      </w:r>
      <w:r w:rsidR="00E85E3C">
        <w:rPr>
          <w:lang w:eastAsia="en-AU"/>
        </w:rPr>
        <w:t>—</w:t>
      </w:r>
      <w:r>
        <w:rPr>
          <w:color w:val="373737"/>
          <w:sz w:val="20"/>
        </w:rPr>
        <w:t xml:space="preserve"> resolution of issues may lead to additional supply. </w:t>
      </w:r>
      <w:r w:rsidR="00EC7EC7" w:rsidRPr="00A50FCF">
        <w:rPr>
          <w:color w:val="373737"/>
          <w:sz w:val="20"/>
        </w:rPr>
        <w:t>On 21 February 2024, the Western Australian Parliament’s Economics and Industry Standing Committee released their interim report into the WA Domestic Gas Policy. The</w:t>
      </w:r>
      <w:r w:rsidR="00EC7EC7">
        <w:rPr>
          <w:color w:val="373737"/>
          <w:sz w:val="20"/>
        </w:rPr>
        <w:t xml:space="preserve"> interim</w:t>
      </w:r>
      <w:r w:rsidR="00EC7EC7" w:rsidRPr="00A50FCF">
        <w:rPr>
          <w:color w:val="373737"/>
          <w:sz w:val="20"/>
        </w:rPr>
        <w:t xml:space="preserve"> report notes that the domestic gas reservation scheme has spared the state from the price and supply volatility that has affected the east coast in recent years. </w:t>
      </w:r>
      <w:r w:rsidR="00EC7EC7">
        <w:rPr>
          <w:color w:val="373737"/>
          <w:sz w:val="20"/>
        </w:rPr>
        <w:t xml:space="preserve">However, the </w:t>
      </w:r>
      <w:r w:rsidR="00EC7EC7" w:rsidRPr="00A50FCF">
        <w:rPr>
          <w:color w:val="373737"/>
          <w:sz w:val="20"/>
        </w:rPr>
        <w:t xml:space="preserve">reservation policy was found to be </w:t>
      </w:r>
      <w:r w:rsidR="00BD393C">
        <w:rPr>
          <w:color w:val="373737"/>
          <w:sz w:val="20"/>
        </w:rPr>
        <w:t>‘</w:t>
      </w:r>
      <w:r w:rsidR="00EC7EC7" w:rsidRPr="00A50FCF">
        <w:rPr>
          <w:color w:val="373737"/>
          <w:sz w:val="20"/>
        </w:rPr>
        <w:t>no longer fit for purpose</w:t>
      </w:r>
      <w:r w:rsidR="00BD393C">
        <w:rPr>
          <w:color w:val="373737"/>
          <w:sz w:val="20"/>
        </w:rPr>
        <w:t>’</w:t>
      </w:r>
      <w:r w:rsidR="00EC7EC7" w:rsidRPr="00A50FCF">
        <w:rPr>
          <w:color w:val="373737"/>
          <w:sz w:val="20"/>
        </w:rPr>
        <w:t xml:space="preserve"> and may require government intervention. </w:t>
      </w:r>
    </w:p>
    <w:p w14:paraId="1B42CA1C" w14:textId="1A25D9C2" w:rsidR="00EC7EC7" w:rsidRDefault="00EC7EC7" w:rsidP="00EC7EC7">
      <w:pPr>
        <w:spacing w:after="120"/>
        <w:rPr>
          <w:color w:val="373737"/>
          <w:sz w:val="20"/>
        </w:rPr>
      </w:pPr>
      <w:r w:rsidRPr="00A50FCF">
        <w:rPr>
          <w:color w:val="373737"/>
          <w:sz w:val="20"/>
        </w:rPr>
        <w:t xml:space="preserve">According to the interim </w:t>
      </w:r>
      <w:r w:rsidR="00C026F4">
        <w:rPr>
          <w:color w:val="373737"/>
          <w:sz w:val="20"/>
        </w:rPr>
        <w:t xml:space="preserve">report of the </w:t>
      </w:r>
      <w:r w:rsidR="009A6547">
        <w:rPr>
          <w:color w:val="373737"/>
          <w:sz w:val="20"/>
        </w:rPr>
        <w:t>i</w:t>
      </w:r>
      <w:r w:rsidR="00C026F4">
        <w:rPr>
          <w:color w:val="373737"/>
          <w:sz w:val="20"/>
        </w:rPr>
        <w:t>nquiry</w:t>
      </w:r>
      <w:r w:rsidRPr="00A50FCF">
        <w:rPr>
          <w:color w:val="373737"/>
          <w:sz w:val="20"/>
        </w:rPr>
        <w:t>, LNG exporters have</w:t>
      </w:r>
      <w:r>
        <w:rPr>
          <w:color w:val="373737"/>
          <w:sz w:val="20"/>
        </w:rPr>
        <w:t>,</w:t>
      </w:r>
      <w:r w:rsidRPr="00A50FCF">
        <w:rPr>
          <w:color w:val="373737"/>
          <w:sz w:val="20"/>
        </w:rPr>
        <w:t xml:space="preserve"> on average</w:t>
      </w:r>
      <w:r>
        <w:rPr>
          <w:color w:val="373737"/>
          <w:sz w:val="20"/>
        </w:rPr>
        <w:t>,</w:t>
      </w:r>
      <w:r w:rsidRPr="00A50FCF">
        <w:rPr>
          <w:color w:val="373737"/>
          <w:sz w:val="20"/>
        </w:rPr>
        <w:t xml:space="preserve"> delivered </w:t>
      </w:r>
      <w:r w:rsidR="00C026F4" w:rsidRPr="00A50FCF">
        <w:rPr>
          <w:color w:val="373737"/>
          <w:sz w:val="20"/>
        </w:rPr>
        <w:t xml:space="preserve">domestic gas </w:t>
      </w:r>
      <w:r w:rsidR="00C026F4">
        <w:rPr>
          <w:color w:val="373737"/>
          <w:sz w:val="20"/>
        </w:rPr>
        <w:t xml:space="preserve">equating to about </w:t>
      </w:r>
      <w:r w:rsidRPr="00A50FCF">
        <w:rPr>
          <w:color w:val="373737"/>
          <w:sz w:val="20"/>
        </w:rPr>
        <w:t xml:space="preserve">8% of </w:t>
      </w:r>
      <w:r w:rsidR="00C026F4">
        <w:rPr>
          <w:color w:val="373737"/>
          <w:sz w:val="20"/>
        </w:rPr>
        <w:t>total production</w:t>
      </w:r>
      <w:r w:rsidRPr="00A50FCF">
        <w:rPr>
          <w:color w:val="373737"/>
          <w:sz w:val="20"/>
        </w:rPr>
        <w:t xml:space="preserve"> since their commitments started, considerably lower than the 15% required under the scheme. </w:t>
      </w:r>
      <w:r>
        <w:rPr>
          <w:color w:val="373737"/>
          <w:sz w:val="20"/>
        </w:rPr>
        <w:t>Figure 7.</w:t>
      </w:r>
      <w:r w:rsidR="00EF25F3">
        <w:rPr>
          <w:color w:val="373737"/>
          <w:sz w:val="20"/>
        </w:rPr>
        <w:t>1</w:t>
      </w:r>
      <w:r>
        <w:rPr>
          <w:color w:val="373737"/>
          <w:sz w:val="20"/>
        </w:rPr>
        <w:t xml:space="preserve"> </w:t>
      </w:r>
      <w:r w:rsidR="009A6547">
        <w:rPr>
          <w:color w:val="373737"/>
          <w:sz w:val="20"/>
        </w:rPr>
        <w:t>shows</w:t>
      </w:r>
      <w:r>
        <w:rPr>
          <w:color w:val="373737"/>
          <w:sz w:val="20"/>
        </w:rPr>
        <w:t xml:space="preserve"> data from a submission from the DomGas Alliance that sets out a year</w:t>
      </w:r>
      <w:r w:rsidR="009A6547">
        <w:rPr>
          <w:color w:val="373737"/>
          <w:sz w:val="20"/>
        </w:rPr>
        <w:t>-</w:t>
      </w:r>
      <w:r>
        <w:rPr>
          <w:color w:val="373737"/>
          <w:sz w:val="20"/>
        </w:rPr>
        <w:t>on</w:t>
      </w:r>
      <w:r w:rsidR="009A6547">
        <w:rPr>
          <w:color w:val="373737"/>
          <w:sz w:val="20"/>
        </w:rPr>
        <w:t>-</w:t>
      </w:r>
      <w:r>
        <w:rPr>
          <w:color w:val="373737"/>
          <w:sz w:val="20"/>
        </w:rPr>
        <w:t>year 15% domestic gas obligation versus delivery.</w:t>
      </w:r>
    </w:p>
    <w:p w14:paraId="6C505B6D" w14:textId="15315C24" w:rsidR="00EC7EC7" w:rsidRPr="00FC5C58" w:rsidRDefault="00EC7EC7" w:rsidP="00C97679">
      <w:pPr>
        <w:pStyle w:val="Caption"/>
        <w:rPr>
          <w:lang w:val="en"/>
        </w:rPr>
      </w:pPr>
      <w:r w:rsidRPr="00FC5C58">
        <w:rPr>
          <w:lang w:val="en"/>
        </w:rPr>
        <w:t xml:space="preserve">Figure </w:t>
      </w:r>
      <w:r w:rsidRPr="00FC5C58">
        <w:rPr>
          <w:lang w:val="en"/>
        </w:rPr>
        <w:fldChar w:fldCharType="begin"/>
      </w:r>
      <w:r w:rsidRPr="00FC5C58">
        <w:rPr>
          <w:lang w:val="en"/>
        </w:rPr>
        <w:instrText xml:space="preserve"> STYLEREF 1 \s </w:instrText>
      </w:r>
      <w:r w:rsidRPr="00FC5C58">
        <w:rPr>
          <w:lang w:val="en"/>
        </w:rPr>
        <w:fldChar w:fldCharType="separate"/>
      </w:r>
      <w:r w:rsidR="00BF178A">
        <w:rPr>
          <w:noProof/>
          <w:lang w:val="en"/>
        </w:rPr>
        <w:t>7</w:t>
      </w:r>
      <w:r w:rsidRPr="00FC5C58">
        <w:rPr>
          <w:lang w:val="en"/>
        </w:rPr>
        <w:fldChar w:fldCharType="end"/>
      </w:r>
      <w:r w:rsidRPr="00FC5C58">
        <w:rPr>
          <w:lang w:val="en"/>
        </w:rPr>
        <w:t>.</w:t>
      </w:r>
      <w:r w:rsidR="00EF25F3">
        <w:rPr>
          <w:lang w:val="en"/>
        </w:rPr>
        <w:t>1</w:t>
      </w:r>
      <w:r w:rsidRPr="00FC5C58">
        <w:rPr>
          <w:lang w:val="en"/>
        </w:rPr>
        <w:t xml:space="preserve">: </w:t>
      </w:r>
      <w:r>
        <w:rPr>
          <w:lang w:val="en"/>
        </w:rPr>
        <w:t>15% Western Australian domestic gas reservation versus actual</w:t>
      </w:r>
      <w:r w:rsidR="00170F22">
        <w:rPr>
          <w:lang w:val="en"/>
        </w:rPr>
        <w:t>, 2014 to 2030</w:t>
      </w:r>
    </w:p>
    <w:p w14:paraId="2A46ABB0" w14:textId="131FCC5B" w:rsidR="00523066" w:rsidRDefault="005F5B53" w:rsidP="0090548C">
      <w:pPr>
        <w:pStyle w:val="Source"/>
        <w:spacing w:after="180"/>
        <w:rPr>
          <w:lang w:eastAsia="en-AU"/>
        </w:rPr>
      </w:pPr>
      <w:r>
        <w:rPr>
          <w:noProof/>
        </w:rPr>
        <w:drawing>
          <wp:inline distT="0" distB="0" distL="0" distR="0" wp14:anchorId="28D3E1FD" wp14:editId="0D9DB97B">
            <wp:extent cx="4206875" cy="2883535"/>
            <wp:effectExtent l="0" t="0" r="3175" b="0"/>
            <wp:docPr id="699519006" name="Picture 699519006" descr="The figure illustrates the annual actual and projected percentages of Western Australia's domestic gas supply relative to the total gas supply, alongside a hypothetical 15% year-on-year benchmark under the Domestic Market Obligation, spanning from 2014 to 2030. It reveals that the domestic gas supply exceeded the 15% benchmark from 2014 to 2016. However, starting in 2017, the percentage fell below the benchmark, hitting a low of approximately 5%, before recovering to 10% in 2023. It is anticipated to exhibit a steady increase from 2023 onwards and exceed benchmark at around 2029.">
              <a:extLst xmlns:a="http://schemas.openxmlformats.org/drawingml/2006/main">
                <a:ext uri="{FF2B5EF4-FFF2-40B4-BE49-F238E27FC236}">
                  <a16:creationId xmlns:a16="http://schemas.microsoft.com/office/drawing/2014/main" id="{1E103550-4E45-8106-8DA1-6A4469B99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19006" name="Picture 699519006" descr="The figure illustrates the annual actual and projected percentages of Western Australia's domestic gas supply relative to the total gas supply, alongside a hypothetical 15% year-on-year benchmark under the Domestic Market Obligation, spanning from 2014 to 2030. It reveals that the domestic gas supply exceeded the 15% benchmark from 2014 to 2016. However, starting in 2017, the percentage fell below the benchmark, hitting a low of approximately 5%, before recovering to 10% in 2023. It is anticipated to exhibit a steady increase from 2023 onwards and exceed benchmark at around 2029.">
                      <a:extLst>
                        <a:ext uri="{FF2B5EF4-FFF2-40B4-BE49-F238E27FC236}">
                          <a16:creationId xmlns:a16="http://schemas.microsoft.com/office/drawing/2014/main" id="{1E103550-4E45-8106-8DA1-6A4469B996BD}"/>
                        </a:ext>
                      </a:extLst>
                    </pic:cNvPr>
                    <pic:cNvPicPr>
                      <a:picLocks noChangeAspect="1"/>
                    </pic:cNvPicPr>
                  </pic:nvPicPr>
                  <pic:blipFill>
                    <a:blip r:embed="rId104"/>
                    <a:stretch>
                      <a:fillRect/>
                    </a:stretch>
                  </pic:blipFill>
                  <pic:spPr>
                    <a:xfrm>
                      <a:off x="0" y="0"/>
                      <a:ext cx="4206875" cy="2883535"/>
                    </a:xfrm>
                    <a:prstGeom prst="rect">
                      <a:avLst/>
                    </a:prstGeom>
                  </pic:spPr>
                </pic:pic>
              </a:graphicData>
            </a:graphic>
          </wp:inline>
        </w:drawing>
      </w:r>
    </w:p>
    <w:p w14:paraId="61D05AD5" w14:textId="1668C2C5" w:rsidR="00EC7EC7" w:rsidRPr="00E22960" w:rsidRDefault="00EC7EC7" w:rsidP="00E22960">
      <w:pPr>
        <w:pStyle w:val="Source"/>
      </w:pPr>
      <w:r w:rsidRPr="00E22960">
        <w:t xml:space="preserve">Source: DomGas Alliance </w:t>
      </w:r>
      <w:r w:rsidR="001F4A6F">
        <w:t>(2023)</w:t>
      </w:r>
    </w:p>
    <w:p w14:paraId="11398F7F" w14:textId="77777777" w:rsidR="00EC7EC7" w:rsidRDefault="00EC7EC7" w:rsidP="00EC7EC7">
      <w:pPr>
        <w:spacing w:after="120"/>
        <w:rPr>
          <w:color w:val="373737"/>
          <w:sz w:val="20"/>
        </w:rPr>
      </w:pPr>
      <w:r w:rsidRPr="00A50FCF">
        <w:rPr>
          <w:color w:val="373737"/>
          <w:sz w:val="20"/>
        </w:rPr>
        <w:t>Any future changes to the reservation policy would affect domestic gas supply</w:t>
      </w:r>
      <w:r>
        <w:rPr>
          <w:color w:val="373737"/>
          <w:sz w:val="20"/>
        </w:rPr>
        <w:t xml:space="preserve"> and thus</w:t>
      </w:r>
      <w:r w:rsidRPr="00A50FCF">
        <w:rPr>
          <w:color w:val="373737"/>
          <w:sz w:val="20"/>
        </w:rPr>
        <w:t xml:space="preserve"> expected gas shortages in the coming decade. The final inquiry is expected to be released on 30 May 2024.</w:t>
      </w:r>
    </w:p>
    <w:p w14:paraId="6842C71D" w14:textId="6B29136B" w:rsidR="00EC7EC7" w:rsidRDefault="00EC7EC7" w:rsidP="00EC7EC7">
      <w:pPr>
        <w:rPr>
          <w:color w:val="373737"/>
          <w:sz w:val="20"/>
        </w:rPr>
      </w:pPr>
      <w:r>
        <w:rPr>
          <w:color w:val="373737"/>
          <w:sz w:val="20"/>
        </w:rPr>
        <w:t>Figure 7.</w:t>
      </w:r>
      <w:r w:rsidR="00EF25F3">
        <w:rPr>
          <w:color w:val="373737"/>
          <w:sz w:val="20"/>
        </w:rPr>
        <w:t>2</w:t>
      </w:r>
      <w:r>
        <w:rPr>
          <w:color w:val="373737"/>
          <w:sz w:val="20"/>
        </w:rPr>
        <w:t xml:space="preserve"> sets out </w:t>
      </w:r>
      <w:r w:rsidRPr="00E60D60">
        <w:rPr>
          <w:color w:val="373737"/>
          <w:sz w:val="20"/>
        </w:rPr>
        <w:t xml:space="preserve">the </w:t>
      </w:r>
      <w:r>
        <w:rPr>
          <w:color w:val="373737"/>
          <w:sz w:val="20"/>
        </w:rPr>
        <w:t xml:space="preserve">additional domestic supply which could potentially come from a year-on-year 15% </w:t>
      </w:r>
      <w:r w:rsidR="009A6547">
        <w:rPr>
          <w:color w:val="373737"/>
          <w:sz w:val="20"/>
        </w:rPr>
        <w:t>d</w:t>
      </w:r>
      <w:r>
        <w:rPr>
          <w:color w:val="373737"/>
          <w:sz w:val="20"/>
        </w:rPr>
        <w:t xml:space="preserve">omestic </w:t>
      </w:r>
      <w:r w:rsidR="009A6547">
        <w:rPr>
          <w:color w:val="373737"/>
          <w:sz w:val="20"/>
        </w:rPr>
        <w:t>m</w:t>
      </w:r>
      <w:r>
        <w:rPr>
          <w:color w:val="373737"/>
          <w:sz w:val="20"/>
        </w:rPr>
        <w:t xml:space="preserve">arket </w:t>
      </w:r>
      <w:r w:rsidR="009A6547">
        <w:rPr>
          <w:color w:val="373737"/>
          <w:sz w:val="20"/>
        </w:rPr>
        <w:t>o</w:t>
      </w:r>
      <w:r>
        <w:rPr>
          <w:color w:val="373737"/>
          <w:sz w:val="20"/>
        </w:rPr>
        <w:t>bligation on all LNG projects. The stricter application would result in an additional 100 PJ of gas in 2025, 80 PJ in 2026 and 2027 and 40 PJ in 2028. The additional gas supply would address the predicted gas deficit from 2024 to 2029.</w:t>
      </w:r>
    </w:p>
    <w:p w14:paraId="212DD164" w14:textId="5B6A70CE" w:rsidR="00EC7EC7" w:rsidRDefault="00EC7EC7" w:rsidP="00C97679">
      <w:pPr>
        <w:pStyle w:val="Caption"/>
        <w:rPr>
          <w:lang w:val="en"/>
        </w:rPr>
      </w:pPr>
      <w:r w:rsidRPr="00FC5C58">
        <w:rPr>
          <w:lang w:val="en"/>
        </w:rPr>
        <w:t xml:space="preserve">Figure </w:t>
      </w:r>
      <w:r w:rsidRPr="00FC5C58">
        <w:rPr>
          <w:lang w:val="en"/>
        </w:rPr>
        <w:fldChar w:fldCharType="begin"/>
      </w:r>
      <w:r w:rsidRPr="00FC5C58">
        <w:rPr>
          <w:lang w:val="en"/>
        </w:rPr>
        <w:instrText xml:space="preserve"> STYLEREF 1 \s </w:instrText>
      </w:r>
      <w:r w:rsidRPr="00FC5C58">
        <w:rPr>
          <w:lang w:val="en"/>
        </w:rPr>
        <w:fldChar w:fldCharType="separate"/>
      </w:r>
      <w:r w:rsidR="00BF178A">
        <w:rPr>
          <w:noProof/>
          <w:lang w:val="en"/>
        </w:rPr>
        <w:t>7</w:t>
      </w:r>
      <w:r w:rsidRPr="00FC5C58">
        <w:rPr>
          <w:lang w:val="en"/>
        </w:rPr>
        <w:fldChar w:fldCharType="end"/>
      </w:r>
      <w:r w:rsidRPr="00FC5C58">
        <w:rPr>
          <w:lang w:val="en"/>
        </w:rPr>
        <w:t>.</w:t>
      </w:r>
      <w:r w:rsidR="00EF25F3">
        <w:rPr>
          <w:lang w:val="en"/>
        </w:rPr>
        <w:t>2</w:t>
      </w:r>
      <w:r w:rsidRPr="00FC5C58">
        <w:rPr>
          <w:lang w:val="en"/>
        </w:rPr>
        <w:t xml:space="preserve">: </w:t>
      </w:r>
      <w:r>
        <w:rPr>
          <w:lang w:val="en"/>
        </w:rPr>
        <w:t xml:space="preserve">Additional domestic supply from </w:t>
      </w:r>
      <w:r w:rsidR="00AC0A1D">
        <w:rPr>
          <w:lang w:val="en"/>
        </w:rPr>
        <w:t>d</w:t>
      </w:r>
      <w:r>
        <w:rPr>
          <w:lang w:val="en"/>
        </w:rPr>
        <w:t xml:space="preserve">omestic </w:t>
      </w:r>
      <w:r w:rsidR="00170F22">
        <w:rPr>
          <w:lang w:val="en"/>
        </w:rPr>
        <w:t>m</w:t>
      </w:r>
      <w:r>
        <w:rPr>
          <w:lang w:val="en"/>
        </w:rPr>
        <w:t xml:space="preserve">arket </w:t>
      </w:r>
      <w:r w:rsidR="00AC0A1D">
        <w:rPr>
          <w:lang w:val="en"/>
        </w:rPr>
        <w:t>o</w:t>
      </w:r>
      <w:r>
        <w:rPr>
          <w:lang w:val="en"/>
        </w:rPr>
        <w:t>bligation</w:t>
      </w:r>
      <w:r w:rsidR="00170F22">
        <w:rPr>
          <w:lang w:val="en"/>
        </w:rPr>
        <w:t>, 2023 to 2029</w:t>
      </w:r>
    </w:p>
    <w:p w14:paraId="2BFAFBCA" w14:textId="77777777" w:rsidR="000220BF" w:rsidRDefault="005F5B53" w:rsidP="00566C00">
      <w:pPr>
        <w:pStyle w:val="AgendaTableSubHeading"/>
        <w:rPr>
          <w:rStyle w:val="SourceChar"/>
          <w:rFonts w:eastAsiaTheme="minorHAnsi"/>
          <w:b w:val="0"/>
          <w:bCs/>
        </w:rPr>
      </w:pPr>
      <w:r>
        <w:rPr>
          <w:noProof/>
        </w:rPr>
        <w:drawing>
          <wp:inline distT="0" distB="0" distL="0" distR="0" wp14:anchorId="772012FB" wp14:editId="6851554B">
            <wp:extent cx="4206875" cy="2276475"/>
            <wp:effectExtent l="0" t="0" r="3175" b="0"/>
            <wp:docPr id="699519007" name="Chart 699519007" descr="The figure shows the potential increase in domestic gas supply if a hypothetical 15% year-on-year benchmark, as stipulated by the domestic market obligation, were applied annually from 2023 to 2029. The anticipated additional gas supply is projected to peak in 2023 at approximately 100 PJ per year, followed by a gradual decline towards 2029.">
              <a:extLst xmlns:a="http://schemas.openxmlformats.org/drawingml/2006/main">
                <a:ext uri="{FF2B5EF4-FFF2-40B4-BE49-F238E27FC236}">
                  <a16:creationId xmlns:a16="http://schemas.microsoft.com/office/drawing/2014/main" id="{0580A41F-0E18-4630-B558-9F389A189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25E246C" w14:textId="1B177441" w:rsidR="000220BF" w:rsidRDefault="00514E5C" w:rsidP="00566C00">
      <w:pPr>
        <w:pStyle w:val="AgendaTableSubHeading"/>
        <w:rPr>
          <w:rStyle w:val="SourceChar"/>
          <w:rFonts w:eastAsiaTheme="minorHAnsi"/>
          <w:b w:val="0"/>
          <w:bCs/>
        </w:rPr>
      </w:pPr>
      <w:r w:rsidRPr="00E22960">
        <w:rPr>
          <w:rStyle w:val="SourceChar"/>
          <w:rFonts w:eastAsiaTheme="minorHAnsi"/>
          <w:b w:val="0"/>
          <w:bCs/>
        </w:rPr>
        <w:t>Notes</w:t>
      </w:r>
      <w:r w:rsidR="000220BF">
        <w:rPr>
          <w:rStyle w:val="SourceChar"/>
          <w:rFonts w:eastAsiaTheme="minorHAnsi"/>
          <w:b w:val="0"/>
          <w:bCs/>
        </w:rPr>
        <w:t xml:space="preserve">: </w:t>
      </w:r>
      <w:r w:rsidR="000220BF" w:rsidRPr="000220BF">
        <w:rPr>
          <w:rStyle w:val="SourceChar"/>
          <w:rFonts w:eastAsiaTheme="minorHAnsi"/>
          <w:b w:val="0"/>
          <w:bCs/>
        </w:rPr>
        <w:t>Additional gas is derived from a flat 15% applied every year.</w:t>
      </w:r>
    </w:p>
    <w:p w14:paraId="75C6BEF8" w14:textId="6AF09E6F" w:rsidR="00EC7EC7" w:rsidRPr="00E22960" w:rsidRDefault="000220BF" w:rsidP="00566C00">
      <w:pPr>
        <w:pStyle w:val="AgendaTableSubHeading"/>
        <w:rPr>
          <w:rStyle w:val="SourceChar"/>
          <w:rFonts w:eastAsiaTheme="minorHAnsi"/>
          <w:b w:val="0"/>
          <w:bCs/>
        </w:rPr>
      </w:pPr>
      <w:r>
        <w:rPr>
          <w:rStyle w:val="SourceChar"/>
          <w:rFonts w:eastAsiaTheme="minorHAnsi"/>
          <w:b w:val="0"/>
          <w:bCs/>
        </w:rPr>
        <w:t>Source</w:t>
      </w:r>
      <w:r w:rsidR="00EC7EC7" w:rsidRPr="00E22960">
        <w:rPr>
          <w:rStyle w:val="SourceChar"/>
          <w:rFonts w:eastAsiaTheme="minorHAnsi"/>
          <w:b w:val="0"/>
          <w:bCs/>
        </w:rPr>
        <w:t xml:space="preserve">: Forecast DMO percentages are estimated based on the submission by DomGas Alliance </w:t>
      </w:r>
      <w:r w:rsidR="00731501">
        <w:rPr>
          <w:rStyle w:val="SourceChar"/>
          <w:rFonts w:eastAsiaTheme="minorHAnsi"/>
          <w:b w:val="0"/>
          <w:bCs/>
        </w:rPr>
        <w:t>(2023)</w:t>
      </w:r>
      <w:r w:rsidR="00EC7EC7" w:rsidRPr="00E22960">
        <w:rPr>
          <w:rStyle w:val="SourceChar"/>
          <w:rFonts w:eastAsiaTheme="minorHAnsi"/>
          <w:b w:val="0"/>
          <w:bCs/>
        </w:rPr>
        <w:t xml:space="preserve"> to the Department of Industry, Science and Resource</w:t>
      </w:r>
      <w:r>
        <w:rPr>
          <w:rStyle w:val="SourceChar"/>
          <w:rFonts w:eastAsiaTheme="minorHAnsi"/>
          <w:b w:val="0"/>
          <w:bCs/>
        </w:rPr>
        <w:t>s</w:t>
      </w:r>
      <w:r w:rsidR="00EC7EC7" w:rsidRPr="00E22960">
        <w:rPr>
          <w:rStyle w:val="SourceChar"/>
          <w:rFonts w:eastAsiaTheme="minorHAnsi"/>
          <w:b w:val="0"/>
          <w:bCs/>
        </w:rPr>
        <w:t xml:space="preserve">. Forecast LNG production is </w:t>
      </w:r>
      <w:r w:rsidR="00CB218F">
        <w:rPr>
          <w:rStyle w:val="SourceChar"/>
          <w:rFonts w:eastAsiaTheme="minorHAnsi"/>
          <w:b w:val="0"/>
          <w:bCs/>
        </w:rPr>
        <w:t>from</w:t>
      </w:r>
      <w:r w:rsidR="00514E5C" w:rsidRPr="00E22960">
        <w:rPr>
          <w:rStyle w:val="SourceChar"/>
          <w:rFonts w:eastAsiaTheme="minorHAnsi"/>
          <w:b w:val="0"/>
          <w:bCs/>
        </w:rPr>
        <w:t xml:space="preserve"> </w:t>
      </w:r>
      <w:r w:rsidR="00EC7EC7" w:rsidRPr="00E22960">
        <w:rPr>
          <w:rStyle w:val="SourceChar"/>
          <w:rFonts w:eastAsiaTheme="minorHAnsi"/>
          <w:b w:val="0"/>
          <w:bCs/>
        </w:rPr>
        <w:t xml:space="preserve">EnergyQuest </w:t>
      </w:r>
      <w:r w:rsidR="006D4636">
        <w:rPr>
          <w:rStyle w:val="SourceChar"/>
          <w:rFonts w:eastAsiaTheme="minorHAnsi"/>
          <w:b w:val="0"/>
          <w:bCs/>
        </w:rPr>
        <w:t>(2023b</w:t>
      </w:r>
      <w:r w:rsidR="00EC7EC7" w:rsidRPr="00E22960">
        <w:rPr>
          <w:rStyle w:val="SourceChar"/>
          <w:rFonts w:eastAsiaTheme="minorHAnsi"/>
          <w:b w:val="0"/>
          <w:bCs/>
        </w:rPr>
        <w:t>)</w:t>
      </w:r>
    </w:p>
    <w:p w14:paraId="2F8B6D4F" w14:textId="46DFBDFA" w:rsidR="00EC7EC7" w:rsidRDefault="00EC7EC7">
      <w:pPr>
        <w:spacing w:after="200" w:line="276" w:lineRule="auto"/>
        <w:rPr>
          <w:color w:val="373737"/>
          <w:sz w:val="20"/>
          <w:lang w:val="en"/>
        </w:rPr>
      </w:pPr>
      <w:r>
        <w:rPr>
          <w:color w:val="373737"/>
          <w:sz w:val="20"/>
          <w:lang w:val="en"/>
        </w:rPr>
        <w:br w:type="page"/>
      </w:r>
    </w:p>
    <w:p w14:paraId="2891E610" w14:textId="326AB085" w:rsidR="00EC7EC7" w:rsidRPr="00FF5DAB" w:rsidRDefault="00624FA5" w:rsidP="00EF7A17">
      <w:pPr>
        <w:pStyle w:val="UnnumberedHeading"/>
      </w:pPr>
      <w:bookmarkStart w:id="179" w:name="_Toc172794539"/>
      <w:r>
        <w:t xml:space="preserve">Appendix A: </w:t>
      </w:r>
      <w:r w:rsidR="00EC7EC7" w:rsidRPr="00FF5DAB">
        <w:t>Reference</w:t>
      </w:r>
      <w:r w:rsidR="00EC7EC7">
        <w:t>s</w:t>
      </w:r>
      <w:bookmarkEnd w:id="179"/>
    </w:p>
    <w:p w14:paraId="4855ADAA" w14:textId="77777777" w:rsidR="009100A6" w:rsidRPr="0017022F" w:rsidRDefault="009100A6" w:rsidP="001B065C">
      <w:pPr>
        <w:ind w:left="720" w:hanging="720"/>
        <w:rPr>
          <w:rFonts w:ascii="Arial" w:hAnsi="Arial" w:cs="Arial"/>
          <w:sz w:val="18"/>
          <w:szCs w:val="18"/>
        </w:rPr>
      </w:pPr>
      <w:bookmarkStart w:id="180" w:name="_Hlk165644910"/>
      <w:r w:rsidRPr="0017022F">
        <w:rPr>
          <w:rFonts w:ascii="Arial" w:hAnsi="Arial" w:cs="Arial"/>
          <w:sz w:val="18"/>
          <w:szCs w:val="18"/>
        </w:rPr>
        <w:t xml:space="preserve">ABS (Australian Bureau of Statistics) (2023a) </w:t>
      </w:r>
      <w:hyperlink r:id="rId106">
        <w:r w:rsidRPr="0017022F">
          <w:rPr>
            <w:rStyle w:val="Hyperlink"/>
            <w:rFonts w:ascii="Arial" w:hAnsi="Arial" w:cs="Arial"/>
            <w:i/>
            <w:iCs/>
            <w:sz w:val="18"/>
            <w:szCs w:val="18"/>
          </w:rPr>
          <w:t>Table 6a. Petroleum exploration, expenditure by onshore and offshore</w:t>
        </w:r>
      </w:hyperlink>
      <w:r w:rsidRPr="0017022F">
        <w:rPr>
          <w:rFonts w:ascii="Arial" w:hAnsi="Arial" w:cs="Arial"/>
          <w:i/>
          <w:iCs/>
          <w:sz w:val="18"/>
          <w:szCs w:val="18"/>
        </w:rPr>
        <w:t xml:space="preserve"> [data set]</w:t>
      </w:r>
      <w:r w:rsidRPr="0017022F">
        <w:rPr>
          <w:rFonts w:ascii="Arial" w:hAnsi="Arial" w:cs="Arial"/>
          <w:sz w:val="18"/>
          <w:szCs w:val="18"/>
        </w:rPr>
        <w:t>, abs.gov.au, accessed 29 February 2024.</w:t>
      </w:r>
    </w:p>
    <w:p w14:paraId="19F433F1"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ABS (2023b) </w:t>
      </w:r>
      <w:hyperlink r:id="rId107">
        <w:r w:rsidRPr="0017022F">
          <w:rPr>
            <w:rStyle w:val="Hyperlink"/>
            <w:rFonts w:ascii="Arial" w:hAnsi="Arial" w:cs="Arial"/>
            <w:i/>
            <w:iCs/>
            <w:sz w:val="18"/>
            <w:szCs w:val="18"/>
          </w:rPr>
          <w:t>Table 19. Private New Capital Expenditure and Expected Expenditure, Australia</w:t>
        </w:r>
      </w:hyperlink>
      <w:r w:rsidRPr="0017022F">
        <w:rPr>
          <w:rFonts w:ascii="Arial" w:hAnsi="Arial" w:cs="Arial"/>
          <w:sz w:val="18"/>
          <w:szCs w:val="18"/>
        </w:rPr>
        <w:t xml:space="preserve"> </w:t>
      </w:r>
      <w:r w:rsidRPr="0017022F">
        <w:rPr>
          <w:rFonts w:ascii="Arial" w:eastAsiaTheme="minorEastAsia" w:hAnsi="Arial" w:cs="Arial"/>
          <w:sz w:val="18"/>
          <w:szCs w:val="18"/>
        </w:rPr>
        <w:t>[data set], abs.gov.au, accessed 29 February 2024.</w:t>
      </w:r>
    </w:p>
    <w:p w14:paraId="48796E94"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ACCC (Australian Competition and Consumer Commission) (2021) </w:t>
      </w:r>
      <w:hyperlink r:id="rId108" w:anchor=":~:text=The%20review%20is%20being%20undertaken,a%20timely%20manner%2C%20and%20findings" w:history="1">
        <w:r w:rsidRPr="0017022F">
          <w:rPr>
            <w:rStyle w:val="Hyperlink"/>
            <w:rFonts w:ascii="Arial" w:hAnsi="Arial" w:cs="Arial"/>
            <w:i/>
            <w:iCs/>
            <w:sz w:val="18"/>
            <w:szCs w:val="18"/>
          </w:rPr>
          <w:t>Review of upstream competition and the timeliness of supply</w:t>
        </w:r>
      </w:hyperlink>
      <w:r w:rsidRPr="0017022F">
        <w:rPr>
          <w:rFonts w:ascii="Arial" w:hAnsi="Arial" w:cs="Arial"/>
          <w:sz w:val="18"/>
          <w:szCs w:val="18"/>
        </w:rPr>
        <w:t xml:space="preserve">, ACCC, Australian Government. </w:t>
      </w:r>
    </w:p>
    <w:p w14:paraId="75940F49"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ACCC (2023) </w:t>
      </w:r>
      <w:hyperlink r:id="rId109" w:anchor=":~:text=On%2015%20December%202023%2C%20the,by%20gas%20producers%20and%20retailers." w:history="1">
        <w:r w:rsidRPr="0017022F">
          <w:rPr>
            <w:rStyle w:val="Hyperlink"/>
            <w:rFonts w:ascii="Arial" w:hAnsi="Arial" w:cs="Arial"/>
            <w:i/>
            <w:iCs/>
            <w:sz w:val="18"/>
            <w:szCs w:val="18"/>
          </w:rPr>
          <w:t>Gas inquiry 2017-30: December 2023 interim report</w:t>
        </w:r>
      </w:hyperlink>
      <w:r w:rsidRPr="0017022F">
        <w:rPr>
          <w:rFonts w:ascii="Arial" w:hAnsi="Arial" w:cs="Arial"/>
          <w:sz w:val="18"/>
          <w:szCs w:val="18"/>
        </w:rPr>
        <w:t xml:space="preserve">, ACCC, Australian Government. </w:t>
      </w:r>
    </w:p>
    <w:p w14:paraId="4C1B5676"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ACIL Allen Consulting (2023) </w:t>
      </w:r>
      <w:hyperlink r:id="rId110">
        <w:r w:rsidRPr="0017022F">
          <w:rPr>
            <w:rStyle w:val="Hyperlink"/>
            <w:rFonts w:ascii="Arial" w:hAnsi="Arial" w:cs="Arial"/>
            <w:i/>
            <w:iCs/>
            <w:sz w:val="18"/>
            <w:szCs w:val="18"/>
          </w:rPr>
          <w:t>Economic Contribution of the Australian gas economy</w:t>
        </w:r>
      </w:hyperlink>
      <w:r w:rsidRPr="0017022F">
        <w:rPr>
          <w:rFonts w:ascii="Arial" w:hAnsi="Arial" w:cs="Arial"/>
          <w:sz w:val="18"/>
          <w:szCs w:val="18"/>
        </w:rPr>
        <w:t>, acilallen.com.au, accessed on 3 May 2024</w:t>
      </w:r>
      <w:r>
        <w:rPr>
          <w:rFonts w:ascii="Arial" w:hAnsi="Arial" w:cs="Arial"/>
          <w:sz w:val="18"/>
          <w:szCs w:val="18"/>
        </w:rPr>
        <w:t>.</w:t>
      </w:r>
      <w:r w:rsidRPr="0017022F">
        <w:rPr>
          <w:rFonts w:ascii="Arial" w:hAnsi="Arial" w:cs="Arial"/>
          <w:sz w:val="18"/>
          <w:szCs w:val="18"/>
        </w:rPr>
        <w:t xml:space="preserve"> </w:t>
      </w:r>
    </w:p>
    <w:p w14:paraId="4FD0B8EB" w14:textId="0C33E50B" w:rsidR="009100A6" w:rsidRDefault="009100A6" w:rsidP="001B065C">
      <w:pPr>
        <w:ind w:left="720" w:hanging="720"/>
        <w:rPr>
          <w:rFonts w:ascii="Arial" w:hAnsi="Arial" w:cs="Arial"/>
          <w:sz w:val="18"/>
          <w:szCs w:val="18"/>
        </w:rPr>
      </w:pPr>
      <w:r w:rsidRPr="0017022F">
        <w:rPr>
          <w:rFonts w:ascii="Arial" w:hAnsi="Arial" w:cs="Arial"/>
          <w:sz w:val="18"/>
          <w:szCs w:val="18"/>
        </w:rPr>
        <w:t>AEMO</w:t>
      </w:r>
      <w:r w:rsidR="00B35C37">
        <w:rPr>
          <w:rFonts w:ascii="Arial" w:hAnsi="Arial" w:cs="Arial"/>
          <w:sz w:val="18"/>
          <w:szCs w:val="18"/>
        </w:rPr>
        <w:t xml:space="preserve"> (</w:t>
      </w:r>
      <w:r w:rsidR="00B35C37" w:rsidRPr="0017022F">
        <w:rPr>
          <w:rFonts w:ascii="Arial" w:hAnsi="Arial" w:cs="Arial"/>
          <w:sz w:val="18"/>
          <w:szCs w:val="18"/>
        </w:rPr>
        <w:t xml:space="preserve">Australian Energy Market Operator) </w:t>
      </w:r>
      <w:r w:rsidRPr="0017022F">
        <w:rPr>
          <w:rFonts w:ascii="Arial" w:hAnsi="Arial" w:cs="Arial"/>
          <w:sz w:val="18"/>
          <w:szCs w:val="18"/>
        </w:rPr>
        <w:t>(202</w:t>
      </w:r>
      <w:r>
        <w:rPr>
          <w:rFonts w:ascii="Arial" w:hAnsi="Arial" w:cs="Arial"/>
          <w:sz w:val="18"/>
          <w:szCs w:val="18"/>
        </w:rPr>
        <w:t>2</w:t>
      </w:r>
      <w:r w:rsidRPr="0017022F">
        <w:rPr>
          <w:rFonts w:ascii="Arial" w:hAnsi="Arial" w:cs="Arial"/>
          <w:sz w:val="18"/>
          <w:szCs w:val="18"/>
        </w:rPr>
        <w:t xml:space="preserve">) </w:t>
      </w:r>
      <w:hyperlink r:id="rId111">
        <w:r w:rsidRPr="0017022F">
          <w:rPr>
            <w:rStyle w:val="Hyperlink"/>
            <w:rFonts w:ascii="Arial" w:hAnsi="Arial" w:cs="Arial"/>
            <w:i/>
            <w:iCs/>
            <w:sz w:val="18"/>
            <w:szCs w:val="18"/>
          </w:rPr>
          <w:t>202</w:t>
        </w:r>
        <w:r>
          <w:rPr>
            <w:rStyle w:val="Hyperlink"/>
            <w:rFonts w:ascii="Arial" w:hAnsi="Arial" w:cs="Arial"/>
            <w:i/>
            <w:iCs/>
            <w:sz w:val="18"/>
            <w:szCs w:val="18"/>
          </w:rPr>
          <w:t>2</w:t>
        </w:r>
        <w:r w:rsidRPr="0017022F">
          <w:rPr>
            <w:rStyle w:val="Hyperlink"/>
            <w:rFonts w:ascii="Arial" w:hAnsi="Arial" w:cs="Arial"/>
            <w:i/>
            <w:iCs/>
            <w:sz w:val="18"/>
            <w:szCs w:val="18"/>
          </w:rPr>
          <w:t xml:space="preserve"> WA GSOO figures data register</w:t>
        </w:r>
      </w:hyperlink>
      <w:r w:rsidRPr="0017022F">
        <w:rPr>
          <w:rFonts w:ascii="Arial" w:hAnsi="Arial" w:cs="Arial"/>
          <w:sz w:val="18"/>
          <w:szCs w:val="18"/>
        </w:rPr>
        <w:t xml:space="preserve"> [data set], aemo.com.au, accessed 30 February 2024. </w:t>
      </w:r>
    </w:p>
    <w:p w14:paraId="1552F73A" w14:textId="02AD756E"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AEMO (2023a) </w:t>
      </w:r>
      <w:hyperlink r:id="rId112">
        <w:r w:rsidRPr="0017022F">
          <w:rPr>
            <w:rStyle w:val="Hyperlink"/>
            <w:rFonts w:ascii="Arial" w:hAnsi="Arial" w:cs="Arial"/>
            <w:i/>
            <w:iCs/>
            <w:sz w:val="18"/>
            <w:szCs w:val="18"/>
          </w:rPr>
          <w:t>Benchmark price report</w:t>
        </w:r>
      </w:hyperlink>
      <w:r w:rsidRPr="0017022F">
        <w:rPr>
          <w:rFonts w:ascii="Arial" w:hAnsi="Arial" w:cs="Arial"/>
          <w:i/>
          <w:iCs/>
          <w:sz w:val="18"/>
          <w:szCs w:val="18"/>
        </w:rPr>
        <w:t xml:space="preserve"> </w:t>
      </w:r>
      <w:r w:rsidRPr="0017022F">
        <w:rPr>
          <w:rFonts w:ascii="Arial" w:hAnsi="Arial" w:cs="Arial"/>
          <w:sz w:val="18"/>
          <w:szCs w:val="18"/>
        </w:rPr>
        <w:t>[data set], aemo.com.au, accessed 17 October 2023.</w:t>
      </w:r>
    </w:p>
    <w:p w14:paraId="2AE3161B"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AEMO (2023b) </w:t>
      </w:r>
      <w:hyperlink r:id="rId113">
        <w:r w:rsidRPr="0017022F">
          <w:rPr>
            <w:rStyle w:val="Hyperlink"/>
            <w:rFonts w:ascii="Arial" w:hAnsi="Arial" w:cs="Arial"/>
            <w:i/>
            <w:iCs/>
            <w:sz w:val="18"/>
            <w:szCs w:val="18"/>
          </w:rPr>
          <w:t>2023 Gas Statement of Opportunities – report figures data</w:t>
        </w:r>
      </w:hyperlink>
      <w:r w:rsidRPr="0017022F">
        <w:rPr>
          <w:rFonts w:ascii="Arial" w:hAnsi="Arial" w:cs="Arial"/>
          <w:sz w:val="18"/>
          <w:szCs w:val="18"/>
        </w:rPr>
        <w:t xml:space="preserve"> [data set], aemo.com.au, accessed 15 February 2024.</w:t>
      </w:r>
    </w:p>
    <w:p w14:paraId="64D3DFD3"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AEMO (2023c) </w:t>
      </w:r>
      <w:hyperlink r:id="rId114">
        <w:r w:rsidRPr="0017022F">
          <w:rPr>
            <w:rStyle w:val="Hyperlink"/>
            <w:rFonts w:ascii="Arial" w:hAnsi="Arial" w:cs="Arial"/>
            <w:i/>
            <w:iCs/>
            <w:sz w:val="18"/>
            <w:szCs w:val="18"/>
          </w:rPr>
          <w:t>2023 WA Gas Statement of Opportunities</w:t>
        </w:r>
      </w:hyperlink>
      <w:r w:rsidRPr="0017022F">
        <w:rPr>
          <w:rFonts w:ascii="Arial" w:hAnsi="Arial" w:cs="Arial"/>
          <w:sz w:val="18"/>
          <w:szCs w:val="18"/>
        </w:rPr>
        <w:t>,</w:t>
      </w:r>
      <w:r>
        <w:rPr>
          <w:rFonts w:ascii="Arial" w:hAnsi="Arial" w:cs="Arial"/>
          <w:sz w:val="18"/>
          <w:szCs w:val="18"/>
        </w:rPr>
        <w:t xml:space="preserve"> aemo.com.au,</w:t>
      </w:r>
      <w:r w:rsidRPr="0017022F">
        <w:rPr>
          <w:rFonts w:ascii="Arial" w:hAnsi="Arial" w:cs="Arial"/>
          <w:sz w:val="18"/>
          <w:szCs w:val="18"/>
        </w:rPr>
        <w:t xml:space="preserve"> accessed 30 February 2024</w:t>
      </w:r>
      <w:r>
        <w:rPr>
          <w:rFonts w:ascii="Arial" w:hAnsi="Arial" w:cs="Arial"/>
          <w:sz w:val="18"/>
          <w:szCs w:val="18"/>
        </w:rPr>
        <w:t>.</w:t>
      </w:r>
    </w:p>
    <w:p w14:paraId="2F3E8F93"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AEMO (2023d) </w:t>
      </w:r>
      <w:hyperlink r:id="rId115">
        <w:r w:rsidRPr="0017022F">
          <w:rPr>
            <w:rStyle w:val="Hyperlink"/>
            <w:rFonts w:ascii="Arial" w:hAnsi="Arial" w:cs="Arial"/>
            <w:i/>
            <w:iCs/>
            <w:sz w:val="18"/>
            <w:szCs w:val="18"/>
          </w:rPr>
          <w:t>2023 WA GSOO figures data register</w:t>
        </w:r>
      </w:hyperlink>
      <w:r w:rsidRPr="0017022F">
        <w:rPr>
          <w:rFonts w:ascii="Arial" w:hAnsi="Arial" w:cs="Arial"/>
          <w:sz w:val="18"/>
          <w:szCs w:val="18"/>
        </w:rPr>
        <w:t xml:space="preserve"> [data set], aemo.com.au, accessed 30 February 2024. </w:t>
      </w:r>
    </w:p>
    <w:p w14:paraId="0E16BFCA" w14:textId="77777777" w:rsidR="009100A6" w:rsidRDefault="009100A6" w:rsidP="001B065C">
      <w:pPr>
        <w:ind w:left="720" w:hanging="720"/>
        <w:rPr>
          <w:rFonts w:ascii="Arial" w:hAnsi="Arial" w:cs="Arial"/>
          <w:sz w:val="18"/>
          <w:szCs w:val="18"/>
        </w:rPr>
      </w:pPr>
      <w:r w:rsidRPr="0017022F">
        <w:rPr>
          <w:rFonts w:ascii="Arial" w:hAnsi="Arial" w:cs="Arial"/>
          <w:sz w:val="18"/>
          <w:szCs w:val="18"/>
        </w:rPr>
        <w:t xml:space="preserve">AEMO (2023e) </w:t>
      </w:r>
      <w:hyperlink r:id="rId116">
        <w:r w:rsidRPr="0017022F">
          <w:rPr>
            <w:rStyle w:val="Hyperlink"/>
            <w:rFonts w:ascii="Arial" w:hAnsi="Arial" w:cs="Arial"/>
            <w:i/>
            <w:iCs/>
            <w:sz w:val="18"/>
            <w:szCs w:val="18"/>
          </w:rPr>
          <w:t>Draft 2024 ISP Model</w:t>
        </w:r>
      </w:hyperlink>
      <w:r w:rsidRPr="0017022F">
        <w:rPr>
          <w:rFonts w:ascii="Arial" w:hAnsi="Arial" w:cs="Arial"/>
          <w:sz w:val="18"/>
          <w:szCs w:val="18"/>
        </w:rPr>
        <w:t xml:space="preserve"> [data set], aemo.com.au, accessed 30 February 2024. </w:t>
      </w:r>
    </w:p>
    <w:p w14:paraId="19C86381" w14:textId="77777777" w:rsidR="009100A6" w:rsidRPr="00810828" w:rsidRDefault="009100A6" w:rsidP="001B065C">
      <w:pPr>
        <w:ind w:left="720" w:hanging="720"/>
        <w:rPr>
          <w:rFonts w:ascii="Arial" w:hAnsi="Arial" w:cs="Arial"/>
          <w:sz w:val="18"/>
          <w:szCs w:val="18"/>
        </w:rPr>
      </w:pPr>
      <w:r>
        <w:rPr>
          <w:rFonts w:ascii="Arial" w:hAnsi="Arial" w:cs="Arial"/>
          <w:sz w:val="18"/>
          <w:szCs w:val="18"/>
        </w:rPr>
        <w:t xml:space="preserve">AEMO (2023f) </w:t>
      </w:r>
      <w:hyperlink r:id="rId117" w:history="1">
        <w:r w:rsidRPr="00810828">
          <w:rPr>
            <w:rStyle w:val="Hyperlink"/>
            <w:rFonts w:ascii="Arial" w:hAnsi="Arial" w:cs="Arial"/>
            <w:i/>
            <w:iCs/>
            <w:sz w:val="18"/>
            <w:szCs w:val="18"/>
          </w:rPr>
          <w:t>2023 - 24 inputs, assumptions and scenarios</w:t>
        </w:r>
      </w:hyperlink>
      <w:r>
        <w:rPr>
          <w:rFonts w:ascii="Arial" w:hAnsi="Arial" w:cs="Arial"/>
          <w:i/>
          <w:iCs/>
          <w:sz w:val="18"/>
          <w:szCs w:val="18"/>
        </w:rPr>
        <w:t xml:space="preserve">, </w:t>
      </w:r>
      <w:r>
        <w:rPr>
          <w:rFonts w:ascii="Arial" w:hAnsi="Arial" w:cs="Arial"/>
          <w:sz w:val="18"/>
          <w:szCs w:val="18"/>
        </w:rPr>
        <w:t xml:space="preserve">aemo.com, accessed 3 May 2024. </w:t>
      </w:r>
    </w:p>
    <w:p w14:paraId="379E0B67"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AEMO (2024a) </w:t>
      </w:r>
      <w:hyperlink r:id="rId118">
        <w:r w:rsidRPr="0017022F">
          <w:rPr>
            <w:rStyle w:val="Hyperlink"/>
            <w:rFonts w:ascii="Arial" w:hAnsi="Arial" w:cs="Arial"/>
            <w:i/>
            <w:iCs/>
            <w:sz w:val="18"/>
            <w:szCs w:val="18"/>
          </w:rPr>
          <w:t>2024 Gas Statement of Opportunities</w:t>
        </w:r>
      </w:hyperlink>
      <w:r w:rsidRPr="0017022F">
        <w:rPr>
          <w:rFonts w:ascii="Arial" w:hAnsi="Arial" w:cs="Arial"/>
          <w:sz w:val="18"/>
          <w:szCs w:val="18"/>
        </w:rPr>
        <w:t>, aemo.com.au</w:t>
      </w:r>
      <w:r>
        <w:rPr>
          <w:rFonts w:ascii="Arial" w:hAnsi="Arial" w:cs="Arial"/>
          <w:sz w:val="18"/>
          <w:szCs w:val="18"/>
        </w:rPr>
        <w:t>,</w:t>
      </w:r>
      <w:r w:rsidRPr="0017022F">
        <w:rPr>
          <w:rFonts w:ascii="Arial" w:hAnsi="Arial" w:cs="Arial"/>
          <w:sz w:val="18"/>
          <w:szCs w:val="18"/>
        </w:rPr>
        <w:t xml:space="preserve"> accessed 20 April 2024.</w:t>
      </w:r>
    </w:p>
    <w:p w14:paraId="3596DB95" w14:textId="04035C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AEMO (2024</w:t>
      </w:r>
      <w:r w:rsidR="00F86FFE">
        <w:rPr>
          <w:rFonts w:ascii="Arial" w:hAnsi="Arial" w:cs="Arial"/>
          <w:sz w:val="18"/>
          <w:szCs w:val="18"/>
        </w:rPr>
        <w:t>b</w:t>
      </w:r>
      <w:r w:rsidRPr="0017022F">
        <w:rPr>
          <w:rFonts w:ascii="Arial" w:hAnsi="Arial" w:cs="Arial"/>
          <w:sz w:val="18"/>
          <w:szCs w:val="18"/>
        </w:rPr>
        <w:t xml:space="preserve">) </w:t>
      </w:r>
      <w:hyperlink r:id="rId119" w:history="1">
        <w:r w:rsidRPr="0017022F">
          <w:rPr>
            <w:rStyle w:val="Hyperlink"/>
            <w:rFonts w:ascii="Arial" w:hAnsi="Arial" w:cs="Arial"/>
            <w:i/>
            <w:iCs/>
            <w:sz w:val="18"/>
            <w:szCs w:val="18"/>
          </w:rPr>
          <w:t>2024 Gas Statement of Opportunities – report figures data</w:t>
        </w:r>
      </w:hyperlink>
      <w:r w:rsidRPr="0017022F">
        <w:rPr>
          <w:rFonts w:ascii="Arial" w:hAnsi="Arial" w:cs="Arial"/>
          <w:sz w:val="18"/>
          <w:szCs w:val="18"/>
        </w:rPr>
        <w:t xml:space="preserve"> [data set], aemo.com.au, accessed 15 February 2024. </w:t>
      </w:r>
    </w:p>
    <w:p w14:paraId="7772A0F1" w14:textId="40A203F3" w:rsidR="009100A6" w:rsidRPr="0017022F" w:rsidRDefault="009100A6" w:rsidP="001B065C">
      <w:pPr>
        <w:ind w:left="720" w:hanging="720"/>
        <w:rPr>
          <w:rFonts w:ascii="Arial" w:hAnsi="Arial" w:cs="Arial"/>
          <w:sz w:val="18"/>
          <w:szCs w:val="18"/>
        </w:rPr>
      </w:pPr>
      <w:r w:rsidRPr="0017022F">
        <w:rPr>
          <w:rFonts w:ascii="Arial" w:hAnsi="Arial" w:cs="Arial"/>
          <w:sz w:val="18"/>
          <w:szCs w:val="18"/>
        </w:rPr>
        <w:t>AEMO (2024</w:t>
      </w:r>
      <w:r w:rsidR="00F86FFE">
        <w:rPr>
          <w:rFonts w:ascii="Arial" w:hAnsi="Arial" w:cs="Arial"/>
          <w:sz w:val="18"/>
          <w:szCs w:val="18"/>
        </w:rPr>
        <w:t>c</w:t>
      </w:r>
      <w:r w:rsidRPr="0017022F">
        <w:rPr>
          <w:rFonts w:ascii="Arial" w:hAnsi="Arial" w:cs="Arial"/>
          <w:sz w:val="18"/>
          <w:szCs w:val="18"/>
        </w:rPr>
        <w:t xml:space="preserve">) </w:t>
      </w:r>
      <w:hyperlink r:id="rId120" w:history="1">
        <w:r w:rsidRPr="0017022F">
          <w:rPr>
            <w:rStyle w:val="Hyperlink"/>
            <w:rFonts w:ascii="Arial" w:hAnsi="Arial" w:cs="Arial"/>
            <w:i/>
            <w:iCs/>
            <w:sz w:val="18"/>
            <w:szCs w:val="18"/>
          </w:rPr>
          <w:t>Quarterly Energy Dynamics – Q1 2024</w:t>
        </w:r>
      </w:hyperlink>
      <w:r w:rsidRPr="0017022F">
        <w:rPr>
          <w:rFonts w:ascii="Arial" w:hAnsi="Arial" w:cs="Arial"/>
          <w:sz w:val="18"/>
          <w:szCs w:val="18"/>
        </w:rPr>
        <w:t xml:space="preserve">, aemo.com.au, accessed 15 February 2024. </w:t>
      </w:r>
    </w:p>
    <w:p w14:paraId="03953823" w14:textId="77777777" w:rsidR="009100A6" w:rsidRPr="0017022F" w:rsidRDefault="009100A6" w:rsidP="001B065C">
      <w:pPr>
        <w:ind w:left="720" w:hanging="720"/>
        <w:rPr>
          <w:rFonts w:ascii="Arial" w:hAnsi="Arial" w:cs="Arial"/>
          <w:sz w:val="18"/>
          <w:szCs w:val="18"/>
        </w:rPr>
      </w:pPr>
      <w:r w:rsidRPr="706F0766">
        <w:rPr>
          <w:rFonts w:ascii="Arial" w:hAnsi="Arial" w:cs="Arial"/>
          <w:sz w:val="18"/>
          <w:szCs w:val="18"/>
        </w:rPr>
        <w:t>AER</w:t>
      </w:r>
      <w:r w:rsidRPr="0017022F">
        <w:rPr>
          <w:rFonts w:ascii="Arial" w:hAnsi="Arial" w:cs="Arial"/>
          <w:sz w:val="18"/>
          <w:szCs w:val="18"/>
        </w:rPr>
        <w:t xml:space="preserve"> (Australian Energy Regulator) (2023a) </w:t>
      </w:r>
      <w:hyperlink r:id="rId121">
        <w:r w:rsidRPr="0017022F">
          <w:rPr>
            <w:rStyle w:val="Hyperlink"/>
            <w:rFonts w:ascii="Arial" w:hAnsi="Arial" w:cs="Arial"/>
            <w:i/>
            <w:iCs/>
            <w:sz w:val="18"/>
            <w:szCs w:val="18"/>
          </w:rPr>
          <w:t>Q4 2023 Wholesale markets quarterly - data</w:t>
        </w:r>
      </w:hyperlink>
      <w:r w:rsidRPr="0017022F">
        <w:rPr>
          <w:rFonts w:ascii="Arial" w:hAnsi="Arial" w:cs="Arial"/>
          <w:sz w:val="18"/>
          <w:szCs w:val="18"/>
        </w:rPr>
        <w:t xml:space="preserve"> [data set], aer.gov.au, accessed 10 January 2024.</w:t>
      </w:r>
    </w:p>
    <w:p w14:paraId="0E97507D"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AER (2023b) </w:t>
      </w:r>
      <w:hyperlink r:id="rId122">
        <w:r w:rsidRPr="0017022F">
          <w:rPr>
            <w:rStyle w:val="Hyperlink"/>
            <w:rFonts w:ascii="Arial" w:hAnsi="Arial" w:cs="Arial"/>
            <w:i/>
            <w:iCs/>
            <w:sz w:val="18"/>
            <w:szCs w:val="18"/>
          </w:rPr>
          <w:t>Special report: Wholesale gas short term transactions reporting Insights into the reporting of short-term bilateral gas supply and swap transactions to the Gas Bulletin Board</w:t>
        </w:r>
      </w:hyperlink>
      <w:r w:rsidRPr="0017022F">
        <w:rPr>
          <w:rFonts w:ascii="Arial" w:hAnsi="Arial" w:cs="Arial"/>
          <w:sz w:val="18"/>
          <w:szCs w:val="18"/>
        </w:rPr>
        <w:t xml:space="preserve">, AER, Australian Government. </w:t>
      </w:r>
    </w:p>
    <w:p w14:paraId="5DF7809C"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AER (unpublished) </w:t>
      </w:r>
      <w:r w:rsidRPr="0017022F">
        <w:rPr>
          <w:rFonts w:ascii="Arial" w:hAnsi="Arial" w:cs="Arial"/>
          <w:i/>
          <w:iCs/>
          <w:sz w:val="18"/>
          <w:szCs w:val="18"/>
        </w:rPr>
        <w:t xml:space="preserve">AER analysis of NEM </w:t>
      </w:r>
      <w:r>
        <w:rPr>
          <w:rFonts w:ascii="Arial" w:hAnsi="Arial" w:cs="Arial"/>
          <w:i/>
          <w:iCs/>
          <w:sz w:val="18"/>
          <w:szCs w:val="18"/>
        </w:rPr>
        <w:t xml:space="preserve">and AEMO’s </w:t>
      </w:r>
      <w:r w:rsidRPr="0017022F">
        <w:rPr>
          <w:rFonts w:ascii="Arial" w:hAnsi="Arial" w:cs="Arial"/>
          <w:i/>
          <w:iCs/>
          <w:sz w:val="18"/>
          <w:szCs w:val="18"/>
        </w:rPr>
        <w:t>Short Term Trading Market and Victorian Declared Wholesale Gas Market data for DISR</w:t>
      </w:r>
      <w:r w:rsidRPr="0017022F">
        <w:rPr>
          <w:rFonts w:ascii="Arial" w:hAnsi="Arial" w:cs="Arial"/>
          <w:sz w:val="18"/>
          <w:szCs w:val="18"/>
        </w:rPr>
        <w:t xml:space="preserve">. </w:t>
      </w:r>
    </w:p>
    <w:p w14:paraId="7B0DB929"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ARENA (Australian Renewable Energy Agency) (2021) </w:t>
      </w:r>
      <w:hyperlink r:id="rId123" w:history="1">
        <w:r w:rsidRPr="0017022F">
          <w:rPr>
            <w:rStyle w:val="Hyperlink"/>
            <w:rFonts w:ascii="Arial" w:hAnsi="Arial" w:cs="Arial"/>
            <w:i/>
            <w:iCs/>
            <w:sz w:val="18"/>
            <w:szCs w:val="18"/>
          </w:rPr>
          <w:t>Australia’s Bioenergy Roadmap: Appendix  Market Activity and Opportunities</w:t>
        </w:r>
      </w:hyperlink>
      <w:r w:rsidRPr="0017022F">
        <w:rPr>
          <w:rFonts w:ascii="Arial" w:hAnsi="Arial" w:cs="Arial"/>
          <w:i/>
          <w:iCs/>
          <w:sz w:val="18"/>
          <w:szCs w:val="18"/>
        </w:rPr>
        <w:t xml:space="preserve">, </w:t>
      </w:r>
      <w:r w:rsidRPr="0017022F">
        <w:rPr>
          <w:rFonts w:ascii="Arial" w:hAnsi="Arial" w:cs="Arial"/>
          <w:sz w:val="18"/>
          <w:szCs w:val="18"/>
        </w:rPr>
        <w:t xml:space="preserve">prepared by ENEA and Deloitte, ARENA, Australian Government. </w:t>
      </w:r>
    </w:p>
    <w:p w14:paraId="30091F44" w14:textId="10A066D5" w:rsidR="00E56DB7" w:rsidRPr="004E0FFC" w:rsidRDefault="00E56DB7" w:rsidP="004E0FFC">
      <w:pPr>
        <w:ind w:left="720" w:hanging="720"/>
        <w:jc w:val="both"/>
        <w:rPr>
          <w:rFonts w:ascii="Arial" w:hAnsi="Arial" w:cs="Arial"/>
          <w:i/>
          <w:iCs/>
          <w:sz w:val="18"/>
          <w:szCs w:val="18"/>
        </w:rPr>
      </w:pPr>
      <w:r>
        <w:rPr>
          <w:rFonts w:ascii="Arial" w:hAnsi="Arial" w:cs="Arial"/>
          <w:sz w:val="18"/>
          <w:szCs w:val="18"/>
        </w:rPr>
        <w:t xml:space="preserve">Bloomberg L.P (2024) </w:t>
      </w:r>
      <w:hyperlink r:id="rId124" w:anchor="terminal-in-action" w:history="1">
        <w:r w:rsidRPr="007B15B3">
          <w:rPr>
            <w:rStyle w:val="Hyperlink"/>
            <w:rFonts w:ascii="Arial" w:hAnsi="Arial" w:cs="Arial"/>
            <w:i/>
            <w:iCs/>
            <w:sz w:val="18"/>
            <w:szCs w:val="18"/>
          </w:rPr>
          <w:t>Bloomberg terminal</w:t>
        </w:r>
      </w:hyperlink>
      <w:r>
        <w:rPr>
          <w:rFonts w:ascii="Arial" w:hAnsi="Arial" w:cs="Arial"/>
          <w:i/>
          <w:iCs/>
          <w:sz w:val="18"/>
          <w:szCs w:val="18"/>
        </w:rPr>
        <w:t xml:space="preserve"> [data base],</w:t>
      </w:r>
      <w:r>
        <w:rPr>
          <w:rFonts w:ascii="Arial" w:hAnsi="Arial" w:cs="Arial"/>
          <w:sz w:val="18"/>
          <w:szCs w:val="18"/>
        </w:rPr>
        <w:t xml:space="preserve"> bloomberg.com, accessed 03 January 2024.</w:t>
      </w:r>
      <w:r>
        <w:rPr>
          <w:rFonts w:ascii="Arial" w:hAnsi="Arial" w:cs="Arial"/>
          <w:i/>
          <w:iCs/>
          <w:sz w:val="18"/>
          <w:szCs w:val="18"/>
        </w:rPr>
        <w:t xml:space="preserve"> </w:t>
      </w:r>
    </w:p>
    <w:p w14:paraId="22269204" w14:textId="2D51213A" w:rsidR="00CF01F2" w:rsidRDefault="00CF01F2" w:rsidP="001B065C">
      <w:pPr>
        <w:ind w:left="720" w:hanging="720"/>
        <w:rPr>
          <w:rFonts w:ascii="Arial" w:hAnsi="Arial" w:cs="Arial"/>
          <w:sz w:val="18"/>
          <w:szCs w:val="18"/>
        </w:rPr>
      </w:pPr>
      <w:r>
        <w:rPr>
          <w:rFonts w:ascii="Arial" w:hAnsi="Arial" w:cs="Arial"/>
          <w:sz w:val="18"/>
          <w:szCs w:val="18"/>
        </w:rPr>
        <w:t>BP</w:t>
      </w:r>
      <w:r w:rsidR="00E56DB7">
        <w:rPr>
          <w:rFonts w:ascii="Arial" w:hAnsi="Arial" w:cs="Arial"/>
          <w:sz w:val="18"/>
          <w:szCs w:val="18"/>
        </w:rPr>
        <w:t xml:space="preserve"> </w:t>
      </w:r>
      <w:r>
        <w:rPr>
          <w:rFonts w:ascii="Arial" w:hAnsi="Arial" w:cs="Arial"/>
          <w:sz w:val="18"/>
          <w:szCs w:val="18"/>
        </w:rPr>
        <w:t xml:space="preserve">(2002) </w:t>
      </w:r>
      <w:hyperlink r:id="rId125" w:history="1">
        <w:r w:rsidRPr="0013336D">
          <w:rPr>
            <w:rStyle w:val="Hyperlink"/>
            <w:rFonts w:ascii="Arial" w:hAnsi="Arial" w:cs="Arial"/>
            <w:i/>
            <w:iCs/>
            <w:sz w:val="18"/>
            <w:szCs w:val="18"/>
          </w:rPr>
          <w:t>BP Statistical Review of World Energy</w:t>
        </w:r>
      </w:hyperlink>
      <w:r>
        <w:rPr>
          <w:rFonts w:ascii="Arial" w:hAnsi="Arial" w:cs="Arial"/>
          <w:sz w:val="18"/>
          <w:szCs w:val="18"/>
        </w:rPr>
        <w:t>, accessed on 30 April 2024.</w:t>
      </w:r>
    </w:p>
    <w:p w14:paraId="58854797" w14:textId="279BE17F" w:rsidR="009100A6" w:rsidRPr="0017022F" w:rsidRDefault="009100A6" w:rsidP="001B065C">
      <w:pPr>
        <w:ind w:left="720" w:hanging="720"/>
        <w:rPr>
          <w:rFonts w:ascii="Arial" w:hAnsi="Arial" w:cs="Arial"/>
          <w:sz w:val="18"/>
          <w:szCs w:val="18"/>
        </w:rPr>
      </w:pPr>
      <w:r w:rsidRPr="0017022F">
        <w:rPr>
          <w:rFonts w:ascii="Arial" w:hAnsi="Arial" w:cs="Arial"/>
          <w:sz w:val="18"/>
          <w:szCs w:val="18"/>
        </w:rPr>
        <w:t>Burke PJ, Beck FJ, Aisbett E, Baldwin KG, Stocks M, Pye J, Venkataraman M, Hunt J. and Bai X (2022) '</w:t>
      </w:r>
      <w:hyperlink r:id="rId126" w:history="1">
        <w:r w:rsidRPr="0017022F">
          <w:rPr>
            <w:rStyle w:val="Hyperlink"/>
            <w:rFonts w:ascii="Arial" w:hAnsi="Arial" w:cs="Arial"/>
            <w:sz w:val="18"/>
            <w:szCs w:val="18"/>
          </w:rPr>
          <w:t>Contributing to regional decarbonization: Australia's potential to supply zero-carbon commodities to the Asia-Pacific’</w:t>
        </w:r>
      </w:hyperlink>
      <w:r w:rsidRPr="0017022F">
        <w:rPr>
          <w:rFonts w:ascii="Arial" w:hAnsi="Arial" w:cs="Arial"/>
          <w:sz w:val="18"/>
          <w:szCs w:val="18"/>
        </w:rPr>
        <w:t xml:space="preserve">, </w:t>
      </w:r>
      <w:r w:rsidRPr="0017022F">
        <w:rPr>
          <w:rFonts w:ascii="Arial" w:hAnsi="Arial" w:cs="Arial"/>
          <w:i/>
          <w:iCs/>
          <w:sz w:val="18"/>
          <w:szCs w:val="18"/>
        </w:rPr>
        <w:t>Energy, 248</w:t>
      </w:r>
      <w:r w:rsidRPr="0017022F">
        <w:rPr>
          <w:rFonts w:ascii="Arial" w:hAnsi="Arial" w:cs="Arial"/>
          <w:sz w:val="18"/>
          <w:szCs w:val="18"/>
        </w:rPr>
        <w:t xml:space="preserve">, p.123563, doi.org/10.1016/j.energy.2022.123563. </w:t>
      </w:r>
    </w:p>
    <w:p w14:paraId="0C1842B3" w14:textId="7498C7DE"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Carydias P and Nielsen (2023) </w:t>
      </w:r>
      <w:hyperlink r:id="rId127">
        <w:r w:rsidRPr="0017022F">
          <w:rPr>
            <w:rStyle w:val="Hyperlink"/>
            <w:rFonts w:ascii="Arial" w:hAnsi="Arial" w:cs="Arial"/>
            <w:sz w:val="18"/>
            <w:szCs w:val="18"/>
          </w:rPr>
          <w:t>'Towards 2030: transforming asset emissions in Australian production operations</w:t>
        </w:r>
      </w:hyperlink>
      <w:r w:rsidRPr="0017022F">
        <w:rPr>
          <w:rFonts w:ascii="Arial" w:hAnsi="Arial" w:cs="Arial"/>
          <w:sz w:val="18"/>
          <w:szCs w:val="18"/>
        </w:rPr>
        <w:t xml:space="preserve">', </w:t>
      </w:r>
      <w:r w:rsidRPr="0017022F">
        <w:rPr>
          <w:rFonts w:ascii="Arial" w:hAnsi="Arial" w:cs="Arial"/>
          <w:i/>
          <w:iCs/>
          <w:sz w:val="18"/>
          <w:szCs w:val="18"/>
        </w:rPr>
        <w:t>The APPEA Journal, 63</w:t>
      </w:r>
      <w:r w:rsidRPr="0017022F">
        <w:rPr>
          <w:rFonts w:ascii="Arial" w:hAnsi="Arial" w:cs="Arial"/>
          <w:sz w:val="18"/>
          <w:szCs w:val="18"/>
        </w:rPr>
        <w:t>(2), S361-S366</w:t>
      </w:r>
      <w:r>
        <w:rPr>
          <w:rFonts w:ascii="Arial" w:hAnsi="Arial" w:cs="Arial"/>
          <w:sz w:val="18"/>
          <w:szCs w:val="18"/>
        </w:rPr>
        <w:t>.</w:t>
      </w:r>
    </w:p>
    <w:p w14:paraId="19C39483"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Climateworks Centre and CSIRO (Commonwealth Scientific and Industrial Research Organisation) (2023) </w:t>
      </w:r>
      <w:hyperlink r:id="rId128" w:anchor=":~:text=Australian%20Industry%20ETI%20Delivery%20Stage%20Pathways%20to%20Industrial%20Decarbonisation%3A%20Phase%203,-Overview&amp;text=The%20report%20details%20pathways%20to,limit%20warming%20to%201.5%C2%BAC." w:history="1">
        <w:r w:rsidRPr="0017022F">
          <w:rPr>
            <w:rStyle w:val="Hyperlink"/>
            <w:rFonts w:ascii="Arial" w:hAnsi="Arial" w:cs="Arial"/>
            <w:i/>
            <w:iCs/>
            <w:sz w:val="18"/>
            <w:szCs w:val="18"/>
          </w:rPr>
          <w:t>Pathways to industrial decarbonisation: Phase 3 technical report</w:t>
        </w:r>
      </w:hyperlink>
      <w:r w:rsidRPr="0017022F">
        <w:rPr>
          <w:rFonts w:ascii="Arial" w:hAnsi="Arial" w:cs="Arial"/>
          <w:i/>
          <w:iCs/>
          <w:sz w:val="18"/>
          <w:szCs w:val="18"/>
        </w:rPr>
        <w:t>, prepared by R Maxwell, C Butler, P Graham, J Gordon, J Foster, J Hayward, L Reedman, T Horngren and T Leach</w:t>
      </w:r>
      <w:r w:rsidRPr="0017022F">
        <w:rPr>
          <w:rFonts w:ascii="Arial" w:hAnsi="Arial" w:cs="Arial"/>
          <w:sz w:val="18"/>
          <w:szCs w:val="18"/>
        </w:rPr>
        <w:t>, Climateworks Centre, accessed on 30 April 2024.</w:t>
      </w:r>
    </w:p>
    <w:p w14:paraId="7F252400"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CSIRO (2019) </w:t>
      </w:r>
      <w:hyperlink r:id="rId129" w:history="1">
        <w:r w:rsidRPr="0017022F">
          <w:rPr>
            <w:rStyle w:val="Hyperlink"/>
            <w:rFonts w:ascii="Arial" w:hAnsi="Arial" w:cs="Arial"/>
            <w:i/>
            <w:iCs/>
            <w:sz w:val="18"/>
            <w:szCs w:val="18"/>
          </w:rPr>
          <w:t>Final Report for Final Report for GISERA Project G2 - Whole of Life Greenhouse Gas Emissions Assessment of a Coal Seam Gas to Liquefied Natural Gas Project in the Surat Basin, Queensland</w:t>
        </w:r>
      </w:hyperlink>
      <w:r w:rsidRPr="0017022F">
        <w:rPr>
          <w:rFonts w:ascii="Arial" w:hAnsi="Arial" w:cs="Arial"/>
          <w:sz w:val="18"/>
          <w:szCs w:val="18"/>
        </w:rPr>
        <w:t>, prepared by H Schandl, T Baynes, N Haque, D Barrett and A Geschke, CSIRO, Australian Government.</w:t>
      </w:r>
    </w:p>
    <w:p w14:paraId="4EE31FF7"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CSIRO (2021) </w:t>
      </w:r>
      <w:hyperlink r:id="rId130" w:history="1">
        <w:r w:rsidRPr="0017022F">
          <w:rPr>
            <w:rStyle w:val="Hyperlink"/>
            <w:rFonts w:ascii="Arial" w:hAnsi="Arial" w:cs="Arial"/>
            <w:i/>
            <w:iCs/>
            <w:sz w:val="18"/>
            <w:szCs w:val="18"/>
          </w:rPr>
          <w:t>Greenhouse gas emissions from the liquified natural gas industry in Australia</w:t>
        </w:r>
      </w:hyperlink>
      <w:r w:rsidRPr="0017022F">
        <w:rPr>
          <w:rFonts w:ascii="Arial" w:hAnsi="Arial" w:cs="Arial"/>
          <w:sz w:val="18"/>
          <w:szCs w:val="18"/>
        </w:rPr>
        <w:t xml:space="preserve">, reported prepared by C Heath and C Ong, CSIRO, Australian </w:t>
      </w:r>
      <w:r>
        <w:rPr>
          <w:rFonts w:ascii="Arial" w:hAnsi="Arial" w:cs="Arial"/>
          <w:sz w:val="18"/>
          <w:szCs w:val="18"/>
        </w:rPr>
        <w:t>G</w:t>
      </w:r>
      <w:r w:rsidRPr="0017022F">
        <w:rPr>
          <w:rFonts w:ascii="Arial" w:hAnsi="Arial" w:cs="Arial"/>
          <w:sz w:val="18"/>
          <w:szCs w:val="18"/>
        </w:rPr>
        <w:t>overnment.</w:t>
      </w:r>
    </w:p>
    <w:p w14:paraId="7A4E2C41"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CSIRO (2022) </w:t>
      </w:r>
      <w:hyperlink r:id="rId131">
        <w:r w:rsidRPr="0017022F">
          <w:rPr>
            <w:rStyle w:val="Hyperlink"/>
            <w:rFonts w:ascii="Arial" w:hAnsi="Arial" w:cs="Arial"/>
            <w:i/>
            <w:iCs/>
            <w:sz w:val="18"/>
            <w:szCs w:val="18"/>
          </w:rPr>
          <w:t>Australia’s carbon sequestration potential: A stocktake and analysis of sequestration technologies</w:t>
        </w:r>
      </w:hyperlink>
      <w:r w:rsidRPr="0017022F">
        <w:rPr>
          <w:rFonts w:ascii="Arial" w:hAnsi="Arial" w:cs="Arial"/>
          <w:sz w:val="18"/>
          <w:szCs w:val="18"/>
        </w:rPr>
        <w:t xml:space="preserve">, prepared by P Fitch, M Battaglia, A Lenton, P Feron, Gao, Y Mei, A Hortle, L Macdonald, M Pearce, S Occhipinti, S Roxburgh, and A Steven, CSIRO, Australian </w:t>
      </w:r>
      <w:r>
        <w:rPr>
          <w:rFonts w:ascii="Arial" w:hAnsi="Arial" w:cs="Arial"/>
          <w:sz w:val="18"/>
          <w:szCs w:val="18"/>
        </w:rPr>
        <w:t>G</w:t>
      </w:r>
      <w:r w:rsidRPr="0017022F">
        <w:rPr>
          <w:rFonts w:ascii="Arial" w:hAnsi="Arial" w:cs="Arial"/>
          <w:sz w:val="18"/>
          <w:szCs w:val="18"/>
        </w:rPr>
        <w:t xml:space="preserve">overnment. </w:t>
      </w:r>
    </w:p>
    <w:p w14:paraId="2404BE8A" w14:textId="54084E88" w:rsidR="009100A6" w:rsidRDefault="009100A6" w:rsidP="001B065C">
      <w:pPr>
        <w:ind w:left="720" w:hanging="720"/>
        <w:rPr>
          <w:rFonts w:ascii="Arial" w:eastAsia="Arial" w:hAnsi="Arial" w:cs="Arial"/>
          <w:sz w:val="18"/>
          <w:szCs w:val="18"/>
        </w:rPr>
      </w:pPr>
      <w:r w:rsidRPr="0017022F">
        <w:rPr>
          <w:rFonts w:ascii="Arial" w:eastAsia="Arial" w:hAnsi="Arial" w:cs="Arial"/>
          <w:sz w:val="18"/>
          <w:szCs w:val="18"/>
        </w:rPr>
        <w:t xml:space="preserve">DCCEEW </w:t>
      </w:r>
      <w:r w:rsidRPr="0017022F">
        <w:rPr>
          <w:rFonts w:ascii="Arial" w:hAnsi="Arial" w:cs="Arial"/>
          <w:sz w:val="18"/>
          <w:szCs w:val="18"/>
        </w:rPr>
        <w:t>(Department of Climate Change, Energy, the Environment and Water)</w:t>
      </w:r>
      <w:r w:rsidRPr="0017022F">
        <w:rPr>
          <w:rFonts w:ascii="Arial" w:eastAsia="Arial" w:hAnsi="Arial" w:cs="Arial"/>
          <w:sz w:val="18"/>
          <w:szCs w:val="18"/>
        </w:rPr>
        <w:t xml:space="preserve"> (2022) </w:t>
      </w:r>
      <w:hyperlink r:id="rId132">
        <w:r w:rsidRPr="0017022F">
          <w:rPr>
            <w:rStyle w:val="Hyperlink"/>
            <w:rFonts w:ascii="Arial" w:hAnsi="Arial" w:cs="Arial"/>
            <w:i/>
            <w:iCs/>
            <w:sz w:val="18"/>
            <w:szCs w:val="18"/>
          </w:rPr>
          <w:t>National Inventory Report 2022: The Australian Government Submission to the United Nations Framework Convention on Climate Change</w:t>
        </w:r>
      </w:hyperlink>
      <w:r w:rsidRPr="0017022F">
        <w:rPr>
          <w:rFonts w:ascii="Arial" w:eastAsia="Arial" w:hAnsi="Arial" w:cs="Arial"/>
          <w:i/>
          <w:iCs/>
          <w:color w:val="0000FF"/>
          <w:sz w:val="18"/>
          <w:szCs w:val="18"/>
          <w:u w:val="single"/>
        </w:rPr>
        <w:t xml:space="preserve">, </w:t>
      </w:r>
      <w:r w:rsidRPr="0017022F">
        <w:rPr>
          <w:rFonts w:ascii="Arial" w:eastAsia="Arial" w:hAnsi="Arial" w:cs="Arial"/>
          <w:sz w:val="18"/>
          <w:szCs w:val="18"/>
        </w:rPr>
        <w:t>National Inventory Systems and International Reporting Branch, Australian Government.</w:t>
      </w:r>
    </w:p>
    <w:p w14:paraId="09DF751E" w14:textId="4E9A1F35" w:rsidR="009E2892" w:rsidRPr="009E2892" w:rsidRDefault="009E2892" w:rsidP="009E2892">
      <w:pPr>
        <w:ind w:left="720" w:hanging="720"/>
        <w:rPr>
          <w:rFonts w:ascii="Arial" w:hAnsi="Arial" w:cs="Arial"/>
          <w:i/>
          <w:iCs/>
          <w:sz w:val="18"/>
          <w:szCs w:val="18"/>
        </w:rPr>
      </w:pPr>
      <w:r>
        <w:rPr>
          <w:rFonts w:ascii="Arial" w:hAnsi="Arial" w:cs="Arial"/>
          <w:sz w:val="18"/>
          <w:szCs w:val="18"/>
        </w:rPr>
        <w:t xml:space="preserve">DCCEEW (2022b) </w:t>
      </w:r>
      <w:hyperlink r:id="rId133" w:history="1">
        <w:r w:rsidRPr="005D439B">
          <w:rPr>
            <w:rStyle w:val="Hyperlink"/>
            <w:rFonts w:ascii="Arial" w:hAnsi="Arial" w:cs="Arial"/>
            <w:i/>
            <w:iCs/>
            <w:sz w:val="18"/>
            <w:szCs w:val="18"/>
          </w:rPr>
          <w:t>Stationary energy (excluding electricity) - mining and energy technology and efficiency opportunities</w:t>
        </w:r>
      </w:hyperlink>
      <w:r>
        <w:rPr>
          <w:rFonts w:ascii="Arial" w:hAnsi="Arial" w:cs="Arial"/>
          <w:sz w:val="18"/>
          <w:szCs w:val="18"/>
        </w:rPr>
        <w:t>, prepared by Advisian, DCCEEW, Australian Government.</w:t>
      </w:r>
    </w:p>
    <w:p w14:paraId="650E7099"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DCCEEW (2023a) </w:t>
      </w:r>
      <w:hyperlink r:id="rId134">
        <w:r w:rsidRPr="0017022F">
          <w:rPr>
            <w:rStyle w:val="Hyperlink"/>
            <w:rFonts w:ascii="Arial" w:hAnsi="Arial" w:cs="Arial"/>
            <w:i/>
            <w:iCs/>
            <w:sz w:val="18"/>
            <w:szCs w:val="18"/>
          </w:rPr>
          <w:t>Australia’s emissions projections</w:t>
        </w:r>
        <w:r w:rsidRPr="0017022F">
          <w:rPr>
            <w:rStyle w:val="Hyperlink"/>
            <w:rFonts w:ascii="Arial" w:hAnsi="Arial" w:cs="Arial"/>
            <w:sz w:val="18"/>
            <w:szCs w:val="18"/>
          </w:rPr>
          <w:t xml:space="preserve"> </w:t>
        </w:r>
        <w:r w:rsidRPr="0017022F">
          <w:rPr>
            <w:rStyle w:val="Hyperlink"/>
            <w:rFonts w:ascii="Arial" w:hAnsi="Arial" w:cs="Arial"/>
            <w:i/>
            <w:iCs/>
            <w:sz w:val="18"/>
            <w:szCs w:val="18"/>
          </w:rPr>
          <w:t>2023</w:t>
        </w:r>
      </w:hyperlink>
      <w:r w:rsidRPr="0017022F">
        <w:rPr>
          <w:rFonts w:ascii="Arial" w:hAnsi="Arial" w:cs="Arial"/>
          <w:sz w:val="18"/>
          <w:szCs w:val="18"/>
        </w:rPr>
        <w:t>, DCCEEW, Australian Government.</w:t>
      </w:r>
    </w:p>
    <w:p w14:paraId="76028DD2" w14:textId="77777777" w:rsidR="009100A6" w:rsidRPr="0017022F" w:rsidRDefault="009100A6" w:rsidP="001B065C">
      <w:pPr>
        <w:ind w:left="720" w:hanging="720"/>
        <w:rPr>
          <w:rFonts w:ascii="Arial" w:hAnsi="Arial" w:cs="Arial"/>
          <w:sz w:val="18"/>
          <w:szCs w:val="18"/>
        </w:rPr>
      </w:pPr>
      <w:r w:rsidRPr="33B94EDB">
        <w:rPr>
          <w:rFonts w:ascii="Arial" w:hAnsi="Arial" w:cs="Arial"/>
          <w:sz w:val="18"/>
          <w:szCs w:val="18"/>
        </w:rPr>
        <w:t xml:space="preserve">DCCEEW (2023b) Australian Energy Statistics update </w:t>
      </w:r>
      <w:hyperlink r:id="rId135">
        <w:r w:rsidRPr="33B94EDB">
          <w:rPr>
            <w:rStyle w:val="Hyperlink"/>
            <w:rFonts w:ascii="Arial" w:hAnsi="Arial" w:cs="Arial"/>
            <w:i/>
            <w:iCs/>
            <w:sz w:val="18"/>
            <w:szCs w:val="18"/>
          </w:rPr>
          <w:t>Table C: Australian energy consumption, by state and territory, by fuel, energy units</w:t>
        </w:r>
      </w:hyperlink>
      <w:r w:rsidRPr="33B94EDB">
        <w:rPr>
          <w:rFonts w:ascii="Arial" w:hAnsi="Arial" w:cs="Arial"/>
          <w:sz w:val="18"/>
          <w:szCs w:val="18"/>
        </w:rPr>
        <w:t xml:space="preserve"> [data set], energy.gov.au, accessed 2 May 2024.  </w:t>
      </w:r>
    </w:p>
    <w:p w14:paraId="5B07B53D" w14:textId="17069149" w:rsidR="009100A6" w:rsidRPr="0017022F" w:rsidRDefault="009100A6" w:rsidP="001B065C">
      <w:pPr>
        <w:ind w:left="720" w:hanging="720"/>
        <w:rPr>
          <w:rFonts w:ascii="Arial" w:hAnsi="Arial" w:cs="Arial"/>
          <w:sz w:val="18"/>
          <w:szCs w:val="18"/>
        </w:rPr>
      </w:pPr>
      <w:r w:rsidRPr="33B94EDB">
        <w:rPr>
          <w:rFonts w:ascii="Arial" w:hAnsi="Arial" w:cs="Arial"/>
          <w:sz w:val="18"/>
          <w:szCs w:val="18"/>
        </w:rPr>
        <w:t>DCCEEW (2023c) Australian Energy Statistics update</w:t>
      </w:r>
      <w:r w:rsidRPr="33B94EDB">
        <w:rPr>
          <w:rStyle w:val="Hyperlink"/>
          <w:rFonts w:ascii="Arial" w:hAnsi="Arial" w:cs="Arial"/>
          <w:i/>
          <w:sz w:val="18"/>
          <w:szCs w:val="18"/>
        </w:rPr>
        <w:t xml:space="preserve"> </w:t>
      </w:r>
      <w:hyperlink r:id="rId136">
        <w:r w:rsidRPr="0017022F">
          <w:rPr>
            <w:rStyle w:val="Hyperlink"/>
            <w:rFonts w:ascii="Arial" w:hAnsi="Arial" w:cs="Arial"/>
            <w:i/>
            <w:iCs/>
            <w:sz w:val="18"/>
            <w:szCs w:val="18"/>
          </w:rPr>
          <w:t xml:space="preserve">Table </w:t>
        </w:r>
        <w:r w:rsidR="006D3C9F">
          <w:rPr>
            <w:rStyle w:val="Hyperlink"/>
            <w:rFonts w:ascii="Arial" w:hAnsi="Arial" w:cs="Arial"/>
            <w:i/>
            <w:iCs/>
            <w:sz w:val="18"/>
            <w:szCs w:val="18"/>
          </w:rPr>
          <w:t>F</w:t>
        </w:r>
        <w:r w:rsidRPr="0017022F">
          <w:rPr>
            <w:rStyle w:val="Hyperlink"/>
            <w:rFonts w:ascii="Arial" w:hAnsi="Arial" w:cs="Arial"/>
            <w:i/>
            <w:iCs/>
            <w:sz w:val="18"/>
            <w:szCs w:val="18"/>
          </w:rPr>
          <w:t xml:space="preserve">: </w:t>
        </w:r>
        <w:r w:rsidR="00C75A94" w:rsidRPr="00C75A94">
          <w:rPr>
            <w:rStyle w:val="Hyperlink"/>
            <w:rFonts w:ascii="Arial" w:hAnsi="Arial" w:cs="Arial"/>
            <w:i/>
            <w:iCs/>
            <w:sz w:val="18"/>
            <w:szCs w:val="18"/>
          </w:rPr>
          <w:t xml:space="preserve">Australian energy consumption 2021-22, by state and territory, by industry, </w:t>
        </w:r>
        <w:r w:rsidR="006D3C9F">
          <w:rPr>
            <w:rStyle w:val="Hyperlink"/>
            <w:rFonts w:ascii="Arial" w:hAnsi="Arial" w:cs="Arial"/>
            <w:i/>
            <w:iCs/>
            <w:sz w:val="18"/>
            <w:szCs w:val="18"/>
          </w:rPr>
          <w:t>by</w:t>
        </w:r>
        <w:r w:rsidR="00C75A94" w:rsidRPr="00C75A94">
          <w:rPr>
            <w:rStyle w:val="Hyperlink"/>
            <w:rFonts w:ascii="Arial" w:hAnsi="Arial" w:cs="Arial"/>
            <w:i/>
            <w:iCs/>
            <w:sz w:val="18"/>
            <w:szCs w:val="18"/>
          </w:rPr>
          <w:t xml:space="preserve"> fuel, energy units</w:t>
        </w:r>
      </w:hyperlink>
      <w:r w:rsidRPr="0017022F">
        <w:rPr>
          <w:rFonts w:ascii="Arial" w:hAnsi="Arial" w:cs="Arial"/>
          <w:i/>
          <w:iCs/>
          <w:sz w:val="18"/>
          <w:szCs w:val="18"/>
        </w:rPr>
        <w:t xml:space="preserve"> </w:t>
      </w:r>
      <w:r w:rsidRPr="0017022F">
        <w:rPr>
          <w:rFonts w:ascii="Arial" w:hAnsi="Arial" w:cs="Arial"/>
          <w:sz w:val="18"/>
          <w:szCs w:val="18"/>
        </w:rPr>
        <w:t>[data set], energy.gov.au, accessed 30 April 2024.</w:t>
      </w:r>
    </w:p>
    <w:p w14:paraId="51C0BA0E" w14:textId="77777777" w:rsidR="009100A6" w:rsidRDefault="009100A6" w:rsidP="001B065C">
      <w:pPr>
        <w:ind w:left="720" w:hanging="720"/>
        <w:rPr>
          <w:rFonts w:ascii="Arial" w:hAnsi="Arial" w:cs="Arial"/>
          <w:sz w:val="18"/>
          <w:szCs w:val="18"/>
        </w:rPr>
      </w:pPr>
      <w:r w:rsidRPr="33B94EDB">
        <w:rPr>
          <w:rFonts w:ascii="Arial" w:hAnsi="Arial" w:cs="Arial"/>
          <w:sz w:val="18"/>
          <w:szCs w:val="18"/>
        </w:rPr>
        <w:t>DCCEEW (2023d) Australian Energy Statistics update</w:t>
      </w:r>
      <w:r w:rsidRPr="33B94EDB">
        <w:rPr>
          <w:rStyle w:val="Hyperlink"/>
          <w:i/>
          <w:iCs/>
        </w:rPr>
        <w:t xml:space="preserve"> </w:t>
      </w:r>
      <w:hyperlink r:id="rId137">
        <w:r w:rsidRPr="008477C4">
          <w:rPr>
            <w:rStyle w:val="Hyperlink"/>
            <w:rFonts w:ascii="Arial" w:hAnsi="Arial" w:cs="Arial"/>
            <w:i/>
            <w:sz w:val="18"/>
            <w:szCs w:val="18"/>
          </w:rPr>
          <w:t>Table Q: Australian consumption and production of gas, by state and territory</w:t>
        </w:r>
      </w:hyperlink>
      <w:r w:rsidRPr="008477C4">
        <w:rPr>
          <w:rStyle w:val="Hyperlink"/>
        </w:rPr>
        <w:t xml:space="preserve"> </w:t>
      </w:r>
      <w:r w:rsidRPr="33B94EDB">
        <w:rPr>
          <w:rFonts w:ascii="Arial" w:hAnsi="Arial" w:cs="Arial"/>
          <w:sz w:val="18"/>
          <w:szCs w:val="18"/>
        </w:rPr>
        <w:t>[data set], energy.gov.au, accessed 30 April 2024</w:t>
      </w:r>
    </w:p>
    <w:p w14:paraId="69AE7D35" w14:textId="77777777" w:rsidR="009100A6" w:rsidRDefault="009100A6" w:rsidP="001B065C">
      <w:pPr>
        <w:ind w:left="720" w:hanging="720"/>
        <w:rPr>
          <w:rFonts w:ascii="Arial" w:hAnsi="Arial" w:cs="Arial"/>
          <w:sz w:val="18"/>
          <w:szCs w:val="18"/>
        </w:rPr>
      </w:pPr>
      <w:r w:rsidRPr="0017022F">
        <w:rPr>
          <w:rFonts w:ascii="Arial" w:hAnsi="Arial" w:cs="Arial"/>
          <w:sz w:val="18"/>
          <w:szCs w:val="18"/>
        </w:rPr>
        <w:t xml:space="preserve">DCCEEW (2024) </w:t>
      </w:r>
      <w:hyperlink r:id="rId138" w:history="1">
        <w:r w:rsidRPr="0017022F">
          <w:rPr>
            <w:rStyle w:val="Hyperlink"/>
            <w:rFonts w:ascii="Arial" w:hAnsi="Arial" w:cs="Arial"/>
            <w:i/>
            <w:iCs/>
            <w:sz w:val="18"/>
            <w:szCs w:val="18"/>
          </w:rPr>
          <w:t>National Inventory Report 2022: The Australian Government Submission to the United Nations Framework Convention on Climate Change</w:t>
        </w:r>
        <w:r w:rsidRPr="0017022F">
          <w:rPr>
            <w:rStyle w:val="Hyperlink"/>
            <w:rFonts w:ascii="Arial" w:hAnsi="Arial" w:cs="Arial"/>
            <w:sz w:val="18"/>
            <w:szCs w:val="18"/>
          </w:rPr>
          <w:t>,</w:t>
        </w:r>
      </w:hyperlink>
      <w:r w:rsidRPr="0017022F">
        <w:rPr>
          <w:rFonts w:ascii="Arial" w:hAnsi="Arial" w:cs="Arial"/>
          <w:sz w:val="18"/>
          <w:szCs w:val="18"/>
        </w:rPr>
        <w:t xml:space="preserve"> National Inventory Systems and International Reporting Branch, Australian Government. </w:t>
      </w:r>
    </w:p>
    <w:p w14:paraId="66063717" w14:textId="77777777" w:rsidR="009100A6" w:rsidRDefault="009100A6" w:rsidP="001B065C">
      <w:pPr>
        <w:ind w:left="720" w:hanging="720"/>
        <w:rPr>
          <w:rFonts w:ascii="Arial" w:hAnsi="Arial" w:cs="Arial"/>
          <w:sz w:val="18"/>
          <w:szCs w:val="18"/>
        </w:rPr>
      </w:pPr>
      <w:r>
        <w:rPr>
          <w:rFonts w:ascii="Arial" w:hAnsi="Arial" w:cs="Arial"/>
          <w:sz w:val="18"/>
          <w:szCs w:val="18"/>
        </w:rPr>
        <w:t>DISR (</w:t>
      </w:r>
      <w:r w:rsidRPr="0017022F">
        <w:rPr>
          <w:rFonts w:ascii="Arial" w:hAnsi="Arial" w:cs="Arial"/>
          <w:sz w:val="18"/>
          <w:szCs w:val="18"/>
        </w:rPr>
        <w:t xml:space="preserve">Department of Industry, Science and Resources) </w:t>
      </w:r>
      <w:r>
        <w:rPr>
          <w:rFonts w:ascii="Arial" w:hAnsi="Arial" w:cs="Arial"/>
          <w:sz w:val="18"/>
          <w:szCs w:val="18"/>
        </w:rPr>
        <w:t xml:space="preserve">(2018) </w:t>
      </w:r>
      <w:hyperlink r:id="rId139" w:history="1">
        <w:r>
          <w:rPr>
            <w:rStyle w:val="Hyperlink"/>
            <w:rFonts w:ascii="Arial" w:hAnsi="Arial"/>
            <w:i/>
            <w:iCs/>
            <w:sz w:val="18"/>
            <w:szCs w:val="18"/>
          </w:rPr>
          <w:t>Gas Price Trends Review</w:t>
        </w:r>
      </w:hyperlink>
      <w:r>
        <w:rPr>
          <w:rFonts w:ascii="Arial" w:hAnsi="Arial" w:cs="Arial"/>
          <w:i/>
          <w:iCs/>
          <w:sz w:val="18"/>
          <w:szCs w:val="18"/>
        </w:rPr>
        <w:t xml:space="preserve">, </w:t>
      </w:r>
      <w:r>
        <w:rPr>
          <w:rFonts w:ascii="Arial" w:hAnsi="Arial" w:cs="Arial"/>
          <w:sz w:val="18"/>
          <w:szCs w:val="18"/>
        </w:rPr>
        <w:t xml:space="preserve">prepared by Oakley Greenwood, DISR, Australian Government. </w:t>
      </w:r>
    </w:p>
    <w:p w14:paraId="177C4938"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DISR (2019) </w:t>
      </w:r>
      <w:hyperlink r:id="rId140" w:history="1">
        <w:r w:rsidRPr="0017022F">
          <w:rPr>
            <w:rStyle w:val="Hyperlink"/>
            <w:rFonts w:ascii="Arial" w:hAnsi="Arial" w:cs="Arial"/>
            <w:i/>
            <w:iCs/>
            <w:sz w:val="18"/>
            <w:szCs w:val="18"/>
          </w:rPr>
          <w:t>Department of Industry, Innovation and Science submission to the Review of the PRRT Gas Transfer Pricing Arrangements</w:t>
        </w:r>
      </w:hyperlink>
      <w:r w:rsidRPr="0017022F">
        <w:rPr>
          <w:rFonts w:ascii="Arial" w:hAnsi="Arial" w:cs="Arial"/>
          <w:sz w:val="18"/>
          <w:szCs w:val="18"/>
        </w:rPr>
        <w:t>, submission to Australian Government Treasury,</w:t>
      </w:r>
      <w:r>
        <w:rPr>
          <w:rFonts w:ascii="Arial" w:hAnsi="Arial" w:cs="Arial"/>
          <w:sz w:val="18"/>
          <w:szCs w:val="18"/>
        </w:rPr>
        <w:t xml:space="preserve"> treasury.gov.au</w:t>
      </w:r>
      <w:r w:rsidRPr="0017022F">
        <w:rPr>
          <w:rFonts w:ascii="Arial" w:hAnsi="Arial" w:cs="Arial"/>
          <w:sz w:val="18"/>
          <w:szCs w:val="18"/>
        </w:rPr>
        <w:t xml:space="preserve"> accessed 3 May 2024. </w:t>
      </w:r>
    </w:p>
    <w:p w14:paraId="1611B759"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DISR (unpublished a) </w:t>
      </w:r>
      <w:r w:rsidRPr="0017022F">
        <w:rPr>
          <w:rFonts w:ascii="Arial" w:hAnsi="Arial" w:cs="Arial"/>
          <w:i/>
          <w:iCs/>
          <w:sz w:val="18"/>
          <w:szCs w:val="18"/>
        </w:rPr>
        <w:t>DISR analysis of National Greenhouse Gas Inventory dataset</w:t>
      </w:r>
      <w:r w:rsidRPr="0017022F">
        <w:rPr>
          <w:rFonts w:ascii="Arial" w:hAnsi="Arial" w:cs="Arial"/>
          <w:sz w:val="18"/>
          <w:szCs w:val="18"/>
        </w:rPr>
        <w:t>, DCCEEW, Australian Government.</w:t>
      </w:r>
    </w:p>
    <w:p w14:paraId="40B3882E" w14:textId="77777777" w:rsidR="009100A6" w:rsidRDefault="009100A6" w:rsidP="001B065C">
      <w:pPr>
        <w:ind w:left="720" w:hanging="720"/>
        <w:rPr>
          <w:rFonts w:ascii="Arial" w:hAnsi="Arial" w:cs="Arial"/>
          <w:sz w:val="18"/>
          <w:szCs w:val="18"/>
        </w:rPr>
      </w:pPr>
      <w:r w:rsidRPr="0017022F">
        <w:rPr>
          <w:rFonts w:ascii="Arial" w:hAnsi="Arial" w:cs="Arial"/>
          <w:sz w:val="18"/>
          <w:szCs w:val="18"/>
        </w:rPr>
        <w:t xml:space="preserve">DISR (unpublished b) </w:t>
      </w:r>
      <w:r w:rsidRPr="0017022F">
        <w:rPr>
          <w:rFonts w:ascii="Arial" w:hAnsi="Arial" w:cs="Arial"/>
          <w:i/>
          <w:iCs/>
          <w:sz w:val="18"/>
          <w:szCs w:val="18"/>
        </w:rPr>
        <w:t>DISR analysis of Australia's emissions projections dataset</w:t>
      </w:r>
      <w:r w:rsidRPr="0017022F">
        <w:rPr>
          <w:rFonts w:ascii="Arial" w:hAnsi="Arial" w:cs="Arial"/>
          <w:sz w:val="18"/>
          <w:szCs w:val="18"/>
        </w:rPr>
        <w:t>, DCCEEW, Australian Government.</w:t>
      </w:r>
    </w:p>
    <w:p w14:paraId="427C250D"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DISR (unpublished </w:t>
      </w:r>
      <w:r>
        <w:rPr>
          <w:rFonts w:ascii="Arial" w:hAnsi="Arial" w:cs="Arial"/>
          <w:sz w:val="18"/>
          <w:szCs w:val="18"/>
        </w:rPr>
        <w:t>c</w:t>
      </w:r>
      <w:r w:rsidRPr="0017022F">
        <w:rPr>
          <w:rFonts w:ascii="Arial" w:hAnsi="Arial" w:cs="Arial"/>
          <w:sz w:val="18"/>
          <w:szCs w:val="18"/>
        </w:rPr>
        <w:t xml:space="preserve">) </w:t>
      </w:r>
      <w:r w:rsidRPr="0017022F">
        <w:rPr>
          <w:rFonts w:ascii="Arial" w:hAnsi="Arial" w:cs="Arial"/>
          <w:i/>
          <w:iCs/>
          <w:sz w:val="18"/>
          <w:szCs w:val="18"/>
        </w:rPr>
        <w:t xml:space="preserve">DISR analysis of </w:t>
      </w:r>
      <w:r w:rsidRPr="0001200C">
        <w:rPr>
          <w:rFonts w:ascii="Arial" w:hAnsi="Arial" w:cs="Arial"/>
          <w:i/>
          <w:iCs/>
          <w:sz w:val="18"/>
          <w:szCs w:val="18"/>
        </w:rPr>
        <w:t>petroleum exploration acreage</w:t>
      </w:r>
      <w:r>
        <w:rPr>
          <w:rFonts w:ascii="Arial" w:hAnsi="Arial" w:cs="Arial"/>
          <w:i/>
          <w:iCs/>
          <w:sz w:val="18"/>
          <w:szCs w:val="18"/>
        </w:rPr>
        <w:t xml:space="preserve"> database</w:t>
      </w:r>
      <w:r w:rsidRPr="0017022F">
        <w:rPr>
          <w:rFonts w:ascii="Arial" w:hAnsi="Arial" w:cs="Arial"/>
          <w:i/>
          <w:iCs/>
          <w:sz w:val="18"/>
          <w:szCs w:val="18"/>
        </w:rPr>
        <w:t xml:space="preserve">, </w:t>
      </w:r>
      <w:r>
        <w:rPr>
          <w:rFonts w:ascii="Arial" w:hAnsi="Arial" w:cs="Arial"/>
          <w:i/>
          <w:iCs/>
          <w:sz w:val="18"/>
          <w:szCs w:val="18"/>
        </w:rPr>
        <w:t>DISR</w:t>
      </w:r>
      <w:r w:rsidRPr="0017022F">
        <w:rPr>
          <w:rFonts w:ascii="Arial" w:hAnsi="Arial" w:cs="Arial"/>
          <w:sz w:val="18"/>
          <w:szCs w:val="18"/>
        </w:rPr>
        <w:t>, Australian Government.</w:t>
      </w:r>
    </w:p>
    <w:p w14:paraId="46AF69E5" w14:textId="498AFA66" w:rsidR="00F86FFE" w:rsidRDefault="009100A6" w:rsidP="00F86FFE">
      <w:pPr>
        <w:ind w:left="720" w:hanging="720"/>
        <w:rPr>
          <w:rFonts w:ascii="Arial" w:hAnsi="Arial" w:cs="Arial"/>
          <w:sz w:val="18"/>
          <w:szCs w:val="18"/>
        </w:rPr>
      </w:pPr>
      <w:r w:rsidRPr="0017022F">
        <w:rPr>
          <w:rFonts w:ascii="Arial" w:hAnsi="Arial" w:cs="Arial"/>
          <w:sz w:val="18"/>
          <w:szCs w:val="18"/>
        </w:rPr>
        <w:t xml:space="preserve">DISR (unpublished </w:t>
      </w:r>
      <w:r>
        <w:rPr>
          <w:rFonts w:ascii="Arial" w:hAnsi="Arial" w:cs="Arial"/>
          <w:sz w:val="18"/>
          <w:szCs w:val="18"/>
        </w:rPr>
        <w:t>d</w:t>
      </w:r>
      <w:r w:rsidRPr="0017022F">
        <w:rPr>
          <w:rFonts w:ascii="Arial" w:hAnsi="Arial" w:cs="Arial"/>
          <w:sz w:val="18"/>
          <w:szCs w:val="18"/>
        </w:rPr>
        <w:t xml:space="preserve">) </w:t>
      </w:r>
      <w:r w:rsidRPr="0017022F">
        <w:rPr>
          <w:rFonts w:ascii="Arial" w:hAnsi="Arial" w:cs="Arial"/>
          <w:i/>
          <w:iCs/>
          <w:sz w:val="18"/>
          <w:szCs w:val="18"/>
        </w:rPr>
        <w:t xml:space="preserve">DISR analysis of National Offshore Petroleum Titles Administrator data, </w:t>
      </w:r>
      <w:r w:rsidRPr="0017022F">
        <w:rPr>
          <w:rFonts w:ascii="Arial" w:hAnsi="Arial" w:cs="Arial"/>
          <w:sz w:val="18"/>
          <w:szCs w:val="18"/>
        </w:rPr>
        <w:t>National Offshore Petroleum Titles Administrator, Australian Government.</w:t>
      </w:r>
    </w:p>
    <w:p w14:paraId="7DD6F84C" w14:textId="50244B49" w:rsidR="00F86FFE" w:rsidRDefault="00F86FFE" w:rsidP="00F86FFE">
      <w:pPr>
        <w:ind w:left="720" w:hanging="720"/>
        <w:rPr>
          <w:rFonts w:ascii="Arial" w:hAnsi="Arial" w:cs="Arial"/>
          <w:sz w:val="18"/>
          <w:szCs w:val="18"/>
        </w:rPr>
      </w:pPr>
      <w:r w:rsidRPr="0017022F">
        <w:rPr>
          <w:rFonts w:ascii="Arial" w:hAnsi="Arial" w:cs="Arial"/>
          <w:sz w:val="18"/>
          <w:szCs w:val="18"/>
        </w:rPr>
        <w:t xml:space="preserve">DISR (unpublished </w:t>
      </w:r>
      <w:r>
        <w:rPr>
          <w:rFonts w:ascii="Arial" w:hAnsi="Arial" w:cs="Arial"/>
          <w:sz w:val="18"/>
          <w:szCs w:val="18"/>
        </w:rPr>
        <w:t>e</w:t>
      </w:r>
      <w:r w:rsidRPr="0017022F">
        <w:rPr>
          <w:rFonts w:ascii="Arial" w:hAnsi="Arial" w:cs="Arial"/>
          <w:sz w:val="18"/>
          <w:szCs w:val="18"/>
        </w:rPr>
        <w:t xml:space="preserve">) </w:t>
      </w:r>
      <w:r w:rsidRPr="0017022F">
        <w:rPr>
          <w:rFonts w:ascii="Arial" w:hAnsi="Arial" w:cs="Arial"/>
          <w:i/>
          <w:iCs/>
          <w:sz w:val="18"/>
          <w:szCs w:val="18"/>
        </w:rPr>
        <w:t xml:space="preserve">DISR analysis of </w:t>
      </w:r>
      <w:r w:rsidRPr="00826556">
        <w:rPr>
          <w:rFonts w:ascii="Arial" w:hAnsi="Arial" w:cs="Arial"/>
          <w:i/>
          <w:iCs/>
          <w:sz w:val="18"/>
          <w:szCs w:val="18"/>
        </w:rPr>
        <w:t>publicly available pipeline data</w:t>
      </w:r>
      <w:r w:rsidRPr="0017022F">
        <w:rPr>
          <w:rFonts w:ascii="Arial" w:hAnsi="Arial" w:cs="Arial"/>
          <w:sz w:val="18"/>
          <w:szCs w:val="18"/>
        </w:rPr>
        <w:t>,</w:t>
      </w:r>
      <w:r>
        <w:rPr>
          <w:rFonts w:ascii="Arial" w:hAnsi="Arial" w:cs="Arial"/>
          <w:sz w:val="18"/>
          <w:szCs w:val="18"/>
        </w:rPr>
        <w:t xml:space="preserve"> prepared by Australian Pipelines and Gas Association, DISR,</w:t>
      </w:r>
      <w:r w:rsidRPr="0017022F">
        <w:rPr>
          <w:rFonts w:ascii="Arial" w:hAnsi="Arial" w:cs="Arial"/>
          <w:sz w:val="18"/>
          <w:szCs w:val="18"/>
        </w:rPr>
        <w:t xml:space="preserve"> Australian Government.</w:t>
      </w:r>
    </w:p>
    <w:p w14:paraId="1877A4C5" w14:textId="5FB9AA0B" w:rsidR="009100A6" w:rsidRPr="0017022F" w:rsidRDefault="009100A6" w:rsidP="001B065C">
      <w:pPr>
        <w:ind w:left="720" w:hanging="720"/>
        <w:rPr>
          <w:rFonts w:ascii="Arial" w:hAnsi="Arial" w:cs="Arial"/>
          <w:sz w:val="18"/>
          <w:szCs w:val="18"/>
        </w:rPr>
      </w:pPr>
      <w:r w:rsidRPr="0017022F">
        <w:rPr>
          <w:rFonts w:ascii="Arial" w:hAnsi="Arial" w:cs="Arial"/>
          <w:sz w:val="18"/>
          <w:szCs w:val="18"/>
        </w:rPr>
        <w:t>DISR (</w:t>
      </w:r>
      <w:r w:rsidRPr="15CE0500">
        <w:rPr>
          <w:rFonts w:ascii="Arial" w:hAnsi="Arial" w:cs="Arial"/>
          <w:sz w:val="18"/>
          <w:szCs w:val="18"/>
        </w:rPr>
        <w:t>2023a</w:t>
      </w:r>
      <w:r w:rsidRPr="0017022F">
        <w:rPr>
          <w:rFonts w:ascii="Arial" w:hAnsi="Arial" w:cs="Arial"/>
          <w:sz w:val="18"/>
          <w:szCs w:val="18"/>
        </w:rPr>
        <w:t xml:space="preserve">) </w:t>
      </w:r>
      <w:hyperlink r:id="rId141">
        <w:r w:rsidRPr="0017022F">
          <w:rPr>
            <w:rStyle w:val="Hyperlink"/>
            <w:rFonts w:ascii="Arial" w:hAnsi="Arial" w:cs="Arial"/>
            <w:i/>
            <w:iCs/>
            <w:sz w:val="18"/>
            <w:szCs w:val="18"/>
          </w:rPr>
          <w:t>Resources and energy major projects</w:t>
        </w:r>
      </w:hyperlink>
      <w:r w:rsidRPr="0017022F">
        <w:rPr>
          <w:rFonts w:ascii="Arial" w:hAnsi="Arial" w:cs="Arial"/>
          <w:sz w:val="18"/>
          <w:szCs w:val="18"/>
        </w:rPr>
        <w:t>, DISR, Australian Government.</w:t>
      </w:r>
    </w:p>
    <w:p w14:paraId="40F8E04D" w14:textId="77777777" w:rsidR="009100A6" w:rsidRPr="0017022F" w:rsidRDefault="009100A6" w:rsidP="001B065C">
      <w:pPr>
        <w:ind w:left="720" w:hanging="720"/>
        <w:rPr>
          <w:rFonts w:ascii="Arial" w:hAnsi="Arial" w:cs="Arial"/>
          <w:sz w:val="18"/>
          <w:szCs w:val="18"/>
        </w:rPr>
      </w:pPr>
      <w:r w:rsidRPr="33B94EDB">
        <w:rPr>
          <w:rFonts w:ascii="Arial" w:hAnsi="Arial" w:cs="Arial"/>
          <w:sz w:val="18"/>
          <w:szCs w:val="18"/>
        </w:rPr>
        <w:t xml:space="preserve">DISR (2023b) </w:t>
      </w:r>
      <w:hyperlink r:id="rId142">
        <w:r w:rsidRPr="33B94EDB">
          <w:rPr>
            <w:rStyle w:val="Hyperlink"/>
            <w:rFonts w:ascii="Arial" w:hAnsi="Arial" w:cs="Arial"/>
            <w:i/>
            <w:iCs/>
            <w:sz w:val="18"/>
            <w:szCs w:val="18"/>
          </w:rPr>
          <w:t>Resources and energy quarterly: September 2023</w:t>
        </w:r>
      </w:hyperlink>
      <w:r w:rsidRPr="33B94EDB">
        <w:rPr>
          <w:rFonts w:ascii="Arial" w:hAnsi="Arial" w:cs="Arial"/>
          <w:i/>
          <w:iCs/>
          <w:sz w:val="18"/>
          <w:szCs w:val="18"/>
        </w:rPr>
        <w:t xml:space="preserve">, </w:t>
      </w:r>
      <w:r w:rsidRPr="33B94EDB">
        <w:rPr>
          <w:rFonts w:ascii="Arial" w:hAnsi="Arial" w:cs="Arial"/>
          <w:sz w:val="18"/>
          <w:szCs w:val="18"/>
        </w:rPr>
        <w:t>DISR, Australian Government.</w:t>
      </w:r>
    </w:p>
    <w:p w14:paraId="26C1AF6F"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DISR (2024) </w:t>
      </w:r>
      <w:hyperlink r:id="rId143" w:history="1">
        <w:r w:rsidRPr="0017022F">
          <w:rPr>
            <w:rStyle w:val="Hyperlink"/>
            <w:rFonts w:ascii="Arial" w:hAnsi="Arial" w:cs="Arial"/>
            <w:i/>
            <w:iCs/>
            <w:sz w:val="18"/>
            <w:szCs w:val="18"/>
          </w:rPr>
          <w:t>Resources and energy quarterly March 2024: Historical Data</w:t>
        </w:r>
      </w:hyperlink>
      <w:r w:rsidRPr="0017022F">
        <w:rPr>
          <w:rFonts w:ascii="Arial" w:hAnsi="Arial" w:cs="Arial"/>
          <w:sz w:val="18"/>
          <w:szCs w:val="18"/>
        </w:rPr>
        <w:t xml:space="preserve"> [data set], industry.gov.au, accessed 30 April 2024. </w:t>
      </w:r>
    </w:p>
    <w:p w14:paraId="6F73F769"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DomGas Alliance (2023) </w:t>
      </w:r>
      <w:hyperlink r:id="rId144" w:history="1">
        <w:r w:rsidRPr="0017022F">
          <w:rPr>
            <w:rStyle w:val="Hyperlink"/>
            <w:rFonts w:ascii="Arial" w:hAnsi="Arial" w:cs="Arial"/>
            <w:i/>
            <w:iCs/>
            <w:sz w:val="18"/>
            <w:szCs w:val="18"/>
          </w:rPr>
          <w:t>FUTURE GAS STRATEGY Understanding the importance of gas to Western Australia and Australia</w:t>
        </w:r>
      </w:hyperlink>
      <w:r w:rsidRPr="0017022F">
        <w:rPr>
          <w:rFonts w:ascii="Arial" w:hAnsi="Arial" w:cs="Arial"/>
          <w:sz w:val="18"/>
          <w:szCs w:val="18"/>
        </w:rPr>
        <w:t>, submission to Australian Government Department of Industry, Science and Resources, DomGas Alliance.</w:t>
      </w:r>
    </w:p>
    <w:p w14:paraId="4EE758ED"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Energy Institute (2023) </w:t>
      </w:r>
      <w:hyperlink r:id="rId145">
        <w:r w:rsidRPr="0017022F">
          <w:rPr>
            <w:rStyle w:val="Hyperlink"/>
            <w:rFonts w:ascii="Arial" w:hAnsi="Arial" w:cs="Arial"/>
            <w:i/>
            <w:iCs/>
            <w:sz w:val="18"/>
            <w:szCs w:val="18"/>
          </w:rPr>
          <w:t>Statistical Review of World Energy Data</w:t>
        </w:r>
      </w:hyperlink>
      <w:r w:rsidRPr="0017022F">
        <w:rPr>
          <w:rFonts w:ascii="Arial" w:hAnsi="Arial" w:cs="Arial"/>
          <w:sz w:val="18"/>
          <w:szCs w:val="18"/>
        </w:rPr>
        <w:t xml:space="preserve"> [data set], energyinst.org, accessed 2 May 2024.</w:t>
      </w:r>
    </w:p>
    <w:p w14:paraId="1C4B5796"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EnergyQuest (2023a) </w:t>
      </w:r>
      <w:hyperlink r:id="rId146">
        <w:r w:rsidRPr="0017022F">
          <w:rPr>
            <w:rStyle w:val="Hyperlink"/>
            <w:rFonts w:ascii="Arial" w:hAnsi="Arial" w:cs="Arial"/>
            <w:sz w:val="18"/>
            <w:szCs w:val="18"/>
          </w:rPr>
          <w:t>East Coast Gas Outlook 2023: A Roller Coaster Ride</w:t>
        </w:r>
      </w:hyperlink>
      <w:r w:rsidRPr="0017022F">
        <w:rPr>
          <w:rFonts w:ascii="Arial" w:hAnsi="Arial" w:cs="Arial"/>
          <w:sz w:val="18"/>
          <w:szCs w:val="18"/>
        </w:rPr>
        <w:t>, energyquest.com.au, accessed 3 May 2024.</w:t>
      </w:r>
    </w:p>
    <w:p w14:paraId="116BE704"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EnergyQuest (2023b) </w:t>
      </w:r>
      <w:hyperlink r:id="rId147">
        <w:r w:rsidRPr="0017022F">
          <w:rPr>
            <w:rStyle w:val="Hyperlink"/>
            <w:rFonts w:ascii="Arial" w:hAnsi="Arial" w:cs="Arial"/>
            <w:i/>
            <w:iCs/>
            <w:sz w:val="18"/>
            <w:szCs w:val="18"/>
          </w:rPr>
          <w:t>West Coast Outlook</w:t>
        </w:r>
      </w:hyperlink>
      <w:r w:rsidRPr="0017022F">
        <w:rPr>
          <w:rStyle w:val="Hyperlink"/>
          <w:rFonts w:ascii="Arial" w:hAnsi="Arial" w:cs="Arial"/>
          <w:i/>
          <w:sz w:val="18"/>
          <w:szCs w:val="18"/>
        </w:rPr>
        <w:t xml:space="preserve"> 2023: Getting the Balance Right</w:t>
      </w:r>
      <w:r w:rsidRPr="0017022F">
        <w:rPr>
          <w:rFonts w:ascii="Arial" w:hAnsi="Arial" w:cs="Arial"/>
          <w:i/>
          <w:iCs/>
          <w:sz w:val="18"/>
          <w:szCs w:val="18"/>
        </w:rPr>
        <w:t xml:space="preserve">, </w:t>
      </w:r>
      <w:r w:rsidRPr="0017022F">
        <w:rPr>
          <w:rFonts w:ascii="Arial" w:hAnsi="Arial" w:cs="Arial"/>
          <w:sz w:val="18"/>
          <w:szCs w:val="18"/>
        </w:rPr>
        <w:t xml:space="preserve">energyquest.com.au, accessed 03 May 2024. </w:t>
      </w:r>
    </w:p>
    <w:p w14:paraId="1AFE1F40" w14:textId="456E4585" w:rsidR="00B62521" w:rsidRDefault="00B62521" w:rsidP="005F542E">
      <w:pPr>
        <w:ind w:left="720" w:hanging="720"/>
        <w:rPr>
          <w:rFonts w:ascii="Arial" w:hAnsi="Arial" w:cs="Arial"/>
          <w:sz w:val="18"/>
          <w:szCs w:val="18"/>
        </w:rPr>
      </w:pPr>
      <w:r>
        <w:rPr>
          <w:rFonts w:ascii="Arial" w:hAnsi="Arial" w:cs="Arial"/>
          <w:sz w:val="18"/>
          <w:szCs w:val="18"/>
        </w:rPr>
        <w:t xml:space="preserve">EnergyQuest </w:t>
      </w:r>
      <w:r w:rsidR="005F542E">
        <w:rPr>
          <w:rFonts w:ascii="Arial" w:hAnsi="Arial" w:cs="Arial"/>
          <w:sz w:val="18"/>
          <w:szCs w:val="18"/>
        </w:rPr>
        <w:t xml:space="preserve">(2023c) EnergyQuest LNG Monthly Reports, </w:t>
      </w:r>
      <w:r w:rsidR="005F542E" w:rsidRPr="0017022F">
        <w:rPr>
          <w:rFonts w:ascii="Arial" w:hAnsi="Arial" w:cs="Arial"/>
          <w:sz w:val="18"/>
          <w:szCs w:val="18"/>
        </w:rPr>
        <w:t>energyquest.com.au, accessed 03 May 2024</w:t>
      </w:r>
    </w:p>
    <w:p w14:paraId="738A4FE7"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EnergyQuest (2024) </w:t>
      </w:r>
      <w:hyperlink r:id="rId148" w:anchor=":~:text=EnergyQuest%20has%20just%20released%20its,and%20data%20of%20breaking%20news.&amp;text=Australia%27s%20petroleum%20production%20peaked%20in,equivalent%20(MMboe)%20in%202023." w:history="1">
        <w:r w:rsidRPr="0017022F">
          <w:rPr>
            <w:rStyle w:val="Hyperlink"/>
            <w:rFonts w:ascii="Arial" w:hAnsi="Arial" w:cs="Arial"/>
            <w:sz w:val="18"/>
            <w:szCs w:val="18"/>
          </w:rPr>
          <w:t>Energy Quarterly March 2024 Report: Exploration: the fading frontier</w:t>
        </w:r>
      </w:hyperlink>
      <w:r w:rsidRPr="0017022F">
        <w:rPr>
          <w:rFonts w:ascii="Arial" w:hAnsi="Arial" w:cs="Arial"/>
          <w:sz w:val="18"/>
          <w:szCs w:val="18"/>
        </w:rPr>
        <w:t>, energyquest.com.au, accessed 3 May 2024.</w:t>
      </w:r>
    </w:p>
    <w:p w14:paraId="1C284DC0"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ExxonMobil (2023) </w:t>
      </w:r>
      <w:hyperlink r:id="rId149" w:anchor="Keyinsights" w:history="1">
        <w:r w:rsidRPr="0017022F">
          <w:rPr>
            <w:rStyle w:val="Hyperlink"/>
            <w:rFonts w:ascii="Arial" w:hAnsi="Arial" w:cs="Arial"/>
            <w:i/>
            <w:iCs/>
            <w:sz w:val="18"/>
            <w:szCs w:val="18"/>
          </w:rPr>
          <w:t>2023 Global Outlook data pages</w:t>
        </w:r>
      </w:hyperlink>
      <w:r w:rsidRPr="0017022F">
        <w:rPr>
          <w:rFonts w:ascii="Arial" w:hAnsi="Arial" w:cs="Arial"/>
          <w:sz w:val="18"/>
          <w:szCs w:val="18"/>
        </w:rPr>
        <w:t xml:space="preserve"> [data set], corporate.exxonmobil.com, accessed 2 May 2024.</w:t>
      </w:r>
    </w:p>
    <w:p w14:paraId="513B89E7"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Future Fuels CRC (2022) </w:t>
      </w:r>
      <w:hyperlink r:id="rId150" w:history="1">
        <w:r w:rsidRPr="0017022F">
          <w:rPr>
            <w:rStyle w:val="Hyperlink"/>
            <w:rFonts w:ascii="Arial" w:hAnsi="Arial" w:cs="Arial"/>
            <w:i/>
            <w:iCs/>
            <w:sz w:val="18"/>
            <w:szCs w:val="18"/>
          </w:rPr>
          <w:t>Where are the most viable locations for bioenergy hubs across Australia? A summary of the FFCRC RP1.2-04 Viable Case Studies Report</w:t>
        </w:r>
      </w:hyperlink>
      <w:r w:rsidRPr="0017022F">
        <w:rPr>
          <w:rFonts w:ascii="Arial" w:hAnsi="Arial" w:cs="Arial"/>
          <w:sz w:val="18"/>
          <w:szCs w:val="18"/>
        </w:rPr>
        <w:t>, prepared by SA Culley AC Zecchin and HR Maier, Future Fuels CRC,</w:t>
      </w:r>
      <w:r>
        <w:rPr>
          <w:rFonts w:ascii="Arial" w:hAnsi="Arial" w:cs="Arial"/>
          <w:sz w:val="18"/>
          <w:szCs w:val="18"/>
        </w:rPr>
        <w:t xml:space="preserve"> futurefuelscrc.com,</w:t>
      </w:r>
      <w:r w:rsidRPr="0017022F">
        <w:rPr>
          <w:rFonts w:ascii="Arial" w:hAnsi="Arial" w:cs="Arial"/>
          <w:sz w:val="18"/>
          <w:szCs w:val="18"/>
        </w:rPr>
        <w:t xml:space="preserve"> accessed 3 May 2024.</w:t>
      </w:r>
    </w:p>
    <w:p w14:paraId="742643DF" w14:textId="77777777" w:rsidR="009100A6" w:rsidRDefault="009100A6" w:rsidP="001B065C">
      <w:pPr>
        <w:ind w:left="720" w:hanging="720"/>
        <w:rPr>
          <w:rFonts w:ascii="Arial" w:hAnsi="Arial" w:cs="Arial"/>
          <w:sz w:val="18"/>
          <w:szCs w:val="18"/>
        </w:rPr>
      </w:pPr>
      <w:r w:rsidRPr="0017022F">
        <w:rPr>
          <w:rFonts w:ascii="Arial" w:hAnsi="Arial" w:cs="Arial"/>
          <w:sz w:val="18"/>
          <w:szCs w:val="18"/>
        </w:rPr>
        <w:t xml:space="preserve">Gas Exporting Countries Forum (2024) </w:t>
      </w:r>
      <w:hyperlink r:id="rId151" w:history="1">
        <w:r w:rsidRPr="0017022F">
          <w:rPr>
            <w:rStyle w:val="Hyperlink"/>
            <w:rFonts w:ascii="Arial" w:hAnsi="Arial" w:cs="Arial"/>
            <w:i/>
            <w:iCs/>
            <w:sz w:val="18"/>
            <w:szCs w:val="18"/>
          </w:rPr>
          <w:t>Global Gas Outlook 2050: 8th Edition March 2024</w:t>
        </w:r>
      </w:hyperlink>
      <w:r w:rsidRPr="0017022F">
        <w:rPr>
          <w:rFonts w:ascii="Arial" w:hAnsi="Arial" w:cs="Arial"/>
          <w:sz w:val="18"/>
          <w:szCs w:val="18"/>
        </w:rPr>
        <w:t xml:space="preserve">, prepared by MA Naderian, AJ Abbas, A Ermakov, G Fazeliyanova, M Moradzadeh, M Adel Amer and S Ali, Gas Exporting Countries Forum, </w:t>
      </w:r>
      <w:r>
        <w:rPr>
          <w:rFonts w:ascii="Arial" w:hAnsi="Arial" w:cs="Arial"/>
          <w:sz w:val="18"/>
          <w:szCs w:val="18"/>
        </w:rPr>
        <w:t xml:space="preserve">gecf.org, </w:t>
      </w:r>
      <w:r w:rsidRPr="0017022F">
        <w:rPr>
          <w:rFonts w:ascii="Arial" w:hAnsi="Arial" w:cs="Arial"/>
          <w:sz w:val="18"/>
          <w:szCs w:val="18"/>
        </w:rPr>
        <w:t xml:space="preserve">accessed 3 May 2024. </w:t>
      </w:r>
    </w:p>
    <w:p w14:paraId="7B06C3DC" w14:textId="77777777" w:rsidR="009100A6" w:rsidRPr="0017022F" w:rsidRDefault="009100A6" w:rsidP="001B065C">
      <w:pPr>
        <w:ind w:left="720" w:hanging="720"/>
        <w:rPr>
          <w:rFonts w:ascii="Arial" w:hAnsi="Arial" w:cs="Arial"/>
          <w:sz w:val="18"/>
          <w:szCs w:val="18"/>
        </w:rPr>
      </w:pPr>
      <w:r w:rsidRPr="00895ABD">
        <w:rPr>
          <w:rFonts w:ascii="Arial" w:hAnsi="Arial" w:cs="Arial"/>
          <w:sz w:val="18"/>
          <w:szCs w:val="18"/>
        </w:rPr>
        <w:t xml:space="preserve">Geoscience Australia </w:t>
      </w:r>
      <w:r>
        <w:rPr>
          <w:rFonts w:ascii="Arial" w:hAnsi="Arial" w:cs="Arial"/>
          <w:sz w:val="18"/>
          <w:szCs w:val="18"/>
        </w:rPr>
        <w:t>(</w:t>
      </w:r>
      <w:r w:rsidRPr="00895ABD">
        <w:rPr>
          <w:rFonts w:ascii="Arial" w:hAnsi="Arial" w:cs="Arial"/>
          <w:sz w:val="18"/>
          <w:szCs w:val="18"/>
        </w:rPr>
        <w:t>2023</w:t>
      </w:r>
      <w:r>
        <w:rPr>
          <w:rFonts w:ascii="Arial" w:hAnsi="Arial" w:cs="Arial"/>
          <w:sz w:val="18"/>
          <w:szCs w:val="18"/>
        </w:rPr>
        <w:t>)</w:t>
      </w:r>
      <w:r w:rsidRPr="00895ABD">
        <w:rPr>
          <w:rFonts w:ascii="Arial" w:hAnsi="Arial" w:cs="Arial"/>
          <w:sz w:val="18"/>
          <w:szCs w:val="18"/>
        </w:rPr>
        <w:t xml:space="preserve"> </w:t>
      </w:r>
      <w:hyperlink r:id="rId152" w:history="1">
        <w:r w:rsidRPr="00D95A5F">
          <w:rPr>
            <w:rStyle w:val="Hyperlink"/>
            <w:rFonts w:ascii="Arial" w:hAnsi="Arial" w:cs="Arial"/>
            <w:i/>
            <w:iCs/>
            <w:sz w:val="18"/>
            <w:szCs w:val="18"/>
          </w:rPr>
          <w:t>Australia’s Energy Commodity Resources 2023: Gas</w:t>
        </w:r>
      </w:hyperlink>
      <w:r w:rsidRPr="00895ABD">
        <w:rPr>
          <w:rFonts w:ascii="Arial" w:hAnsi="Arial" w:cs="Arial"/>
          <w:sz w:val="18"/>
          <w:szCs w:val="18"/>
        </w:rPr>
        <w:t xml:space="preserve">, </w:t>
      </w:r>
      <w:r>
        <w:rPr>
          <w:rFonts w:ascii="Arial" w:hAnsi="Arial" w:cs="Arial"/>
          <w:sz w:val="18"/>
          <w:szCs w:val="18"/>
        </w:rPr>
        <w:t xml:space="preserve">Geoscience Australia website, </w:t>
      </w:r>
      <w:r w:rsidRPr="00895ABD">
        <w:rPr>
          <w:rFonts w:ascii="Arial" w:hAnsi="Arial" w:cs="Arial"/>
          <w:sz w:val="18"/>
          <w:szCs w:val="18"/>
        </w:rPr>
        <w:t>accessed</w:t>
      </w:r>
      <w:r>
        <w:rPr>
          <w:rFonts w:ascii="Arial" w:hAnsi="Arial" w:cs="Arial"/>
          <w:sz w:val="18"/>
          <w:szCs w:val="18"/>
        </w:rPr>
        <w:t xml:space="preserve"> 14 </w:t>
      </w:r>
      <w:r w:rsidRPr="00895ABD">
        <w:rPr>
          <w:rFonts w:ascii="Arial" w:hAnsi="Arial" w:cs="Arial"/>
          <w:sz w:val="18"/>
          <w:szCs w:val="18"/>
        </w:rPr>
        <w:t>February 2024</w:t>
      </w:r>
    </w:p>
    <w:p w14:paraId="4D94C6E2"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GIIGNL (International Group of Liquefied Natural Gas Importers) (2019) </w:t>
      </w:r>
      <w:hyperlink r:id="rId153" w:history="1">
        <w:r w:rsidRPr="0017022F">
          <w:rPr>
            <w:rStyle w:val="Hyperlink"/>
            <w:rFonts w:ascii="Arial" w:hAnsi="Arial" w:cs="Arial"/>
            <w:i/>
            <w:iCs/>
            <w:sz w:val="18"/>
            <w:szCs w:val="18"/>
          </w:rPr>
          <w:t>2019 Annual Report</w:t>
        </w:r>
      </w:hyperlink>
      <w:r w:rsidRPr="0017022F">
        <w:rPr>
          <w:rFonts w:ascii="Arial" w:hAnsi="Arial" w:cs="Arial"/>
          <w:sz w:val="18"/>
          <w:szCs w:val="18"/>
        </w:rPr>
        <w:t>, giignl.org, accessed 20 February 2024.</w:t>
      </w:r>
    </w:p>
    <w:p w14:paraId="5F9E9E99"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GIIGNL (2020) </w:t>
      </w:r>
      <w:hyperlink r:id="rId154" w:history="1">
        <w:r w:rsidRPr="0017022F">
          <w:rPr>
            <w:rStyle w:val="Hyperlink"/>
            <w:rFonts w:ascii="Arial" w:hAnsi="Arial" w:cs="Arial"/>
            <w:i/>
            <w:iCs/>
            <w:sz w:val="18"/>
            <w:szCs w:val="18"/>
          </w:rPr>
          <w:t>2020 Annual Report</w:t>
        </w:r>
      </w:hyperlink>
      <w:r w:rsidRPr="0017022F">
        <w:rPr>
          <w:rFonts w:ascii="Arial" w:hAnsi="Arial" w:cs="Arial"/>
          <w:sz w:val="18"/>
          <w:szCs w:val="18"/>
        </w:rPr>
        <w:t>, giignl.org, accessed 20 February 2024.</w:t>
      </w:r>
    </w:p>
    <w:p w14:paraId="63372CE5"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GIIGNL (2021) </w:t>
      </w:r>
      <w:hyperlink r:id="rId155" w:history="1">
        <w:r w:rsidRPr="0017022F">
          <w:rPr>
            <w:rStyle w:val="Hyperlink"/>
            <w:rFonts w:ascii="Arial" w:hAnsi="Arial" w:cs="Arial"/>
            <w:i/>
            <w:iCs/>
            <w:sz w:val="18"/>
            <w:szCs w:val="18"/>
          </w:rPr>
          <w:t>2021 Annual Report</w:t>
        </w:r>
      </w:hyperlink>
      <w:r w:rsidRPr="0017022F">
        <w:rPr>
          <w:rFonts w:ascii="Arial" w:hAnsi="Arial" w:cs="Arial"/>
          <w:sz w:val="18"/>
          <w:szCs w:val="18"/>
        </w:rPr>
        <w:t>, giignl.org, accessed 20 February 2024.</w:t>
      </w:r>
    </w:p>
    <w:p w14:paraId="56C23ACF"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GIIGNL (2022) </w:t>
      </w:r>
      <w:hyperlink r:id="rId156" w:history="1">
        <w:r w:rsidRPr="0017022F">
          <w:rPr>
            <w:rStyle w:val="Hyperlink"/>
            <w:rFonts w:ascii="Arial" w:hAnsi="Arial" w:cs="Arial"/>
            <w:i/>
            <w:iCs/>
            <w:sz w:val="18"/>
            <w:szCs w:val="18"/>
          </w:rPr>
          <w:t>2022 Annual Report</w:t>
        </w:r>
      </w:hyperlink>
      <w:r w:rsidRPr="0017022F">
        <w:rPr>
          <w:rFonts w:ascii="Arial" w:hAnsi="Arial" w:cs="Arial"/>
          <w:sz w:val="18"/>
          <w:szCs w:val="18"/>
        </w:rPr>
        <w:t>, giignl.org, accessed 20 February 2024.</w:t>
      </w:r>
    </w:p>
    <w:p w14:paraId="74570D6F"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GIIGNL (2023) </w:t>
      </w:r>
      <w:hyperlink r:id="rId157" w:history="1">
        <w:r w:rsidRPr="0017022F">
          <w:rPr>
            <w:rStyle w:val="Hyperlink"/>
            <w:rFonts w:ascii="Arial" w:hAnsi="Arial" w:cs="Arial"/>
            <w:i/>
            <w:iCs/>
            <w:sz w:val="18"/>
            <w:szCs w:val="18"/>
          </w:rPr>
          <w:t>2023 Annual Report</w:t>
        </w:r>
      </w:hyperlink>
      <w:r w:rsidRPr="0017022F">
        <w:rPr>
          <w:rFonts w:ascii="Arial" w:hAnsi="Arial" w:cs="Arial"/>
          <w:sz w:val="18"/>
          <w:szCs w:val="18"/>
        </w:rPr>
        <w:t>, giignl.org, accessed 20 February 2024.</w:t>
      </w:r>
    </w:p>
    <w:p w14:paraId="4AAB4D4A"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Grattan Institute (2023) </w:t>
      </w:r>
      <w:hyperlink r:id="rId158" w:history="1">
        <w:r w:rsidRPr="0017022F">
          <w:rPr>
            <w:rStyle w:val="Hyperlink"/>
            <w:rFonts w:ascii="Arial" w:hAnsi="Arial" w:cs="Arial"/>
            <w:i/>
            <w:iCs/>
            <w:sz w:val="18"/>
            <w:szCs w:val="18"/>
          </w:rPr>
          <w:t>Getting off gas: why, how, and who should pay?</w:t>
        </w:r>
      </w:hyperlink>
      <w:r w:rsidRPr="0017022F">
        <w:rPr>
          <w:rFonts w:ascii="Arial" w:hAnsi="Arial" w:cs="Arial"/>
          <w:sz w:val="18"/>
          <w:szCs w:val="18"/>
        </w:rPr>
        <w:t>, prepared by T Wood, A Reeve and E Suckling, Grattan Institute, accessed 3 May 2024.</w:t>
      </w:r>
    </w:p>
    <w:p w14:paraId="28C0F45D"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Hawkins T (2022) </w:t>
      </w:r>
      <w:hyperlink r:id="rId159" w:history="1">
        <w:r w:rsidRPr="0017022F">
          <w:rPr>
            <w:rStyle w:val="Hyperlink"/>
            <w:rFonts w:ascii="Arial" w:hAnsi="Arial" w:cs="Arial"/>
            <w:i/>
            <w:iCs/>
            <w:sz w:val="18"/>
            <w:szCs w:val="18"/>
          </w:rPr>
          <w:t>Northmore Gordon Works to Improve Energy Stability in Victoria</w:t>
        </w:r>
      </w:hyperlink>
      <w:r w:rsidRPr="0017022F">
        <w:rPr>
          <w:rFonts w:ascii="Arial" w:hAnsi="Arial" w:cs="Arial"/>
          <w:sz w:val="18"/>
          <w:szCs w:val="18"/>
        </w:rPr>
        <w:t>, Northmore Gordon website, accessed 10 December 2023.</w:t>
      </w:r>
    </w:p>
    <w:p w14:paraId="0D6B5D85"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IEA (International Energy Agency) (2020) </w:t>
      </w:r>
      <w:hyperlink r:id="rId160" w:history="1">
        <w:r w:rsidRPr="0017022F">
          <w:rPr>
            <w:rStyle w:val="Hyperlink"/>
            <w:rFonts w:ascii="Arial" w:hAnsi="Arial" w:cs="Arial"/>
            <w:i/>
            <w:iCs/>
            <w:sz w:val="18"/>
            <w:szCs w:val="18"/>
          </w:rPr>
          <w:t>The Oil and Gas Industry in Energy Transitions</w:t>
        </w:r>
      </w:hyperlink>
      <w:r w:rsidRPr="0017022F">
        <w:rPr>
          <w:rFonts w:ascii="Arial" w:hAnsi="Arial" w:cs="Arial"/>
          <w:sz w:val="18"/>
          <w:szCs w:val="18"/>
        </w:rPr>
        <w:t>, iea.org.au, accessed 20 July 2023</w:t>
      </w:r>
      <w:r>
        <w:rPr>
          <w:rFonts w:ascii="Arial" w:hAnsi="Arial" w:cs="Arial"/>
          <w:sz w:val="18"/>
          <w:szCs w:val="18"/>
        </w:rPr>
        <w:t>.</w:t>
      </w:r>
    </w:p>
    <w:p w14:paraId="6AEF6099"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IEA (2023a) </w:t>
      </w:r>
      <w:hyperlink r:id="rId161" w:history="1">
        <w:r w:rsidRPr="0017022F">
          <w:rPr>
            <w:rStyle w:val="Hyperlink"/>
            <w:rFonts w:ascii="Arial" w:hAnsi="Arial" w:cs="Arial"/>
            <w:i/>
            <w:iCs/>
            <w:sz w:val="18"/>
            <w:szCs w:val="18"/>
          </w:rPr>
          <w:t>Climate Pledges Explorer</w:t>
        </w:r>
      </w:hyperlink>
      <w:r w:rsidRPr="0017022F">
        <w:rPr>
          <w:rFonts w:ascii="Arial" w:hAnsi="Arial" w:cs="Arial"/>
          <w:sz w:val="18"/>
          <w:szCs w:val="18"/>
        </w:rPr>
        <w:t xml:space="preserve"> [data explorer], iea.org, accessed 17 October 2023</w:t>
      </w:r>
      <w:r>
        <w:rPr>
          <w:rFonts w:ascii="Arial" w:hAnsi="Arial" w:cs="Arial"/>
          <w:sz w:val="18"/>
          <w:szCs w:val="18"/>
        </w:rPr>
        <w:t>.</w:t>
      </w:r>
    </w:p>
    <w:p w14:paraId="7C59D101"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IEA (2023b) </w:t>
      </w:r>
      <w:hyperlink r:id="rId162" w:history="1">
        <w:r w:rsidRPr="0017022F">
          <w:rPr>
            <w:rStyle w:val="Hyperlink"/>
            <w:rFonts w:ascii="Arial" w:hAnsi="Arial" w:cs="Arial"/>
            <w:i/>
            <w:iCs/>
            <w:sz w:val="18"/>
            <w:szCs w:val="18"/>
          </w:rPr>
          <w:t xml:space="preserve">Comparison of the emissions intensity of different hydrogen production </w:t>
        </w:r>
        <w:r w:rsidRPr="0017022F">
          <w:rPr>
            <w:rStyle w:val="Hyperlink"/>
            <w:rFonts w:ascii="Arial" w:hAnsi="Arial" w:cs="Arial"/>
            <w:sz w:val="18"/>
            <w:szCs w:val="18"/>
          </w:rPr>
          <w:t>routes, 2021</w:t>
        </w:r>
      </w:hyperlink>
      <w:r w:rsidRPr="0017022F">
        <w:rPr>
          <w:rFonts w:ascii="Arial" w:hAnsi="Arial" w:cs="Arial"/>
          <w:sz w:val="18"/>
          <w:szCs w:val="18"/>
        </w:rPr>
        <w:t xml:space="preserve"> [chart data], iea.org, accessed 30 April 2024. </w:t>
      </w:r>
    </w:p>
    <w:p w14:paraId="1CB40448"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IEA (2023c) </w:t>
      </w:r>
      <w:hyperlink r:id="rId163" w:history="1">
        <w:r w:rsidRPr="0017022F">
          <w:rPr>
            <w:rStyle w:val="Hyperlink"/>
            <w:rFonts w:ascii="Arial" w:hAnsi="Arial" w:cs="Arial"/>
            <w:i/>
            <w:iCs/>
            <w:sz w:val="18"/>
            <w:szCs w:val="18"/>
          </w:rPr>
          <w:t>Greenhouse Gas Emissions from Energy Data Explorer</w:t>
        </w:r>
      </w:hyperlink>
      <w:r w:rsidRPr="0017022F">
        <w:rPr>
          <w:rFonts w:ascii="Arial" w:hAnsi="Arial" w:cs="Arial"/>
          <w:sz w:val="18"/>
          <w:szCs w:val="18"/>
        </w:rPr>
        <w:t xml:space="preserve"> [data explorer], iea.org, accessed 20 November 2023.</w:t>
      </w:r>
    </w:p>
    <w:p w14:paraId="41150DCE"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IEA (2023d) </w:t>
      </w:r>
      <w:hyperlink r:id="rId164" w:anchor="overview" w:history="1">
        <w:r w:rsidRPr="0017022F">
          <w:rPr>
            <w:rStyle w:val="Hyperlink"/>
            <w:rFonts w:ascii="Arial" w:hAnsi="Arial" w:cs="Arial"/>
            <w:i/>
            <w:iCs/>
            <w:sz w:val="18"/>
            <w:szCs w:val="18"/>
          </w:rPr>
          <w:t>Medium-Term Gas Report 2023: Including Gas Market Report Q4 - 2023</w:t>
        </w:r>
      </w:hyperlink>
      <w:r w:rsidRPr="0017022F">
        <w:rPr>
          <w:rFonts w:ascii="Arial" w:hAnsi="Arial" w:cs="Arial"/>
          <w:sz w:val="18"/>
          <w:szCs w:val="18"/>
        </w:rPr>
        <w:t>, iea.org, accessed 02 May 2024.</w:t>
      </w:r>
    </w:p>
    <w:p w14:paraId="5FBF74E5"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IEA (2023e) </w:t>
      </w:r>
      <w:hyperlink r:id="rId165" w:history="1">
        <w:r w:rsidRPr="0017022F">
          <w:rPr>
            <w:rStyle w:val="Hyperlink"/>
            <w:rFonts w:ascii="Arial" w:hAnsi="Arial" w:cs="Arial"/>
            <w:i/>
            <w:iCs/>
            <w:sz w:val="18"/>
            <w:szCs w:val="18"/>
          </w:rPr>
          <w:t>World Energy Outlook 2023 Extended Dataset</w:t>
        </w:r>
      </w:hyperlink>
      <w:r w:rsidRPr="0017022F">
        <w:rPr>
          <w:rFonts w:ascii="Arial" w:hAnsi="Arial" w:cs="Arial"/>
          <w:sz w:val="18"/>
          <w:szCs w:val="18"/>
        </w:rPr>
        <w:t xml:space="preserve"> [data set], iea.org, accessed 30 April 2024.</w:t>
      </w:r>
    </w:p>
    <w:p w14:paraId="4EF465F5"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IEA (2023f) </w:t>
      </w:r>
      <w:hyperlink r:id="rId166" w:history="1">
        <w:r w:rsidRPr="0017022F">
          <w:rPr>
            <w:rStyle w:val="Hyperlink"/>
            <w:rFonts w:ascii="Arial" w:hAnsi="Arial" w:cs="Arial"/>
            <w:i/>
            <w:iCs/>
            <w:sz w:val="18"/>
            <w:szCs w:val="18"/>
          </w:rPr>
          <w:t>World Energy Outlook 2023</w:t>
        </w:r>
      </w:hyperlink>
      <w:r w:rsidRPr="0017022F">
        <w:rPr>
          <w:rFonts w:ascii="Arial" w:hAnsi="Arial" w:cs="Arial"/>
          <w:sz w:val="18"/>
          <w:szCs w:val="18"/>
        </w:rPr>
        <w:t>, iea.org, accessed 10 April 2024.</w:t>
      </w:r>
    </w:p>
    <w:p w14:paraId="7F1DCD0C" w14:textId="0A9471B2" w:rsidR="004C4107" w:rsidRDefault="004C4107" w:rsidP="001B065C">
      <w:pPr>
        <w:ind w:left="720" w:hanging="720"/>
        <w:rPr>
          <w:rFonts w:ascii="Arial" w:hAnsi="Arial" w:cs="Arial"/>
          <w:sz w:val="18"/>
          <w:szCs w:val="18"/>
        </w:rPr>
      </w:pPr>
      <w:r>
        <w:rPr>
          <w:rFonts w:ascii="Arial" w:hAnsi="Arial" w:cs="Arial"/>
          <w:sz w:val="18"/>
          <w:szCs w:val="18"/>
        </w:rPr>
        <w:t xml:space="preserve">IEA (2023g) </w:t>
      </w:r>
      <w:hyperlink r:id="rId167" w:history="1">
        <w:r w:rsidRPr="004C4107">
          <w:rPr>
            <w:rStyle w:val="Hyperlink"/>
            <w:rFonts w:ascii="Arial" w:hAnsi="Arial" w:cs="Arial"/>
            <w:sz w:val="18"/>
            <w:szCs w:val="18"/>
          </w:rPr>
          <w:t>Countries and regions analysis</w:t>
        </w:r>
      </w:hyperlink>
      <w:r>
        <w:rPr>
          <w:rFonts w:ascii="Arial" w:hAnsi="Arial" w:cs="Arial"/>
          <w:sz w:val="18"/>
          <w:szCs w:val="18"/>
        </w:rPr>
        <w:t>, accessed 10 April 2024.</w:t>
      </w:r>
    </w:p>
    <w:p w14:paraId="10F85002" w14:textId="3D158F0D" w:rsidR="009100A6" w:rsidRPr="0017022F" w:rsidRDefault="009100A6" w:rsidP="001B065C">
      <w:pPr>
        <w:ind w:left="720" w:hanging="720"/>
        <w:rPr>
          <w:rFonts w:ascii="Arial" w:hAnsi="Arial" w:cs="Arial"/>
          <w:sz w:val="18"/>
          <w:szCs w:val="18"/>
        </w:rPr>
      </w:pPr>
      <w:r w:rsidRPr="0017022F">
        <w:rPr>
          <w:rFonts w:ascii="Arial" w:hAnsi="Arial" w:cs="Arial"/>
          <w:sz w:val="18"/>
          <w:szCs w:val="18"/>
        </w:rPr>
        <w:t>IEEJ</w:t>
      </w:r>
      <w:r>
        <w:rPr>
          <w:rFonts w:ascii="Arial" w:hAnsi="Arial" w:cs="Arial"/>
          <w:sz w:val="18"/>
          <w:szCs w:val="18"/>
        </w:rPr>
        <w:t xml:space="preserve"> (</w:t>
      </w:r>
      <w:r w:rsidRPr="00CD60CC">
        <w:rPr>
          <w:rFonts w:ascii="Arial" w:hAnsi="Arial" w:cs="Arial"/>
          <w:sz w:val="18"/>
          <w:szCs w:val="18"/>
        </w:rPr>
        <w:t>The Institute of Energy Economics, Japan</w:t>
      </w:r>
      <w:r>
        <w:rPr>
          <w:rFonts w:ascii="Arial" w:hAnsi="Arial" w:cs="Arial"/>
          <w:sz w:val="18"/>
          <w:szCs w:val="18"/>
        </w:rPr>
        <w:t xml:space="preserve">) </w:t>
      </w:r>
      <w:r w:rsidRPr="0017022F">
        <w:rPr>
          <w:rFonts w:ascii="Arial" w:hAnsi="Arial" w:cs="Arial"/>
          <w:sz w:val="18"/>
          <w:szCs w:val="18"/>
        </w:rPr>
        <w:t xml:space="preserve">(2024) </w:t>
      </w:r>
      <w:hyperlink r:id="rId168" w:history="1">
        <w:r w:rsidRPr="0017022F">
          <w:rPr>
            <w:rStyle w:val="Hyperlink"/>
            <w:rFonts w:ascii="Arial" w:hAnsi="Arial" w:cs="Arial"/>
            <w:sz w:val="18"/>
            <w:szCs w:val="18"/>
          </w:rPr>
          <w:t>IEEJ Outlook 2024</w:t>
        </w:r>
      </w:hyperlink>
      <w:r w:rsidRPr="0017022F">
        <w:rPr>
          <w:rFonts w:ascii="Arial" w:hAnsi="Arial" w:cs="Arial"/>
          <w:sz w:val="18"/>
          <w:szCs w:val="18"/>
        </w:rPr>
        <w:t xml:space="preserve">, </w:t>
      </w:r>
      <w:r w:rsidR="008B6B2C">
        <w:rPr>
          <w:rFonts w:ascii="Arial" w:hAnsi="Arial" w:cs="Arial"/>
          <w:sz w:val="18"/>
          <w:szCs w:val="18"/>
        </w:rPr>
        <w:t>e</w:t>
      </w:r>
      <w:r w:rsidRPr="0017022F">
        <w:rPr>
          <w:rFonts w:ascii="Arial" w:hAnsi="Arial" w:cs="Arial"/>
          <w:sz w:val="18"/>
          <w:szCs w:val="18"/>
        </w:rPr>
        <w:t>neken.ieej.or.jp, accessed on 3 May 2024.</w:t>
      </w:r>
    </w:p>
    <w:p w14:paraId="212214B3"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Kpler (2023</w:t>
      </w:r>
      <w:r>
        <w:rPr>
          <w:rFonts w:ascii="Arial" w:hAnsi="Arial" w:cs="Arial"/>
          <w:sz w:val="18"/>
          <w:szCs w:val="18"/>
        </w:rPr>
        <w:t>a</w:t>
      </w:r>
      <w:r w:rsidRPr="0017022F">
        <w:rPr>
          <w:rFonts w:ascii="Arial" w:hAnsi="Arial" w:cs="Arial"/>
          <w:sz w:val="18"/>
          <w:szCs w:val="18"/>
        </w:rPr>
        <w:t xml:space="preserve">) </w:t>
      </w:r>
      <w:hyperlink r:id="rId169" w:history="1">
        <w:r w:rsidRPr="0017022F">
          <w:rPr>
            <w:rStyle w:val="Hyperlink"/>
            <w:rFonts w:ascii="Arial" w:hAnsi="Arial" w:cs="Arial"/>
            <w:i/>
            <w:iCs/>
            <w:sz w:val="18"/>
            <w:szCs w:val="18"/>
          </w:rPr>
          <w:t>Australia Annual Exports (by destination) - 2022–23</w:t>
        </w:r>
      </w:hyperlink>
      <w:r w:rsidRPr="0017022F">
        <w:rPr>
          <w:rFonts w:ascii="Arial" w:hAnsi="Arial" w:cs="Arial"/>
          <w:i/>
          <w:iCs/>
          <w:sz w:val="18"/>
          <w:szCs w:val="18"/>
        </w:rPr>
        <w:t xml:space="preserve"> </w:t>
      </w:r>
      <w:r w:rsidRPr="0017022F">
        <w:rPr>
          <w:rFonts w:ascii="Arial" w:hAnsi="Arial" w:cs="Arial"/>
          <w:sz w:val="18"/>
          <w:szCs w:val="18"/>
        </w:rPr>
        <w:t>[data tool], lng.kpler.com, accessed 02 December 2023</w:t>
      </w:r>
    </w:p>
    <w:p w14:paraId="3380E4CE"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Kpler (2023</w:t>
      </w:r>
      <w:r>
        <w:rPr>
          <w:rFonts w:ascii="Arial" w:hAnsi="Arial" w:cs="Arial"/>
          <w:sz w:val="18"/>
          <w:szCs w:val="18"/>
        </w:rPr>
        <w:t>b</w:t>
      </w:r>
      <w:r w:rsidRPr="0017022F">
        <w:rPr>
          <w:rFonts w:ascii="Arial" w:hAnsi="Arial" w:cs="Arial"/>
          <w:sz w:val="18"/>
          <w:szCs w:val="18"/>
        </w:rPr>
        <w:t xml:space="preserve">) </w:t>
      </w:r>
      <w:hyperlink r:id="rId170" w:history="1">
        <w:r w:rsidRPr="0017022F">
          <w:rPr>
            <w:rStyle w:val="Hyperlink"/>
            <w:rFonts w:ascii="Arial" w:hAnsi="Arial" w:cs="Arial"/>
            <w:i/>
            <w:iCs/>
            <w:sz w:val="18"/>
            <w:szCs w:val="18"/>
          </w:rPr>
          <w:t>World Annual Exports (by origin country) - 2022–23</w:t>
        </w:r>
      </w:hyperlink>
      <w:r w:rsidRPr="0017022F">
        <w:rPr>
          <w:rFonts w:ascii="Arial" w:hAnsi="Arial" w:cs="Arial"/>
          <w:i/>
          <w:iCs/>
          <w:sz w:val="18"/>
          <w:szCs w:val="18"/>
        </w:rPr>
        <w:t xml:space="preserve"> </w:t>
      </w:r>
      <w:r w:rsidRPr="0017022F">
        <w:rPr>
          <w:rFonts w:ascii="Arial" w:hAnsi="Arial" w:cs="Arial"/>
          <w:sz w:val="18"/>
          <w:szCs w:val="18"/>
        </w:rPr>
        <w:t>[data tool], lng.kpler.com, accessed 02 December 2023.</w:t>
      </w:r>
    </w:p>
    <w:p w14:paraId="72D67B24"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Madeddu S, Ueckerdt F, Pehl M, Peterseim J, Lord M, Kumar KA Kruger C and Luderer G (2020) ‘</w:t>
      </w:r>
      <w:hyperlink r:id="rId171" w:history="1">
        <w:r w:rsidRPr="0017022F">
          <w:rPr>
            <w:rStyle w:val="Hyperlink"/>
            <w:rFonts w:ascii="Arial" w:hAnsi="Arial" w:cs="Arial"/>
            <w:sz w:val="18"/>
            <w:szCs w:val="18"/>
          </w:rPr>
          <w:t>The CO2 reduction potential for the European industry via direct electrification of heat supply (power-to-heat)</w:t>
        </w:r>
      </w:hyperlink>
      <w:r w:rsidRPr="0017022F">
        <w:rPr>
          <w:rFonts w:ascii="Arial" w:hAnsi="Arial" w:cs="Arial"/>
          <w:sz w:val="18"/>
          <w:szCs w:val="18"/>
        </w:rPr>
        <w:t xml:space="preserve">’. </w:t>
      </w:r>
      <w:r w:rsidRPr="0017022F">
        <w:rPr>
          <w:rFonts w:ascii="Arial" w:hAnsi="Arial" w:cs="Arial"/>
          <w:i/>
          <w:iCs/>
          <w:sz w:val="18"/>
          <w:szCs w:val="18"/>
        </w:rPr>
        <w:t>Environmental Research Letters, 15</w:t>
      </w:r>
      <w:r w:rsidRPr="0017022F">
        <w:rPr>
          <w:rFonts w:ascii="Arial" w:hAnsi="Arial" w:cs="Arial"/>
          <w:sz w:val="18"/>
          <w:szCs w:val="18"/>
        </w:rPr>
        <w:t>(12), 124004.</w:t>
      </w:r>
    </w:p>
    <w:p w14:paraId="5B61A56E" w14:textId="32290D64" w:rsidR="00FE48B9" w:rsidRDefault="00FE48B9" w:rsidP="00FE48B9">
      <w:pPr>
        <w:ind w:left="720" w:hanging="720"/>
        <w:rPr>
          <w:rFonts w:ascii="Arial" w:hAnsi="Arial" w:cs="Arial"/>
          <w:sz w:val="18"/>
          <w:szCs w:val="18"/>
        </w:rPr>
      </w:pPr>
      <w:r w:rsidRPr="0017022F">
        <w:rPr>
          <w:rFonts w:ascii="Arial" w:hAnsi="Arial" w:cs="Arial"/>
          <w:sz w:val="18"/>
          <w:szCs w:val="18"/>
        </w:rPr>
        <w:t>NexantE</w:t>
      </w:r>
      <w:r w:rsidRPr="00FE48B9">
        <w:rPr>
          <w:rFonts w:ascii="Arial" w:hAnsi="Arial" w:cs="Arial"/>
          <w:sz w:val="18"/>
          <w:szCs w:val="18"/>
        </w:rPr>
        <w:t xml:space="preserve">CA (2023) </w:t>
      </w:r>
      <w:hyperlink r:id="rId172">
        <w:r w:rsidRPr="00FE48B9">
          <w:rPr>
            <w:rStyle w:val="Hyperlink"/>
            <w:rFonts w:ascii="Arial" w:hAnsi="Arial" w:cs="Arial"/>
            <w:i/>
            <w:iCs/>
            <w:sz w:val="18"/>
            <w:szCs w:val="18"/>
          </w:rPr>
          <w:t>World Gas Model</w:t>
        </w:r>
      </w:hyperlink>
      <w:r w:rsidRPr="0017022F">
        <w:rPr>
          <w:rFonts w:ascii="Arial" w:hAnsi="Arial" w:cs="Arial"/>
          <w:i/>
          <w:iCs/>
          <w:sz w:val="18"/>
          <w:szCs w:val="18"/>
        </w:rPr>
        <w:t xml:space="preserve"> </w:t>
      </w:r>
      <w:r w:rsidRPr="0017022F">
        <w:rPr>
          <w:rFonts w:ascii="Arial" w:hAnsi="Arial" w:cs="Arial"/>
          <w:sz w:val="18"/>
          <w:szCs w:val="18"/>
        </w:rPr>
        <w:t>[data model], nexanteca.com, accessed 20 February 2024.</w:t>
      </w:r>
    </w:p>
    <w:p w14:paraId="293EF8C9" w14:textId="2DC78C64" w:rsidR="009100A6" w:rsidRDefault="009100A6" w:rsidP="001B065C">
      <w:pPr>
        <w:ind w:left="720" w:hanging="720"/>
        <w:rPr>
          <w:rFonts w:ascii="Arial" w:hAnsi="Arial" w:cs="Arial"/>
          <w:sz w:val="18"/>
          <w:szCs w:val="18"/>
        </w:rPr>
      </w:pPr>
      <w:r w:rsidRPr="0017022F">
        <w:rPr>
          <w:rFonts w:ascii="Arial" w:hAnsi="Arial" w:cs="Arial"/>
          <w:sz w:val="18"/>
          <w:szCs w:val="18"/>
        </w:rPr>
        <w:t>Nexa</w:t>
      </w:r>
      <w:r w:rsidRPr="00FE48B9">
        <w:rPr>
          <w:rFonts w:ascii="Arial" w:hAnsi="Arial" w:cs="Arial"/>
          <w:sz w:val="18"/>
          <w:szCs w:val="18"/>
        </w:rPr>
        <w:t xml:space="preserve">ntECA (2024) </w:t>
      </w:r>
      <w:hyperlink r:id="rId173">
        <w:r w:rsidRPr="00FE48B9">
          <w:rPr>
            <w:rStyle w:val="Hyperlink"/>
            <w:rFonts w:ascii="Arial" w:hAnsi="Arial" w:cs="Arial"/>
            <w:i/>
            <w:iCs/>
            <w:sz w:val="18"/>
            <w:szCs w:val="18"/>
          </w:rPr>
          <w:t>World Gas Model</w:t>
        </w:r>
      </w:hyperlink>
      <w:r w:rsidRPr="0017022F">
        <w:rPr>
          <w:rFonts w:ascii="Arial" w:hAnsi="Arial" w:cs="Arial"/>
          <w:i/>
          <w:iCs/>
          <w:sz w:val="18"/>
          <w:szCs w:val="18"/>
        </w:rPr>
        <w:t xml:space="preserve"> </w:t>
      </w:r>
      <w:r w:rsidRPr="0017022F">
        <w:rPr>
          <w:rFonts w:ascii="Arial" w:hAnsi="Arial" w:cs="Arial"/>
          <w:sz w:val="18"/>
          <w:szCs w:val="18"/>
        </w:rPr>
        <w:t>[data model], nexanteca.com, accessed 20 February 2024.</w:t>
      </w:r>
    </w:p>
    <w:p w14:paraId="7E0A3069" w14:textId="63DF71AD" w:rsidR="00E805B3" w:rsidRPr="0017022F" w:rsidRDefault="00E805B3" w:rsidP="001B065C">
      <w:pPr>
        <w:ind w:left="720" w:hanging="720"/>
        <w:rPr>
          <w:rFonts w:ascii="Arial" w:hAnsi="Arial" w:cs="Arial"/>
          <w:sz w:val="18"/>
          <w:szCs w:val="18"/>
        </w:rPr>
      </w:pPr>
      <w:r>
        <w:rPr>
          <w:rFonts w:ascii="Arial" w:hAnsi="Arial" w:cs="Arial"/>
          <w:sz w:val="18"/>
          <w:szCs w:val="18"/>
        </w:rPr>
        <w:t xml:space="preserve">Oil and Gas Climate Initiative (2022) </w:t>
      </w:r>
      <w:hyperlink r:id="rId174" w:history="1">
        <w:r w:rsidRPr="00E805B3">
          <w:rPr>
            <w:rStyle w:val="Hyperlink"/>
            <w:rFonts w:ascii="Arial" w:hAnsi="Arial" w:cs="Arial"/>
            <w:i/>
            <w:iCs/>
            <w:sz w:val="18"/>
            <w:szCs w:val="18"/>
          </w:rPr>
          <w:t>CO2 Storage Resource Catalogue Cycle 3 Report</w:t>
        </w:r>
      </w:hyperlink>
      <w:r>
        <w:rPr>
          <w:rFonts w:ascii="Arial" w:hAnsi="Arial" w:cs="Arial"/>
          <w:sz w:val="18"/>
          <w:szCs w:val="18"/>
        </w:rPr>
        <w:t>, accessed 29 April 2024.</w:t>
      </w:r>
    </w:p>
    <w:p w14:paraId="6FDAEF4A"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SGS (2010) </w:t>
      </w:r>
      <w:hyperlink r:id="rId175" w:history="1">
        <w:r w:rsidRPr="0017022F">
          <w:rPr>
            <w:rStyle w:val="Hyperlink"/>
            <w:rFonts w:ascii="Arial" w:hAnsi="Arial" w:cs="Arial"/>
            <w:i/>
            <w:iCs/>
            <w:sz w:val="18"/>
            <w:szCs w:val="18"/>
          </w:rPr>
          <w:t>Hard Rock Lithium Processing</w:t>
        </w:r>
      </w:hyperlink>
      <w:r w:rsidRPr="0017022F">
        <w:rPr>
          <w:rFonts w:ascii="Arial" w:hAnsi="Arial" w:cs="Arial"/>
          <w:sz w:val="18"/>
          <w:szCs w:val="18"/>
        </w:rPr>
        <w:t xml:space="preserve">, SGS website, accessed 3 May 2024.  </w:t>
      </w:r>
    </w:p>
    <w:p w14:paraId="3D1AD388"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Shell (2021) </w:t>
      </w:r>
      <w:hyperlink r:id="rId176" w:history="1">
        <w:r w:rsidRPr="0017022F">
          <w:rPr>
            <w:rStyle w:val="Hyperlink"/>
            <w:rFonts w:ascii="Arial" w:hAnsi="Arial" w:cs="Arial"/>
            <w:i/>
            <w:iCs/>
            <w:sz w:val="18"/>
            <w:szCs w:val="18"/>
          </w:rPr>
          <w:t>The Energy Transformation Scenarios - Underlying data</w:t>
        </w:r>
      </w:hyperlink>
      <w:r w:rsidRPr="0017022F">
        <w:rPr>
          <w:rFonts w:ascii="Arial" w:hAnsi="Arial" w:cs="Arial"/>
          <w:i/>
          <w:iCs/>
          <w:sz w:val="18"/>
          <w:szCs w:val="18"/>
        </w:rPr>
        <w:t xml:space="preserve"> </w:t>
      </w:r>
      <w:r w:rsidRPr="0017022F">
        <w:rPr>
          <w:rFonts w:ascii="Arial" w:hAnsi="Arial" w:cs="Arial"/>
          <w:sz w:val="18"/>
          <w:szCs w:val="18"/>
        </w:rPr>
        <w:t>[data set], shell.com, accessed 2 May 2024.</w:t>
      </w:r>
    </w:p>
    <w:p w14:paraId="4931E6BE" w14:textId="77777777"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Victoria Government (2024) </w:t>
      </w:r>
      <w:hyperlink r:id="rId177">
        <w:r w:rsidRPr="0017022F">
          <w:rPr>
            <w:rStyle w:val="Hyperlink"/>
            <w:rFonts w:ascii="Arial" w:hAnsi="Arial" w:cs="Arial"/>
            <w:i/>
            <w:sz w:val="18"/>
            <w:szCs w:val="18"/>
          </w:rPr>
          <w:t>Victoria's Gas Substitution Roadmap</w:t>
        </w:r>
      </w:hyperlink>
      <w:r w:rsidRPr="0017022F">
        <w:rPr>
          <w:rFonts w:ascii="Arial" w:hAnsi="Arial" w:cs="Arial"/>
          <w:sz w:val="18"/>
          <w:szCs w:val="18"/>
        </w:rPr>
        <w:t xml:space="preserve">, Victoria Government website, accessed 3 May 2022. </w:t>
      </w:r>
    </w:p>
    <w:p w14:paraId="1A6DD4CD" w14:textId="2A4E83C6" w:rsidR="009100A6" w:rsidRPr="0017022F" w:rsidRDefault="009100A6" w:rsidP="001B065C">
      <w:pPr>
        <w:ind w:left="720" w:hanging="720"/>
        <w:rPr>
          <w:rFonts w:ascii="Arial" w:hAnsi="Arial" w:cs="Arial"/>
          <w:sz w:val="18"/>
          <w:szCs w:val="18"/>
        </w:rPr>
      </w:pPr>
      <w:r w:rsidRPr="0017022F">
        <w:rPr>
          <w:rFonts w:ascii="Arial" w:hAnsi="Arial" w:cs="Arial"/>
          <w:sz w:val="18"/>
          <w:szCs w:val="18"/>
        </w:rPr>
        <w:t xml:space="preserve">Government of Western Australia (2024) </w:t>
      </w:r>
      <w:hyperlink r:id="rId178" w:history="1">
        <w:r w:rsidR="005F4EC5" w:rsidRPr="005F4EC5">
          <w:rPr>
            <w:rStyle w:val="Hyperlink"/>
            <w:rFonts w:ascii="Arial" w:hAnsi="Arial" w:cs="Arial"/>
            <w:i/>
            <w:iCs/>
            <w:sz w:val="18"/>
            <w:szCs w:val="18"/>
          </w:rPr>
          <w:t>Western Australia LNG Profile – April 2024</w:t>
        </w:r>
      </w:hyperlink>
      <w:r w:rsidR="005F4EC5">
        <w:t xml:space="preserve"> </w:t>
      </w:r>
      <w:r w:rsidRPr="0017022F">
        <w:rPr>
          <w:rFonts w:ascii="Arial" w:hAnsi="Arial" w:cs="Arial"/>
          <w:sz w:val="18"/>
          <w:szCs w:val="18"/>
        </w:rPr>
        <w:t xml:space="preserve">[fact sheet], Department of Jobs, Tourism, Science and Innovation, accessed on 3 May 2024. </w:t>
      </w:r>
    </w:p>
    <w:p w14:paraId="028984C8" w14:textId="77777777" w:rsidR="009100A6" w:rsidRDefault="009100A6" w:rsidP="001B065C">
      <w:pPr>
        <w:ind w:left="720" w:hanging="720"/>
        <w:rPr>
          <w:rFonts w:ascii="Arial" w:hAnsi="Arial" w:cs="Arial"/>
          <w:sz w:val="18"/>
          <w:szCs w:val="18"/>
        </w:rPr>
      </w:pPr>
      <w:r w:rsidRPr="0017022F">
        <w:rPr>
          <w:rFonts w:ascii="Arial" w:hAnsi="Arial" w:cs="Arial"/>
          <w:sz w:val="18"/>
          <w:szCs w:val="18"/>
        </w:rPr>
        <w:t xml:space="preserve">Wood Mackenzie (2024) </w:t>
      </w:r>
      <w:hyperlink r:id="rId179">
        <w:r w:rsidRPr="0017022F">
          <w:rPr>
            <w:rStyle w:val="Hyperlink"/>
            <w:rFonts w:ascii="Arial" w:hAnsi="Arial" w:cs="Arial"/>
            <w:i/>
            <w:iCs/>
            <w:sz w:val="18"/>
            <w:szCs w:val="18"/>
          </w:rPr>
          <w:t>LNG Emissions Benchmarking</w:t>
        </w:r>
      </w:hyperlink>
      <w:r w:rsidRPr="0017022F">
        <w:rPr>
          <w:rFonts w:ascii="Arial" w:hAnsi="Arial" w:cs="Arial"/>
          <w:i/>
          <w:iCs/>
          <w:sz w:val="18"/>
          <w:szCs w:val="18"/>
        </w:rPr>
        <w:t xml:space="preserve"> </w:t>
      </w:r>
      <w:r w:rsidRPr="0017022F">
        <w:rPr>
          <w:rFonts w:ascii="Arial" w:hAnsi="Arial" w:cs="Arial"/>
          <w:sz w:val="18"/>
          <w:szCs w:val="18"/>
        </w:rPr>
        <w:t>[data tool], woodmac.com, accessed 10 December 2023.</w:t>
      </w:r>
    </w:p>
    <w:p w14:paraId="70B7AAFE" w14:textId="77777777" w:rsidR="009100A6" w:rsidRDefault="009100A6" w:rsidP="001B065C">
      <w:pPr>
        <w:ind w:left="720" w:hanging="720"/>
        <w:rPr>
          <w:rFonts w:ascii="Arial" w:hAnsi="Arial" w:cs="Arial"/>
          <w:sz w:val="18"/>
          <w:szCs w:val="18"/>
        </w:rPr>
      </w:pPr>
      <w:r w:rsidRPr="0017022F">
        <w:rPr>
          <w:rFonts w:ascii="Arial" w:hAnsi="Arial" w:cs="Arial"/>
          <w:sz w:val="18"/>
          <w:szCs w:val="18"/>
        </w:rPr>
        <w:t>Wood Mackenzie (202</w:t>
      </w:r>
      <w:r>
        <w:rPr>
          <w:rFonts w:ascii="Arial" w:hAnsi="Arial" w:cs="Arial"/>
          <w:sz w:val="18"/>
          <w:szCs w:val="18"/>
        </w:rPr>
        <w:t>3</w:t>
      </w:r>
      <w:r w:rsidRPr="0017022F">
        <w:rPr>
          <w:rFonts w:ascii="Arial" w:hAnsi="Arial" w:cs="Arial"/>
          <w:sz w:val="18"/>
          <w:szCs w:val="18"/>
        </w:rPr>
        <w:t>)</w:t>
      </w:r>
      <w:r>
        <w:rPr>
          <w:rFonts w:ascii="Arial" w:hAnsi="Arial" w:cs="Arial"/>
          <w:sz w:val="18"/>
          <w:szCs w:val="18"/>
        </w:rPr>
        <w:t xml:space="preserve"> </w:t>
      </w:r>
      <w:hyperlink r:id="rId180" w:history="1">
        <w:r w:rsidRPr="00D81E60">
          <w:rPr>
            <w:rStyle w:val="Hyperlink"/>
            <w:rFonts w:ascii="Arial" w:hAnsi="Arial" w:cs="Arial"/>
            <w:sz w:val="18"/>
            <w:szCs w:val="18"/>
          </w:rPr>
          <w:t>Lens</w:t>
        </w:r>
      </w:hyperlink>
      <w:r>
        <w:rPr>
          <w:rFonts w:ascii="Arial" w:hAnsi="Arial" w:cs="Arial"/>
          <w:sz w:val="18"/>
          <w:szCs w:val="18"/>
        </w:rPr>
        <w:t xml:space="preserve"> </w:t>
      </w:r>
      <w:r w:rsidRPr="0017022F">
        <w:rPr>
          <w:rFonts w:ascii="Arial" w:hAnsi="Arial" w:cs="Arial"/>
          <w:sz w:val="18"/>
          <w:szCs w:val="18"/>
        </w:rPr>
        <w:t>[data</w:t>
      </w:r>
      <w:r>
        <w:rPr>
          <w:rFonts w:ascii="Arial" w:hAnsi="Arial" w:cs="Arial"/>
          <w:sz w:val="18"/>
          <w:szCs w:val="18"/>
        </w:rPr>
        <w:t xml:space="preserve"> platform</w:t>
      </w:r>
      <w:r w:rsidRPr="0017022F">
        <w:rPr>
          <w:rFonts w:ascii="Arial" w:hAnsi="Arial" w:cs="Arial"/>
          <w:sz w:val="18"/>
          <w:szCs w:val="18"/>
        </w:rPr>
        <w:t>], woodmac.com, accessed 10 December 2023.</w:t>
      </w:r>
    </w:p>
    <w:p w14:paraId="62254080" w14:textId="77777777" w:rsidR="00EC7EC7" w:rsidRPr="0009145E" w:rsidRDefault="00EC7EC7" w:rsidP="00566C00">
      <w:pPr>
        <w:ind w:left="720" w:hanging="720"/>
      </w:pPr>
    </w:p>
    <w:p w14:paraId="64DC7E16" w14:textId="77777777" w:rsidR="00EC7EC7" w:rsidRDefault="00EC7EC7" w:rsidP="00EC7EC7">
      <w:pPr>
        <w:pStyle w:val="BodyText"/>
        <w:sectPr w:rsidR="00EC7EC7" w:rsidSect="00EA689B">
          <w:type w:val="continuous"/>
          <w:pgSz w:w="16838" w:h="11906" w:orient="landscape" w:code="9"/>
          <w:pgMar w:top="709" w:right="1440" w:bottom="568" w:left="1440" w:header="709" w:footer="709" w:gutter="0"/>
          <w:cols w:num="2" w:space="708"/>
          <w:docGrid w:linePitch="360"/>
        </w:sectPr>
      </w:pPr>
    </w:p>
    <w:p w14:paraId="73D91CF1" w14:textId="77777777" w:rsidR="001A4CB5" w:rsidRDefault="001A4CB5">
      <w:pPr>
        <w:spacing w:after="200" w:line="276" w:lineRule="auto"/>
        <w:rPr>
          <w:b/>
          <w:bCs/>
          <w:color w:val="005CAF"/>
          <w:sz w:val="20"/>
          <w:szCs w:val="18"/>
        </w:rPr>
      </w:pPr>
      <w:r>
        <w:br w:type="page"/>
      </w:r>
    </w:p>
    <w:bookmarkEnd w:id="180"/>
    <w:p w14:paraId="79DDFA84" w14:textId="5F6B0ACF" w:rsidR="00EC7EC7" w:rsidRPr="000618FB" w:rsidRDefault="00EC7EC7" w:rsidP="00C97679">
      <w:pPr>
        <w:pStyle w:val="Caption"/>
      </w:pPr>
      <w:r w:rsidRPr="000618FB">
        <w:t xml:space="preserve">Table </w:t>
      </w:r>
      <w:r>
        <w:rPr>
          <w:noProof/>
        </w:rPr>
        <w:t>A.1:  Scenario Comparisons</w:t>
      </w:r>
    </w:p>
    <w:tbl>
      <w:tblPr>
        <w:tblStyle w:val="OCETable"/>
        <w:tblW w:w="5064" w:type="pct"/>
        <w:tblLook w:val="04A0" w:firstRow="1" w:lastRow="0" w:firstColumn="1" w:lastColumn="0" w:noHBand="0" w:noVBand="1"/>
      </w:tblPr>
      <w:tblGrid>
        <w:gridCol w:w="4396"/>
        <w:gridCol w:w="3223"/>
        <w:gridCol w:w="23"/>
        <w:gridCol w:w="3201"/>
        <w:gridCol w:w="45"/>
        <w:gridCol w:w="3178"/>
        <w:gridCol w:w="71"/>
      </w:tblGrid>
      <w:tr w:rsidR="00EC7EC7" w14:paraId="7DA98F56" w14:textId="77777777" w:rsidTr="008477C4">
        <w:trPr>
          <w:cnfStyle w:val="100000000000" w:firstRow="1" w:lastRow="0" w:firstColumn="0" w:lastColumn="0" w:oddVBand="0" w:evenVBand="0" w:oddHBand="0" w:evenHBand="0" w:firstRowFirstColumn="0" w:firstRowLastColumn="0" w:lastRowFirstColumn="0" w:lastRowLastColumn="0"/>
        </w:trPr>
        <w:tc>
          <w:tcPr>
            <w:tcW w:w="1555" w:type="pct"/>
          </w:tcPr>
          <w:p w14:paraId="53E082B4" w14:textId="77777777" w:rsidR="00EC7EC7" w:rsidRDefault="00EC7EC7" w:rsidP="00C50D71">
            <w:pPr>
              <w:pStyle w:val="Tableheader"/>
              <w:rPr>
                <w:lang w:eastAsia="en-AU"/>
              </w:rPr>
            </w:pPr>
            <w:r>
              <w:t>Parameter</w:t>
            </w:r>
          </w:p>
        </w:tc>
        <w:tc>
          <w:tcPr>
            <w:tcW w:w="1148" w:type="pct"/>
            <w:gridSpan w:val="2"/>
          </w:tcPr>
          <w:p w14:paraId="67030AD4" w14:textId="77777777" w:rsidR="00EC7EC7" w:rsidRDefault="00EC7EC7" w:rsidP="00C50D71">
            <w:pPr>
              <w:pStyle w:val="Tableheader"/>
              <w:rPr>
                <w:lang w:eastAsia="en-AU"/>
              </w:rPr>
            </w:pPr>
            <w:r>
              <w:t>Green Energy Exports</w:t>
            </w:r>
          </w:p>
        </w:tc>
        <w:tc>
          <w:tcPr>
            <w:tcW w:w="1148" w:type="pct"/>
            <w:gridSpan w:val="2"/>
          </w:tcPr>
          <w:p w14:paraId="7AC3663E" w14:textId="77777777" w:rsidR="00EC7EC7" w:rsidRDefault="00EC7EC7" w:rsidP="00C50D71">
            <w:pPr>
              <w:pStyle w:val="Tableheader"/>
              <w:rPr>
                <w:lang w:eastAsia="en-AU"/>
              </w:rPr>
            </w:pPr>
            <w:r>
              <w:t>Step Change</w:t>
            </w:r>
          </w:p>
        </w:tc>
        <w:tc>
          <w:tcPr>
            <w:tcW w:w="1148" w:type="pct"/>
            <w:gridSpan w:val="2"/>
          </w:tcPr>
          <w:p w14:paraId="353642B3" w14:textId="77777777" w:rsidR="00EC7EC7" w:rsidRDefault="00EC7EC7" w:rsidP="00C50D71">
            <w:pPr>
              <w:pStyle w:val="Tableheader"/>
              <w:rPr>
                <w:lang w:eastAsia="en-AU"/>
              </w:rPr>
            </w:pPr>
            <w:r>
              <w:t>Progressive Change</w:t>
            </w:r>
          </w:p>
        </w:tc>
      </w:tr>
      <w:tr w:rsidR="00EC7EC7" w14:paraId="33B2D1CC" w14:textId="77777777" w:rsidTr="008477C4">
        <w:trPr>
          <w:gridAfter w:val="1"/>
          <w:cnfStyle w:val="000000100000" w:firstRow="0" w:lastRow="0" w:firstColumn="0" w:lastColumn="0" w:oddVBand="0" w:evenVBand="0" w:oddHBand="1" w:evenHBand="0" w:firstRowFirstColumn="0" w:firstRowLastColumn="0" w:lastRowFirstColumn="0" w:lastRowLastColumn="0"/>
          <w:wAfter w:w="26" w:type="pct"/>
        </w:trPr>
        <w:tc>
          <w:tcPr>
            <w:tcW w:w="1555" w:type="pct"/>
          </w:tcPr>
          <w:p w14:paraId="6CECCCED" w14:textId="77777777" w:rsidR="00EC7EC7" w:rsidRPr="00FE751A" w:rsidRDefault="00EC7EC7" w:rsidP="00C50D71">
            <w:pPr>
              <w:pStyle w:val="Tabletext"/>
              <w:rPr>
                <w:b/>
                <w:bCs/>
                <w:lang w:eastAsia="en-AU"/>
              </w:rPr>
            </w:pPr>
            <w:r w:rsidRPr="00FE751A">
              <w:rPr>
                <w:b/>
                <w:bCs/>
              </w:rPr>
              <w:t>Equivalent IEA Scenario</w:t>
            </w:r>
          </w:p>
        </w:tc>
        <w:tc>
          <w:tcPr>
            <w:tcW w:w="1140" w:type="pct"/>
          </w:tcPr>
          <w:p w14:paraId="537E9582" w14:textId="77777777" w:rsidR="00EC7EC7" w:rsidRDefault="00EC7EC7" w:rsidP="00C50D71">
            <w:pPr>
              <w:pStyle w:val="Tabletext"/>
              <w:rPr>
                <w:lang w:eastAsia="en-AU"/>
              </w:rPr>
            </w:pPr>
            <w:r>
              <w:t>NZE</w:t>
            </w:r>
          </w:p>
        </w:tc>
        <w:tc>
          <w:tcPr>
            <w:tcW w:w="1140" w:type="pct"/>
            <w:gridSpan w:val="2"/>
          </w:tcPr>
          <w:p w14:paraId="3A3A8E58" w14:textId="77777777" w:rsidR="00EC7EC7" w:rsidRDefault="00EC7EC7" w:rsidP="00C50D71">
            <w:pPr>
              <w:pStyle w:val="Tabletext"/>
              <w:rPr>
                <w:lang w:eastAsia="en-AU"/>
              </w:rPr>
            </w:pPr>
            <w:r>
              <w:t>APS</w:t>
            </w:r>
          </w:p>
        </w:tc>
        <w:tc>
          <w:tcPr>
            <w:tcW w:w="1140" w:type="pct"/>
            <w:gridSpan w:val="2"/>
          </w:tcPr>
          <w:p w14:paraId="737391F1" w14:textId="77777777" w:rsidR="00EC7EC7" w:rsidRDefault="00EC7EC7" w:rsidP="00C50D71">
            <w:pPr>
              <w:pStyle w:val="Tabletext"/>
              <w:rPr>
                <w:lang w:eastAsia="en-AU"/>
              </w:rPr>
            </w:pPr>
            <w:r>
              <w:t>STEPS</w:t>
            </w:r>
          </w:p>
        </w:tc>
      </w:tr>
      <w:tr w:rsidR="00EC7EC7" w14:paraId="7325AE1F" w14:textId="77777777" w:rsidTr="008477C4">
        <w:trPr>
          <w:gridAfter w:val="1"/>
          <w:cnfStyle w:val="000000010000" w:firstRow="0" w:lastRow="0" w:firstColumn="0" w:lastColumn="0" w:oddVBand="0" w:evenVBand="0" w:oddHBand="0" w:evenHBand="1" w:firstRowFirstColumn="0" w:firstRowLastColumn="0" w:lastRowFirstColumn="0" w:lastRowLastColumn="0"/>
          <w:wAfter w:w="26" w:type="pct"/>
        </w:trPr>
        <w:tc>
          <w:tcPr>
            <w:tcW w:w="1555" w:type="pct"/>
          </w:tcPr>
          <w:p w14:paraId="6E2753B3" w14:textId="77777777" w:rsidR="00EC7EC7" w:rsidRPr="00FE751A" w:rsidRDefault="00EC7EC7" w:rsidP="00C50D71">
            <w:pPr>
              <w:pStyle w:val="Tabletext"/>
              <w:rPr>
                <w:b/>
                <w:bCs/>
                <w:lang w:eastAsia="en-AU"/>
              </w:rPr>
            </w:pPr>
            <w:r w:rsidRPr="00FE751A">
              <w:rPr>
                <w:b/>
                <w:bCs/>
              </w:rPr>
              <w:t>Equivalent 2023 WA GSOO</w:t>
            </w:r>
          </w:p>
        </w:tc>
        <w:tc>
          <w:tcPr>
            <w:tcW w:w="1140" w:type="pct"/>
          </w:tcPr>
          <w:p w14:paraId="75C2FD00" w14:textId="77777777" w:rsidR="00EC7EC7" w:rsidRDefault="00EC7EC7" w:rsidP="00C50D71">
            <w:pPr>
              <w:pStyle w:val="Tabletext"/>
              <w:rPr>
                <w:lang w:eastAsia="en-AU"/>
              </w:rPr>
            </w:pPr>
            <w:r>
              <w:t>High</w:t>
            </w:r>
          </w:p>
        </w:tc>
        <w:tc>
          <w:tcPr>
            <w:tcW w:w="1140" w:type="pct"/>
            <w:gridSpan w:val="2"/>
          </w:tcPr>
          <w:p w14:paraId="5470D652" w14:textId="77777777" w:rsidR="00EC7EC7" w:rsidRDefault="00EC7EC7" w:rsidP="00C50D71">
            <w:pPr>
              <w:pStyle w:val="Tabletext"/>
              <w:rPr>
                <w:lang w:eastAsia="en-AU"/>
              </w:rPr>
            </w:pPr>
            <w:r>
              <w:t>Base/Expected</w:t>
            </w:r>
          </w:p>
        </w:tc>
        <w:tc>
          <w:tcPr>
            <w:tcW w:w="1140" w:type="pct"/>
            <w:gridSpan w:val="2"/>
          </w:tcPr>
          <w:p w14:paraId="07DAE23B" w14:textId="77777777" w:rsidR="00EC7EC7" w:rsidRDefault="00EC7EC7" w:rsidP="00C50D71">
            <w:pPr>
              <w:pStyle w:val="Tabletext"/>
              <w:rPr>
                <w:lang w:eastAsia="en-AU"/>
              </w:rPr>
            </w:pPr>
            <w:r>
              <w:t>Low</w:t>
            </w:r>
          </w:p>
        </w:tc>
      </w:tr>
      <w:tr w:rsidR="00EC7EC7" w14:paraId="281D327C" w14:textId="77777777" w:rsidTr="008477C4">
        <w:trPr>
          <w:gridAfter w:val="1"/>
          <w:cnfStyle w:val="000000100000" w:firstRow="0" w:lastRow="0" w:firstColumn="0" w:lastColumn="0" w:oddVBand="0" w:evenVBand="0" w:oddHBand="1" w:evenHBand="0" w:firstRowFirstColumn="0" w:firstRowLastColumn="0" w:lastRowFirstColumn="0" w:lastRowLastColumn="0"/>
          <w:wAfter w:w="26" w:type="pct"/>
        </w:trPr>
        <w:tc>
          <w:tcPr>
            <w:tcW w:w="1555" w:type="pct"/>
          </w:tcPr>
          <w:p w14:paraId="0795E06A" w14:textId="77777777" w:rsidR="00EC7EC7" w:rsidRPr="00FE751A" w:rsidRDefault="00EC7EC7" w:rsidP="00C50D71">
            <w:pPr>
              <w:pStyle w:val="Tabletext"/>
              <w:rPr>
                <w:b/>
                <w:bCs/>
                <w:lang w:eastAsia="en-AU"/>
              </w:rPr>
            </w:pPr>
            <w:r w:rsidRPr="00FE751A">
              <w:rPr>
                <w:b/>
                <w:bCs/>
              </w:rPr>
              <w:t>2023 GSOO</w:t>
            </w:r>
          </w:p>
        </w:tc>
        <w:tc>
          <w:tcPr>
            <w:tcW w:w="1140" w:type="pct"/>
          </w:tcPr>
          <w:p w14:paraId="1BCEED72" w14:textId="77777777" w:rsidR="00EC7EC7" w:rsidRDefault="00EC7EC7" w:rsidP="00C50D71">
            <w:pPr>
              <w:pStyle w:val="Tabletext"/>
              <w:rPr>
                <w:lang w:eastAsia="en-AU"/>
              </w:rPr>
            </w:pPr>
            <w:r>
              <w:t>Green Energy Exports</w:t>
            </w:r>
          </w:p>
        </w:tc>
        <w:tc>
          <w:tcPr>
            <w:tcW w:w="1140" w:type="pct"/>
            <w:gridSpan w:val="2"/>
          </w:tcPr>
          <w:p w14:paraId="6C77E4F6" w14:textId="77777777" w:rsidR="00EC7EC7" w:rsidRDefault="00EC7EC7" w:rsidP="00C50D71">
            <w:pPr>
              <w:pStyle w:val="Tabletext"/>
              <w:rPr>
                <w:lang w:eastAsia="en-AU"/>
              </w:rPr>
            </w:pPr>
            <w:r>
              <w:t>Orchestrated Step Change</w:t>
            </w:r>
          </w:p>
        </w:tc>
        <w:tc>
          <w:tcPr>
            <w:tcW w:w="1140" w:type="pct"/>
            <w:gridSpan w:val="2"/>
          </w:tcPr>
          <w:p w14:paraId="4E979432" w14:textId="77777777" w:rsidR="00EC7EC7" w:rsidRDefault="00EC7EC7" w:rsidP="00C50D71">
            <w:pPr>
              <w:pStyle w:val="Tabletext"/>
              <w:rPr>
                <w:lang w:eastAsia="en-AU"/>
              </w:rPr>
            </w:pPr>
            <w:r>
              <w:t>Progressive change</w:t>
            </w:r>
          </w:p>
        </w:tc>
      </w:tr>
      <w:tr w:rsidR="00EC7EC7" w14:paraId="05D95E09" w14:textId="77777777" w:rsidTr="008477C4">
        <w:trPr>
          <w:gridAfter w:val="1"/>
          <w:cnfStyle w:val="000000010000" w:firstRow="0" w:lastRow="0" w:firstColumn="0" w:lastColumn="0" w:oddVBand="0" w:evenVBand="0" w:oddHBand="0" w:evenHBand="1" w:firstRowFirstColumn="0" w:firstRowLastColumn="0" w:lastRowFirstColumn="0" w:lastRowLastColumn="0"/>
          <w:wAfter w:w="26" w:type="pct"/>
        </w:trPr>
        <w:tc>
          <w:tcPr>
            <w:tcW w:w="1555" w:type="pct"/>
          </w:tcPr>
          <w:p w14:paraId="03267D3E" w14:textId="77777777" w:rsidR="00EC7EC7" w:rsidRPr="00FE751A" w:rsidRDefault="00EC7EC7" w:rsidP="00C50D71">
            <w:pPr>
              <w:pStyle w:val="Tabletext"/>
              <w:rPr>
                <w:b/>
                <w:bCs/>
              </w:rPr>
            </w:pPr>
            <w:r w:rsidRPr="00FE751A">
              <w:rPr>
                <w:b/>
                <w:bCs/>
              </w:rPr>
              <w:t>National decarbonisation target</w:t>
            </w:r>
          </w:p>
        </w:tc>
        <w:tc>
          <w:tcPr>
            <w:tcW w:w="1140" w:type="pct"/>
          </w:tcPr>
          <w:p w14:paraId="769F5DDB" w14:textId="46AE1E22" w:rsidR="00EC7EC7" w:rsidRDefault="00EC7EC7" w:rsidP="00C50D71">
            <w:pPr>
              <w:pStyle w:val="Tabletext"/>
              <w:rPr>
                <w:lang w:eastAsia="en-AU"/>
              </w:rPr>
            </w:pPr>
            <w:r>
              <w:rPr>
                <w:lang w:eastAsia="en-AU"/>
              </w:rPr>
              <w:t>At least 43% emissions reduction by 2030. Net zero by 2050</w:t>
            </w:r>
          </w:p>
        </w:tc>
        <w:tc>
          <w:tcPr>
            <w:tcW w:w="1140" w:type="pct"/>
            <w:gridSpan w:val="2"/>
          </w:tcPr>
          <w:p w14:paraId="5AE08C73" w14:textId="266079B8" w:rsidR="00EC7EC7" w:rsidRDefault="00EC7EC7" w:rsidP="00C50D71">
            <w:pPr>
              <w:pStyle w:val="Tabletext"/>
              <w:rPr>
                <w:lang w:eastAsia="en-AU"/>
              </w:rPr>
            </w:pPr>
            <w:r>
              <w:rPr>
                <w:lang w:eastAsia="en-AU"/>
              </w:rPr>
              <w:t>At least 43% emissions reduction by 2030. Net zero by 2050</w:t>
            </w:r>
          </w:p>
        </w:tc>
        <w:tc>
          <w:tcPr>
            <w:tcW w:w="1140" w:type="pct"/>
            <w:gridSpan w:val="2"/>
          </w:tcPr>
          <w:p w14:paraId="73790C4A" w14:textId="77777777" w:rsidR="00EC7EC7" w:rsidRDefault="00EC7EC7" w:rsidP="00C50D71">
            <w:pPr>
              <w:pStyle w:val="Tabletext"/>
              <w:rPr>
                <w:lang w:eastAsia="en-AU"/>
              </w:rPr>
            </w:pPr>
            <w:r>
              <w:rPr>
                <w:lang w:eastAsia="en-AU"/>
              </w:rPr>
              <w:t xml:space="preserve">At least 43% emissions reduction by 2030. </w:t>
            </w:r>
            <w:r>
              <w:rPr>
                <w:lang w:eastAsia="en-AU"/>
              </w:rPr>
              <w:br/>
              <w:t>Net zero by 2050</w:t>
            </w:r>
          </w:p>
        </w:tc>
      </w:tr>
      <w:tr w:rsidR="00EC7EC7" w14:paraId="38B2BA55" w14:textId="77777777" w:rsidTr="008477C4">
        <w:trPr>
          <w:gridAfter w:val="1"/>
          <w:cnfStyle w:val="000000100000" w:firstRow="0" w:lastRow="0" w:firstColumn="0" w:lastColumn="0" w:oddVBand="0" w:evenVBand="0" w:oddHBand="1" w:evenHBand="0" w:firstRowFirstColumn="0" w:firstRowLastColumn="0" w:lastRowFirstColumn="0" w:lastRowLastColumn="0"/>
          <w:wAfter w:w="26" w:type="pct"/>
        </w:trPr>
        <w:tc>
          <w:tcPr>
            <w:tcW w:w="1555" w:type="pct"/>
          </w:tcPr>
          <w:p w14:paraId="7EF92927" w14:textId="77777777" w:rsidR="00EC7EC7" w:rsidRPr="00FE751A" w:rsidRDefault="00EC7EC7" w:rsidP="00C50D71">
            <w:pPr>
              <w:pStyle w:val="Tabletext"/>
              <w:rPr>
                <w:b/>
                <w:bCs/>
              </w:rPr>
            </w:pPr>
            <w:r w:rsidRPr="00FE751A">
              <w:rPr>
                <w:b/>
                <w:bCs/>
              </w:rPr>
              <w:t>Global economic growth and policy coordination</w:t>
            </w:r>
          </w:p>
        </w:tc>
        <w:tc>
          <w:tcPr>
            <w:tcW w:w="1140" w:type="pct"/>
          </w:tcPr>
          <w:p w14:paraId="37ACAB9D" w14:textId="77777777" w:rsidR="00EC7EC7" w:rsidRDefault="00EC7EC7" w:rsidP="00C50D71">
            <w:pPr>
              <w:pStyle w:val="Tabletext"/>
              <w:rPr>
                <w:lang w:eastAsia="en-AU"/>
              </w:rPr>
            </w:pPr>
            <w:r>
              <w:rPr>
                <w:lang w:eastAsia="en-AU"/>
              </w:rPr>
              <w:t>High economic growth, stronger coordination</w:t>
            </w:r>
          </w:p>
        </w:tc>
        <w:tc>
          <w:tcPr>
            <w:tcW w:w="1140" w:type="pct"/>
            <w:gridSpan w:val="2"/>
          </w:tcPr>
          <w:p w14:paraId="764075FB" w14:textId="77777777" w:rsidR="00EC7EC7" w:rsidRDefault="00EC7EC7" w:rsidP="00C50D71">
            <w:pPr>
              <w:pStyle w:val="Tabletext"/>
              <w:rPr>
                <w:lang w:eastAsia="en-AU"/>
              </w:rPr>
            </w:pPr>
            <w:r>
              <w:rPr>
                <w:lang w:eastAsia="en-AU"/>
              </w:rPr>
              <w:t>Moderate economic growth, stronger coordination</w:t>
            </w:r>
          </w:p>
        </w:tc>
        <w:tc>
          <w:tcPr>
            <w:tcW w:w="1140" w:type="pct"/>
            <w:gridSpan w:val="2"/>
          </w:tcPr>
          <w:p w14:paraId="21FB171F" w14:textId="77777777" w:rsidR="00EC7EC7" w:rsidRDefault="00EC7EC7" w:rsidP="00C50D71">
            <w:pPr>
              <w:pStyle w:val="Tabletext"/>
              <w:rPr>
                <w:lang w:eastAsia="en-AU"/>
              </w:rPr>
            </w:pPr>
            <w:r>
              <w:rPr>
                <w:lang w:eastAsia="en-AU"/>
              </w:rPr>
              <w:t>Slower economic growth, lesser coordination</w:t>
            </w:r>
          </w:p>
        </w:tc>
      </w:tr>
      <w:tr w:rsidR="00EC7EC7" w14:paraId="216826BF" w14:textId="77777777" w:rsidTr="008477C4">
        <w:trPr>
          <w:gridAfter w:val="1"/>
          <w:cnfStyle w:val="000000010000" w:firstRow="0" w:lastRow="0" w:firstColumn="0" w:lastColumn="0" w:oddVBand="0" w:evenVBand="0" w:oddHBand="0" w:evenHBand="1" w:firstRowFirstColumn="0" w:firstRowLastColumn="0" w:lastRowFirstColumn="0" w:lastRowLastColumn="0"/>
          <w:wAfter w:w="26" w:type="pct"/>
        </w:trPr>
        <w:tc>
          <w:tcPr>
            <w:tcW w:w="1555" w:type="pct"/>
          </w:tcPr>
          <w:p w14:paraId="3BA31FF4" w14:textId="77777777" w:rsidR="00EC7EC7" w:rsidRPr="00FE751A" w:rsidRDefault="00EC7EC7" w:rsidP="00C50D71">
            <w:pPr>
              <w:pStyle w:val="Tabletext"/>
              <w:rPr>
                <w:b/>
                <w:bCs/>
              </w:rPr>
            </w:pPr>
            <w:r w:rsidRPr="00FE751A">
              <w:rPr>
                <w:b/>
                <w:bCs/>
              </w:rPr>
              <w:t>Australian economic and demographic drivers</w:t>
            </w:r>
          </w:p>
        </w:tc>
        <w:tc>
          <w:tcPr>
            <w:tcW w:w="1140" w:type="pct"/>
          </w:tcPr>
          <w:p w14:paraId="7C0D9BA5" w14:textId="77777777" w:rsidR="00EC7EC7" w:rsidRDefault="00EC7EC7" w:rsidP="00C50D71">
            <w:pPr>
              <w:pStyle w:val="Tabletext"/>
              <w:rPr>
                <w:lang w:eastAsia="en-AU"/>
              </w:rPr>
            </w:pPr>
            <w:r>
              <w:rPr>
                <w:lang w:eastAsia="en-AU"/>
              </w:rPr>
              <w:t>Higher (partly driven by green energy)</w:t>
            </w:r>
          </w:p>
        </w:tc>
        <w:tc>
          <w:tcPr>
            <w:tcW w:w="1140" w:type="pct"/>
            <w:gridSpan w:val="2"/>
          </w:tcPr>
          <w:p w14:paraId="3118F823" w14:textId="77777777" w:rsidR="00EC7EC7" w:rsidRDefault="00EC7EC7" w:rsidP="00C50D71">
            <w:pPr>
              <w:pStyle w:val="Tabletext"/>
              <w:rPr>
                <w:lang w:eastAsia="en-AU"/>
              </w:rPr>
            </w:pPr>
            <w:r>
              <w:rPr>
                <w:lang w:eastAsia="en-AU"/>
              </w:rPr>
              <w:t>Moderate</w:t>
            </w:r>
          </w:p>
        </w:tc>
        <w:tc>
          <w:tcPr>
            <w:tcW w:w="1140" w:type="pct"/>
            <w:gridSpan w:val="2"/>
          </w:tcPr>
          <w:p w14:paraId="25F41F79" w14:textId="77777777" w:rsidR="00EC7EC7" w:rsidRDefault="00EC7EC7" w:rsidP="00C50D71">
            <w:pPr>
              <w:pStyle w:val="Tabletext"/>
              <w:rPr>
                <w:lang w:eastAsia="en-AU"/>
              </w:rPr>
            </w:pPr>
            <w:r>
              <w:rPr>
                <w:lang w:eastAsia="en-AU"/>
              </w:rPr>
              <w:t>Lower</w:t>
            </w:r>
          </w:p>
        </w:tc>
      </w:tr>
      <w:tr w:rsidR="00EC7EC7" w14:paraId="0B6A02E6" w14:textId="77777777" w:rsidTr="008477C4">
        <w:trPr>
          <w:gridAfter w:val="1"/>
          <w:cnfStyle w:val="000000100000" w:firstRow="0" w:lastRow="0" w:firstColumn="0" w:lastColumn="0" w:oddVBand="0" w:evenVBand="0" w:oddHBand="1" w:evenHBand="0" w:firstRowFirstColumn="0" w:firstRowLastColumn="0" w:lastRowFirstColumn="0" w:lastRowLastColumn="0"/>
          <w:wAfter w:w="26" w:type="pct"/>
        </w:trPr>
        <w:tc>
          <w:tcPr>
            <w:tcW w:w="1555" w:type="pct"/>
          </w:tcPr>
          <w:p w14:paraId="33A3334C" w14:textId="343F2924" w:rsidR="00EC7EC7" w:rsidRPr="00FE751A" w:rsidRDefault="00EC7EC7" w:rsidP="00C50D71">
            <w:pPr>
              <w:pStyle w:val="Tabletext"/>
              <w:rPr>
                <w:b/>
                <w:bCs/>
              </w:rPr>
            </w:pPr>
            <w:r w:rsidRPr="00FE751A">
              <w:rPr>
                <w:b/>
                <w:bCs/>
              </w:rPr>
              <w:t>C</w:t>
            </w:r>
            <w:r w:rsidR="00F56506">
              <w:rPr>
                <w:b/>
                <w:bCs/>
              </w:rPr>
              <w:t>onsumer energy resources</w:t>
            </w:r>
            <w:r w:rsidRPr="00FE751A">
              <w:rPr>
                <w:b/>
                <w:bCs/>
              </w:rPr>
              <w:t xml:space="preserve"> uptake (batteries, PV and EVs)</w:t>
            </w:r>
          </w:p>
        </w:tc>
        <w:tc>
          <w:tcPr>
            <w:tcW w:w="1140" w:type="pct"/>
          </w:tcPr>
          <w:p w14:paraId="16F3B025" w14:textId="77777777" w:rsidR="00EC7EC7" w:rsidRDefault="00EC7EC7" w:rsidP="00C50D71">
            <w:pPr>
              <w:pStyle w:val="Tabletext"/>
              <w:rPr>
                <w:lang w:eastAsia="en-AU"/>
              </w:rPr>
            </w:pPr>
            <w:r>
              <w:rPr>
                <w:lang w:eastAsia="en-AU"/>
              </w:rPr>
              <w:t>Higher</w:t>
            </w:r>
          </w:p>
        </w:tc>
        <w:tc>
          <w:tcPr>
            <w:tcW w:w="1140" w:type="pct"/>
            <w:gridSpan w:val="2"/>
          </w:tcPr>
          <w:p w14:paraId="1DB94480" w14:textId="77777777" w:rsidR="00EC7EC7" w:rsidRDefault="00EC7EC7" w:rsidP="00C50D71">
            <w:pPr>
              <w:pStyle w:val="Tabletext"/>
              <w:rPr>
                <w:lang w:eastAsia="en-AU"/>
              </w:rPr>
            </w:pPr>
            <w:r>
              <w:rPr>
                <w:lang w:eastAsia="en-AU"/>
              </w:rPr>
              <w:t>High</w:t>
            </w:r>
          </w:p>
        </w:tc>
        <w:tc>
          <w:tcPr>
            <w:tcW w:w="1140" w:type="pct"/>
            <w:gridSpan w:val="2"/>
          </w:tcPr>
          <w:p w14:paraId="678599CC" w14:textId="77777777" w:rsidR="00EC7EC7" w:rsidRDefault="00EC7EC7" w:rsidP="00C50D71">
            <w:pPr>
              <w:pStyle w:val="Tabletext"/>
              <w:rPr>
                <w:lang w:eastAsia="en-AU"/>
              </w:rPr>
            </w:pPr>
            <w:r>
              <w:rPr>
                <w:lang w:eastAsia="en-AU"/>
              </w:rPr>
              <w:t>Lower</w:t>
            </w:r>
          </w:p>
        </w:tc>
      </w:tr>
      <w:tr w:rsidR="00EC7EC7" w14:paraId="68047F6D" w14:textId="77777777" w:rsidTr="008477C4">
        <w:trPr>
          <w:gridAfter w:val="1"/>
          <w:cnfStyle w:val="000000010000" w:firstRow="0" w:lastRow="0" w:firstColumn="0" w:lastColumn="0" w:oddVBand="0" w:evenVBand="0" w:oddHBand="0" w:evenHBand="1" w:firstRowFirstColumn="0" w:firstRowLastColumn="0" w:lastRowFirstColumn="0" w:lastRowLastColumn="0"/>
          <w:wAfter w:w="26" w:type="pct"/>
        </w:trPr>
        <w:tc>
          <w:tcPr>
            <w:tcW w:w="1555" w:type="pct"/>
          </w:tcPr>
          <w:p w14:paraId="7CFDF895" w14:textId="4BF10E98" w:rsidR="00EC7EC7" w:rsidRPr="00FE751A" w:rsidRDefault="00EC7EC7" w:rsidP="00C50D71">
            <w:pPr>
              <w:pStyle w:val="Tabletext"/>
              <w:rPr>
                <w:b/>
                <w:bCs/>
              </w:rPr>
            </w:pPr>
            <w:r w:rsidRPr="00FE751A">
              <w:rPr>
                <w:b/>
                <w:bCs/>
              </w:rPr>
              <w:t xml:space="preserve">Consumer engagement such as </w:t>
            </w:r>
            <w:r w:rsidR="00F56506">
              <w:rPr>
                <w:b/>
                <w:bCs/>
              </w:rPr>
              <w:t>virtual power plant (</w:t>
            </w:r>
            <w:r w:rsidRPr="00FE751A">
              <w:rPr>
                <w:b/>
                <w:bCs/>
              </w:rPr>
              <w:t>VPP</w:t>
            </w:r>
            <w:r w:rsidR="00F56506">
              <w:rPr>
                <w:b/>
                <w:bCs/>
              </w:rPr>
              <w:t>)</w:t>
            </w:r>
            <w:r w:rsidRPr="00FE751A">
              <w:rPr>
                <w:b/>
                <w:bCs/>
              </w:rPr>
              <w:t xml:space="preserve"> and </w:t>
            </w:r>
            <w:r w:rsidR="00F56506">
              <w:rPr>
                <w:b/>
                <w:bCs/>
              </w:rPr>
              <w:t>demand side participation (</w:t>
            </w:r>
            <w:r w:rsidRPr="00FE751A">
              <w:rPr>
                <w:b/>
                <w:bCs/>
              </w:rPr>
              <w:t>DSP</w:t>
            </w:r>
            <w:r w:rsidR="00F56506">
              <w:rPr>
                <w:b/>
                <w:bCs/>
              </w:rPr>
              <w:t>)</w:t>
            </w:r>
            <w:r w:rsidRPr="00FE751A">
              <w:rPr>
                <w:b/>
                <w:bCs/>
              </w:rPr>
              <w:t xml:space="preserve"> uptake</w:t>
            </w:r>
          </w:p>
        </w:tc>
        <w:tc>
          <w:tcPr>
            <w:tcW w:w="1140" w:type="pct"/>
          </w:tcPr>
          <w:p w14:paraId="363673D3" w14:textId="77777777" w:rsidR="00EC7EC7" w:rsidRDefault="00EC7EC7" w:rsidP="00C50D71">
            <w:pPr>
              <w:pStyle w:val="Tabletext"/>
              <w:rPr>
                <w:lang w:eastAsia="en-AU"/>
              </w:rPr>
            </w:pPr>
            <w:r>
              <w:rPr>
                <w:lang w:eastAsia="en-AU"/>
              </w:rPr>
              <w:t>Higher</w:t>
            </w:r>
          </w:p>
        </w:tc>
        <w:tc>
          <w:tcPr>
            <w:tcW w:w="1140" w:type="pct"/>
            <w:gridSpan w:val="2"/>
          </w:tcPr>
          <w:p w14:paraId="62063DB1" w14:textId="77777777" w:rsidR="00EC7EC7" w:rsidRDefault="00EC7EC7" w:rsidP="00C50D71">
            <w:pPr>
              <w:pStyle w:val="Tabletext"/>
              <w:rPr>
                <w:lang w:eastAsia="en-AU"/>
              </w:rPr>
            </w:pPr>
            <w:r>
              <w:rPr>
                <w:lang w:eastAsia="en-AU"/>
              </w:rPr>
              <w:t>High (VPP) and moderate (DSP)</w:t>
            </w:r>
          </w:p>
        </w:tc>
        <w:tc>
          <w:tcPr>
            <w:tcW w:w="1140" w:type="pct"/>
            <w:gridSpan w:val="2"/>
          </w:tcPr>
          <w:p w14:paraId="2479998D" w14:textId="77777777" w:rsidR="00EC7EC7" w:rsidRDefault="00EC7EC7" w:rsidP="00C50D71">
            <w:pPr>
              <w:pStyle w:val="Tabletext"/>
              <w:rPr>
                <w:lang w:eastAsia="en-AU"/>
              </w:rPr>
            </w:pPr>
            <w:r>
              <w:rPr>
                <w:lang w:eastAsia="en-AU"/>
              </w:rPr>
              <w:t>Lower</w:t>
            </w:r>
          </w:p>
        </w:tc>
      </w:tr>
      <w:tr w:rsidR="00EC7EC7" w14:paraId="35930E97" w14:textId="77777777" w:rsidTr="008477C4">
        <w:trPr>
          <w:gridAfter w:val="1"/>
          <w:cnfStyle w:val="000000100000" w:firstRow="0" w:lastRow="0" w:firstColumn="0" w:lastColumn="0" w:oddVBand="0" w:evenVBand="0" w:oddHBand="1" w:evenHBand="0" w:firstRowFirstColumn="0" w:firstRowLastColumn="0" w:lastRowFirstColumn="0" w:lastRowLastColumn="0"/>
          <w:wAfter w:w="26" w:type="pct"/>
        </w:trPr>
        <w:tc>
          <w:tcPr>
            <w:tcW w:w="1555" w:type="pct"/>
          </w:tcPr>
          <w:p w14:paraId="0F996433" w14:textId="77777777" w:rsidR="00EC7EC7" w:rsidRPr="00FE751A" w:rsidRDefault="00EC7EC7" w:rsidP="00C50D71">
            <w:pPr>
              <w:pStyle w:val="Tabletext"/>
              <w:rPr>
                <w:b/>
                <w:bCs/>
              </w:rPr>
            </w:pPr>
            <w:r w:rsidRPr="00FE751A">
              <w:rPr>
                <w:b/>
                <w:bCs/>
              </w:rPr>
              <w:t>Energy efficiency</w:t>
            </w:r>
          </w:p>
        </w:tc>
        <w:tc>
          <w:tcPr>
            <w:tcW w:w="1140" w:type="pct"/>
          </w:tcPr>
          <w:p w14:paraId="0AA5A5B6" w14:textId="77777777" w:rsidR="00EC7EC7" w:rsidRDefault="00EC7EC7" w:rsidP="00C50D71">
            <w:pPr>
              <w:pStyle w:val="Tabletext"/>
              <w:rPr>
                <w:lang w:eastAsia="en-AU"/>
              </w:rPr>
            </w:pPr>
            <w:r>
              <w:rPr>
                <w:lang w:eastAsia="en-AU"/>
              </w:rPr>
              <w:t>Higher</w:t>
            </w:r>
          </w:p>
        </w:tc>
        <w:tc>
          <w:tcPr>
            <w:tcW w:w="1140" w:type="pct"/>
            <w:gridSpan w:val="2"/>
          </w:tcPr>
          <w:p w14:paraId="0FD2FEE7" w14:textId="77777777" w:rsidR="00EC7EC7" w:rsidRDefault="00EC7EC7" w:rsidP="00C50D71">
            <w:pPr>
              <w:pStyle w:val="Tabletext"/>
              <w:rPr>
                <w:lang w:eastAsia="en-AU"/>
              </w:rPr>
            </w:pPr>
            <w:r>
              <w:rPr>
                <w:lang w:eastAsia="en-AU"/>
              </w:rPr>
              <w:t>Moderate</w:t>
            </w:r>
          </w:p>
        </w:tc>
        <w:tc>
          <w:tcPr>
            <w:tcW w:w="1140" w:type="pct"/>
            <w:gridSpan w:val="2"/>
          </w:tcPr>
          <w:p w14:paraId="2C8997D8" w14:textId="77777777" w:rsidR="00EC7EC7" w:rsidRDefault="00EC7EC7" w:rsidP="00C50D71">
            <w:pPr>
              <w:pStyle w:val="Tabletext"/>
              <w:rPr>
                <w:lang w:eastAsia="en-AU"/>
              </w:rPr>
            </w:pPr>
            <w:r>
              <w:rPr>
                <w:lang w:eastAsia="en-AU"/>
              </w:rPr>
              <w:t>Lower</w:t>
            </w:r>
          </w:p>
        </w:tc>
      </w:tr>
      <w:tr w:rsidR="00EC7EC7" w14:paraId="563A6209" w14:textId="77777777" w:rsidTr="008477C4">
        <w:trPr>
          <w:gridAfter w:val="1"/>
          <w:cnfStyle w:val="000000010000" w:firstRow="0" w:lastRow="0" w:firstColumn="0" w:lastColumn="0" w:oddVBand="0" w:evenVBand="0" w:oddHBand="0" w:evenHBand="1" w:firstRowFirstColumn="0" w:firstRowLastColumn="0" w:lastRowFirstColumn="0" w:lastRowLastColumn="0"/>
          <w:wAfter w:w="26" w:type="pct"/>
        </w:trPr>
        <w:tc>
          <w:tcPr>
            <w:tcW w:w="1555" w:type="pct"/>
          </w:tcPr>
          <w:p w14:paraId="65A37784" w14:textId="77777777" w:rsidR="00EC7EC7" w:rsidRPr="00FE751A" w:rsidRDefault="00EC7EC7" w:rsidP="00C50D71">
            <w:pPr>
              <w:rPr>
                <w:b/>
                <w:bCs/>
              </w:rPr>
            </w:pPr>
            <w:r w:rsidRPr="00FE751A">
              <w:rPr>
                <w:b/>
                <w:bCs/>
              </w:rPr>
              <w:t>Hydrogen Use</w:t>
            </w:r>
          </w:p>
        </w:tc>
        <w:tc>
          <w:tcPr>
            <w:tcW w:w="1140" w:type="pct"/>
          </w:tcPr>
          <w:p w14:paraId="4B2CF9CA" w14:textId="77777777" w:rsidR="00EC7EC7" w:rsidRDefault="00EC7EC7" w:rsidP="00C50D71">
            <w:pPr>
              <w:pStyle w:val="Tabletext"/>
              <w:rPr>
                <w:lang w:eastAsia="en-AU"/>
              </w:rPr>
            </w:pPr>
            <w:r>
              <w:rPr>
                <w:lang w:eastAsia="en-AU"/>
              </w:rPr>
              <w:t>Faster cost reduction. High production for domestic and export use</w:t>
            </w:r>
          </w:p>
        </w:tc>
        <w:tc>
          <w:tcPr>
            <w:tcW w:w="1140" w:type="pct"/>
            <w:gridSpan w:val="2"/>
          </w:tcPr>
          <w:p w14:paraId="1777975F" w14:textId="77777777" w:rsidR="00EC7EC7" w:rsidRDefault="00EC7EC7" w:rsidP="00C50D71">
            <w:pPr>
              <w:pStyle w:val="Tabletext"/>
              <w:rPr>
                <w:lang w:eastAsia="en-AU"/>
              </w:rPr>
            </w:pPr>
            <w:r>
              <w:rPr>
                <w:lang w:eastAsia="en-AU"/>
              </w:rPr>
              <w:t>Medium-Low production for domestic use, with minimal export hydrogen.</w:t>
            </w:r>
          </w:p>
        </w:tc>
        <w:tc>
          <w:tcPr>
            <w:tcW w:w="1140" w:type="pct"/>
            <w:gridSpan w:val="2"/>
          </w:tcPr>
          <w:p w14:paraId="61F6DAF2" w14:textId="77777777" w:rsidR="00EC7EC7" w:rsidRDefault="00EC7EC7" w:rsidP="00C50D71">
            <w:pPr>
              <w:pStyle w:val="Tabletext"/>
              <w:rPr>
                <w:lang w:eastAsia="en-AU"/>
              </w:rPr>
            </w:pPr>
            <w:r>
              <w:rPr>
                <w:lang w:eastAsia="en-AU"/>
              </w:rPr>
              <w:t>Low production for domestic use, with no export hydrogen.</w:t>
            </w:r>
          </w:p>
        </w:tc>
      </w:tr>
      <w:tr w:rsidR="00EC7EC7" w14:paraId="3B8F4BDB" w14:textId="77777777" w:rsidTr="008477C4">
        <w:trPr>
          <w:gridAfter w:val="1"/>
          <w:cnfStyle w:val="000000100000" w:firstRow="0" w:lastRow="0" w:firstColumn="0" w:lastColumn="0" w:oddVBand="0" w:evenVBand="0" w:oddHBand="1" w:evenHBand="0" w:firstRowFirstColumn="0" w:firstRowLastColumn="0" w:lastRowFirstColumn="0" w:lastRowLastColumn="0"/>
          <w:wAfter w:w="26" w:type="pct"/>
          <w:trHeight w:val="363"/>
        </w:trPr>
        <w:tc>
          <w:tcPr>
            <w:tcW w:w="1555" w:type="pct"/>
          </w:tcPr>
          <w:p w14:paraId="18CFD13B" w14:textId="77777777" w:rsidR="00EC7EC7" w:rsidRPr="00FE751A" w:rsidRDefault="00EC7EC7" w:rsidP="00C50D71">
            <w:pPr>
              <w:rPr>
                <w:b/>
                <w:bCs/>
              </w:rPr>
            </w:pPr>
            <w:r w:rsidRPr="00FE751A">
              <w:rPr>
                <w:b/>
                <w:bCs/>
              </w:rPr>
              <w:t>Hydrogen blending in gas distribution network</w:t>
            </w:r>
          </w:p>
        </w:tc>
        <w:tc>
          <w:tcPr>
            <w:tcW w:w="1140" w:type="pct"/>
          </w:tcPr>
          <w:p w14:paraId="779A95BA" w14:textId="77777777" w:rsidR="00EC7EC7" w:rsidRDefault="00EC7EC7" w:rsidP="00C50D71">
            <w:pPr>
              <w:pStyle w:val="Tabletext"/>
              <w:rPr>
                <w:lang w:eastAsia="en-AU"/>
              </w:rPr>
            </w:pPr>
            <w:r>
              <w:rPr>
                <w:lang w:eastAsia="en-AU"/>
              </w:rPr>
              <w:t>Up to 10%</w:t>
            </w:r>
          </w:p>
        </w:tc>
        <w:tc>
          <w:tcPr>
            <w:tcW w:w="1140" w:type="pct"/>
            <w:gridSpan w:val="2"/>
          </w:tcPr>
          <w:p w14:paraId="006F03D9" w14:textId="77777777" w:rsidR="00EC7EC7" w:rsidRDefault="00EC7EC7" w:rsidP="00C50D71">
            <w:pPr>
              <w:pStyle w:val="Tabletext"/>
              <w:rPr>
                <w:lang w:eastAsia="en-AU"/>
              </w:rPr>
            </w:pPr>
            <w:r>
              <w:rPr>
                <w:lang w:eastAsia="en-AU"/>
              </w:rPr>
              <w:t>Up to 10%</w:t>
            </w:r>
          </w:p>
        </w:tc>
        <w:tc>
          <w:tcPr>
            <w:tcW w:w="1140" w:type="pct"/>
            <w:gridSpan w:val="2"/>
          </w:tcPr>
          <w:p w14:paraId="3DF3584D" w14:textId="77777777" w:rsidR="00EC7EC7" w:rsidRDefault="00EC7EC7" w:rsidP="00C50D71">
            <w:pPr>
              <w:pStyle w:val="Tabletext"/>
              <w:rPr>
                <w:lang w:eastAsia="en-AU"/>
              </w:rPr>
            </w:pPr>
            <w:r>
              <w:rPr>
                <w:lang w:eastAsia="en-AU"/>
              </w:rPr>
              <w:t>Up to 10%</w:t>
            </w:r>
          </w:p>
        </w:tc>
      </w:tr>
      <w:tr w:rsidR="00EC7EC7" w14:paraId="38EBC0F4" w14:textId="77777777" w:rsidTr="008477C4">
        <w:trPr>
          <w:gridAfter w:val="1"/>
          <w:cnfStyle w:val="000000010000" w:firstRow="0" w:lastRow="0" w:firstColumn="0" w:lastColumn="0" w:oddVBand="0" w:evenVBand="0" w:oddHBand="0" w:evenHBand="1" w:firstRowFirstColumn="0" w:firstRowLastColumn="0" w:lastRowFirstColumn="0" w:lastRowLastColumn="0"/>
          <w:wAfter w:w="26" w:type="pct"/>
        </w:trPr>
        <w:tc>
          <w:tcPr>
            <w:tcW w:w="1555" w:type="pct"/>
          </w:tcPr>
          <w:p w14:paraId="035DD340" w14:textId="77777777" w:rsidR="00EC7EC7" w:rsidRPr="00FE751A" w:rsidRDefault="00EC7EC7" w:rsidP="00C50D71">
            <w:pPr>
              <w:rPr>
                <w:b/>
                <w:bCs/>
              </w:rPr>
            </w:pPr>
            <w:r w:rsidRPr="00FE751A">
              <w:rPr>
                <w:b/>
                <w:bCs/>
              </w:rPr>
              <w:t>Biomethane/synthetic methane</w:t>
            </w:r>
          </w:p>
        </w:tc>
        <w:tc>
          <w:tcPr>
            <w:tcW w:w="1140" w:type="pct"/>
          </w:tcPr>
          <w:p w14:paraId="417DE4B0" w14:textId="77777777" w:rsidR="00EC7EC7" w:rsidRDefault="00EC7EC7" w:rsidP="00C50D71">
            <w:pPr>
              <w:pStyle w:val="Tabletext"/>
              <w:rPr>
                <w:lang w:eastAsia="en-AU"/>
              </w:rPr>
            </w:pPr>
            <w:r>
              <w:rPr>
                <w:lang w:eastAsia="en-AU"/>
              </w:rPr>
              <w:t>Allowed but no specific targets to introduce it</w:t>
            </w:r>
          </w:p>
        </w:tc>
        <w:tc>
          <w:tcPr>
            <w:tcW w:w="1140" w:type="pct"/>
            <w:gridSpan w:val="2"/>
          </w:tcPr>
          <w:p w14:paraId="15BB14BF" w14:textId="77777777" w:rsidR="00EC7EC7" w:rsidRDefault="00EC7EC7" w:rsidP="00C50D71">
            <w:pPr>
              <w:pStyle w:val="Tabletext"/>
              <w:rPr>
                <w:lang w:eastAsia="en-AU"/>
              </w:rPr>
            </w:pPr>
            <w:r>
              <w:rPr>
                <w:lang w:eastAsia="en-AU"/>
              </w:rPr>
              <w:t>Allowed but no specific targets to introduce it</w:t>
            </w:r>
          </w:p>
        </w:tc>
        <w:tc>
          <w:tcPr>
            <w:tcW w:w="1140" w:type="pct"/>
            <w:gridSpan w:val="2"/>
          </w:tcPr>
          <w:p w14:paraId="4517B0F0" w14:textId="77777777" w:rsidR="00EC7EC7" w:rsidRDefault="00EC7EC7" w:rsidP="00C50D71">
            <w:pPr>
              <w:pStyle w:val="Tabletext"/>
              <w:rPr>
                <w:lang w:eastAsia="en-AU"/>
              </w:rPr>
            </w:pPr>
            <w:r>
              <w:rPr>
                <w:lang w:eastAsia="en-AU"/>
              </w:rPr>
              <w:t>Allowed but no specific targets to introduce it</w:t>
            </w:r>
          </w:p>
        </w:tc>
      </w:tr>
      <w:tr w:rsidR="00EC7EC7" w14:paraId="62BA8994" w14:textId="77777777" w:rsidTr="008477C4">
        <w:trPr>
          <w:gridAfter w:val="1"/>
          <w:cnfStyle w:val="000000100000" w:firstRow="0" w:lastRow="0" w:firstColumn="0" w:lastColumn="0" w:oddVBand="0" w:evenVBand="0" w:oddHBand="1" w:evenHBand="0" w:firstRowFirstColumn="0" w:firstRowLastColumn="0" w:lastRowFirstColumn="0" w:lastRowLastColumn="0"/>
          <w:wAfter w:w="26" w:type="pct"/>
        </w:trPr>
        <w:tc>
          <w:tcPr>
            <w:tcW w:w="1555" w:type="pct"/>
          </w:tcPr>
          <w:p w14:paraId="47561B58" w14:textId="77777777" w:rsidR="00EC7EC7" w:rsidRPr="00FE751A" w:rsidRDefault="00EC7EC7" w:rsidP="00C50D71">
            <w:pPr>
              <w:rPr>
                <w:b/>
                <w:bCs/>
              </w:rPr>
            </w:pPr>
            <w:r w:rsidRPr="00FE751A">
              <w:rPr>
                <w:b/>
                <w:bCs/>
              </w:rPr>
              <w:t>Supply chain barriers</w:t>
            </w:r>
          </w:p>
        </w:tc>
        <w:tc>
          <w:tcPr>
            <w:tcW w:w="1140" w:type="pct"/>
          </w:tcPr>
          <w:p w14:paraId="4D63DC7B" w14:textId="77777777" w:rsidR="00EC7EC7" w:rsidRDefault="00EC7EC7" w:rsidP="00C50D71">
            <w:pPr>
              <w:pStyle w:val="Tabletext"/>
              <w:rPr>
                <w:lang w:eastAsia="en-AU"/>
              </w:rPr>
            </w:pPr>
            <w:r>
              <w:rPr>
                <w:lang w:eastAsia="en-AU"/>
              </w:rPr>
              <w:t>Less challenging</w:t>
            </w:r>
          </w:p>
        </w:tc>
        <w:tc>
          <w:tcPr>
            <w:tcW w:w="1140" w:type="pct"/>
            <w:gridSpan w:val="2"/>
          </w:tcPr>
          <w:p w14:paraId="0B0E288A" w14:textId="77777777" w:rsidR="00EC7EC7" w:rsidRDefault="00EC7EC7" w:rsidP="00C50D71">
            <w:pPr>
              <w:pStyle w:val="Tabletext"/>
              <w:rPr>
                <w:lang w:eastAsia="en-AU"/>
              </w:rPr>
            </w:pPr>
            <w:r>
              <w:rPr>
                <w:lang w:eastAsia="en-AU"/>
              </w:rPr>
              <w:t>Moderate</w:t>
            </w:r>
          </w:p>
        </w:tc>
        <w:tc>
          <w:tcPr>
            <w:tcW w:w="1140" w:type="pct"/>
            <w:gridSpan w:val="2"/>
          </w:tcPr>
          <w:p w14:paraId="3935DF0B" w14:textId="77777777" w:rsidR="00EC7EC7" w:rsidRDefault="00EC7EC7" w:rsidP="00C50D71">
            <w:pPr>
              <w:pStyle w:val="Tabletext"/>
              <w:rPr>
                <w:lang w:eastAsia="en-AU"/>
              </w:rPr>
            </w:pPr>
            <w:r>
              <w:rPr>
                <w:lang w:eastAsia="en-AU"/>
              </w:rPr>
              <w:t>More challenging</w:t>
            </w:r>
          </w:p>
        </w:tc>
      </w:tr>
      <w:tr w:rsidR="00EC7EC7" w14:paraId="7383C2B3" w14:textId="77777777" w:rsidTr="008477C4">
        <w:trPr>
          <w:gridAfter w:val="1"/>
          <w:cnfStyle w:val="000000010000" w:firstRow="0" w:lastRow="0" w:firstColumn="0" w:lastColumn="0" w:oddVBand="0" w:evenVBand="0" w:oddHBand="0" w:evenHBand="1" w:firstRowFirstColumn="0" w:firstRowLastColumn="0" w:lastRowFirstColumn="0" w:lastRowLastColumn="0"/>
          <w:wAfter w:w="26" w:type="pct"/>
        </w:trPr>
        <w:tc>
          <w:tcPr>
            <w:tcW w:w="1555" w:type="pct"/>
          </w:tcPr>
          <w:p w14:paraId="293CD1C7" w14:textId="77777777" w:rsidR="00EC7EC7" w:rsidRPr="00FE751A" w:rsidRDefault="00EC7EC7" w:rsidP="00C50D71">
            <w:pPr>
              <w:rPr>
                <w:b/>
                <w:bCs/>
              </w:rPr>
            </w:pPr>
            <w:r w:rsidRPr="00FE751A">
              <w:rPr>
                <w:b/>
                <w:bCs/>
              </w:rPr>
              <w:t>Global/domestic temperature settings and outcomes</w:t>
            </w:r>
          </w:p>
        </w:tc>
        <w:tc>
          <w:tcPr>
            <w:tcW w:w="1140" w:type="pct"/>
          </w:tcPr>
          <w:p w14:paraId="1D487F0F" w14:textId="77777777" w:rsidR="00EC7EC7" w:rsidRDefault="00EC7EC7" w:rsidP="00C50D71">
            <w:pPr>
              <w:pStyle w:val="Tabletext"/>
              <w:rPr>
                <w:lang w:eastAsia="en-AU"/>
              </w:rPr>
            </w:pPr>
            <w:r>
              <w:rPr>
                <w:lang w:eastAsia="en-AU"/>
              </w:rPr>
              <w:t>Applies Representative Concentration Pathway (RCP) 1.9 where relevant (~1.5</w:t>
            </w:r>
            <w:r>
              <w:rPr>
                <w:rFonts w:cstheme="majorHAnsi"/>
                <w:lang w:eastAsia="en-AU"/>
              </w:rPr>
              <w:t>°</w:t>
            </w:r>
            <w:r>
              <w:rPr>
                <w:lang w:eastAsia="en-AU"/>
              </w:rPr>
              <w:t>C)</w:t>
            </w:r>
          </w:p>
        </w:tc>
        <w:tc>
          <w:tcPr>
            <w:tcW w:w="1140" w:type="pct"/>
            <w:gridSpan w:val="2"/>
          </w:tcPr>
          <w:p w14:paraId="013F2C08" w14:textId="77777777" w:rsidR="00EC7EC7" w:rsidRDefault="00EC7EC7" w:rsidP="00C50D71">
            <w:pPr>
              <w:pStyle w:val="Tabletext"/>
              <w:rPr>
                <w:lang w:eastAsia="en-AU"/>
              </w:rPr>
            </w:pPr>
            <w:r>
              <w:rPr>
                <w:lang w:eastAsia="en-AU"/>
              </w:rPr>
              <w:t>Applies RCP 2.6 where relevant (~1.8</w:t>
            </w:r>
            <w:r>
              <w:rPr>
                <w:rFonts w:cstheme="majorHAnsi"/>
                <w:lang w:eastAsia="en-AU"/>
              </w:rPr>
              <w:t>°</w:t>
            </w:r>
            <w:r>
              <w:rPr>
                <w:lang w:eastAsia="en-AU"/>
              </w:rPr>
              <w:t>C)</w:t>
            </w:r>
          </w:p>
        </w:tc>
        <w:tc>
          <w:tcPr>
            <w:tcW w:w="1140" w:type="pct"/>
            <w:gridSpan w:val="2"/>
          </w:tcPr>
          <w:p w14:paraId="6F88F09E" w14:textId="77777777" w:rsidR="00EC7EC7" w:rsidRDefault="00EC7EC7" w:rsidP="00C50D71">
            <w:pPr>
              <w:pStyle w:val="Tabletext"/>
              <w:rPr>
                <w:lang w:eastAsia="en-AU"/>
              </w:rPr>
            </w:pPr>
            <w:r>
              <w:rPr>
                <w:lang w:eastAsia="en-AU"/>
              </w:rPr>
              <w:t>Applies RCP 4.5 where relevant (~2.6</w:t>
            </w:r>
            <w:r>
              <w:rPr>
                <w:rFonts w:cstheme="majorHAnsi"/>
                <w:lang w:eastAsia="en-AU"/>
              </w:rPr>
              <w:t>°</w:t>
            </w:r>
            <w:r>
              <w:rPr>
                <w:lang w:eastAsia="en-AU"/>
              </w:rPr>
              <w:t>C)</w:t>
            </w:r>
          </w:p>
        </w:tc>
      </w:tr>
    </w:tbl>
    <w:p w14:paraId="3128F9D9" w14:textId="1ABDCE3B" w:rsidR="00EC7EC7" w:rsidRPr="00265ED9" w:rsidRDefault="00EC7EC7" w:rsidP="00F56506">
      <w:pPr>
        <w:pStyle w:val="Source"/>
        <w:rPr>
          <w:lang w:eastAsia="en-AU"/>
        </w:rPr>
        <w:sectPr w:rsidR="00EC7EC7" w:rsidRPr="00265ED9" w:rsidSect="00926B14">
          <w:footerReference w:type="first" r:id="rId181"/>
          <w:type w:val="continuous"/>
          <w:pgSz w:w="16838" w:h="11906" w:orient="landscape" w:code="9"/>
          <w:pgMar w:top="992" w:right="1440" w:bottom="1440" w:left="1440" w:header="709" w:footer="709" w:gutter="0"/>
          <w:cols w:space="708"/>
          <w:docGrid w:linePitch="360"/>
        </w:sectPr>
      </w:pPr>
      <w:r>
        <w:rPr>
          <w:lang w:eastAsia="en-AU"/>
        </w:rPr>
        <w:t>Notes:</w:t>
      </w:r>
      <w:r w:rsidRPr="00FE751A">
        <w:t xml:space="preserve"> </w:t>
      </w:r>
      <w:r w:rsidR="008477C4">
        <w:rPr>
          <w:lang w:eastAsia="en-AU"/>
        </w:rPr>
        <w:t>AEMO</w:t>
      </w:r>
      <w:r w:rsidRPr="00FE751A">
        <w:rPr>
          <w:lang w:eastAsia="en-AU"/>
        </w:rPr>
        <w:t xml:space="preserve"> 2023 GSOO also includes a diverse step change scenario. Diverse Step Change (1.8°C) scenario, like the Orchestrated Step Change (1.8°C) scenario, includes a global response to climate change with commensurate action domestically to meet Australia’s climate change commitments. This scenario puts the greatest action to decarbonise on the industrial gas sector and features a lower contribution from end-use consumers to the energy transformation, with early development of biomethane resources.</w:t>
      </w:r>
      <w:r w:rsidR="002D4EB0">
        <w:rPr>
          <w:lang w:eastAsia="en-AU"/>
        </w:rPr>
        <w:t xml:space="preserve"> </w:t>
      </w:r>
      <w:r w:rsidRPr="00FE751A">
        <w:rPr>
          <w:lang w:eastAsia="en-AU"/>
        </w:rPr>
        <w:t>While in many sectors the electrification of existing loads has already commenced, some uncertainty remains over how quickly consumers are able to invest to shift their energy use away from gas.  To identify the potential influence of slower electrification on gas adequacy risks, AEMO has also studied the impact if the current and future forecast electrification trends were halted, in the Orchestrated Step Change (1.8°C), No Electrification sensitivity.</w:t>
      </w:r>
      <w:r>
        <w:rPr>
          <w:lang w:eastAsia="en-AU"/>
        </w:rPr>
        <w:t xml:space="preserve"> Source: AEMO </w:t>
      </w:r>
      <w:r w:rsidR="002A4B14">
        <w:rPr>
          <w:lang w:eastAsia="en-AU"/>
        </w:rPr>
        <w:t>(</w:t>
      </w:r>
      <w:r>
        <w:rPr>
          <w:lang w:eastAsia="en-AU"/>
        </w:rPr>
        <w:t>2023</w:t>
      </w:r>
      <w:r w:rsidR="002A4B14">
        <w:rPr>
          <w:lang w:eastAsia="en-AU"/>
        </w:rPr>
        <w:t>f)</w:t>
      </w:r>
    </w:p>
    <w:p w14:paraId="7DBB863B" w14:textId="70CA3DB0" w:rsidR="00EC7EC7" w:rsidRPr="00650761" w:rsidRDefault="00EC7EC7" w:rsidP="00EF7A17">
      <w:pPr>
        <w:pStyle w:val="UnnumberedHeading"/>
        <w:rPr>
          <w:rFonts w:cs="Arial"/>
          <w:bCs/>
          <w:szCs w:val="32"/>
        </w:rPr>
      </w:pPr>
      <w:bookmarkStart w:id="181" w:name="_Toc158640052"/>
      <w:bookmarkStart w:id="182" w:name="_Toc158640123"/>
      <w:bookmarkStart w:id="183" w:name="_Toc158642558"/>
      <w:bookmarkStart w:id="184" w:name="_Toc158642885"/>
      <w:bookmarkStart w:id="185" w:name="_Toc158645493"/>
      <w:bookmarkStart w:id="186" w:name="_Toc158645626"/>
      <w:bookmarkStart w:id="187" w:name="_Toc158645779"/>
      <w:bookmarkStart w:id="188" w:name="_Toc172794540"/>
      <w:r w:rsidRPr="00650761">
        <w:t xml:space="preserve">Appendix </w:t>
      </w:r>
      <w:r>
        <w:rPr>
          <w:rFonts w:cs="Arial"/>
          <w:bCs/>
          <w:szCs w:val="32"/>
        </w:rPr>
        <w:t>B</w:t>
      </w:r>
      <w:r w:rsidR="00EF7A17">
        <w:rPr>
          <w:rFonts w:cs="Arial"/>
          <w:szCs w:val="32"/>
        </w:rPr>
        <w:t>:</w:t>
      </w:r>
      <w:r w:rsidRPr="00650761">
        <w:rPr>
          <w:rFonts w:cs="Arial"/>
          <w:bCs/>
          <w:szCs w:val="32"/>
        </w:rPr>
        <w:t xml:space="preserve"> Nexant World Gas Model</w:t>
      </w:r>
      <w:bookmarkEnd w:id="181"/>
      <w:bookmarkEnd w:id="182"/>
      <w:bookmarkEnd w:id="183"/>
      <w:bookmarkEnd w:id="184"/>
      <w:bookmarkEnd w:id="185"/>
      <w:bookmarkEnd w:id="186"/>
      <w:bookmarkEnd w:id="187"/>
      <w:bookmarkEnd w:id="188"/>
    </w:p>
    <w:p w14:paraId="1E198663" w14:textId="77777777" w:rsidR="00EC7EC7" w:rsidRPr="00650761" w:rsidRDefault="00EC7EC7" w:rsidP="002D4EB0">
      <w:pPr>
        <w:pStyle w:val="BodyText"/>
        <w:rPr>
          <w:rFonts w:eastAsia="Times New Roman" w:cs="Arial"/>
          <w:szCs w:val="18"/>
          <w:lang w:val="en"/>
        </w:rPr>
      </w:pPr>
      <w:r w:rsidRPr="00650761">
        <w:rPr>
          <w:lang w:val="en"/>
        </w:rPr>
        <w:t xml:space="preserve">The WGM models gas trade in terms of global, regional and </w:t>
      </w:r>
      <w:r w:rsidRPr="00650761">
        <w:rPr>
          <w:rFonts w:eastAsia="Times New Roman" w:cs="Arial"/>
          <w:szCs w:val="18"/>
          <w:lang w:val="en"/>
        </w:rPr>
        <w:t>national gas supply and demand balances on an annual basis from 2022 to 2052.</w:t>
      </w:r>
    </w:p>
    <w:p w14:paraId="54454EAB" w14:textId="77777777" w:rsidR="00EC7EC7" w:rsidRPr="00650761" w:rsidRDefault="00EC7EC7" w:rsidP="002D4EB0">
      <w:pPr>
        <w:pStyle w:val="BodyText"/>
        <w:rPr>
          <w:rFonts w:eastAsia="Times New Roman" w:cs="Arial"/>
          <w:szCs w:val="18"/>
          <w:lang w:val="en"/>
        </w:rPr>
      </w:pPr>
      <w:r w:rsidRPr="00650761">
        <w:rPr>
          <w:lang w:val="en"/>
        </w:rPr>
        <w:t>The model finds the optimal level of gas production (supply) for a given (exogenous) level of demand to produce forecasts for gas production, exports and consumption over a 30-year forecast horizon. To determine optimal supply, the model uses detailed data (and assumptions) on global trade networks, production capacities and contractual obligations. The model also factors in the price of energy substitutes in the power sector (like oil and coal), and the price elasticity of demand.</w:t>
      </w:r>
    </w:p>
    <w:p w14:paraId="01E7D3A3" w14:textId="77777777" w:rsidR="00EC7EC7" w:rsidRPr="00650761" w:rsidRDefault="00EC7EC7" w:rsidP="002D4EB0">
      <w:pPr>
        <w:pStyle w:val="BodyText"/>
        <w:rPr>
          <w:rFonts w:eastAsia="Times New Roman" w:cs="Arial"/>
          <w:szCs w:val="18"/>
          <w:lang w:val="en"/>
        </w:rPr>
      </w:pPr>
      <w:r w:rsidRPr="00650761">
        <w:rPr>
          <w:lang w:val="en"/>
        </w:rPr>
        <w:t>Given the limitations outlined below, this modelling should be taken as incomplete and should not be relied upon in isolation of other data points, for example modelling provided by trading partners.</w:t>
      </w:r>
    </w:p>
    <w:p w14:paraId="35AEBBB4" w14:textId="77777777" w:rsidR="00EC7EC7" w:rsidRPr="00650761" w:rsidRDefault="00EC7EC7" w:rsidP="004E02BB">
      <w:pPr>
        <w:pStyle w:val="BodyText"/>
        <w:rPr>
          <w:rFonts w:eastAsia="Times New Roman" w:cs="Arial"/>
          <w:szCs w:val="18"/>
          <w:lang w:val="en"/>
        </w:rPr>
      </w:pPr>
      <w:r w:rsidRPr="00650761">
        <w:rPr>
          <w:lang w:val="en"/>
        </w:rPr>
        <w:t>The WGM:</w:t>
      </w:r>
    </w:p>
    <w:p w14:paraId="0B63B7AC" w14:textId="77777777" w:rsidR="00EC7EC7" w:rsidRPr="00650761" w:rsidRDefault="00EC7EC7" w:rsidP="00762B7E">
      <w:pPr>
        <w:pStyle w:val="ListBullet"/>
        <w:rPr>
          <w:lang w:val="en"/>
        </w:rPr>
      </w:pPr>
      <w:r w:rsidRPr="00650761">
        <w:rPr>
          <w:lang w:val="en"/>
        </w:rPr>
        <w:t>Optimises supply through a detailed and intricate network of global trade and production, which covers every major basin and every country in the world, subdivided into nodes (regions). The WGM includes Beetaloo, Browse and Scarborough basins.</w:t>
      </w:r>
    </w:p>
    <w:p w14:paraId="0B89EC59" w14:textId="77777777" w:rsidR="00EC7EC7" w:rsidRPr="00650761" w:rsidRDefault="00EC7EC7" w:rsidP="00762B7E">
      <w:pPr>
        <w:pStyle w:val="ListBullet"/>
        <w:rPr>
          <w:lang w:val="en"/>
        </w:rPr>
      </w:pPr>
      <w:r w:rsidRPr="00650761">
        <w:rPr>
          <w:lang w:val="en"/>
        </w:rPr>
        <w:t>Optimises one year at a time with quarterly profiles to capture seasonal variation in demand (includes flexibility, production, infrastructure and storage requirements).</w:t>
      </w:r>
    </w:p>
    <w:p w14:paraId="453CC1E9" w14:textId="77777777" w:rsidR="00EC7EC7" w:rsidRPr="00650761" w:rsidRDefault="00EC7EC7" w:rsidP="00762B7E">
      <w:pPr>
        <w:pStyle w:val="ListBullet"/>
        <w:rPr>
          <w:lang w:val="en"/>
        </w:rPr>
      </w:pPr>
      <w:r w:rsidRPr="00650761">
        <w:rPr>
          <w:lang w:val="en"/>
        </w:rPr>
        <w:t>Models specific demand price forecasts (Table 2.7).</w:t>
      </w:r>
    </w:p>
    <w:p w14:paraId="46E7EE99" w14:textId="77777777" w:rsidR="00EC7EC7" w:rsidRPr="00650761" w:rsidRDefault="00EC7EC7" w:rsidP="00762B7E">
      <w:pPr>
        <w:pStyle w:val="ListBullet"/>
        <w:rPr>
          <w:lang w:val="en"/>
        </w:rPr>
      </w:pPr>
      <w:r w:rsidRPr="00650761">
        <w:rPr>
          <w:lang w:val="en"/>
        </w:rPr>
        <w:t>Accommodates a variety of assumptions about demand for different countries, so information provided from trading partners can inform modelling of future demand pathways for gas.</w:t>
      </w:r>
    </w:p>
    <w:p w14:paraId="4AB92D16" w14:textId="77777777" w:rsidR="00EC7EC7" w:rsidRPr="00650761" w:rsidRDefault="00EC7EC7" w:rsidP="00EC7EC7">
      <w:pPr>
        <w:widowControl w:val="0"/>
        <w:spacing w:beforeLines="60" w:before="144" w:afterLines="60" w:after="144"/>
        <w:ind w:right="113"/>
        <w:jc w:val="both"/>
        <w:rPr>
          <w:rFonts w:eastAsia="Times New Roman" w:cs="Arial"/>
          <w:sz w:val="20"/>
          <w:szCs w:val="18"/>
          <w:lang w:val="en"/>
        </w:rPr>
      </w:pPr>
      <w:r w:rsidRPr="00650761">
        <w:rPr>
          <w:rFonts w:eastAsia="Times New Roman" w:cs="Arial"/>
          <w:color w:val="373737"/>
          <w:sz w:val="20"/>
          <w:szCs w:val="18"/>
          <w:lang w:val="en"/>
        </w:rPr>
        <w:t>The WGM is limited in its ability to model behaviour relating to:</w:t>
      </w:r>
    </w:p>
    <w:p w14:paraId="3D03861A" w14:textId="77777777" w:rsidR="00EC7EC7" w:rsidRPr="00650761" w:rsidRDefault="00EC7EC7" w:rsidP="002D4EB0">
      <w:pPr>
        <w:pStyle w:val="ListBullet"/>
        <w:rPr>
          <w:lang w:eastAsia="en-AU"/>
        </w:rPr>
      </w:pPr>
      <w:r w:rsidRPr="002D4EB0">
        <w:rPr>
          <w:lang w:eastAsia="en-AU"/>
        </w:rPr>
        <w:t>Energy Security – trade flows are determined on a minimum-total-(market) cost basis. However, countries operate under a broader suite of considerations including energy security (and a preference for diversification of source of gas supply), broader trading relationships, and other geopolitical or broader macroeconomic considerations.</w:t>
      </w:r>
    </w:p>
    <w:p w14:paraId="4B3C5681" w14:textId="77777777" w:rsidR="00EC7EC7" w:rsidRPr="00650761" w:rsidRDefault="00EC7EC7" w:rsidP="004E02BB">
      <w:pPr>
        <w:pStyle w:val="ListBullet"/>
        <w:rPr>
          <w:lang w:eastAsia="en-AU"/>
        </w:rPr>
      </w:pPr>
      <w:r w:rsidRPr="00650761">
        <w:rPr>
          <w:lang w:eastAsia="en-AU"/>
        </w:rPr>
        <w:t>Emissions intensity: while future gas production should converge in areas with the lowest upstream emissions intensity, there is limited accounting for that in supply costs. Carbon price assumptions are instead modelled as demand-side carbon taxes.</w:t>
      </w:r>
    </w:p>
    <w:p w14:paraId="64CF8281" w14:textId="77777777" w:rsidR="00EC7EC7" w:rsidRPr="00650761" w:rsidRDefault="00EC7EC7" w:rsidP="00EC7EC7">
      <w:pPr>
        <w:widowControl w:val="0"/>
        <w:spacing w:beforeLines="60" w:before="144" w:afterLines="60" w:after="144"/>
        <w:ind w:right="113"/>
        <w:jc w:val="both"/>
        <w:rPr>
          <w:rFonts w:eastAsia="Times New Roman" w:cs="Arial"/>
          <w:sz w:val="20"/>
          <w:szCs w:val="18"/>
          <w:lang w:val="en"/>
        </w:rPr>
      </w:pPr>
      <w:r w:rsidRPr="00650761">
        <w:rPr>
          <w:rFonts w:eastAsia="Times New Roman" w:cs="Arial"/>
          <w:color w:val="373737"/>
          <w:sz w:val="20"/>
          <w:szCs w:val="18"/>
          <w:lang w:val="en"/>
        </w:rPr>
        <w:t xml:space="preserve">Further, across all scenarios modelled in this chapter, we assume: </w:t>
      </w:r>
    </w:p>
    <w:p w14:paraId="07CE816F" w14:textId="77777777" w:rsidR="00EC7EC7" w:rsidRPr="00650761" w:rsidRDefault="00EC7EC7" w:rsidP="00762B7E">
      <w:pPr>
        <w:pStyle w:val="ListBullet"/>
        <w:rPr>
          <w:lang w:eastAsia="en-AU"/>
        </w:rPr>
      </w:pPr>
      <w:r w:rsidRPr="00650761">
        <w:rPr>
          <w:lang w:eastAsia="en-AU"/>
        </w:rPr>
        <w:t>WGM inputs are derived from IEA historical data with developments up to September 2023, and forecast demand projections from the IEA’s 2023 World Energy Outlook (Table 2.6).</w:t>
      </w:r>
    </w:p>
    <w:p w14:paraId="18482863" w14:textId="138B161A" w:rsidR="00EC7EC7" w:rsidRPr="00650761" w:rsidRDefault="00EC7EC7" w:rsidP="00762B7E">
      <w:pPr>
        <w:pStyle w:val="ListBullet"/>
        <w:rPr>
          <w:lang w:eastAsia="en-AU"/>
        </w:rPr>
      </w:pPr>
      <w:r w:rsidRPr="00650761">
        <w:rPr>
          <w:lang w:eastAsia="en-AU"/>
        </w:rPr>
        <w:t xml:space="preserve">Production costs separately identify operating costs and capital expenditure, allowing short-run marginal cost pricing where appropriate. The production cost assumptions in the WGM broadly align with Wood Mackenzie and </w:t>
      </w:r>
      <w:r w:rsidR="00BF5898">
        <w:rPr>
          <w:lang w:eastAsia="en-AU"/>
        </w:rPr>
        <w:t>EnergyQuest</w:t>
      </w:r>
      <w:r w:rsidRPr="00650761">
        <w:rPr>
          <w:lang w:eastAsia="en-AU"/>
        </w:rPr>
        <w:t xml:space="preserve"> data, and factors in historical performance of producing facilities and fields.</w:t>
      </w:r>
    </w:p>
    <w:p w14:paraId="2342261F" w14:textId="77777777" w:rsidR="00EC7EC7" w:rsidRPr="00650761" w:rsidRDefault="00EC7EC7" w:rsidP="00762B7E">
      <w:pPr>
        <w:pStyle w:val="ListBullet"/>
        <w:rPr>
          <w:lang w:eastAsia="en-AU"/>
        </w:rPr>
      </w:pPr>
      <w:r w:rsidRPr="00650761">
        <w:rPr>
          <w:lang w:eastAsia="en-AU"/>
        </w:rPr>
        <w:t>Planned and prospective LNG terminals and producing fields reported by project sponsors (announced) are included in the model.  The model takes into account whether price or demand assumptions render any announced project infeasible.</w:t>
      </w:r>
    </w:p>
    <w:p w14:paraId="3BBD4A07" w14:textId="77777777" w:rsidR="00EC7EC7" w:rsidRPr="00650761" w:rsidRDefault="00EC7EC7" w:rsidP="00762B7E">
      <w:pPr>
        <w:pStyle w:val="ListBullet"/>
        <w:rPr>
          <w:lang w:eastAsia="en-AU"/>
        </w:rPr>
      </w:pPr>
      <w:r w:rsidRPr="00650761">
        <w:t>Coal, oil and natural gas</w:t>
      </w:r>
      <w:r w:rsidRPr="00650761">
        <w:rPr>
          <w:lang w:eastAsia="en-AU"/>
        </w:rPr>
        <w:t xml:space="preserve"> price projections by scenario as shown in</w:t>
      </w:r>
      <w:r w:rsidRPr="00650761" w:rsidDel="00045D26">
        <w:rPr>
          <w:lang w:eastAsia="en-AU"/>
        </w:rPr>
        <w:t xml:space="preserve"> </w:t>
      </w:r>
      <w:r w:rsidRPr="00650761">
        <w:rPr>
          <w:lang w:eastAsia="en-AU"/>
        </w:rPr>
        <w:t>Table 2.6, which also factors in carbon adjustments according to CO</w:t>
      </w:r>
      <w:r w:rsidRPr="00650761">
        <w:rPr>
          <w:vertAlign w:val="subscript"/>
          <w:lang w:eastAsia="en-AU"/>
        </w:rPr>
        <w:t>2</w:t>
      </w:r>
      <w:r w:rsidRPr="00650761">
        <w:rPr>
          <w:lang w:eastAsia="en-AU"/>
        </w:rPr>
        <w:t xml:space="preserve"> price assumptions.</w:t>
      </w:r>
    </w:p>
    <w:p w14:paraId="67CDD56B" w14:textId="7933B3CD" w:rsidR="00EC7EC7" w:rsidRPr="00650761" w:rsidRDefault="00EC7EC7" w:rsidP="002D4EB0">
      <w:pPr>
        <w:pStyle w:val="BodyText"/>
        <w:rPr>
          <w:lang w:eastAsia="en-AU"/>
        </w:rPr>
      </w:pPr>
      <w:r w:rsidRPr="00650761">
        <w:rPr>
          <w:lang w:eastAsia="en-AU"/>
        </w:rPr>
        <w:t xml:space="preserve">These assumptions are expressed in Table </w:t>
      </w:r>
      <w:r>
        <w:rPr>
          <w:lang w:eastAsia="en-AU"/>
        </w:rPr>
        <w:t>B</w:t>
      </w:r>
      <w:r w:rsidRPr="00650761">
        <w:rPr>
          <w:lang w:eastAsia="en-AU"/>
        </w:rPr>
        <w:t>.</w:t>
      </w:r>
      <w:r>
        <w:rPr>
          <w:lang w:eastAsia="en-AU"/>
        </w:rPr>
        <w:t>1</w:t>
      </w:r>
      <w:r w:rsidRPr="00650761">
        <w:rPr>
          <w:lang w:eastAsia="en-AU"/>
        </w:rPr>
        <w:t>.</w:t>
      </w:r>
      <w:r w:rsidR="00762B7E">
        <w:rPr>
          <w:lang w:eastAsia="en-AU"/>
        </w:rPr>
        <w:t xml:space="preserve"> Demand and pricing projections by scenarios are also added as inputs into the model as follows in Tables B.2 – B.3.</w:t>
      </w:r>
    </w:p>
    <w:p w14:paraId="5E8152C5" w14:textId="3920CFC3" w:rsidR="00EC7EC7" w:rsidRPr="00650761" w:rsidRDefault="00EC7EC7" w:rsidP="00EC7EC7">
      <w:pPr>
        <w:keepNext/>
        <w:keepLines/>
        <w:spacing w:before="180" w:after="120" w:line="240" w:lineRule="auto"/>
        <w:rPr>
          <w:rFonts w:eastAsia="Times New Roman" w:cstheme="majorHAnsi"/>
          <w:b/>
          <w:bCs/>
          <w:color w:val="005CAF"/>
          <w:szCs w:val="20"/>
          <w:lang w:val="en"/>
        </w:rPr>
      </w:pPr>
      <w:r w:rsidRPr="00650761">
        <w:rPr>
          <w:rFonts w:eastAsia="Times New Roman" w:cstheme="majorHAnsi"/>
          <w:b/>
          <w:bCs/>
          <w:color w:val="005CAF"/>
          <w:szCs w:val="20"/>
          <w:lang w:val="en"/>
        </w:rPr>
        <w:t xml:space="preserve">Table </w:t>
      </w:r>
      <w:r>
        <w:rPr>
          <w:rFonts w:eastAsia="Times New Roman" w:cstheme="majorHAnsi"/>
          <w:b/>
          <w:bCs/>
          <w:noProof/>
          <w:color w:val="005CAF"/>
          <w:szCs w:val="20"/>
          <w:lang w:val="en"/>
        </w:rPr>
        <w:t>B.1</w:t>
      </w:r>
      <w:r w:rsidRPr="00650761">
        <w:rPr>
          <w:rFonts w:eastAsia="Times New Roman" w:cstheme="majorHAnsi"/>
          <w:b/>
          <w:bCs/>
          <w:color w:val="005CAF"/>
          <w:szCs w:val="20"/>
          <w:lang w:val="en"/>
        </w:rPr>
        <w:t>: Model assumptions by scenario</w:t>
      </w:r>
    </w:p>
    <w:tbl>
      <w:tblPr>
        <w:tblStyle w:val="OCETable"/>
        <w:tblW w:w="5000" w:type="pct"/>
        <w:tblLayout w:type="fixed"/>
        <w:tblLook w:val="04A0" w:firstRow="1" w:lastRow="0" w:firstColumn="1" w:lastColumn="0" w:noHBand="0" w:noVBand="1"/>
      </w:tblPr>
      <w:tblGrid>
        <w:gridCol w:w="2073"/>
        <w:gridCol w:w="1518"/>
        <w:gridCol w:w="1518"/>
        <w:gridCol w:w="1516"/>
      </w:tblGrid>
      <w:tr w:rsidR="00EC7EC7" w:rsidRPr="00650761" w14:paraId="5CBFD4B1" w14:textId="77777777" w:rsidTr="00DF2480">
        <w:trPr>
          <w:cnfStyle w:val="100000000000" w:firstRow="1" w:lastRow="0" w:firstColumn="0" w:lastColumn="0" w:oddVBand="0" w:evenVBand="0" w:oddHBand="0" w:evenHBand="0" w:firstRowFirstColumn="0" w:firstRowLastColumn="0" w:lastRowFirstColumn="0" w:lastRowLastColumn="0"/>
        </w:trPr>
        <w:tc>
          <w:tcPr>
            <w:tcW w:w="1564" w:type="pct"/>
          </w:tcPr>
          <w:p w14:paraId="225134CC" w14:textId="77777777" w:rsidR="00EC7EC7" w:rsidRPr="00650761" w:rsidRDefault="00EC7EC7" w:rsidP="00C50D71">
            <w:pPr>
              <w:keepNext/>
              <w:spacing w:before="120" w:after="120" w:line="240" w:lineRule="auto"/>
              <w:rPr>
                <w:rFonts w:cs="Arial"/>
                <w:b/>
                <w:szCs w:val="18"/>
                <w:lang w:eastAsia="en-AU"/>
              </w:rPr>
            </w:pPr>
            <w:r w:rsidRPr="00650761">
              <w:rPr>
                <w:rFonts w:cs="Arial"/>
                <w:b/>
                <w:szCs w:val="18"/>
                <w:lang w:eastAsia="en-AU"/>
              </w:rPr>
              <w:t>Input (source)</w:t>
            </w:r>
          </w:p>
        </w:tc>
        <w:tc>
          <w:tcPr>
            <w:tcW w:w="0" w:type="pct"/>
          </w:tcPr>
          <w:p w14:paraId="206338CC" w14:textId="77777777" w:rsidR="00EC7EC7" w:rsidRPr="00650761" w:rsidRDefault="00EC7EC7" w:rsidP="00C50D71">
            <w:pPr>
              <w:keepNext/>
              <w:spacing w:before="120" w:after="120" w:line="240" w:lineRule="auto"/>
              <w:jc w:val="right"/>
              <w:rPr>
                <w:rFonts w:cs="Arial"/>
                <w:b/>
                <w:szCs w:val="18"/>
                <w:lang w:eastAsia="en-AU"/>
              </w:rPr>
            </w:pPr>
            <w:r w:rsidRPr="00650761">
              <w:rPr>
                <w:rFonts w:cs="Arial"/>
                <w:b/>
                <w:szCs w:val="18"/>
                <w:lang w:eastAsia="en-AU"/>
              </w:rPr>
              <w:t>STEPS</w:t>
            </w:r>
          </w:p>
        </w:tc>
        <w:tc>
          <w:tcPr>
            <w:tcW w:w="0" w:type="pct"/>
          </w:tcPr>
          <w:p w14:paraId="1986B6EA" w14:textId="77777777" w:rsidR="00EC7EC7" w:rsidRPr="00650761" w:rsidRDefault="00EC7EC7" w:rsidP="00C50D71">
            <w:pPr>
              <w:keepNext/>
              <w:spacing w:before="120" w:after="120" w:line="240" w:lineRule="auto"/>
              <w:jc w:val="right"/>
              <w:rPr>
                <w:rFonts w:cs="Arial"/>
                <w:b/>
                <w:szCs w:val="18"/>
                <w:lang w:eastAsia="en-AU"/>
              </w:rPr>
            </w:pPr>
            <w:r w:rsidRPr="00650761">
              <w:rPr>
                <w:rFonts w:cs="Arial"/>
                <w:b/>
                <w:szCs w:val="18"/>
                <w:lang w:eastAsia="en-AU"/>
              </w:rPr>
              <w:t>APS</w:t>
            </w:r>
          </w:p>
        </w:tc>
        <w:tc>
          <w:tcPr>
            <w:tcW w:w="1145" w:type="pct"/>
          </w:tcPr>
          <w:p w14:paraId="6023E973" w14:textId="77777777" w:rsidR="00EC7EC7" w:rsidRPr="00650761" w:rsidRDefault="00EC7EC7" w:rsidP="00C50D71">
            <w:pPr>
              <w:keepNext/>
              <w:spacing w:before="120" w:after="120" w:line="240" w:lineRule="auto"/>
              <w:jc w:val="right"/>
              <w:rPr>
                <w:rFonts w:cs="Arial"/>
                <w:b/>
                <w:szCs w:val="18"/>
                <w:lang w:eastAsia="en-AU"/>
              </w:rPr>
            </w:pPr>
            <w:r w:rsidRPr="00650761">
              <w:rPr>
                <w:rFonts w:cs="Arial"/>
                <w:b/>
                <w:szCs w:val="18"/>
                <w:lang w:eastAsia="en-AU"/>
              </w:rPr>
              <w:t>NZE</w:t>
            </w:r>
          </w:p>
        </w:tc>
      </w:tr>
      <w:tr w:rsidR="00EC7EC7" w:rsidRPr="00650761" w14:paraId="684EB4B8" w14:textId="77777777" w:rsidTr="00DF2480">
        <w:trPr>
          <w:cnfStyle w:val="000000100000" w:firstRow="0" w:lastRow="0" w:firstColumn="0" w:lastColumn="0" w:oddVBand="0" w:evenVBand="0" w:oddHBand="1" w:evenHBand="0" w:firstRowFirstColumn="0" w:firstRowLastColumn="0" w:lastRowFirstColumn="0" w:lastRowLastColumn="0"/>
        </w:trPr>
        <w:tc>
          <w:tcPr>
            <w:tcW w:w="1564" w:type="pct"/>
          </w:tcPr>
          <w:p w14:paraId="464F6411" w14:textId="77777777" w:rsidR="00EC7EC7" w:rsidRPr="00650761" w:rsidRDefault="00EC7EC7" w:rsidP="00C50D71">
            <w:pPr>
              <w:keepNext/>
              <w:keepLines/>
              <w:spacing w:before="60" w:after="60" w:line="240" w:lineRule="auto"/>
              <w:rPr>
                <w:rFonts w:cs="Arial"/>
                <w:szCs w:val="18"/>
                <w:lang w:eastAsia="en-AU"/>
              </w:rPr>
            </w:pPr>
            <w:r w:rsidRPr="00650761">
              <w:rPr>
                <w:rFonts w:cs="Arial"/>
                <w:szCs w:val="18"/>
                <w:lang w:eastAsia="en-AU"/>
              </w:rPr>
              <w:t>Australian domestic demand (AEMO)</w:t>
            </w:r>
          </w:p>
        </w:tc>
        <w:tc>
          <w:tcPr>
            <w:tcW w:w="0" w:type="pct"/>
          </w:tcPr>
          <w:p w14:paraId="6EBEAAE0"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Progressive Change (2.6°C), High</w:t>
            </w:r>
          </w:p>
        </w:tc>
        <w:tc>
          <w:tcPr>
            <w:tcW w:w="0" w:type="pct"/>
          </w:tcPr>
          <w:p w14:paraId="23AE5740"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Orchestrated Step Change (1.8°C), Expected</w:t>
            </w:r>
          </w:p>
        </w:tc>
        <w:tc>
          <w:tcPr>
            <w:tcW w:w="1145" w:type="pct"/>
          </w:tcPr>
          <w:p w14:paraId="72560019"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Green Energy Exports (1.5°C), Low</w:t>
            </w:r>
          </w:p>
        </w:tc>
      </w:tr>
      <w:tr w:rsidR="00EC7EC7" w:rsidRPr="00650761" w14:paraId="7C497C83" w14:textId="77777777" w:rsidTr="00DF2480">
        <w:trPr>
          <w:cnfStyle w:val="000000010000" w:firstRow="0" w:lastRow="0" w:firstColumn="0" w:lastColumn="0" w:oddVBand="0" w:evenVBand="0" w:oddHBand="0" w:evenHBand="1" w:firstRowFirstColumn="0" w:firstRowLastColumn="0" w:lastRowFirstColumn="0" w:lastRowLastColumn="0"/>
        </w:trPr>
        <w:tc>
          <w:tcPr>
            <w:tcW w:w="1564" w:type="pct"/>
          </w:tcPr>
          <w:p w14:paraId="2E77D794" w14:textId="77777777" w:rsidR="00EC7EC7" w:rsidRPr="00650761" w:rsidRDefault="00EC7EC7" w:rsidP="00C50D71">
            <w:pPr>
              <w:keepNext/>
              <w:keepLines/>
              <w:spacing w:before="60" w:after="60" w:line="240" w:lineRule="auto"/>
              <w:rPr>
                <w:rFonts w:cs="Arial"/>
                <w:szCs w:val="18"/>
                <w:lang w:eastAsia="en-AU"/>
              </w:rPr>
            </w:pPr>
            <w:r w:rsidRPr="00650761">
              <w:rPr>
                <w:rFonts w:cs="Arial"/>
                <w:szCs w:val="18"/>
                <w:lang w:eastAsia="en-AU"/>
              </w:rPr>
              <w:t>Asian gas demand (see Table 2.3)</w:t>
            </w:r>
          </w:p>
        </w:tc>
        <w:tc>
          <w:tcPr>
            <w:tcW w:w="0" w:type="pct"/>
          </w:tcPr>
          <w:p w14:paraId="46960F59"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STEPS projection</w:t>
            </w:r>
          </w:p>
        </w:tc>
        <w:tc>
          <w:tcPr>
            <w:tcW w:w="0" w:type="pct"/>
          </w:tcPr>
          <w:p w14:paraId="05D7A739"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APS projection</w:t>
            </w:r>
          </w:p>
        </w:tc>
        <w:tc>
          <w:tcPr>
            <w:tcW w:w="1145" w:type="pct"/>
          </w:tcPr>
          <w:p w14:paraId="3D36D9AC"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NZE projection</w:t>
            </w:r>
          </w:p>
        </w:tc>
      </w:tr>
      <w:tr w:rsidR="00EC7EC7" w:rsidRPr="00650761" w14:paraId="5DE23E57" w14:textId="77777777" w:rsidTr="00DF2480">
        <w:trPr>
          <w:cnfStyle w:val="000000100000" w:firstRow="0" w:lastRow="0" w:firstColumn="0" w:lastColumn="0" w:oddVBand="0" w:evenVBand="0" w:oddHBand="1" w:evenHBand="0" w:firstRowFirstColumn="0" w:firstRowLastColumn="0" w:lastRowFirstColumn="0" w:lastRowLastColumn="0"/>
        </w:trPr>
        <w:tc>
          <w:tcPr>
            <w:tcW w:w="1564" w:type="pct"/>
          </w:tcPr>
          <w:p w14:paraId="2A3AB669" w14:textId="77777777" w:rsidR="00EC7EC7" w:rsidRPr="00650761" w:rsidRDefault="00EC7EC7" w:rsidP="00C50D71">
            <w:pPr>
              <w:keepNext/>
              <w:keepLines/>
              <w:spacing w:before="60" w:after="60" w:line="240" w:lineRule="auto"/>
              <w:rPr>
                <w:rFonts w:cs="Arial"/>
                <w:szCs w:val="18"/>
                <w:lang w:eastAsia="en-AU"/>
              </w:rPr>
            </w:pPr>
            <w:r w:rsidRPr="00650761">
              <w:rPr>
                <w:rFonts w:cs="Arial"/>
                <w:szCs w:val="18"/>
                <w:lang w:eastAsia="en-AU"/>
              </w:rPr>
              <w:t>Australian gas production capacity*</w:t>
            </w:r>
          </w:p>
        </w:tc>
        <w:tc>
          <w:tcPr>
            <w:tcW w:w="0" w:type="pct"/>
          </w:tcPr>
          <w:p w14:paraId="2974A7B2"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WGM original and maximised</w:t>
            </w:r>
          </w:p>
        </w:tc>
        <w:tc>
          <w:tcPr>
            <w:tcW w:w="0" w:type="pct"/>
          </w:tcPr>
          <w:p w14:paraId="7B52316D"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Constrained (WoodMac)</w:t>
            </w:r>
          </w:p>
        </w:tc>
        <w:tc>
          <w:tcPr>
            <w:tcW w:w="1145" w:type="pct"/>
          </w:tcPr>
          <w:p w14:paraId="1B3F13AB"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Constrained (WoodMac)</w:t>
            </w:r>
          </w:p>
        </w:tc>
      </w:tr>
      <w:tr w:rsidR="00EC7EC7" w:rsidRPr="00650761" w14:paraId="3BCBA1F9" w14:textId="77777777" w:rsidTr="00DF2480">
        <w:trPr>
          <w:cnfStyle w:val="000000010000" w:firstRow="0" w:lastRow="0" w:firstColumn="0" w:lastColumn="0" w:oddVBand="0" w:evenVBand="0" w:oddHBand="0" w:evenHBand="1" w:firstRowFirstColumn="0" w:firstRowLastColumn="0" w:lastRowFirstColumn="0" w:lastRowLastColumn="0"/>
        </w:trPr>
        <w:tc>
          <w:tcPr>
            <w:tcW w:w="1564" w:type="pct"/>
          </w:tcPr>
          <w:p w14:paraId="4B7E8ACA" w14:textId="77777777" w:rsidR="00EC7EC7" w:rsidRPr="00650761" w:rsidRDefault="00EC7EC7" w:rsidP="00C50D71">
            <w:pPr>
              <w:keepNext/>
              <w:keepLines/>
              <w:spacing w:before="60" w:after="60" w:line="240" w:lineRule="auto"/>
              <w:rPr>
                <w:rFonts w:cs="Arial"/>
                <w:szCs w:val="18"/>
                <w:lang w:eastAsia="en-AU"/>
              </w:rPr>
            </w:pPr>
            <w:r w:rsidRPr="00650761">
              <w:rPr>
                <w:rFonts w:cs="Arial"/>
                <w:szCs w:val="18"/>
                <w:lang w:eastAsia="en-AU"/>
              </w:rPr>
              <w:t>Short-run marginal cost (Australia &amp; USA)</w:t>
            </w:r>
          </w:p>
        </w:tc>
        <w:tc>
          <w:tcPr>
            <w:tcW w:w="0" w:type="pct"/>
          </w:tcPr>
          <w:p w14:paraId="509F3289"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Enabled</w:t>
            </w:r>
          </w:p>
        </w:tc>
        <w:tc>
          <w:tcPr>
            <w:tcW w:w="0" w:type="pct"/>
          </w:tcPr>
          <w:p w14:paraId="066292BB"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Enabled</w:t>
            </w:r>
          </w:p>
        </w:tc>
        <w:tc>
          <w:tcPr>
            <w:tcW w:w="1145" w:type="pct"/>
          </w:tcPr>
          <w:p w14:paraId="0EA3C510"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Enabled</w:t>
            </w:r>
          </w:p>
        </w:tc>
      </w:tr>
      <w:tr w:rsidR="00EC7EC7" w:rsidRPr="00650761" w14:paraId="6DEBF0E6" w14:textId="77777777" w:rsidTr="00DF2480">
        <w:trPr>
          <w:cnfStyle w:val="000000100000" w:firstRow="0" w:lastRow="0" w:firstColumn="0" w:lastColumn="0" w:oddVBand="0" w:evenVBand="0" w:oddHBand="1" w:evenHBand="0" w:firstRowFirstColumn="0" w:firstRowLastColumn="0" w:lastRowFirstColumn="0" w:lastRowLastColumn="0"/>
        </w:trPr>
        <w:tc>
          <w:tcPr>
            <w:tcW w:w="1564" w:type="pct"/>
          </w:tcPr>
          <w:p w14:paraId="0E1198EA" w14:textId="77777777" w:rsidR="00EC7EC7" w:rsidRPr="00650761" w:rsidRDefault="00EC7EC7" w:rsidP="00C50D71">
            <w:pPr>
              <w:keepNext/>
              <w:keepLines/>
              <w:spacing w:before="60" w:after="60" w:line="240" w:lineRule="auto"/>
              <w:rPr>
                <w:rFonts w:cs="Arial"/>
                <w:szCs w:val="18"/>
                <w:lang w:eastAsia="en-AU"/>
              </w:rPr>
            </w:pPr>
            <w:r w:rsidRPr="00650761">
              <w:rPr>
                <w:rFonts w:cs="Arial"/>
                <w:szCs w:val="18"/>
                <w:lang w:eastAsia="en-AU"/>
              </w:rPr>
              <w:t>LNG contract renewal (with Australia)</w:t>
            </w:r>
          </w:p>
        </w:tc>
        <w:tc>
          <w:tcPr>
            <w:tcW w:w="1146" w:type="pct"/>
          </w:tcPr>
          <w:p w14:paraId="5423F91C"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Selected contracts renewed</w:t>
            </w:r>
          </w:p>
        </w:tc>
        <w:tc>
          <w:tcPr>
            <w:tcW w:w="1146" w:type="pct"/>
          </w:tcPr>
          <w:p w14:paraId="0318988B"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Selected</w:t>
            </w:r>
            <w:r w:rsidRPr="00650761">
              <w:rPr>
                <w:rFonts w:cs="Arial"/>
                <w:szCs w:val="18"/>
                <w:lang w:eastAsia="en-AU"/>
              </w:rPr>
              <w:br/>
              <w:t>contracts renewed</w:t>
            </w:r>
          </w:p>
        </w:tc>
        <w:tc>
          <w:tcPr>
            <w:tcW w:w="1145" w:type="pct"/>
          </w:tcPr>
          <w:p w14:paraId="61A0B927"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Less contracts renewed, all Russia expired</w:t>
            </w:r>
          </w:p>
        </w:tc>
      </w:tr>
      <w:tr w:rsidR="00EC7EC7" w:rsidRPr="00650761" w14:paraId="2EAB5FFE" w14:textId="77777777" w:rsidTr="00DF2480">
        <w:trPr>
          <w:cnfStyle w:val="000000010000" w:firstRow="0" w:lastRow="0" w:firstColumn="0" w:lastColumn="0" w:oddVBand="0" w:evenVBand="0" w:oddHBand="0" w:evenHBand="1" w:firstRowFirstColumn="0" w:firstRowLastColumn="0" w:lastRowFirstColumn="0" w:lastRowLastColumn="0"/>
        </w:trPr>
        <w:tc>
          <w:tcPr>
            <w:tcW w:w="1564" w:type="pct"/>
          </w:tcPr>
          <w:p w14:paraId="0F858F55" w14:textId="77777777" w:rsidR="00EC7EC7" w:rsidRPr="00650761" w:rsidRDefault="00EC7EC7" w:rsidP="00C50D71">
            <w:pPr>
              <w:keepNext/>
              <w:keepLines/>
              <w:spacing w:before="60" w:after="60" w:line="240" w:lineRule="auto"/>
              <w:rPr>
                <w:rFonts w:cs="Arial"/>
                <w:szCs w:val="18"/>
                <w:lang w:eastAsia="en-AU"/>
              </w:rPr>
            </w:pPr>
            <w:r w:rsidRPr="00650761">
              <w:rPr>
                <w:rFonts w:cs="Arial"/>
                <w:szCs w:val="18"/>
                <w:lang w:eastAsia="en-AU"/>
              </w:rPr>
              <w:t xml:space="preserve">Fossil fuel and carbon prices </w:t>
            </w:r>
          </w:p>
        </w:tc>
        <w:tc>
          <w:tcPr>
            <w:tcW w:w="0" w:type="pct"/>
          </w:tcPr>
          <w:p w14:paraId="11D87963"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STEPS projection</w:t>
            </w:r>
          </w:p>
        </w:tc>
        <w:tc>
          <w:tcPr>
            <w:tcW w:w="0" w:type="pct"/>
          </w:tcPr>
          <w:p w14:paraId="38B585B6"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APS projection</w:t>
            </w:r>
          </w:p>
        </w:tc>
        <w:tc>
          <w:tcPr>
            <w:tcW w:w="1145" w:type="pct"/>
          </w:tcPr>
          <w:p w14:paraId="26D75A2E"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NZE projection</w:t>
            </w:r>
          </w:p>
        </w:tc>
      </w:tr>
      <w:tr w:rsidR="00EC7EC7" w:rsidRPr="00650761" w14:paraId="4548F137" w14:textId="77777777" w:rsidTr="00DF2480">
        <w:trPr>
          <w:cnfStyle w:val="000000100000" w:firstRow="0" w:lastRow="0" w:firstColumn="0" w:lastColumn="0" w:oddVBand="0" w:evenVBand="0" w:oddHBand="1" w:evenHBand="0" w:firstRowFirstColumn="0" w:firstRowLastColumn="0" w:lastRowFirstColumn="0" w:lastRowLastColumn="0"/>
        </w:trPr>
        <w:tc>
          <w:tcPr>
            <w:tcW w:w="1564" w:type="pct"/>
          </w:tcPr>
          <w:p w14:paraId="7F8E5F79" w14:textId="77777777" w:rsidR="00EC7EC7" w:rsidRPr="00650761" w:rsidRDefault="00EC7EC7" w:rsidP="00C50D71">
            <w:pPr>
              <w:keepNext/>
              <w:keepLines/>
              <w:spacing w:before="60" w:after="60" w:line="240" w:lineRule="auto"/>
              <w:rPr>
                <w:rFonts w:cs="Arial"/>
                <w:szCs w:val="18"/>
                <w:lang w:eastAsia="en-AU"/>
              </w:rPr>
            </w:pPr>
            <w:r w:rsidRPr="00650761">
              <w:rPr>
                <w:rFonts w:cs="Arial"/>
                <w:szCs w:val="18"/>
                <w:lang w:eastAsia="en-AU"/>
              </w:rPr>
              <w:t>Carbon cost sensitivity*</w:t>
            </w:r>
          </w:p>
        </w:tc>
        <w:tc>
          <w:tcPr>
            <w:tcW w:w="1146" w:type="pct"/>
          </w:tcPr>
          <w:p w14:paraId="13F19ABF"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Medium</w:t>
            </w:r>
          </w:p>
        </w:tc>
        <w:tc>
          <w:tcPr>
            <w:tcW w:w="1146" w:type="pct"/>
          </w:tcPr>
          <w:p w14:paraId="36CA598B"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Medium</w:t>
            </w:r>
          </w:p>
        </w:tc>
        <w:tc>
          <w:tcPr>
            <w:tcW w:w="1145" w:type="pct"/>
          </w:tcPr>
          <w:p w14:paraId="0BDA0044"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High</w:t>
            </w:r>
          </w:p>
        </w:tc>
      </w:tr>
      <w:tr w:rsidR="00EC7EC7" w:rsidRPr="00650761" w14:paraId="042E7551" w14:textId="77777777" w:rsidTr="00DF2480">
        <w:trPr>
          <w:cnfStyle w:val="000000010000" w:firstRow="0" w:lastRow="0" w:firstColumn="0" w:lastColumn="0" w:oddVBand="0" w:evenVBand="0" w:oddHBand="0" w:evenHBand="1" w:firstRowFirstColumn="0" w:firstRowLastColumn="0" w:lastRowFirstColumn="0" w:lastRowLastColumn="0"/>
        </w:trPr>
        <w:tc>
          <w:tcPr>
            <w:tcW w:w="1564" w:type="pct"/>
          </w:tcPr>
          <w:p w14:paraId="1A5AB3E2" w14:textId="77777777" w:rsidR="00EC7EC7" w:rsidRPr="00650761" w:rsidRDefault="00EC7EC7" w:rsidP="00C50D71">
            <w:pPr>
              <w:keepNext/>
              <w:keepLines/>
              <w:spacing w:before="60" w:after="60" w:line="240" w:lineRule="auto"/>
              <w:rPr>
                <w:rFonts w:cs="Arial"/>
                <w:szCs w:val="18"/>
                <w:lang w:eastAsia="en-AU"/>
              </w:rPr>
            </w:pPr>
            <w:r w:rsidRPr="00650761">
              <w:rPr>
                <w:rFonts w:cs="Arial"/>
                <w:szCs w:val="18"/>
                <w:lang w:eastAsia="en-AU"/>
              </w:rPr>
              <w:t>Power of Siberia 2 Pipeline Extension*</w:t>
            </w:r>
          </w:p>
        </w:tc>
        <w:tc>
          <w:tcPr>
            <w:tcW w:w="0" w:type="pct"/>
          </w:tcPr>
          <w:p w14:paraId="24B3A3F8"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Built</w:t>
            </w:r>
          </w:p>
        </w:tc>
        <w:tc>
          <w:tcPr>
            <w:tcW w:w="0" w:type="pct"/>
          </w:tcPr>
          <w:p w14:paraId="1AA623C8"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Built</w:t>
            </w:r>
          </w:p>
        </w:tc>
        <w:tc>
          <w:tcPr>
            <w:tcW w:w="1145" w:type="pct"/>
          </w:tcPr>
          <w:p w14:paraId="72B77C74" w14:textId="77777777" w:rsidR="00EC7EC7" w:rsidRPr="00650761" w:rsidRDefault="00EC7EC7" w:rsidP="00C50D71">
            <w:pPr>
              <w:keepNext/>
              <w:keepLines/>
              <w:spacing w:before="60" w:after="60" w:line="240" w:lineRule="auto"/>
              <w:jc w:val="right"/>
              <w:rPr>
                <w:rFonts w:cs="Arial"/>
                <w:szCs w:val="18"/>
                <w:lang w:eastAsia="en-AU"/>
              </w:rPr>
            </w:pPr>
            <w:r w:rsidRPr="00650761">
              <w:rPr>
                <w:rFonts w:cs="Arial"/>
                <w:szCs w:val="18"/>
                <w:lang w:eastAsia="en-AU"/>
              </w:rPr>
              <w:t>Cancelled</w:t>
            </w:r>
          </w:p>
        </w:tc>
      </w:tr>
    </w:tbl>
    <w:p w14:paraId="05574B9E" w14:textId="77777777" w:rsidR="00EC7EC7" w:rsidRPr="00650761" w:rsidRDefault="00EC7EC7" w:rsidP="00CA2FAF">
      <w:pPr>
        <w:pStyle w:val="Source"/>
        <w:rPr>
          <w:lang w:eastAsia="en-AU"/>
        </w:rPr>
      </w:pPr>
      <w:r w:rsidRPr="00650761">
        <w:rPr>
          <w:lang w:eastAsia="en-AU"/>
        </w:rPr>
        <w:br/>
        <w:t>Notes: WGM provides the maximum daily production capacity of all producing gas fields and assumes maximum utilisation of nameplate capacity by existing liquefaction facilities. Wood Mackenzie provides an expected, realistic projection based on historical utilisation rates, performance and outages, creating a constrained production estimate. LNG contract renewal has been selected by both Nexant (default input) and analyst discretion. In the NZE scenario, we assume the phase out of Russian LNG via sanctions and the Power of Siberia 2 pipeline discontinued due to being uneconomical.</w:t>
      </w:r>
    </w:p>
    <w:p w14:paraId="0C05D313" w14:textId="227D2099" w:rsidR="00EC7EC7" w:rsidRDefault="00EC7EC7" w:rsidP="00CA2FAF">
      <w:pPr>
        <w:pStyle w:val="Source"/>
      </w:pPr>
      <w:r w:rsidRPr="00650761">
        <w:rPr>
          <w:lang w:eastAsia="en-AU"/>
        </w:rPr>
        <w:t>Source: AEMO</w:t>
      </w:r>
      <w:r w:rsidR="002A4B14">
        <w:rPr>
          <w:lang w:eastAsia="en-AU"/>
        </w:rPr>
        <w:t xml:space="preserve"> (2023c; 2024a</w:t>
      </w:r>
      <w:r w:rsidRPr="00650761">
        <w:rPr>
          <w:lang w:eastAsia="en-AU"/>
        </w:rPr>
        <w:t>)</w:t>
      </w:r>
      <w:r w:rsidR="002A4B14">
        <w:rPr>
          <w:lang w:eastAsia="en-AU"/>
        </w:rPr>
        <w:t>;</w:t>
      </w:r>
      <w:r w:rsidRPr="00650761">
        <w:rPr>
          <w:lang w:eastAsia="en-AU"/>
        </w:rPr>
        <w:t xml:space="preserve"> IEA (2023</w:t>
      </w:r>
      <w:r w:rsidR="002A4B14">
        <w:rPr>
          <w:lang w:eastAsia="en-AU"/>
        </w:rPr>
        <w:t>f</w:t>
      </w:r>
      <w:r w:rsidRPr="00650761">
        <w:rPr>
          <w:lang w:eastAsia="en-AU"/>
        </w:rPr>
        <w:t>), Nexant</w:t>
      </w:r>
      <w:r w:rsidR="00455EC4">
        <w:rPr>
          <w:lang w:eastAsia="en-AU"/>
        </w:rPr>
        <w:t>ECA</w:t>
      </w:r>
      <w:r w:rsidRPr="00650761">
        <w:rPr>
          <w:lang w:eastAsia="en-AU"/>
        </w:rPr>
        <w:t xml:space="preserve"> (2023), </w:t>
      </w:r>
      <w:r w:rsidR="00BF5898">
        <w:rPr>
          <w:lang w:eastAsia="en-AU"/>
        </w:rPr>
        <w:t>EnergyQuest</w:t>
      </w:r>
      <w:r w:rsidRPr="00650761">
        <w:rPr>
          <w:lang w:eastAsia="en-AU"/>
        </w:rPr>
        <w:t xml:space="preserve"> (202</w:t>
      </w:r>
      <w:r w:rsidR="002A4B14">
        <w:rPr>
          <w:lang w:eastAsia="en-AU"/>
        </w:rPr>
        <w:t>4</w:t>
      </w:r>
      <w:r w:rsidRPr="00650761">
        <w:rPr>
          <w:lang w:eastAsia="en-AU"/>
        </w:rPr>
        <w:t>)</w:t>
      </w:r>
      <w:r w:rsidR="002A4B14">
        <w:rPr>
          <w:lang w:eastAsia="en-AU"/>
        </w:rPr>
        <w:t xml:space="preserve">; </w:t>
      </w:r>
      <w:r w:rsidR="002A4B14" w:rsidRPr="00650761">
        <w:rPr>
          <w:lang w:eastAsia="en-AU"/>
        </w:rPr>
        <w:t xml:space="preserve">Wood Mackenzie </w:t>
      </w:r>
      <w:r w:rsidR="002A4B14">
        <w:rPr>
          <w:lang w:eastAsia="en-AU"/>
        </w:rPr>
        <w:t>(2023)</w:t>
      </w:r>
    </w:p>
    <w:p w14:paraId="034B5701" w14:textId="50A09EBE" w:rsidR="00762B7E" w:rsidRPr="00A62FE8" w:rsidRDefault="00762B7E" w:rsidP="00762B7E">
      <w:pPr>
        <w:keepNext/>
        <w:keepLines/>
        <w:spacing w:before="180" w:after="120" w:line="240" w:lineRule="auto"/>
        <w:rPr>
          <w:rFonts w:eastAsia="Times New Roman" w:cstheme="majorHAnsi"/>
          <w:b/>
          <w:bCs/>
          <w:color w:val="005CAF"/>
          <w:szCs w:val="20"/>
          <w:lang w:val="en"/>
        </w:rPr>
      </w:pPr>
      <w:r w:rsidRPr="00A62FE8">
        <w:rPr>
          <w:rFonts w:eastAsia="Times New Roman" w:cstheme="majorHAnsi"/>
          <w:b/>
          <w:bCs/>
          <w:color w:val="005CAF"/>
          <w:szCs w:val="20"/>
          <w:lang w:val="en"/>
        </w:rPr>
        <w:t>Table</w:t>
      </w:r>
      <w:r>
        <w:rPr>
          <w:rFonts w:eastAsia="Times New Roman" w:cstheme="majorHAnsi"/>
          <w:b/>
          <w:bCs/>
          <w:color w:val="005CAF"/>
          <w:szCs w:val="20"/>
          <w:lang w:val="en"/>
        </w:rPr>
        <w:t xml:space="preserve"> </w:t>
      </w:r>
      <w:r>
        <w:rPr>
          <w:rFonts w:eastAsia="Times New Roman" w:cstheme="majorHAnsi"/>
          <w:b/>
          <w:bCs/>
          <w:noProof/>
          <w:color w:val="005CAF"/>
          <w:szCs w:val="20"/>
          <w:lang w:val="en"/>
        </w:rPr>
        <w:t>B</w:t>
      </w:r>
      <w:r w:rsidRPr="00A62FE8">
        <w:rPr>
          <w:rFonts w:eastAsia="Times New Roman" w:cstheme="majorHAnsi"/>
          <w:b/>
          <w:bCs/>
          <w:noProof/>
          <w:color w:val="005CAF"/>
          <w:szCs w:val="20"/>
          <w:lang w:val="en"/>
        </w:rPr>
        <w:t>.</w:t>
      </w:r>
      <w:r>
        <w:rPr>
          <w:rFonts w:eastAsia="Times New Roman" w:cstheme="majorHAnsi"/>
          <w:b/>
          <w:bCs/>
          <w:noProof/>
          <w:color w:val="005CAF"/>
          <w:szCs w:val="20"/>
          <w:lang w:val="en"/>
        </w:rPr>
        <w:t>2</w:t>
      </w:r>
      <w:r w:rsidRPr="00A62FE8">
        <w:rPr>
          <w:rFonts w:eastAsia="Times New Roman" w:cstheme="majorHAnsi"/>
          <w:b/>
          <w:bCs/>
          <w:color w:val="005CAF"/>
          <w:szCs w:val="20"/>
          <w:lang w:val="en"/>
        </w:rPr>
        <w:t>: Natural gas demand, by scenario, select</w:t>
      </w:r>
      <w:r w:rsidR="00051CBF">
        <w:rPr>
          <w:rFonts w:eastAsia="Times New Roman" w:cstheme="majorHAnsi"/>
          <w:b/>
          <w:bCs/>
          <w:color w:val="005CAF"/>
          <w:szCs w:val="20"/>
          <w:lang w:val="en"/>
        </w:rPr>
        <w:t>ed</w:t>
      </w:r>
      <w:r w:rsidRPr="00A62FE8">
        <w:rPr>
          <w:rFonts w:eastAsia="Times New Roman" w:cstheme="majorHAnsi"/>
          <w:b/>
          <w:bCs/>
          <w:color w:val="005CAF"/>
          <w:szCs w:val="20"/>
          <w:lang w:val="en"/>
        </w:rPr>
        <w:t xml:space="preserve"> economies</w:t>
      </w:r>
    </w:p>
    <w:tbl>
      <w:tblPr>
        <w:tblStyle w:val="OCETable"/>
        <w:tblW w:w="5000" w:type="pct"/>
        <w:tblLayout w:type="fixed"/>
        <w:tblLook w:val="04A0" w:firstRow="1" w:lastRow="0" w:firstColumn="1" w:lastColumn="0" w:noHBand="0" w:noVBand="1"/>
      </w:tblPr>
      <w:tblGrid>
        <w:gridCol w:w="947"/>
        <w:gridCol w:w="947"/>
        <w:gridCol w:w="947"/>
        <w:gridCol w:w="946"/>
        <w:gridCol w:w="946"/>
        <w:gridCol w:w="946"/>
        <w:gridCol w:w="946"/>
      </w:tblGrid>
      <w:tr w:rsidR="00F50E9B" w:rsidRPr="00A62FE8" w14:paraId="604AFA98" w14:textId="77777777" w:rsidTr="00AA38BB">
        <w:trPr>
          <w:cnfStyle w:val="100000000000" w:firstRow="1" w:lastRow="0" w:firstColumn="0" w:lastColumn="0" w:oddVBand="0" w:evenVBand="0" w:oddHBand="0" w:evenHBand="0" w:firstRowFirstColumn="0" w:firstRowLastColumn="0" w:lastRowFirstColumn="0" w:lastRowLastColumn="0"/>
        </w:trPr>
        <w:tc>
          <w:tcPr>
            <w:tcW w:w="0" w:type="dxa"/>
            <w:vMerge w:val="restart"/>
          </w:tcPr>
          <w:p w14:paraId="7C556912" w14:textId="77777777" w:rsidR="00F50E9B" w:rsidRPr="00A62FE8" w:rsidRDefault="00F50E9B" w:rsidP="00C50D71">
            <w:pPr>
              <w:keepNext/>
              <w:spacing w:before="120" w:after="120" w:line="240" w:lineRule="auto"/>
              <w:rPr>
                <w:rFonts w:cs="Arial"/>
                <w:b/>
                <w:szCs w:val="18"/>
                <w:lang w:eastAsia="en-AU"/>
              </w:rPr>
            </w:pPr>
            <w:r w:rsidRPr="00A62FE8">
              <w:rPr>
                <w:rFonts w:cs="Arial"/>
                <w:b/>
                <w:szCs w:val="18"/>
                <w:lang w:eastAsia="en-AU"/>
              </w:rPr>
              <w:t>Gas demand (bcm)</w:t>
            </w:r>
          </w:p>
        </w:tc>
        <w:tc>
          <w:tcPr>
            <w:tcW w:w="0" w:type="dxa"/>
            <w:gridSpan w:val="2"/>
          </w:tcPr>
          <w:p w14:paraId="73ACE215" w14:textId="77777777" w:rsidR="00F50E9B" w:rsidRPr="00A62FE8" w:rsidRDefault="00F50E9B" w:rsidP="00C50D71">
            <w:pPr>
              <w:keepNext/>
              <w:spacing w:before="120" w:after="120" w:line="240" w:lineRule="auto"/>
              <w:rPr>
                <w:rFonts w:cs="Arial"/>
                <w:b/>
                <w:szCs w:val="18"/>
                <w:lang w:eastAsia="en-AU"/>
              </w:rPr>
            </w:pPr>
            <w:r w:rsidRPr="00A62FE8">
              <w:rPr>
                <w:rFonts w:cs="Arial"/>
                <w:b/>
                <w:szCs w:val="18"/>
                <w:lang w:eastAsia="en-AU"/>
              </w:rPr>
              <w:t>STEPS</w:t>
            </w:r>
          </w:p>
        </w:tc>
        <w:tc>
          <w:tcPr>
            <w:tcW w:w="0" w:type="dxa"/>
            <w:gridSpan w:val="2"/>
          </w:tcPr>
          <w:p w14:paraId="4A6A2ADA" w14:textId="77777777" w:rsidR="00F50E9B" w:rsidRPr="00A62FE8" w:rsidRDefault="00F50E9B" w:rsidP="00C50D71">
            <w:pPr>
              <w:keepNext/>
              <w:spacing w:before="120" w:after="120" w:line="240" w:lineRule="auto"/>
              <w:rPr>
                <w:rFonts w:cs="Arial"/>
                <w:b/>
                <w:szCs w:val="18"/>
                <w:lang w:eastAsia="en-AU"/>
              </w:rPr>
            </w:pPr>
            <w:r w:rsidRPr="00A62FE8">
              <w:rPr>
                <w:rFonts w:cs="Arial"/>
                <w:b/>
                <w:szCs w:val="18"/>
                <w:lang w:eastAsia="en-AU"/>
              </w:rPr>
              <w:t>APS</w:t>
            </w:r>
          </w:p>
        </w:tc>
        <w:tc>
          <w:tcPr>
            <w:tcW w:w="0" w:type="dxa"/>
            <w:gridSpan w:val="2"/>
          </w:tcPr>
          <w:p w14:paraId="65FAC456" w14:textId="77777777" w:rsidR="00F50E9B" w:rsidRPr="00A62FE8" w:rsidRDefault="00F50E9B" w:rsidP="00C50D71">
            <w:pPr>
              <w:keepNext/>
              <w:spacing w:before="120" w:after="120" w:line="240" w:lineRule="auto"/>
              <w:rPr>
                <w:rFonts w:cs="Arial"/>
                <w:b/>
                <w:szCs w:val="18"/>
                <w:lang w:eastAsia="en-AU"/>
              </w:rPr>
            </w:pPr>
            <w:r w:rsidRPr="00A62FE8">
              <w:rPr>
                <w:rFonts w:cs="Arial"/>
                <w:b/>
                <w:szCs w:val="18"/>
                <w:lang w:eastAsia="en-AU"/>
              </w:rPr>
              <w:t>NZE</w:t>
            </w:r>
          </w:p>
        </w:tc>
      </w:tr>
      <w:tr w:rsidR="00F50E9B" w:rsidRPr="00A62FE8" w14:paraId="29F91AF6" w14:textId="77777777" w:rsidTr="00AA38BB">
        <w:trPr>
          <w:cnfStyle w:val="000000100000" w:firstRow="0" w:lastRow="0" w:firstColumn="0" w:lastColumn="0" w:oddVBand="0" w:evenVBand="0" w:oddHBand="1" w:evenHBand="0" w:firstRowFirstColumn="0" w:firstRowLastColumn="0" w:lastRowFirstColumn="0" w:lastRowLastColumn="0"/>
        </w:trPr>
        <w:tc>
          <w:tcPr>
            <w:tcW w:w="0" w:type="dxa"/>
            <w:vMerge/>
            <w:shd w:val="clear" w:color="auto" w:fill="005CAF"/>
          </w:tcPr>
          <w:p w14:paraId="377C93E1" w14:textId="77777777" w:rsidR="00F50E9B" w:rsidRPr="00A62FE8" w:rsidRDefault="00F50E9B" w:rsidP="00C50D71">
            <w:pPr>
              <w:keepNext/>
              <w:spacing w:before="120" w:after="120" w:line="240" w:lineRule="auto"/>
              <w:rPr>
                <w:rFonts w:cs="Arial"/>
                <w:b/>
                <w:color w:val="FFFFFF"/>
                <w:szCs w:val="18"/>
                <w:lang w:eastAsia="en-AU"/>
              </w:rPr>
            </w:pPr>
          </w:p>
        </w:tc>
        <w:tc>
          <w:tcPr>
            <w:tcW w:w="0" w:type="dxa"/>
            <w:shd w:val="clear" w:color="auto" w:fill="005CAF"/>
          </w:tcPr>
          <w:p w14:paraId="4141DF7A"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2030</w:t>
            </w:r>
          </w:p>
        </w:tc>
        <w:tc>
          <w:tcPr>
            <w:tcW w:w="0" w:type="dxa"/>
            <w:shd w:val="clear" w:color="auto" w:fill="005CAF"/>
          </w:tcPr>
          <w:p w14:paraId="172722C4"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2050</w:t>
            </w:r>
          </w:p>
        </w:tc>
        <w:tc>
          <w:tcPr>
            <w:tcW w:w="0" w:type="dxa"/>
            <w:shd w:val="clear" w:color="auto" w:fill="005CAF"/>
          </w:tcPr>
          <w:p w14:paraId="536D6BB4"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2030</w:t>
            </w:r>
          </w:p>
        </w:tc>
        <w:tc>
          <w:tcPr>
            <w:tcW w:w="0" w:type="dxa"/>
            <w:shd w:val="clear" w:color="auto" w:fill="005CAF"/>
          </w:tcPr>
          <w:p w14:paraId="27C9C291" w14:textId="77777777" w:rsidR="00F50E9B" w:rsidRPr="00A62FE8" w:rsidRDefault="00F50E9B" w:rsidP="00C50D71">
            <w:pPr>
              <w:keepNext/>
              <w:spacing w:before="120" w:after="120" w:line="240" w:lineRule="auto"/>
              <w:rPr>
                <w:rFonts w:asciiTheme="minorHAnsi" w:hAnsiTheme="minorHAnsi" w:cs="Arial"/>
                <w:b/>
                <w:color w:val="FFFFFF"/>
                <w:szCs w:val="18"/>
                <w:lang w:eastAsia="en-AU"/>
              </w:rPr>
            </w:pPr>
            <w:r w:rsidRPr="00A62FE8">
              <w:rPr>
                <w:rFonts w:asciiTheme="minorHAnsi" w:hAnsiTheme="minorHAnsi" w:cs="Arial"/>
                <w:b/>
                <w:color w:val="FFFFFF"/>
                <w:szCs w:val="18"/>
                <w:lang w:eastAsia="en-AU"/>
              </w:rPr>
              <w:t>2050</w:t>
            </w:r>
          </w:p>
        </w:tc>
        <w:tc>
          <w:tcPr>
            <w:tcW w:w="0" w:type="dxa"/>
            <w:shd w:val="clear" w:color="auto" w:fill="005CAF"/>
          </w:tcPr>
          <w:p w14:paraId="0239F6EB"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2030</w:t>
            </w:r>
          </w:p>
        </w:tc>
        <w:tc>
          <w:tcPr>
            <w:tcW w:w="0" w:type="dxa"/>
            <w:shd w:val="clear" w:color="auto" w:fill="005CAF"/>
          </w:tcPr>
          <w:p w14:paraId="04C2385E"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2050</w:t>
            </w:r>
          </w:p>
        </w:tc>
      </w:tr>
      <w:tr w:rsidR="00762B7E" w:rsidRPr="00A62FE8" w14:paraId="5605E663" w14:textId="77777777" w:rsidTr="00AA38BB">
        <w:trPr>
          <w:cnfStyle w:val="000000010000" w:firstRow="0" w:lastRow="0" w:firstColumn="0" w:lastColumn="0" w:oddVBand="0" w:evenVBand="0" w:oddHBand="0" w:evenHBand="1" w:firstRowFirstColumn="0" w:firstRowLastColumn="0" w:lastRowFirstColumn="0" w:lastRowLastColumn="0"/>
        </w:trPr>
        <w:tc>
          <w:tcPr>
            <w:tcW w:w="0" w:type="dxa"/>
          </w:tcPr>
          <w:p w14:paraId="548C0B4D"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World</w:t>
            </w:r>
          </w:p>
        </w:tc>
        <w:tc>
          <w:tcPr>
            <w:tcW w:w="0" w:type="dxa"/>
          </w:tcPr>
          <w:p w14:paraId="1B9A5F8E"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4,299</w:t>
            </w:r>
          </w:p>
        </w:tc>
        <w:tc>
          <w:tcPr>
            <w:tcW w:w="0" w:type="dxa"/>
          </w:tcPr>
          <w:p w14:paraId="0C508CD3"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4,173</w:t>
            </w:r>
          </w:p>
        </w:tc>
        <w:tc>
          <w:tcPr>
            <w:tcW w:w="0" w:type="dxa"/>
          </w:tcPr>
          <w:p w14:paraId="09374403"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3,861</w:t>
            </w:r>
          </w:p>
        </w:tc>
        <w:tc>
          <w:tcPr>
            <w:tcW w:w="0" w:type="dxa"/>
          </w:tcPr>
          <w:p w14:paraId="2838D3E6"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2,422</w:t>
            </w:r>
          </w:p>
        </w:tc>
        <w:tc>
          <w:tcPr>
            <w:tcW w:w="0" w:type="dxa"/>
          </w:tcPr>
          <w:p w14:paraId="2725E9DC"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3,200</w:t>
            </w:r>
          </w:p>
        </w:tc>
        <w:tc>
          <w:tcPr>
            <w:tcW w:w="0" w:type="dxa"/>
          </w:tcPr>
          <w:p w14:paraId="74896573"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900</w:t>
            </w:r>
          </w:p>
        </w:tc>
      </w:tr>
      <w:tr w:rsidR="00762B7E" w:rsidRPr="00A62FE8" w14:paraId="3B1C4512" w14:textId="77777777" w:rsidTr="00AA38BB">
        <w:trPr>
          <w:cnfStyle w:val="000000100000" w:firstRow="0" w:lastRow="0" w:firstColumn="0" w:lastColumn="0" w:oddVBand="0" w:evenVBand="0" w:oddHBand="1" w:evenHBand="0" w:firstRowFirstColumn="0" w:firstRowLastColumn="0" w:lastRowFirstColumn="0" w:lastRowLastColumn="0"/>
        </w:trPr>
        <w:tc>
          <w:tcPr>
            <w:tcW w:w="0" w:type="dxa"/>
          </w:tcPr>
          <w:p w14:paraId="3B643650"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China</w:t>
            </w:r>
          </w:p>
        </w:tc>
        <w:tc>
          <w:tcPr>
            <w:tcW w:w="0" w:type="dxa"/>
          </w:tcPr>
          <w:p w14:paraId="0E846672"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458</w:t>
            </w:r>
          </w:p>
        </w:tc>
        <w:tc>
          <w:tcPr>
            <w:tcW w:w="0" w:type="dxa"/>
          </w:tcPr>
          <w:p w14:paraId="085ACC8E"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452</w:t>
            </w:r>
          </w:p>
        </w:tc>
        <w:tc>
          <w:tcPr>
            <w:tcW w:w="0" w:type="dxa"/>
          </w:tcPr>
          <w:p w14:paraId="1E660C59"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410</w:t>
            </w:r>
          </w:p>
        </w:tc>
        <w:tc>
          <w:tcPr>
            <w:tcW w:w="0" w:type="dxa"/>
          </w:tcPr>
          <w:p w14:paraId="4BF484FA"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185</w:t>
            </w:r>
          </w:p>
        </w:tc>
        <w:tc>
          <w:tcPr>
            <w:tcW w:w="0" w:type="dxa"/>
          </w:tcPr>
          <w:p w14:paraId="7E9E5211"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w:t>
            </w:r>
          </w:p>
        </w:tc>
        <w:tc>
          <w:tcPr>
            <w:tcW w:w="0" w:type="dxa"/>
          </w:tcPr>
          <w:p w14:paraId="1ABF61EB"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w:t>
            </w:r>
          </w:p>
        </w:tc>
      </w:tr>
      <w:tr w:rsidR="00762B7E" w:rsidRPr="00A62FE8" w14:paraId="2897AFCA" w14:textId="77777777" w:rsidTr="00AA38BB">
        <w:trPr>
          <w:cnfStyle w:val="000000010000" w:firstRow="0" w:lastRow="0" w:firstColumn="0" w:lastColumn="0" w:oddVBand="0" w:evenVBand="0" w:oddHBand="0" w:evenHBand="1" w:firstRowFirstColumn="0" w:firstRowLastColumn="0" w:lastRowFirstColumn="0" w:lastRowLastColumn="0"/>
        </w:trPr>
        <w:tc>
          <w:tcPr>
            <w:tcW w:w="0" w:type="dxa"/>
          </w:tcPr>
          <w:p w14:paraId="46928F11"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Japan</w:t>
            </w:r>
          </w:p>
        </w:tc>
        <w:tc>
          <w:tcPr>
            <w:tcW w:w="0" w:type="dxa"/>
          </w:tcPr>
          <w:p w14:paraId="7F875C9C"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66</w:t>
            </w:r>
          </w:p>
        </w:tc>
        <w:tc>
          <w:tcPr>
            <w:tcW w:w="0" w:type="dxa"/>
          </w:tcPr>
          <w:p w14:paraId="06F8B9EC"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44</w:t>
            </w:r>
          </w:p>
        </w:tc>
        <w:tc>
          <w:tcPr>
            <w:tcW w:w="0" w:type="dxa"/>
          </w:tcPr>
          <w:p w14:paraId="0F013FEB"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60</w:t>
            </w:r>
          </w:p>
        </w:tc>
        <w:tc>
          <w:tcPr>
            <w:tcW w:w="0" w:type="dxa"/>
          </w:tcPr>
          <w:p w14:paraId="3DFDE227"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19</w:t>
            </w:r>
          </w:p>
        </w:tc>
        <w:tc>
          <w:tcPr>
            <w:tcW w:w="0" w:type="dxa"/>
          </w:tcPr>
          <w:p w14:paraId="4FD9CC75"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w:t>
            </w:r>
          </w:p>
        </w:tc>
        <w:tc>
          <w:tcPr>
            <w:tcW w:w="0" w:type="dxa"/>
          </w:tcPr>
          <w:p w14:paraId="7185799F"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w:t>
            </w:r>
          </w:p>
        </w:tc>
      </w:tr>
      <w:tr w:rsidR="00762B7E" w:rsidRPr="00A62FE8" w14:paraId="1F11A0B2" w14:textId="77777777" w:rsidTr="00AA38BB">
        <w:trPr>
          <w:cnfStyle w:val="000000100000" w:firstRow="0" w:lastRow="0" w:firstColumn="0" w:lastColumn="0" w:oddVBand="0" w:evenVBand="0" w:oddHBand="1" w:evenHBand="0" w:firstRowFirstColumn="0" w:firstRowLastColumn="0" w:lastRowFirstColumn="0" w:lastRowLastColumn="0"/>
        </w:trPr>
        <w:tc>
          <w:tcPr>
            <w:tcW w:w="0" w:type="dxa"/>
            <w:shd w:val="clear" w:color="auto" w:fill="auto"/>
          </w:tcPr>
          <w:p w14:paraId="5E3FA8EE"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Southeast Asia</w:t>
            </w:r>
          </w:p>
        </w:tc>
        <w:tc>
          <w:tcPr>
            <w:tcW w:w="0" w:type="dxa"/>
            <w:shd w:val="clear" w:color="auto" w:fill="auto"/>
          </w:tcPr>
          <w:p w14:paraId="4B40966A"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191</w:t>
            </w:r>
          </w:p>
        </w:tc>
        <w:tc>
          <w:tcPr>
            <w:tcW w:w="0" w:type="dxa"/>
            <w:shd w:val="clear" w:color="auto" w:fill="auto"/>
          </w:tcPr>
          <w:p w14:paraId="07D74630"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254</w:t>
            </w:r>
          </w:p>
        </w:tc>
        <w:tc>
          <w:tcPr>
            <w:tcW w:w="0" w:type="dxa"/>
            <w:shd w:val="clear" w:color="auto" w:fill="auto"/>
          </w:tcPr>
          <w:p w14:paraId="68AC6591"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171</w:t>
            </w:r>
          </w:p>
        </w:tc>
        <w:tc>
          <w:tcPr>
            <w:tcW w:w="0" w:type="dxa"/>
            <w:shd w:val="clear" w:color="auto" w:fill="auto"/>
          </w:tcPr>
          <w:p w14:paraId="38C16C7A"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122</w:t>
            </w:r>
          </w:p>
        </w:tc>
        <w:tc>
          <w:tcPr>
            <w:tcW w:w="0" w:type="dxa"/>
            <w:shd w:val="clear" w:color="auto" w:fill="auto"/>
          </w:tcPr>
          <w:p w14:paraId="6F6B675F"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w:t>
            </w:r>
          </w:p>
        </w:tc>
        <w:tc>
          <w:tcPr>
            <w:tcW w:w="0" w:type="dxa"/>
            <w:shd w:val="clear" w:color="auto" w:fill="auto"/>
          </w:tcPr>
          <w:p w14:paraId="0669ACAA"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w:t>
            </w:r>
          </w:p>
        </w:tc>
      </w:tr>
    </w:tbl>
    <w:p w14:paraId="024E8337" w14:textId="77777777" w:rsidR="00762B7E" w:rsidRPr="00A62FE8" w:rsidRDefault="00762B7E" w:rsidP="00CA2FAF">
      <w:pPr>
        <w:pStyle w:val="Source"/>
        <w:rPr>
          <w:lang w:eastAsia="en-AU"/>
        </w:rPr>
      </w:pPr>
      <w:r w:rsidRPr="00A62FE8">
        <w:rPr>
          <w:lang w:eastAsia="en-AU"/>
        </w:rPr>
        <w:t xml:space="preserve">Notes: Trendline uses a quadratic polynomial order. Based on total final consumption. IEA does not provide a NZE projection for gas consumption for particular economies. </w:t>
      </w:r>
      <w:r w:rsidRPr="00A62FE8" w:rsidDel="00254F5F">
        <w:rPr>
          <w:lang w:eastAsia="en-AU"/>
        </w:rPr>
        <w:t xml:space="preserve"> </w:t>
      </w:r>
    </w:p>
    <w:p w14:paraId="1234B2A9" w14:textId="06001387" w:rsidR="00762B7E" w:rsidRDefault="00762B7E" w:rsidP="00CA2FAF">
      <w:pPr>
        <w:pStyle w:val="Source"/>
        <w:rPr>
          <w:lang w:eastAsia="en-AU"/>
        </w:rPr>
      </w:pPr>
      <w:r w:rsidRPr="00A62FE8">
        <w:rPr>
          <w:lang w:eastAsia="en-AU"/>
        </w:rPr>
        <w:t>Source: IEA (2023</w:t>
      </w:r>
      <w:r w:rsidR="002A4B14">
        <w:rPr>
          <w:lang w:eastAsia="en-AU"/>
        </w:rPr>
        <w:t>e</w:t>
      </w:r>
      <w:r w:rsidRPr="00A62FE8">
        <w:rPr>
          <w:lang w:eastAsia="en-AU"/>
        </w:rPr>
        <w:t>) Tables 2.2 &amp; B.2</w:t>
      </w:r>
    </w:p>
    <w:p w14:paraId="0AB6CBA0" w14:textId="28883842" w:rsidR="00762B7E" w:rsidRPr="00A62FE8" w:rsidRDefault="00762B7E" w:rsidP="00762B7E">
      <w:pPr>
        <w:keepNext/>
        <w:keepLines/>
        <w:spacing w:before="180" w:after="120" w:line="240" w:lineRule="auto"/>
        <w:rPr>
          <w:rFonts w:eastAsia="Times New Roman" w:cstheme="majorHAnsi"/>
          <w:b/>
          <w:bCs/>
          <w:color w:val="005CAF"/>
          <w:szCs w:val="20"/>
          <w:lang w:val="en"/>
        </w:rPr>
      </w:pPr>
      <w:r w:rsidRPr="00A62FE8">
        <w:rPr>
          <w:rFonts w:eastAsia="Times New Roman" w:cstheme="majorHAnsi"/>
          <w:b/>
          <w:bCs/>
          <w:color w:val="005CAF"/>
          <w:szCs w:val="20"/>
          <w:lang w:val="en"/>
        </w:rPr>
        <w:t>Table</w:t>
      </w:r>
      <w:r>
        <w:rPr>
          <w:rFonts w:eastAsia="Times New Roman" w:cstheme="majorHAnsi"/>
          <w:b/>
          <w:bCs/>
          <w:color w:val="005CAF"/>
          <w:szCs w:val="20"/>
          <w:lang w:val="en"/>
        </w:rPr>
        <w:t xml:space="preserve"> B</w:t>
      </w:r>
      <w:r w:rsidRPr="00A62FE8">
        <w:rPr>
          <w:rFonts w:eastAsia="Times New Roman" w:cstheme="majorHAnsi"/>
          <w:b/>
          <w:bCs/>
          <w:color w:val="005CAF"/>
          <w:szCs w:val="20"/>
          <w:lang w:val="en"/>
        </w:rPr>
        <w:t>.</w:t>
      </w:r>
      <w:r>
        <w:rPr>
          <w:rFonts w:eastAsia="Times New Roman" w:cstheme="majorHAnsi"/>
          <w:b/>
          <w:bCs/>
          <w:color w:val="005CAF"/>
          <w:szCs w:val="20"/>
          <w:lang w:val="en"/>
        </w:rPr>
        <w:t>3</w:t>
      </w:r>
      <w:r w:rsidRPr="00A62FE8">
        <w:rPr>
          <w:rFonts w:eastAsia="Times New Roman" w:cstheme="majorHAnsi"/>
          <w:b/>
          <w:bCs/>
          <w:color w:val="005CAF"/>
          <w:szCs w:val="20"/>
          <w:lang w:val="en"/>
        </w:rPr>
        <w:t>: Fossil fuel prices by scenario</w:t>
      </w:r>
    </w:p>
    <w:tbl>
      <w:tblPr>
        <w:tblStyle w:val="OCETable"/>
        <w:tblW w:w="5000" w:type="pct"/>
        <w:tblLayout w:type="fixed"/>
        <w:tblLook w:val="04A0" w:firstRow="1" w:lastRow="0" w:firstColumn="1" w:lastColumn="0" w:noHBand="0" w:noVBand="1"/>
      </w:tblPr>
      <w:tblGrid>
        <w:gridCol w:w="947"/>
        <w:gridCol w:w="947"/>
        <w:gridCol w:w="947"/>
        <w:gridCol w:w="946"/>
        <w:gridCol w:w="946"/>
        <w:gridCol w:w="946"/>
        <w:gridCol w:w="946"/>
      </w:tblGrid>
      <w:tr w:rsidR="00F50E9B" w:rsidRPr="00A62FE8" w14:paraId="3F8EC50E" w14:textId="77777777" w:rsidTr="00AA38BB">
        <w:trPr>
          <w:cnfStyle w:val="100000000000" w:firstRow="1" w:lastRow="0" w:firstColumn="0" w:lastColumn="0" w:oddVBand="0" w:evenVBand="0" w:oddHBand="0" w:evenHBand="0" w:firstRowFirstColumn="0" w:firstRowLastColumn="0" w:lastRowFirstColumn="0" w:lastRowLastColumn="0"/>
        </w:trPr>
        <w:tc>
          <w:tcPr>
            <w:tcW w:w="0" w:type="dxa"/>
            <w:vMerge w:val="restart"/>
          </w:tcPr>
          <w:p w14:paraId="21AE5E84" w14:textId="77777777" w:rsidR="00F50E9B" w:rsidRPr="00A62FE8" w:rsidRDefault="00F50E9B" w:rsidP="00C50D71">
            <w:pPr>
              <w:keepNext/>
              <w:spacing w:before="120" w:after="120" w:line="240" w:lineRule="auto"/>
              <w:rPr>
                <w:rFonts w:cs="Arial"/>
                <w:b/>
                <w:szCs w:val="18"/>
                <w:lang w:eastAsia="en-AU"/>
              </w:rPr>
            </w:pPr>
            <w:r w:rsidRPr="00A62FE8">
              <w:rPr>
                <w:rFonts w:cs="Arial"/>
                <w:b/>
                <w:szCs w:val="18"/>
                <w:lang w:eastAsia="en-AU"/>
              </w:rPr>
              <w:t>Fossil fuel</w:t>
            </w:r>
          </w:p>
        </w:tc>
        <w:tc>
          <w:tcPr>
            <w:tcW w:w="0" w:type="dxa"/>
            <w:gridSpan w:val="2"/>
          </w:tcPr>
          <w:p w14:paraId="396CB9EE" w14:textId="77777777" w:rsidR="00F50E9B" w:rsidRPr="00A62FE8" w:rsidRDefault="00F50E9B" w:rsidP="00C50D71">
            <w:pPr>
              <w:keepNext/>
              <w:spacing w:before="120" w:after="120" w:line="240" w:lineRule="auto"/>
              <w:rPr>
                <w:rFonts w:cs="Arial"/>
                <w:b/>
                <w:szCs w:val="18"/>
                <w:lang w:eastAsia="en-AU"/>
              </w:rPr>
            </w:pPr>
            <w:r w:rsidRPr="00A62FE8">
              <w:rPr>
                <w:rFonts w:cs="Arial"/>
                <w:b/>
                <w:szCs w:val="18"/>
                <w:lang w:eastAsia="en-AU"/>
              </w:rPr>
              <w:t>STEPS</w:t>
            </w:r>
          </w:p>
        </w:tc>
        <w:tc>
          <w:tcPr>
            <w:tcW w:w="0" w:type="dxa"/>
            <w:gridSpan w:val="2"/>
          </w:tcPr>
          <w:p w14:paraId="1B25C059" w14:textId="77777777" w:rsidR="00F50E9B" w:rsidRPr="00A62FE8" w:rsidRDefault="00F50E9B" w:rsidP="00C50D71">
            <w:pPr>
              <w:keepNext/>
              <w:spacing w:before="120" w:after="120" w:line="240" w:lineRule="auto"/>
              <w:rPr>
                <w:rFonts w:cs="Arial"/>
                <w:b/>
                <w:szCs w:val="18"/>
                <w:lang w:eastAsia="en-AU"/>
              </w:rPr>
            </w:pPr>
            <w:r w:rsidRPr="00A62FE8">
              <w:rPr>
                <w:rFonts w:cs="Arial"/>
                <w:b/>
                <w:szCs w:val="18"/>
                <w:lang w:eastAsia="en-AU"/>
              </w:rPr>
              <w:t>APS</w:t>
            </w:r>
          </w:p>
        </w:tc>
        <w:tc>
          <w:tcPr>
            <w:tcW w:w="0" w:type="dxa"/>
            <w:gridSpan w:val="2"/>
          </w:tcPr>
          <w:p w14:paraId="1250C47E" w14:textId="77777777" w:rsidR="00F50E9B" w:rsidRPr="00A62FE8" w:rsidRDefault="00F50E9B" w:rsidP="00C50D71">
            <w:pPr>
              <w:keepNext/>
              <w:spacing w:before="120" w:after="120" w:line="240" w:lineRule="auto"/>
              <w:rPr>
                <w:rFonts w:cs="Arial"/>
                <w:b/>
                <w:szCs w:val="18"/>
                <w:lang w:eastAsia="en-AU"/>
              </w:rPr>
            </w:pPr>
            <w:r w:rsidRPr="00A62FE8">
              <w:rPr>
                <w:rFonts w:cs="Arial"/>
                <w:b/>
                <w:szCs w:val="18"/>
                <w:lang w:eastAsia="en-AU"/>
              </w:rPr>
              <w:t>NZE</w:t>
            </w:r>
          </w:p>
        </w:tc>
      </w:tr>
      <w:tr w:rsidR="00AA38BB" w:rsidRPr="00A62FE8" w14:paraId="439310FF" w14:textId="77777777" w:rsidTr="00AA38BB">
        <w:trPr>
          <w:cnfStyle w:val="000000100000" w:firstRow="0" w:lastRow="0" w:firstColumn="0" w:lastColumn="0" w:oddVBand="0" w:evenVBand="0" w:oddHBand="1" w:evenHBand="0" w:firstRowFirstColumn="0" w:firstRowLastColumn="0" w:lastRowFirstColumn="0" w:lastRowLastColumn="0"/>
        </w:trPr>
        <w:tc>
          <w:tcPr>
            <w:tcW w:w="0" w:type="dxa"/>
            <w:vMerge/>
            <w:shd w:val="clear" w:color="auto" w:fill="005CAF"/>
          </w:tcPr>
          <w:p w14:paraId="632A752A" w14:textId="77777777" w:rsidR="00F50E9B" w:rsidRPr="00A62FE8" w:rsidRDefault="00F50E9B" w:rsidP="00C50D71">
            <w:pPr>
              <w:keepNext/>
              <w:spacing w:before="120" w:after="120" w:line="240" w:lineRule="auto"/>
              <w:rPr>
                <w:rFonts w:cs="Arial"/>
                <w:b/>
                <w:color w:val="FFFFFF"/>
                <w:szCs w:val="18"/>
                <w:lang w:eastAsia="en-AU"/>
              </w:rPr>
            </w:pPr>
          </w:p>
        </w:tc>
        <w:tc>
          <w:tcPr>
            <w:tcW w:w="0" w:type="dxa"/>
            <w:shd w:val="clear" w:color="auto" w:fill="005CAF"/>
          </w:tcPr>
          <w:p w14:paraId="6EDDA63F"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2030</w:t>
            </w:r>
          </w:p>
        </w:tc>
        <w:tc>
          <w:tcPr>
            <w:tcW w:w="0" w:type="dxa"/>
            <w:shd w:val="clear" w:color="auto" w:fill="005CAF"/>
          </w:tcPr>
          <w:p w14:paraId="483F9E7F"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2050</w:t>
            </w:r>
          </w:p>
        </w:tc>
        <w:tc>
          <w:tcPr>
            <w:tcW w:w="0" w:type="dxa"/>
            <w:shd w:val="clear" w:color="auto" w:fill="005CAF"/>
          </w:tcPr>
          <w:p w14:paraId="4BB03F49"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2030</w:t>
            </w:r>
          </w:p>
        </w:tc>
        <w:tc>
          <w:tcPr>
            <w:tcW w:w="0" w:type="dxa"/>
            <w:shd w:val="clear" w:color="auto" w:fill="005CAF"/>
          </w:tcPr>
          <w:p w14:paraId="4378A27E" w14:textId="77777777" w:rsidR="00F50E9B" w:rsidRPr="00A62FE8" w:rsidRDefault="00F50E9B" w:rsidP="00C50D71">
            <w:pPr>
              <w:keepNext/>
              <w:spacing w:before="120" w:after="120" w:line="240" w:lineRule="auto"/>
              <w:rPr>
                <w:rFonts w:asciiTheme="minorHAnsi" w:hAnsiTheme="minorHAnsi" w:cs="Arial"/>
                <w:b/>
                <w:color w:val="FFFFFF"/>
                <w:szCs w:val="18"/>
                <w:lang w:eastAsia="en-AU"/>
              </w:rPr>
            </w:pPr>
            <w:r w:rsidRPr="00A62FE8">
              <w:rPr>
                <w:rFonts w:asciiTheme="minorHAnsi" w:hAnsiTheme="minorHAnsi" w:cs="Arial"/>
                <w:b/>
                <w:color w:val="FFFFFF"/>
                <w:szCs w:val="18"/>
                <w:lang w:eastAsia="en-AU"/>
              </w:rPr>
              <w:t>2050</w:t>
            </w:r>
          </w:p>
        </w:tc>
        <w:tc>
          <w:tcPr>
            <w:tcW w:w="0" w:type="dxa"/>
            <w:shd w:val="clear" w:color="auto" w:fill="005CAF"/>
          </w:tcPr>
          <w:p w14:paraId="05FEA6DA"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2030</w:t>
            </w:r>
          </w:p>
        </w:tc>
        <w:tc>
          <w:tcPr>
            <w:tcW w:w="0" w:type="dxa"/>
            <w:shd w:val="clear" w:color="auto" w:fill="005CAF"/>
          </w:tcPr>
          <w:p w14:paraId="15539BF7" w14:textId="77777777" w:rsidR="00F50E9B" w:rsidRPr="00A62FE8" w:rsidRDefault="00F50E9B" w:rsidP="00C50D71">
            <w:pPr>
              <w:keepNext/>
              <w:spacing w:before="120" w:after="120" w:line="240" w:lineRule="auto"/>
              <w:rPr>
                <w:rFonts w:cs="Arial"/>
                <w:b/>
                <w:color w:val="FFFFFF"/>
                <w:szCs w:val="18"/>
                <w:lang w:eastAsia="en-AU"/>
              </w:rPr>
            </w:pPr>
            <w:r w:rsidRPr="00A62FE8">
              <w:rPr>
                <w:rFonts w:cs="Arial"/>
                <w:b/>
                <w:color w:val="FFFFFF"/>
                <w:szCs w:val="18"/>
                <w:lang w:eastAsia="en-AU"/>
              </w:rPr>
              <w:t>2050</w:t>
            </w:r>
          </w:p>
        </w:tc>
      </w:tr>
      <w:tr w:rsidR="00762B7E" w:rsidRPr="00A62FE8" w14:paraId="0AD2E9A1" w14:textId="77777777" w:rsidTr="00AA38BB">
        <w:trPr>
          <w:cnfStyle w:val="000000010000" w:firstRow="0" w:lastRow="0" w:firstColumn="0" w:lastColumn="0" w:oddVBand="0" w:evenVBand="0" w:oddHBand="0" w:evenHBand="1" w:firstRowFirstColumn="0" w:firstRowLastColumn="0" w:lastRowFirstColumn="0" w:lastRowLastColumn="0"/>
        </w:trPr>
        <w:tc>
          <w:tcPr>
            <w:tcW w:w="0" w:type="dxa"/>
          </w:tcPr>
          <w:p w14:paraId="7BFFDE4D"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IEA crude oil ($/barrel)</w:t>
            </w:r>
          </w:p>
        </w:tc>
        <w:tc>
          <w:tcPr>
            <w:tcW w:w="0" w:type="dxa"/>
          </w:tcPr>
          <w:p w14:paraId="22001DBF"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85</w:t>
            </w:r>
          </w:p>
        </w:tc>
        <w:tc>
          <w:tcPr>
            <w:tcW w:w="0" w:type="dxa"/>
          </w:tcPr>
          <w:p w14:paraId="7981DFE8"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83</w:t>
            </w:r>
          </w:p>
        </w:tc>
        <w:tc>
          <w:tcPr>
            <w:tcW w:w="0" w:type="dxa"/>
          </w:tcPr>
          <w:p w14:paraId="0677B7FA"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74</w:t>
            </w:r>
          </w:p>
        </w:tc>
        <w:tc>
          <w:tcPr>
            <w:tcW w:w="0" w:type="dxa"/>
          </w:tcPr>
          <w:p w14:paraId="39D9AC7D"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68</w:t>
            </w:r>
          </w:p>
        </w:tc>
        <w:tc>
          <w:tcPr>
            <w:tcW w:w="0" w:type="dxa"/>
          </w:tcPr>
          <w:p w14:paraId="6EBB19DD"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42</w:t>
            </w:r>
          </w:p>
        </w:tc>
        <w:tc>
          <w:tcPr>
            <w:tcW w:w="0" w:type="dxa"/>
          </w:tcPr>
          <w:p w14:paraId="1ADC270D"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25</w:t>
            </w:r>
          </w:p>
        </w:tc>
      </w:tr>
      <w:tr w:rsidR="00762B7E" w:rsidRPr="00A62FE8" w14:paraId="186CAE55" w14:textId="77777777" w:rsidTr="00AA38BB">
        <w:trPr>
          <w:cnfStyle w:val="000000100000" w:firstRow="0" w:lastRow="0" w:firstColumn="0" w:lastColumn="0" w:oddVBand="0" w:evenVBand="0" w:oddHBand="1" w:evenHBand="0" w:firstRowFirstColumn="0" w:firstRowLastColumn="0" w:lastRowFirstColumn="0" w:lastRowLastColumn="0"/>
        </w:trPr>
        <w:tc>
          <w:tcPr>
            <w:tcW w:w="0" w:type="dxa"/>
          </w:tcPr>
          <w:p w14:paraId="5859790A"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Natural gas ($/MMBtu)</w:t>
            </w:r>
          </w:p>
        </w:tc>
        <w:tc>
          <w:tcPr>
            <w:tcW w:w="0" w:type="dxa"/>
          </w:tcPr>
          <w:p w14:paraId="7B854D45"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8.9</w:t>
            </w:r>
          </w:p>
        </w:tc>
        <w:tc>
          <w:tcPr>
            <w:tcW w:w="0" w:type="dxa"/>
          </w:tcPr>
          <w:p w14:paraId="43F24BB3"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7.8</w:t>
            </w:r>
          </w:p>
        </w:tc>
        <w:tc>
          <w:tcPr>
            <w:tcW w:w="0" w:type="dxa"/>
          </w:tcPr>
          <w:p w14:paraId="414EE0C7"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8.1</w:t>
            </w:r>
          </w:p>
        </w:tc>
        <w:tc>
          <w:tcPr>
            <w:tcW w:w="0" w:type="dxa"/>
          </w:tcPr>
          <w:p w14:paraId="0A120877"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6.3</w:t>
            </w:r>
          </w:p>
        </w:tc>
        <w:tc>
          <w:tcPr>
            <w:tcW w:w="0" w:type="dxa"/>
          </w:tcPr>
          <w:p w14:paraId="70DB6C5C"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5.7</w:t>
            </w:r>
          </w:p>
        </w:tc>
        <w:tc>
          <w:tcPr>
            <w:tcW w:w="0" w:type="dxa"/>
          </w:tcPr>
          <w:p w14:paraId="2CD8E8EE"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5.3</w:t>
            </w:r>
          </w:p>
        </w:tc>
      </w:tr>
      <w:tr w:rsidR="00762B7E" w:rsidRPr="00A62FE8" w14:paraId="5F7629B8" w14:textId="77777777" w:rsidTr="00AA38BB">
        <w:trPr>
          <w:cnfStyle w:val="000000010000" w:firstRow="0" w:lastRow="0" w:firstColumn="0" w:lastColumn="0" w:oddVBand="0" w:evenVBand="0" w:oddHBand="0" w:evenHBand="1" w:firstRowFirstColumn="0" w:firstRowLastColumn="0" w:lastRowFirstColumn="0" w:lastRowLastColumn="0"/>
        </w:trPr>
        <w:tc>
          <w:tcPr>
            <w:tcW w:w="0" w:type="dxa"/>
          </w:tcPr>
          <w:p w14:paraId="1C68AB61"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Steam coal ($/tonne)</w:t>
            </w:r>
          </w:p>
        </w:tc>
        <w:tc>
          <w:tcPr>
            <w:tcW w:w="0" w:type="dxa"/>
          </w:tcPr>
          <w:p w14:paraId="76835A10"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97</w:t>
            </w:r>
          </w:p>
        </w:tc>
        <w:tc>
          <w:tcPr>
            <w:tcW w:w="0" w:type="dxa"/>
          </w:tcPr>
          <w:p w14:paraId="28231000"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78</w:t>
            </w:r>
          </w:p>
        </w:tc>
        <w:tc>
          <w:tcPr>
            <w:tcW w:w="0" w:type="dxa"/>
          </w:tcPr>
          <w:p w14:paraId="642990F6"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80</w:t>
            </w:r>
          </w:p>
        </w:tc>
        <w:tc>
          <w:tcPr>
            <w:tcW w:w="0" w:type="dxa"/>
          </w:tcPr>
          <w:p w14:paraId="29AB19B7"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64</w:t>
            </w:r>
          </w:p>
        </w:tc>
        <w:tc>
          <w:tcPr>
            <w:tcW w:w="0" w:type="dxa"/>
          </w:tcPr>
          <w:p w14:paraId="24064DFC"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64</w:t>
            </w:r>
          </w:p>
        </w:tc>
        <w:tc>
          <w:tcPr>
            <w:tcW w:w="0" w:type="dxa"/>
          </w:tcPr>
          <w:p w14:paraId="20EA817C"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49</w:t>
            </w:r>
          </w:p>
        </w:tc>
      </w:tr>
      <w:tr w:rsidR="00762B7E" w:rsidRPr="00A62FE8" w14:paraId="44360294" w14:textId="77777777" w:rsidTr="00AA38BB">
        <w:trPr>
          <w:cnfStyle w:val="000000100000" w:firstRow="0" w:lastRow="0" w:firstColumn="0" w:lastColumn="0" w:oddVBand="0" w:evenVBand="0" w:oddHBand="1" w:evenHBand="0" w:firstRowFirstColumn="0" w:firstRowLastColumn="0" w:lastRowFirstColumn="0" w:lastRowLastColumn="0"/>
        </w:trPr>
        <w:tc>
          <w:tcPr>
            <w:tcW w:w="0" w:type="dxa"/>
            <w:shd w:val="clear" w:color="auto" w:fill="auto"/>
          </w:tcPr>
          <w:p w14:paraId="532B501C"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CO</w:t>
            </w:r>
            <w:r w:rsidRPr="00A62FE8">
              <w:rPr>
                <w:rFonts w:cs="Arial"/>
                <w:szCs w:val="18"/>
                <w:vertAlign w:val="subscript"/>
                <w:lang w:eastAsia="en-AU"/>
              </w:rPr>
              <w:t>2</w:t>
            </w:r>
            <w:r w:rsidRPr="00A62FE8">
              <w:rPr>
                <w:rFonts w:cs="Arial"/>
                <w:szCs w:val="18"/>
                <w:lang w:eastAsia="en-AU"/>
              </w:rPr>
              <w:t xml:space="preserve"> assumption ($/tonne)</w:t>
            </w:r>
          </w:p>
        </w:tc>
        <w:tc>
          <w:tcPr>
            <w:tcW w:w="0" w:type="dxa"/>
            <w:shd w:val="clear" w:color="auto" w:fill="auto"/>
          </w:tcPr>
          <w:p w14:paraId="3FAD1AF6"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35</w:t>
            </w:r>
          </w:p>
        </w:tc>
        <w:tc>
          <w:tcPr>
            <w:tcW w:w="0" w:type="dxa"/>
            <w:shd w:val="clear" w:color="auto" w:fill="auto"/>
          </w:tcPr>
          <w:p w14:paraId="6EF03292"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71</w:t>
            </w:r>
          </w:p>
        </w:tc>
        <w:tc>
          <w:tcPr>
            <w:tcW w:w="0" w:type="dxa"/>
            <w:shd w:val="clear" w:color="auto" w:fill="auto"/>
          </w:tcPr>
          <w:p w14:paraId="0FD0F7C3"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88</w:t>
            </w:r>
          </w:p>
        </w:tc>
        <w:tc>
          <w:tcPr>
            <w:tcW w:w="0" w:type="dxa"/>
            <w:shd w:val="clear" w:color="auto" w:fill="auto"/>
          </w:tcPr>
          <w:p w14:paraId="5EBDBCE5"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180</w:t>
            </w:r>
          </w:p>
        </w:tc>
        <w:tc>
          <w:tcPr>
            <w:tcW w:w="0" w:type="dxa"/>
            <w:shd w:val="clear" w:color="auto" w:fill="auto"/>
          </w:tcPr>
          <w:p w14:paraId="30047ADA"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115</w:t>
            </w:r>
          </w:p>
        </w:tc>
        <w:tc>
          <w:tcPr>
            <w:tcW w:w="0" w:type="dxa"/>
            <w:shd w:val="clear" w:color="auto" w:fill="auto"/>
          </w:tcPr>
          <w:p w14:paraId="36E9D8FC" w14:textId="77777777" w:rsidR="00762B7E" w:rsidRPr="00A62FE8" w:rsidRDefault="00762B7E" w:rsidP="00C50D71">
            <w:pPr>
              <w:keepNext/>
              <w:keepLines/>
              <w:spacing w:before="60" w:after="60" w:line="240" w:lineRule="auto"/>
              <w:rPr>
                <w:rFonts w:cs="Arial"/>
                <w:szCs w:val="18"/>
                <w:lang w:eastAsia="en-AU"/>
              </w:rPr>
            </w:pPr>
            <w:r w:rsidRPr="00A62FE8">
              <w:rPr>
                <w:rFonts w:cs="Arial"/>
                <w:szCs w:val="18"/>
                <w:lang w:eastAsia="en-AU"/>
              </w:rPr>
              <w:t>225</w:t>
            </w:r>
          </w:p>
        </w:tc>
      </w:tr>
    </w:tbl>
    <w:p w14:paraId="670DC918" w14:textId="77777777" w:rsidR="00762B7E" w:rsidRPr="00A62FE8" w:rsidRDefault="00762B7E" w:rsidP="00CA2FAF">
      <w:pPr>
        <w:pStyle w:val="Source"/>
        <w:rPr>
          <w:lang w:eastAsia="en-AU"/>
        </w:rPr>
      </w:pPr>
      <w:r w:rsidRPr="00A62FE8">
        <w:rPr>
          <w:lang w:eastAsia="en-AU"/>
        </w:rPr>
        <w:br/>
        <w:t>Notes: Average 2022 real price in US dollars. CO</w:t>
      </w:r>
      <w:r w:rsidRPr="00A62FE8">
        <w:rPr>
          <w:vertAlign w:val="subscript"/>
          <w:lang w:eastAsia="en-AU"/>
        </w:rPr>
        <w:t>2</w:t>
      </w:r>
      <w:r w:rsidRPr="00A62FE8">
        <w:rPr>
          <w:lang w:eastAsia="en-AU"/>
        </w:rPr>
        <w:t xml:space="preserve"> prices are used to adjust competing fuels.</w:t>
      </w:r>
    </w:p>
    <w:p w14:paraId="16E89C0D" w14:textId="77777777" w:rsidR="00762B7E" w:rsidRDefault="00762B7E" w:rsidP="00762B7E">
      <w:pPr>
        <w:spacing w:after="200" w:line="276" w:lineRule="auto"/>
        <w:rPr>
          <w:rFonts w:eastAsia="Times New Roman" w:cs="Arial"/>
          <w:bCs/>
          <w:color w:val="005CAF"/>
          <w:sz w:val="20"/>
        </w:rPr>
      </w:pPr>
      <w:r>
        <w:br w:type="page"/>
      </w:r>
    </w:p>
    <w:p w14:paraId="5EB967AD" w14:textId="38CCB79E" w:rsidR="003F1E1A" w:rsidRDefault="00EC7EC7" w:rsidP="00DF2480">
      <w:pPr>
        <w:pStyle w:val="UnnumberedHeading"/>
        <w:rPr>
          <w:sz w:val="20"/>
        </w:rPr>
      </w:pPr>
      <w:bookmarkStart w:id="189" w:name="_Toc172794541"/>
      <w:r w:rsidRPr="00DC6BE0">
        <w:t xml:space="preserve">Appendix </w:t>
      </w:r>
      <w:r>
        <w:t>C</w:t>
      </w:r>
      <w:r w:rsidRPr="00DC6BE0">
        <w:rPr>
          <w:sz w:val="28"/>
          <w:szCs w:val="28"/>
        </w:rPr>
        <w:t xml:space="preserve">: </w:t>
      </w:r>
      <w:r w:rsidR="003F1E1A">
        <w:t>Units and conversions</w:t>
      </w:r>
      <w:bookmarkEnd w:id="189"/>
    </w:p>
    <w:p w14:paraId="3830F101" w14:textId="24237A24" w:rsidR="00757768" w:rsidRPr="000618FB" w:rsidRDefault="00757768" w:rsidP="00C97679">
      <w:pPr>
        <w:pStyle w:val="Caption"/>
      </w:pPr>
      <w:r w:rsidRPr="000618FB">
        <w:t xml:space="preserve">Table </w:t>
      </w:r>
      <w:r>
        <w:rPr>
          <w:noProof/>
        </w:rPr>
        <w:t>C</w:t>
      </w:r>
      <w:r w:rsidR="004A70E8">
        <w:rPr>
          <w:noProof/>
        </w:rPr>
        <w:t>.</w:t>
      </w:r>
      <w:r w:rsidR="000565F6">
        <w:rPr>
          <w:noProof/>
        </w:rPr>
        <w:fldChar w:fldCharType="begin"/>
      </w:r>
      <w:r w:rsidR="000565F6">
        <w:rPr>
          <w:noProof/>
        </w:rPr>
        <w:instrText xml:space="preserve"> STYLEREF 1 \s </w:instrText>
      </w:r>
      <w:r w:rsidR="000565F6">
        <w:rPr>
          <w:noProof/>
        </w:rPr>
        <w:fldChar w:fldCharType="separate"/>
      </w:r>
      <w:r w:rsidR="00BF178A">
        <w:rPr>
          <w:noProof/>
        </w:rPr>
        <w:t>7</w:t>
      </w:r>
      <w:r w:rsidR="000565F6">
        <w:rPr>
          <w:noProof/>
        </w:rPr>
        <w:fldChar w:fldCharType="end"/>
      </w:r>
      <w:r w:rsidR="000565F6">
        <w:rPr>
          <w:noProof/>
        </w:rPr>
        <w:t>.</w:t>
      </w:r>
      <w:r w:rsidR="000565F6">
        <w:rPr>
          <w:noProof/>
        </w:rPr>
        <w:fldChar w:fldCharType="begin"/>
      </w:r>
      <w:r w:rsidR="000565F6">
        <w:rPr>
          <w:noProof/>
        </w:rPr>
        <w:instrText xml:space="preserve"> SEQ Table \* ARABIC \s 1 </w:instrText>
      </w:r>
      <w:r w:rsidR="000565F6">
        <w:rPr>
          <w:noProof/>
        </w:rPr>
        <w:fldChar w:fldCharType="separate"/>
      </w:r>
      <w:r w:rsidR="00BF178A">
        <w:rPr>
          <w:noProof/>
        </w:rPr>
        <w:t>4</w:t>
      </w:r>
      <w:r w:rsidR="000565F6">
        <w:rPr>
          <w:noProof/>
        </w:rPr>
        <w:fldChar w:fldCharType="end"/>
      </w:r>
      <w:r>
        <w:t>: Units of measurement and abbreviations</w:t>
      </w:r>
    </w:p>
    <w:tbl>
      <w:tblPr>
        <w:tblStyle w:val="OCETable"/>
        <w:tblW w:w="5000" w:type="pct"/>
        <w:tblLook w:val="04A0" w:firstRow="1" w:lastRow="0" w:firstColumn="1" w:lastColumn="0" w:noHBand="0" w:noVBand="1"/>
      </w:tblPr>
      <w:tblGrid>
        <w:gridCol w:w="486"/>
        <w:gridCol w:w="961"/>
        <w:gridCol w:w="366"/>
        <w:gridCol w:w="677"/>
        <w:gridCol w:w="1621"/>
        <w:gridCol w:w="893"/>
        <w:gridCol w:w="1621"/>
      </w:tblGrid>
      <w:tr w:rsidR="004D2381" w14:paraId="73D25548" w14:textId="77777777" w:rsidTr="00581C3E">
        <w:trPr>
          <w:cnfStyle w:val="100000000000" w:firstRow="1" w:lastRow="0" w:firstColumn="0" w:lastColumn="0" w:oddVBand="0" w:evenVBand="0" w:oddHBand="0" w:evenHBand="0" w:firstRowFirstColumn="0" w:firstRowLastColumn="0" w:lastRowFirstColumn="0" w:lastRowLastColumn="0"/>
          <w:trHeight w:val="339"/>
        </w:trPr>
        <w:tc>
          <w:tcPr>
            <w:tcW w:w="1447" w:type="dxa"/>
            <w:gridSpan w:val="2"/>
          </w:tcPr>
          <w:p w14:paraId="73855C71" w14:textId="52E3C6A4" w:rsidR="00041A0E" w:rsidRDefault="00041A0E" w:rsidP="00BC0415">
            <w:pPr>
              <w:pStyle w:val="Tableheader"/>
            </w:pPr>
            <w:r>
              <w:t>Units</w:t>
            </w:r>
          </w:p>
        </w:tc>
        <w:tc>
          <w:tcPr>
            <w:tcW w:w="2664" w:type="dxa"/>
            <w:gridSpan w:val="3"/>
          </w:tcPr>
          <w:p w14:paraId="3042FEB1" w14:textId="7BADD2AD" w:rsidR="00041A0E" w:rsidRDefault="00041A0E" w:rsidP="00BC0415">
            <w:pPr>
              <w:pStyle w:val="Tableheader"/>
            </w:pPr>
            <w:r>
              <w:t>Metric prefixes</w:t>
            </w:r>
          </w:p>
        </w:tc>
        <w:tc>
          <w:tcPr>
            <w:tcW w:w="2514" w:type="dxa"/>
            <w:gridSpan w:val="2"/>
          </w:tcPr>
          <w:p w14:paraId="55742907" w14:textId="4F211DA7" w:rsidR="00041A0E" w:rsidRDefault="00041A0E" w:rsidP="00BC0415">
            <w:pPr>
              <w:pStyle w:val="Tableheader"/>
            </w:pPr>
            <w:r>
              <w:t>Other abbreviations</w:t>
            </w:r>
          </w:p>
        </w:tc>
      </w:tr>
      <w:tr w:rsidR="003D7A41" w14:paraId="62D9FEFE" w14:textId="77777777" w:rsidTr="00581C3E">
        <w:trPr>
          <w:cnfStyle w:val="000000100000" w:firstRow="0" w:lastRow="0" w:firstColumn="0" w:lastColumn="0" w:oddVBand="0" w:evenVBand="0" w:oddHBand="1" w:evenHBand="0" w:firstRowFirstColumn="0" w:firstRowLastColumn="0" w:lastRowFirstColumn="0" w:lastRowLastColumn="0"/>
          <w:trHeight w:val="339"/>
        </w:trPr>
        <w:tc>
          <w:tcPr>
            <w:tcW w:w="486" w:type="dxa"/>
          </w:tcPr>
          <w:p w14:paraId="3384BFC0" w14:textId="2055EB41" w:rsidR="00757768" w:rsidRPr="00DF2480" w:rsidRDefault="00757768" w:rsidP="00041A0E">
            <w:pPr>
              <w:pStyle w:val="Tableheader"/>
              <w:rPr>
                <w:rFonts w:asciiTheme="minorHAnsi" w:hAnsiTheme="minorHAnsi"/>
                <w:b w:val="0"/>
                <w:color w:val="auto"/>
              </w:rPr>
            </w:pPr>
            <w:r w:rsidRPr="00DF2480">
              <w:rPr>
                <w:rFonts w:asciiTheme="minorHAnsi" w:hAnsiTheme="minorHAnsi"/>
                <w:b w:val="0"/>
                <w:color w:val="auto"/>
              </w:rPr>
              <w:t>J</w:t>
            </w:r>
          </w:p>
        </w:tc>
        <w:tc>
          <w:tcPr>
            <w:tcW w:w="961" w:type="dxa"/>
          </w:tcPr>
          <w:p w14:paraId="06BD00B8" w14:textId="366B7DB7" w:rsidR="00757768" w:rsidRPr="00DF2480" w:rsidRDefault="00757768" w:rsidP="00BC0415">
            <w:pPr>
              <w:pStyle w:val="Tableheader"/>
              <w:rPr>
                <w:rFonts w:asciiTheme="minorHAnsi" w:hAnsiTheme="minorHAnsi"/>
                <w:b w:val="0"/>
                <w:color w:val="auto"/>
              </w:rPr>
            </w:pPr>
            <w:r w:rsidRPr="00DF2480">
              <w:rPr>
                <w:rFonts w:asciiTheme="minorHAnsi" w:hAnsiTheme="minorHAnsi"/>
                <w:b w:val="0"/>
                <w:color w:val="auto"/>
              </w:rPr>
              <w:t>joule</w:t>
            </w:r>
          </w:p>
        </w:tc>
        <w:tc>
          <w:tcPr>
            <w:tcW w:w="366" w:type="dxa"/>
          </w:tcPr>
          <w:p w14:paraId="1BD14FC3" w14:textId="7AE2819E" w:rsidR="00757768" w:rsidRPr="00DF2480" w:rsidRDefault="00041A0E" w:rsidP="00041A0E">
            <w:pPr>
              <w:pStyle w:val="Tableheader"/>
              <w:rPr>
                <w:rFonts w:asciiTheme="minorHAnsi" w:hAnsiTheme="minorHAnsi"/>
                <w:b w:val="0"/>
                <w:color w:val="auto"/>
              </w:rPr>
            </w:pPr>
            <w:r>
              <w:rPr>
                <w:rFonts w:asciiTheme="minorHAnsi" w:hAnsiTheme="minorHAnsi"/>
                <w:b w:val="0"/>
                <w:bCs/>
                <w:color w:val="auto"/>
              </w:rPr>
              <w:t>k</w:t>
            </w:r>
          </w:p>
        </w:tc>
        <w:tc>
          <w:tcPr>
            <w:tcW w:w="677" w:type="dxa"/>
          </w:tcPr>
          <w:p w14:paraId="3D5F9704" w14:textId="0313369D"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kilo</w:t>
            </w:r>
          </w:p>
        </w:tc>
        <w:tc>
          <w:tcPr>
            <w:tcW w:w="1621" w:type="dxa"/>
          </w:tcPr>
          <w:p w14:paraId="47EDB92A" w14:textId="666C3682"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10</w:t>
            </w:r>
            <w:r w:rsidRPr="00DF2480">
              <w:rPr>
                <w:rFonts w:asciiTheme="minorHAnsi" w:hAnsiTheme="minorHAnsi"/>
                <w:b w:val="0"/>
                <w:color w:val="auto"/>
                <w:vertAlign w:val="superscript"/>
              </w:rPr>
              <w:t>3</w:t>
            </w:r>
            <w:r>
              <w:rPr>
                <w:rFonts w:asciiTheme="minorHAnsi" w:hAnsiTheme="minorHAnsi"/>
                <w:b w:val="0"/>
                <w:bCs/>
                <w:color w:val="auto"/>
              </w:rPr>
              <w:t xml:space="preserve"> (thousand)</w:t>
            </w:r>
          </w:p>
        </w:tc>
        <w:tc>
          <w:tcPr>
            <w:tcW w:w="893" w:type="dxa"/>
          </w:tcPr>
          <w:p w14:paraId="05E56B7C" w14:textId="2F454742" w:rsidR="00757768" w:rsidRPr="00DF2480" w:rsidRDefault="00041A0E" w:rsidP="00041A0E">
            <w:pPr>
              <w:pStyle w:val="Tableheader"/>
              <w:rPr>
                <w:rFonts w:asciiTheme="minorHAnsi" w:hAnsiTheme="minorHAnsi"/>
                <w:b w:val="0"/>
                <w:color w:val="auto"/>
              </w:rPr>
            </w:pPr>
            <w:r>
              <w:rPr>
                <w:rFonts w:asciiTheme="minorHAnsi" w:hAnsiTheme="minorHAnsi"/>
                <w:b w:val="0"/>
                <w:bCs/>
                <w:color w:val="auto"/>
              </w:rPr>
              <w:t>bcm</w:t>
            </w:r>
          </w:p>
        </w:tc>
        <w:tc>
          <w:tcPr>
            <w:tcW w:w="1621" w:type="dxa"/>
          </w:tcPr>
          <w:p w14:paraId="05389DD2" w14:textId="574B6723" w:rsidR="00757768" w:rsidRPr="00DF2480" w:rsidRDefault="00041A0E" w:rsidP="00BC0415">
            <w:pPr>
              <w:pStyle w:val="Tableheader"/>
              <w:rPr>
                <w:b w:val="0"/>
                <w:color w:val="auto"/>
              </w:rPr>
            </w:pPr>
            <w:r>
              <w:rPr>
                <w:b w:val="0"/>
                <w:bCs/>
                <w:color w:val="auto"/>
              </w:rPr>
              <w:t>billion cubic metres</w:t>
            </w:r>
          </w:p>
        </w:tc>
      </w:tr>
      <w:tr w:rsidR="003D7A41" w14:paraId="5BC88E7D" w14:textId="77777777" w:rsidTr="00581C3E">
        <w:trPr>
          <w:cnfStyle w:val="000000010000" w:firstRow="0" w:lastRow="0" w:firstColumn="0" w:lastColumn="0" w:oddVBand="0" w:evenVBand="0" w:oddHBand="0" w:evenHBand="1" w:firstRowFirstColumn="0" w:firstRowLastColumn="0" w:lastRowFirstColumn="0" w:lastRowLastColumn="0"/>
          <w:trHeight w:val="339"/>
        </w:trPr>
        <w:tc>
          <w:tcPr>
            <w:tcW w:w="486" w:type="dxa"/>
          </w:tcPr>
          <w:p w14:paraId="72F3D180" w14:textId="75EA4103" w:rsidR="00757768" w:rsidRPr="00DF2480" w:rsidRDefault="00757768" w:rsidP="00041A0E">
            <w:pPr>
              <w:pStyle w:val="Tableheader"/>
              <w:rPr>
                <w:rFonts w:asciiTheme="minorHAnsi" w:hAnsiTheme="minorHAnsi"/>
                <w:b w:val="0"/>
                <w:color w:val="auto"/>
              </w:rPr>
            </w:pPr>
            <w:r w:rsidRPr="00DF2480">
              <w:rPr>
                <w:rFonts w:asciiTheme="minorHAnsi" w:hAnsiTheme="minorHAnsi"/>
                <w:b w:val="0"/>
                <w:color w:val="auto"/>
              </w:rPr>
              <w:t>L</w:t>
            </w:r>
          </w:p>
        </w:tc>
        <w:tc>
          <w:tcPr>
            <w:tcW w:w="961" w:type="dxa"/>
          </w:tcPr>
          <w:p w14:paraId="0EB90B4C" w14:textId="0B01F821" w:rsidR="00757768" w:rsidRPr="00DF2480" w:rsidRDefault="00757768" w:rsidP="00BC0415">
            <w:pPr>
              <w:pStyle w:val="Tableheader"/>
              <w:rPr>
                <w:rFonts w:asciiTheme="minorHAnsi" w:hAnsiTheme="minorHAnsi"/>
                <w:b w:val="0"/>
                <w:color w:val="auto"/>
              </w:rPr>
            </w:pPr>
            <w:r w:rsidRPr="00DF2480">
              <w:rPr>
                <w:rFonts w:asciiTheme="minorHAnsi" w:hAnsiTheme="minorHAnsi"/>
                <w:b w:val="0"/>
                <w:color w:val="auto"/>
              </w:rPr>
              <w:t>litre</w:t>
            </w:r>
          </w:p>
        </w:tc>
        <w:tc>
          <w:tcPr>
            <w:tcW w:w="366" w:type="dxa"/>
          </w:tcPr>
          <w:p w14:paraId="6BF31662" w14:textId="31C9F216" w:rsidR="00757768" w:rsidRPr="00DF2480" w:rsidRDefault="00041A0E" w:rsidP="00041A0E">
            <w:pPr>
              <w:pStyle w:val="Tableheader"/>
              <w:rPr>
                <w:rFonts w:asciiTheme="minorHAnsi" w:hAnsiTheme="minorHAnsi"/>
                <w:b w:val="0"/>
                <w:color w:val="auto"/>
              </w:rPr>
            </w:pPr>
            <w:r>
              <w:rPr>
                <w:rFonts w:asciiTheme="minorHAnsi" w:hAnsiTheme="minorHAnsi"/>
                <w:b w:val="0"/>
                <w:bCs/>
                <w:color w:val="auto"/>
              </w:rPr>
              <w:t>M</w:t>
            </w:r>
          </w:p>
        </w:tc>
        <w:tc>
          <w:tcPr>
            <w:tcW w:w="677" w:type="dxa"/>
          </w:tcPr>
          <w:p w14:paraId="1DA191E2" w14:textId="6ABB3CFB"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mega</w:t>
            </w:r>
          </w:p>
        </w:tc>
        <w:tc>
          <w:tcPr>
            <w:tcW w:w="1621" w:type="dxa"/>
          </w:tcPr>
          <w:p w14:paraId="67AE9B25" w14:textId="2F5FE891"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10</w:t>
            </w:r>
            <w:r w:rsidRPr="00DF2480">
              <w:rPr>
                <w:rFonts w:asciiTheme="minorHAnsi" w:hAnsiTheme="minorHAnsi"/>
                <w:b w:val="0"/>
                <w:color w:val="auto"/>
                <w:vertAlign w:val="superscript"/>
              </w:rPr>
              <w:t>6</w:t>
            </w:r>
            <w:r>
              <w:rPr>
                <w:rFonts w:asciiTheme="minorHAnsi" w:hAnsiTheme="minorHAnsi"/>
                <w:b w:val="0"/>
                <w:bCs/>
                <w:color w:val="auto"/>
              </w:rPr>
              <w:t xml:space="preserve"> (million)</w:t>
            </w:r>
          </w:p>
        </w:tc>
        <w:tc>
          <w:tcPr>
            <w:tcW w:w="893" w:type="dxa"/>
          </w:tcPr>
          <w:p w14:paraId="3082C9DC" w14:textId="251CD8BB" w:rsidR="00757768" w:rsidRPr="00DF2480" w:rsidRDefault="00041A0E" w:rsidP="00041A0E">
            <w:pPr>
              <w:pStyle w:val="Tableheader"/>
              <w:rPr>
                <w:rFonts w:asciiTheme="minorHAnsi" w:hAnsiTheme="minorHAnsi"/>
                <w:b w:val="0"/>
                <w:color w:val="auto"/>
              </w:rPr>
            </w:pPr>
            <w:r>
              <w:rPr>
                <w:rFonts w:asciiTheme="minorHAnsi" w:hAnsiTheme="minorHAnsi"/>
                <w:b w:val="0"/>
                <w:bCs/>
                <w:color w:val="auto"/>
              </w:rPr>
              <w:t>m</w:t>
            </w:r>
            <w:r w:rsidRPr="00DF2480">
              <w:rPr>
                <w:rFonts w:asciiTheme="minorHAnsi" w:hAnsiTheme="minorHAnsi"/>
                <w:b w:val="0"/>
                <w:color w:val="auto"/>
                <w:vertAlign w:val="superscript"/>
              </w:rPr>
              <w:t>3</w:t>
            </w:r>
          </w:p>
        </w:tc>
        <w:tc>
          <w:tcPr>
            <w:tcW w:w="1621" w:type="dxa"/>
          </w:tcPr>
          <w:p w14:paraId="128F2262" w14:textId="5AA41C50" w:rsidR="00757768" w:rsidRPr="00DF2480" w:rsidRDefault="00041A0E" w:rsidP="00BC0415">
            <w:pPr>
              <w:pStyle w:val="Tableheader"/>
              <w:rPr>
                <w:b w:val="0"/>
                <w:color w:val="auto"/>
              </w:rPr>
            </w:pPr>
            <w:r>
              <w:rPr>
                <w:b w:val="0"/>
                <w:bCs/>
                <w:color w:val="auto"/>
              </w:rPr>
              <w:t>cubic metre</w:t>
            </w:r>
          </w:p>
        </w:tc>
      </w:tr>
      <w:tr w:rsidR="003D7A41" w14:paraId="211F09A9" w14:textId="77777777" w:rsidTr="00581C3E">
        <w:trPr>
          <w:cnfStyle w:val="000000100000" w:firstRow="0" w:lastRow="0" w:firstColumn="0" w:lastColumn="0" w:oddVBand="0" w:evenVBand="0" w:oddHBand="1" w:evenHBand="0" w:firstRowFirstColumn="0" w:firstRowLastColumn="0" w:lastRowFirstColumn="0" w:lastRowLastColumn="0"/>
          <w:trHeight w:val="339"/>
        </w:trPr>
        <w:tc>
          <w:tcPr>
            <w:tcW w:w="486" w:type="dxa"/>
          </w:tcPr>
          <w:p w14:paraId="5F937833" w14:textId="2A80C33E" w:rsidR="00757768" w:rsidRPr="00DF2480" w:rsidRDefault="00757768" w:rsidP="00041A0E">
            <w:pPr>
              <w:pStyle w:val="Tableheader"/>
              <w:rPr>
                <w:rFonts w:asciiTheme="minorHAnsi" w:hAnsiTheme="minorHAnsi"/>
                <w:b w:val="0"/>
                <w:color w:val="auto"/>
              </w:rPr>
            </w:pPr>
            <w:r w:rsidRPr="00DF2480">
              <w:rPr>
                <w:rFonts w:asciiTheme="minorHAnsi" w:hAnsiTheme="minorHAnsi"/>
                <w:b w:val="0"/>
                <w:color w:val="auto"/>
              </w:rPr>
              <w:t>t</w:t>
            </w:r>
          </w:p>
        </w:tc>
        <w:tc>
          <w:tcPr>
            <w:tcW w:w="961" w:type="dxa"/>
          </w:tcPr>
          <w:p w14:paraId="377722CE" w14:textId="6B07B39D" w:rsidR="00757768" w:rsidRPr="00DF2480" w:rsidRDefault="00757768" w:rsidP="00BC0415">
            <w:pPr>
              <w:pStyle w:val="Tableheader"/>
              <w:rPr>
                <w:rFonts w:asciiTheme="minorHAnsi" w:hAnsiTheme="minorHAnsi"/>
                <w:b w:val="0"/>
                <w:color w:val="auto"/>
              </w:rPr>
            </w:pPr>
            <w:r w:rsidRPr="00DF2480">
              <w:rPr>
                <w:rFonts w:asciiTheme="minorHAnsi" w:hAnsiTheme="minorHAnsi"/>
                <w:b w:val="0"/>
                <w:color w:val="auto"/>
              </w:rPr>
              <w:t>tonne</w:t>
            </w:r>
          </w:p>
        </w:tc>
        <w:tc>
          <w:tcPr>
            <w:tcW w:w="366" w:type="dxa"/>
          </w:tcPr>
          <w:p w14:paraId="707F1059" w14:textId="40DDB7A2" w:rsidR="00757768" w:rsidRPr="00DF2480" w:rsidRDefault="00041A0E" w:rsidP="00041A0E">
            <w:pPr>
              <w:pStyle w:val="Tableheader"/>
              <w:rPr>
                <w:rFonts w:asciiTheme="minorHAnsi" w:hAnsiTheme="minorHAnsi"/>
                <w:b w:val="0"/>
                <w:color w:val="auto"/>
              </w:rPr>
            </w:pPr>
            <w:r>
              <w:rPr>
                <w:rFonts w:asciiTheme="minorHAnsi" w:hAnsiTheme="minorHAnsi"/>
                <w:b w:val="0"/>
                <w:bCs/>
                <w:color w:val="auto"/>
              </w:rPr>
              <w:t>G</w:t>
            </w:r>
          </w:p>
        </w:tc>
        <w:tc>
          <w:tcPr>
            <w:tcW w:w="677" w:type="dxa"/>
          </w:tcPr>
          <w:p w14:paraId="52E4FDE9" w14:textId="7DD2D910"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giga</w:t>
            </w:r>
          </w:p>
        </w:tc>
        <w:tc>
          <w:tcPr>
            <w:tcW w:w="1621" w:type="dxa"/>
          </w:tcPr>
          <w:p w14:paraId="55A32C87" w14:textId="5B902872"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10</w:t>
            </w:r>
            <w:r w:rsidRPr="00DF2480">
              <w:rPr>
                <w:rFonts w:asciiTheme="minorHAnsi" w:hAnsiTheme="minorHAnsi"/>
                <w:b w:val="0"/>
                <w:color w:val="auto"/>
                <w:vertAlign w:val="superscript"/>
              </w:rPr>
              <w:t>9</w:t>
            </w:r>
            <w:r>
              <w:rPr>
                <w:rFonts w:asciiTheme="minorHAnsi" w:hAnsiTheme="minorHAnsi"/>
                <w:b w:val="0"/>
                <w:bCs/>
                <w:color w:val="auto"/>
              </w:rPr>
              <w:t xml:space="preserve"> (billion)</w:t>
            </w:r>
          </w:p>
        </w:tc>
        <w:tc>
          <w:tcPr>
            <w:tcW w:w="893" w:type="dxa"/>
          </w:tcPr>
          <w:p w14:paraId="6FF01D2B" w14:textId="1FC61D33" w:rsidR="00757768" w:rsidRPr="00DF2480" w:rsidRDefault="00041A0E" w:rsidP="00041A0E">
            <w:pPr>
              <w:pStyle w:val="Tableheader"/>
              <w:rPr>
                <w:rFonts w:asciiTheme="minorHAnsi" w:hAnsiTheme="minorHAnsi"/>
                <w:b w:val="0"/>
                <w:color w:val="auto"/>
              </w:rPr>
            </w:pPr>
            <w:r>
              <w:rPr>
                <w:rFonts w:asciiTheme="minorHAnsi" w:hAnsiTheme="minorHAnsi"/>
                <w:b w:val="0"/>
                <w:bCs/>
                <w:color w:val="auto"/>
              </w:rPr>
              <w:t>ft3</w:t>
            </w:r>
          </w:p>
        </w:tc>
        <w:tc>
          <w:tcPr>
            <w:tcW w:w="1621" w:type="dxa"/>
          </w:tcPr>
          <w:p w14:paraId="24CB306D" w14:textId="1D9A9BBE" w:rsidR="00757768" w:rsidRPr="00DF2480" w:rsidRDefault="00041A0E" w:rsidP="00BC0415">
            <w:pPr>
              <w:pStyle w:val="Tableheader"/>
              <w:rPr>
                <w:b w:val="0"/>
                <w:color w:val="auto"/>
              </w:rPr>
            </w:pPr>
            <w:r>
              <w:rPr>
                <w:b w:val="0"/>
                <w:bCs/>
                <w:color w:val="auto"/>
              </w:rPr>
              <w:t>cubic feet</w:t>
            </w:r>
          </w:p>
        </w:tc>
      </w:tr>
      <w:tr w:rsidR="003D7A41" w14:paraId="29FE88EF" w14:textId="77777777" w:rsidTr="00581C3E">
        <w:trPr>
          <w:cnfStyle w:val="000000010000" w:firstRow="0" w:lastRow="0" w:firstColumn="0" w:lastColumn="0" w:oddVBand="0" w:evenVBand="0" w:oddHBand="0" w:evenHBand="1" w:firstRowFirstColumn="0" w:firstRowLastColumn="0" w:lastRowFirstColumn="0" w:lastRowLastColumn="0"/>
          <w:trHeight w:val="339"/>
        </w:trPr>
        <w:tc>
          <w:tcPr>
            <w:tcW w:w="486" w:type="dxa"/>
          </w:tcPr>
          <w:p w14:paraId="66DE331B" w14:textId="66382306" w:rsidR="00757768" w:rsidRPr="00DF2480" w:rsidRDefault="00757768" w:rsidP="00041A0E">
            <w:pPr>
              <w:pStyle w:val="Tableheader"/>
              <w:rPr>
                <w:rFonts w:asciiTheme="minorHAnsi" w:hAnsiTheme="minorHAnsi"/>
                <w:b w:val="0"/>
                <w:color w:val="auto"/>
              </w:rPr>
            </w:pPr>
            <w:r w:rsidRPr="00DF2480">
              <w:rPr>
                <w:rFonts w:asciiTheme="minorHAnsi" w:hAnsiTheme="minorHAnsi"/>
                <w:b w:val="0"/>
                <w:color w:val="auto"/>
              </w:rPr>
              <w:t>G</w:t>
            </w:r>
          </w:p>
        </w:tc>
        <w:tc>
          <w:tcPr>
            <w:tcW w:w="961" w:type="dxa"/>
          </w:tcPr>
          <w:p w14:paraId="755B8320" w14:textId="302E7DCF" w:rsidR="00757768" w:rsidRPr="00DF2480" w:rsidRDefault="00757768" w:rsidP="00BC0415">
            <w:pPr>
              <w:pStyle w:val="Tableheader"/>
              <w:rPr>
                <w:rFonts w:asciiTheme="minorHAnsi" w:hAnsiTheme="minorHAnsi"/>
                <w:b w:val="0"/>
                <w:color w:val="auto"/>
              </w:rPr>
            </w:pPr>
            <w:r w:rsidRPr="00DF2480">
              <w:rPr>
                <w:rFonts w:asciiTheme="minorHAnsi" w:hAnsiTheme="minorHAnsi"/>
                <w:b w:val="0"/>
                <w:color w:val="auto"/>
              </w:rPr>
              <w:t>gram</w:t>
            </w:r>
          </w:p>
        </w:tc>
        <w:tc>
          <w:tcPr>
            <w:tcW w:w="366" w:type="dxa"/>
          </w:tcPr>
          <w:p w14:paraId="52C2472E" w14:textId="63677B95" w:rsidR="00757768" w:rsidRPr="00DF2480" w:rsidRDefault="00041A0E" w:rsidP="00041A0E">
            <w:pPr>
              <w:pStyle w:val="Tableheader"/>
              <w:rPr>
                <w:rFonts w:asciiTheme="minorHAnsi" w:hAnsiTheme="minorHAnsi"/>
                <w:b w:val="0"/>
                <w:color w:val="auto"/>
              </w:rPr>
            </w:pPr>
            <w:r>
              <w:rPr>
                <w:rFonts w:asciiTheme="minorHAnsi" w:hAnsiTheme="minorHAnsi"/>
                <w:b w:val="0"/>
                <w:bCs/>
                <w:color w:val="auto"/>
              </w:rPr>
              <w:t>T</w:t>
            </w:r>
          </w:p>
        </w:tc>
        <w:tc>
          <w:tcPr>
            <w:tcW w:w="677" w:type="dxa"/>
          </w:tcPr>
          <w:p w14:paraId="6F9E02E8" w14:textId="35605B06"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tera</w:t>
            </w:r>
          </w:p>
        </w:tc>
        <w:tc>
          <w:tcPr>
            <w:tcW w:w="1621" w:type="dxa"/>
          </w:tcPr>
          <w:p w14:paraId="02318090" w14:textId="31C8BCFB"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10</w:t>
            </w:r>
            <w:r w:rsidRPr="00DF2480">
              <w:rPr>
                <w:rFonts w:asciiTheme="minorHAnsi" w:hAnsiTheme="minorHAnsi"/>
                <w:b w:val="0"/>
                <w:color w:val="auto"/>
                <w:vertAlign w:val="superscript"/>
              </w:rPr>
              <w:t>12</w:t>
            </w:r>
            <w:r>
              <w:rPr>
                <w:rFonts w:asciiTheme="minorHAnsi" w:hAnsiTheme="minorHAnsi"/>
                <w:b w:val="0"/>
                <w:bCs/>
                <w:color w:val="auto"/>
              </w:rPr>
              <w:t xml:space="preserve"> (trillion)</w:t>
            </w:r>
          </w:p>
        </w:tc>
        <w:tc>
          <w:tcPr>
            <w:tcW w:w="893" w:type="dxa"/>
          </w:tcPr>
          <w:p w14:paraId="401DC76A" w14:textId="18F9DA19" w:rsidR="00757768" w:rsidRPr="00DF2480" w:rsidRDefault="00041A0E" w:rsidP="00041A0E">
            <w:pPr>
              <w:pStyle w:val="Tableheader"/>
              <w:rPr>
                <w:rFonts w:asciiTheme="minorHAnsi" w:hAnsiTheme="minorHAnsi"/>
                <w:b w:val="0"/>
                <w:color w:val="auto"/>
              </w:rPr>
            </w:pPr>
            <w:r>
              <w:rPr>
                <w:rFonts w:asciiTheme="minorHAnsi" w:hAnsiTheme="minorHAnsi"/>
                <w:b w:val="0"/>
                <w:bCs/>
                <w:color w:val="auto"/>
              </w:rPr>
              <w:t>bbl</w:t>
            </w:r>
          </w:p>
        </w:tc>
        <w:tc>
          <w:tcPr>
            <w:tcW w:w="1621" w:type="dxa"/>
          </w:tcPr>
          <w:p w14:paraId="7CD31E13" w14:textId="5CC89995" w:rsidR="00757768" w:rsidRPr="00DF2480" w:rsidRDefault="00041A0E" w:rsidP="00BC0415">
            <w:pPr>
              <w:pStyle w:val="Tableheader"/>
              <w:rPr>
                <w:b w:val="0"/>
                <w:color w:val="auto"/>
              </w:rPr>
            </w:pPr>
            <w:r>
              <w:rPr>
                <w:b w:val="0"/>
                <w:bCs/>
                <w:color w:val="auto"/>
              </w:rPr>
              <w:t>barrel</w:t>
            </w:r>
          </w:p>
        </w:tc>
      </w:tr>
      <w:tr w:rsidR="007B035D" w14:paraId="4376BC46" w14:textId="77777777" w:rsidTr="00581C3E">
        <w:trPr>
          <w:cnfStyle w:val="000000100000" w:firstRow="0" w:lastRow="0" w:firstColumn="0" w:lastColumn="0" w:oddVBand="0" w:evenVBand="0" w:oddHBand="1" w:evenHBand="0" w:firstRowFirstColumn="0" w:firstRowLastColumn="0" w:lastRowFirstColumn="0" w:lastRowLastColumn="0"/>
          <w:trHeight w:val="339"/>
        </w:trPr>
        <w:tc>
          <w:tcPr>
            <w:tcW w:w="486" w:type="dxa"/>
          </w:tcPr>
          <w:p w14:paraId="7C9914C4" w14:textId="5915FAD7" w:rsidR="007B035D" w:rsidRPr="00DF2480" w:rsidRDefault="007B035D" w:rsidP="007B035D">
            <w:pPr>
              <w:pStyle w:val="Tableheader"/>
              <w:rPr>
                <w:rFonts w:asciiTheme="minorHAnsi" w:hAnsiTheme="minorHAnsi"/>
                <w:b w:val="0"/>
                <w:color w:val="auto"/>
              </w:rPr>
            </w:pPr>
            <w:r w:rsidRPr="00DF2480">
              <w:rPr>
                <w:rFonts w:asciiTheme="minorHAnsi" w:hAnsiTheme="minorHAnsi"/>
                <w:b w:val="0"/>
                <w:color w:val="auto"/>
              </w:rPr>
              <w:t>W</w:t>
            </w:r>
          </w:p>
        </w:tc>
        <w:tc>
          <w:tcPr>
            <w:tcW w:w="961" w:type="dxa"/>
          </w:tcPr>
          <w:p w14:paraId="17BE8BE1" w14:textId="1A284041" w:rsidR="007B035D" w:rsidRPr="00DF2480" w:rsidRDefault="007B035D" w:rsidP="007B035D">
            <w:pPr>
              <w:pStyle w:val="Tableheader"/>
              <w:rPr>
                <w:rFonts w:asciiTheme="minorHAnsi" w:hAnsiTheme="minorHAnsi"/>
                <w:b w:val="0"/>
                <w:color w:val="auto"/>
              </w:rPr>
            </w:pPr>
            <w:r w:rsidRPr="00DF2480">
              <w:rPr>
                <w:rFonts w:asciiTheme="minorHAnsi" w:hAnsiTheme="minorHAnsi"/>
                <w:b w:val="0"/>
                <w:color w:val="auto"/>
              </w:rPr>
              <w:t>watt</w:t>
            </w:r>
          </w:p>
        </w:tc>
        <w:tc>
          <w:tcPr>
            <w:tcW w:w="366" w:type="dxa"/>
          </w:tcPr>
          <w:p w14:paraId="04090724" w14:textId="7B565E9B" w:rsidR="007B035D" w:rsidRPr="00DF2480" w:rsidRDefault="007B035D" w:rsidP="007B035D">
            <w:pPr>
              <w:pStyle w:val="Tableheader"/>
              <w:rPr>
                <w:rFonts w:asciiTheme="minorHAnsi" w:hAnsiTheme="minorHAnsi"/>
                <w:b w:val="0"/>
                <w:color w:val="auto"/>
              </w:rPr>
            </w:pPr>
            <w:r>
              <w:rPr>
                <w:rFonts w:asciiTheme="minorHAnsi" w:hAnsiTheme="minorHAnsi"/>
                <w:b w:val="0"/>
                <w:bCs/>
                <w:color w:val="auto"/>
              </w:rPr>
              <w:t>P</w:t>
            </w:r>
          </w:p>
        </w:tc>
        <w:tc>
          <w:tcPr>
            <w:tcW w:w="677" w:type="dxa"/>
          </w:tcPr>
          <w:p w14:paraId="3AA0472C" w14:textId="347A8099" w:rsidR="007B035D" w:rsidRPr="00DF2480" w:rsidRDefault="007B035D" w:rsidP="007B035D">
            <w:pPr>
              <w:pStyle w:val="Tableheader"/>
              <w:rPr>
                <w:rFonts w:asciiTheme="minorHAnsi" w:hAnsiTheme="minorHAnsi"/>
                <w:b w:val="0"/>
                <w:color w:val="auto"/>
              </w:rPr>
            </w:pPr>
            <w:r>
              <w:rPr>
                <w:rFonts w:asciiTheme="minorHAnsi" w:hAnsiTheme="minorHAnsi"/>
                <w:b w:val="0"/>
                <w:bCs/>
                <w:color w:val="auto"/>
              </w:rPr>
              <w:t>peta</w:t>
            </w:r>
          </w:p>
        </w:tc>
        <w:tc>
          <w:tcPr>
            <w:tcW w:w="1621" w:type="dxa"/>
          </w:tcPr>
          <w:p w14:paraId="69639FBB" w14:textId="18A4AC9A" w:rsidR="007B035D" w:rsidRPr="00DF2480" w:rsidRDefault="007B035D" w:rsidP="007B035D">
            <w:pPr>
              <w:pStyle w:val="Tableheader"/>
              <w:rPr>
                <w:rFonts w:asciiTheme="minorHAnsi" w:hAnsiTheme="minorHAnsi"/>
                <w:b w:val="0"/>
                <w:color w:val="auto"/>
              </w:rPr>
            </w:pPr>
            <w:r>
              <w:rPr>
                <w:rFonts w:asciiTheme="minorHAnsi" w:hAnsiTheme="minorHAnsi"/>
                <w:b w:val="0"/>
                <w:bCs/>
                <w:color w:val="auto"/>
              </w:rPr>
              <w:t>10</w:t>
            </w:r>
            <w:r w:rsidRPr="00DF2480">
              <w:rPr>
                <w:rFonts w:asciiTheme="minorHAnsi" w:hAnsiTheme="minorHAnsi"/>
                <w:b w:val="0"/>
                <w:color w:val="auto"/>
                <w:vertAlign w:val="superscript"/>
              </w:rPr>
              <w:t>15</w:t>
            </w:r>
          </w:p>
        </w:tc>
        <w:tc>
          <w:tcPr>
            <w:tcW w:w="893" w:type="dxa"/>
          </w:tcPr>
          <w:p w14:paraId="2DF3B6DB" w14:textId="7ABD72E2" w:rsidR="007B035D" w:rsidRPr="00DF2480" w:rsidRDefault="007B035D" w:rsidP="007B035D">
            <w:pPr>
              <w:pStyle w:val="Tableheader"/>
              <w:rPr>
                <w:rFonts w:asciiTheme="minorHAnsi" w:hAnsiTheme="minorHAnsi"/>
                <w:b w:val="0"/>
                <w:color w:val="auto"/>
              </w:rPr>
            </w:pPr>
            <w:r>
              <w:rPr>
                <w:rFonts w:asciiTheme="minorHAnsi" w:hAnsiTheme="minorHAnsi"/>
                <w:b w:val="0"/>
                <w:bCs/>
                <w:color w:val="auto"/>
              </w:rPr>
              <w:t>Mtoe</w:t>
            </w:r>
          </w:p>
        </w:tc>
        <w:tc>
          <w:tcPr>
            <w:tcW w:w="1621" w:type="dxa"/>
          </w:tcPr>
          <w:p w14:paraId="0BE5957E" w14:textId="50ED4934" w:rsidR="007B035D" w:rsidRPr="00DF2480" w:rsidRDefault="007B035D" w:rsidP="007B035D">
            <w:pPr>
              <w:pStyle w:val="Tableheader"/>
              <w:rPr>
                <w:b w:val="0"/>
                <w:color w:val="auto"/>
              </w:rPr>
            </w:pPr>
            <w:r>
              <w:rPr>
                <w:b w:val="0"/>
                <w:bCs/>
                <w:color w:val="auto"/>
              </w:rPr>
              <w:t>million tonnes oil equivalent</w:t>
            </w:r>
          </w:p>
        </w:tc>
      </w:tr>
      <w:tr w:rsidR="007B035D" w14:paraId="368A2EE9" w14:textId="77777777" w:rsidTr="00581C3E">
        <w:trPr>
          <w:cnfStyle w:val="000000010000" w:firstRow="0" w:lastRow="0" w:firstColumn="0" w:lastColumn="0" w:oddVBand="0" w:evenVBand="0" w:oddHBand="0" w:evenHBand="1" w:firstRowFirstColumn="0" w:firstRowLastColumn="0" w:lastRowFirstColumn="0" w:lastRowLastColumn="0"/>
          <w:trHeight w:val="339"/>
        </w:trPr>
        <w:tc>
          <w:tcPr>
            <w:tcW w:w="486" w:type="dxa"/>
          </w:tcPr>
          <w:p w14:paraId="4456A7BE" w14:textId="0F179125" w:rsidR="007B035D" w:rsidRPr="00DF2480" w:rsidRDefault="007B035D" w:rsidP="007B035D">
            <w:pPr>
              <w:pStyle w:val="Tableheader"/>
              <w:rPr>
                <w:rFonts w:asciiTheme="minorHAnsi" w:hAnsiTheme="minorHAnsi"/>
                <w:b w:val="0"/>
                <w:color w:val="auto"/>
              </w:rPr>
            </w:pPr>
            <w:r w:rsidRPr="00DF2480">
              <w:rPr>
                <w:rFonts w:asciiTheme="minorHAnsi" w:hAnsiTheme="minorHAnsi"/>
                <w:b w:val="0"/>
                <w:color w:val="auto"/>
              </w:rPr>
              <w:t>Wh</w:t>
            </w:r>
          </w:p>
        </w:tc>
        <w:tc>
          <w:tcPr>
            <w:tcW w:w="961" w:type="dxa"/>
          </w:tcPr>
          <w:p w14:paraId="4B6E0282" w14:textId="1A11EA78" w:rsidR="007B035D" w:rsidRPr="00DF2480" w:rsidRDefault="007B035D" w:rsidP="007B035D">
            <w:pPr>
              <w:pStyle w:val="Tableheader"/>
              <w:rPr>
                <w:rFonts w:asciiTheme="minorHAnsi" w:hAnsiTheme="minorHAnsi"/>
                <w:b w:val="0"/>
                <w:color w:val="auto"/>
              </w:rPr>
            </w:pPr>
            <w:r w:rsidRPr="00DF2480">
              <w:rPr>
                <w:rFonts w:asciiTheme="minorHAnsi" w:hAnsiTheme="minorHAnsi"/>
                <w:b w:val="0"/>
                <w:color w:val="auto"/>
              </w:rPr>
              <w:t>watt hour</w:t>
            </w:r>
          </w:p>
        </w:tc>
        <w:tc>
          <w:tcPr>
            <w:tcW w:w="366" w:type="dxa"/>
          </w:tcPr>
          <w:p w14:paraId="566310F0" w14:textId="22979360" w:rsidR="007B035D" w:rsidRPr="00DF2480" w:rsidRDefault="007B035D" w:rsidP="007B035D">
            <w:pPr>
              <w:pStyle w:val="Tableheader"/>
              <w:rPr>
                <w:rFonts w:asciiTheme="minorHAnsi" w:hAnsiTheme="minorHAnsi"/>
                <w:b w:val="0"/>
                <w:color w:val="auto"/>
              </w:rPr>
            </w:pPr>
            <w:r>
              <w:rPr>
                <w:rFonts w:asciiTheme="minorHAnsi" w:hAnsiTheme="minorHAnsi"/>
                <w:b w:val="0"/>
                <w:bCs/>
                <w:color w:val="auto"/>
              </w:rPr>
              <w:t>E</w:t>
            </w:r>
          </w:p>
        </w:tc>
        <w:tc>
          <w:tcPr>
            <w:tcW w:w="677" w:type="dxa"/>
          </w:tcPr>
          <w:p w14:paraId="7CBEDF10" w14:textId="5E14A235" w:rsidR="007B035D" w:rsidRPr="00DF2480" w:rsidRDefault="007B035D" w:rsidP="007B035D">
            <w:pPr>
              <w:pStyle w:val="Tableheader"/>
              <w:rPr>
                <w:rFonts w:asciiTheme="minorHAnsi" w:hAnsiTheme="minorHAnsi"/>
                <w:b w:val="0"/>
                <w:color w:val="auto"/>
              </w:rPr>
            </w:pPr>
            <w:r>
              <w:rPr>
                <w:rFonts w:asciiTheme="minorHAnsi" w:hAnsiTheme="minorHAnsi"/>
                <w:b w:val="0"/>
                <w:bCs/>
                <w:color w:val="auto"/>
              </w:rPr>
              <w:t>exa</w:t>
            </w:r>
          </w:p>
        </w:tc>
        <w:tc>
          <w:tcPr>
            <w:tcW w:w="1621" w:type="dxa"/>
          </w:tcPr>
          <w:p w14:paraId="318DAD9E" w14:textId="771F6CAF" w:rsidR="007B035D" w:rsidRPr="00DF2480" w:rsidRDefault="007B035D" w:rsidP="007B035D">
            <w:pPr>
              <w:pStyle w:val="Tableheader"/>
              <w:rPr>
                <w:rFonts w:asciiTheme="minorHAnsi" w:hAnsiTheme="minorHAnsi"/>
                <w:b w:val="0"/>
                <w:color w:val="auto"/>
              </w:rPr>
            </w:pPr>
            <w:r>
              <w:rPr>
                <w:rFonts w:asciiTheme="minorHAnsi" w:hAnsiTheme="minorHAnsi"/>
                <w:b w:val="0"/>
                <w:bCs/>
                <w:color w:val="auto"/>
              </w:rPr>
              <w:t>10</w:t>
            </w:r>
            <w:r w:rsidRPr="00DF2480">
              <w:rPr>
                <w:rFonts w:asciiTheme="minorHAnsi" w:hAnsiTheme="minorHAnsi"/>
                <w:b w:val="0"/>
                <w:color w:val="auto"/>
                <w:vertAlign w:val="superscript"/>
              </w:rPr>
              <w:t>18</w:t>
            </w:r>
          </w:p>
        </w:tc>
        <w:tc>
          <w:tcPr>
            <w:tcW w:w="893" w:type="dxa"/>
          </w:tcPr>
          <w:p w14:paraId="234A457D" w14:textId="48BF5BF0" w:rsidR="007B035D" w:rsidRPr="00DF2480" w:rsidRDefault="007B035D" w:rsidP="007B035D">
            <w:pPr>
              <w:pStyle w:val="Tableheader"/>
              <w:rPr>
                <w:rFonts w:asciiTheme="minorHAnsi" w:hAnsiTheme="minorHAnsi"/>
                <w:b w:val="0"/>
                <w:color w:val="auto"/>
              </w:rPr>
            </w:pPr>
            <w:r>
              <w:rPr>
                <w:rFonts w:asciiTheme="minorHAnsi" w:hAnsiTheme="minorHAnsi"/>
                <w:b w:val="0"/>
                <w:bCs/>
                <w:color w:val="auto"/>
              </w:rPr>
              <w:t>M</w:t>
            </w:r>
            <w:r w:rsidR="00DD3E8E">
              <w:rPr>
                <w:rFonts w:asciiTheme="minorHAnsi" w:hAnsiTheme="minorHAnsi"/>
                <w:b w:val="0"/>
                <w:bCs/>
                <w:color w:val="auto"/>
              </w:rPr>
              <w:t>M</w:t>
            </w:r>
            <w:r>
              <w:rPr>
                <w:rFonts w:asciiTheme="minorHAnsi" w:hAnsiTheme="minorHAnsi"/>
                <w:b w:val="0"/>
                <w:bCs/>
                <w:color w:val="auto"/>
              </w:rPr>
              <w:t>btu</w:t>
            </w:r>
          </w:p>
        </w:tc>
        <w:tc>
          <w:tcPr>
            <w:tcW w:w="1621" w:type="dxa"/>
          </w:tcPr>
          <w:p w14:paraId="261EB05D" w14:textId="3205BEAD" w:rsidR="007B035D" w:rsidRPr="00DF2480" w:rsidRDefault="007B035D" w:rsidP="007B035D">
            <w:pPr>
              <w:pStyle w:val="Tableheader"/>
              <w:rPr>
                <w:b w:val="0"/>
                <w:color w:val="auto"/>
              </w:rPr>
            </w:pPr>
            <w:r>
              <w:rPr>
                <w:b w:val="0"/>
                <w:bCs/>
                <w:color w:val="auto"/>
              </w:rPr>
              <w:t>million British thermal units</w:t>
            </w:r>
          </w:p>
        </w:tc>
      </w:tr>
      <w:tr w:rsidR="003D7A41" w14:paraId="5E59E698" w14:textId="77777777" w:rsidTr="00581C3E">
        <w:trPr>
          <w:cnfStyle w:val="000000100000" w:firstRow="0" w:lastRow="0" w:firstColumn="0" w:lastColumn="0" w:oddVBand="0" w:evenVBand="0" w:oddHBand="1" w:evenHBand="0" w:firstRowFirstColumn="0" w:firstRowLastColumn="0" w:lastRowFirstColumn="0" w:lastRowLastColumn="0"/>
          <w:trHeight w:val="339"/>
        </w:trPr>
        <w:tc>
          <w:tcPr>
            <w:tcW w:w="486" w:type="dxa"/>
          </w:tcPr>
          <w:p w14:paraId="2533678B" w14:textId="77777777" w:rsidR="00757768" w:rsidRPr="00DF2480" w:rsidRDefault="00757768" w:rsidP="00BC0415">
            <w:pPr>
              <w:pStyle w:val="Tableheader"/>
              <w:rPr>
                <w:rFonts w:asciiTheme="minorHAnsi" w:hAnsiTheme="minorHAnsi"/>
                <w:b w:val="0"/>
                <w:color w:val="auto"/>
              </w:rPr>
            </w:pPr>
          </w:p>
        </w:tc>
        <w:tc>
          <w:tcPr>
            <w:tcW w:w="961" w:type="dxa"/>
          </w:tcPr>
          <w:p w14:paraId="4017FD2A" w14:textId="77777777" w:rsidR="00757768" w:rsidRPr="00DF2480" w:rsidRDefault="00757768" w:rsidP="00BC0415">
            <w:pPr>
              <w:pStyle w:val="Tableheader"/>
              <w:rPr>
                <w:rFonts w:asciiTheme="minorHAnsi" w:hAnsiTheme="minorHAnsi"/>
                <w:b w:val="0"/>
                <w:color w:val="auto"/>
              </w:rPr>
            </w:pPr>
          </w:p>
        </w:tc>
        <w:tc>
          <w:tcPr>
            <w:tcW w:w="366" w:type="dxa"/>
          </w:tcPr>
          <w:p w14:paraId="7357FA8A" w14:textId="5441B3CA" w:rsidR="00757768" w:rsidRPr="00DF2480" w:rsidRDefault="00041A0E" w:rsidP="00041A0E">
            <w:pPr>
              <w:pStyle w:val="Tableheader"/>
              <w:rPr>
                <w:rFonts w:asciiTheme="minorHAnsi" w:hAnsiTheme="minorHAnsi"/>
                <w:b w:val="0"/>
                <w:color w:val="auto"/>
              </w:rPr>
            </w:pPr>
            <w:r>
              <w:rPr>
                <w:rFonts w:asciiTheme="minorHAnsi" w:hAnsiTheme="minorHAnsi"/>
                <w:b w:val="0"/>
                <w:bCs/>
                <w:color w:val="auto"/>
              </w:rPr>
              <w:t>b</w:t>
            </w:r>
          </w:p>
        </w:tc>
        <w:tc>
          <w:tcPr>
            <w:tcW w:w="677" w:type="dxa"/>
          </w:tcPr>
          <w:p w14:paraId="67DF4B37" w14:textId="61FDF2EA"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billion</w:t>
            </w:r>
          </w:p>
        </w:tc>
        <w:tc>
          <w:tcPr>
            <w:tcW w:w="1621" w:type="dxa"/>
          </w:tcPr>
          <w:p w14:paraId="11336883" w14:textId="745210CB" w:rsidR="00757768" w:rsidRPr="00DF2480" w:rsidRDefault="00041A0E" w:rsidP="00BC0415">
            <w:pPr>
              <w:pStyle w:val="Tableheader"/>
              <w:rPr>
                <w:rFonts w:asciiTheme="minorHAnsi" w:hAnsiTheme="minorHAnsi"/>
                <w:b w:val="0"/>
                <w:color w:val="auto"/>
              </w:rPr>
            </w:pPr>
            <w:r>
              <w:rPr>
                <w:rFonts w:asciiTheme="minorHAnsi" w:hAnsiTheme="minorHAnsi"/>
                <w:b w:val="0"/>
                <w:bCs/>
                <w:color w:val="auto"/>
              </w:rPr>
              <w:t>10</w:t>
            </w:r>
            <w:r w:rsidRPr="00DF2480">
              <w:rPr>
                <w:rFonts w:asciiTheme="minorHAnsi" w:hAnsiTheme="minorHAnsi"/>
                <w:b w:val="0"/>
                <w:color w:val="auto"/>
                <w:vertAlign w:val="superscript"/>
              </w:rPr>
              <w:t>9</w:t>
            </w:r>
          </w:p>
        </w:tc>
        <w:tc>
          <w:tcPr>
            <w:tcW w:w="893" w:type="dxa"/>
          </w:tcPr>
          <w:p w14:paraId="7C3D1E1C" w14:textId="2133DF01" w:rsidR="00757768" w:rsidRPr="00DF2480" w:rsidRDefault="00581C3E" w:rsidP="00041A0E">
            <w:pPr>
              <w:pStyle w:val="Tableheader"/>
              <w:rPr>
                <w:rFonts w:asciiTheme="minorHAnsi" w:hAnsiTheme="minorHAnsi"/>
                <w:b w:val="0"/>
                <w:color w:val="auto"/>
              </w:rPr>
            </w:pPr>
            <w:r>
              <w:rPr>
                <w:rFonts w:asciiTheme="minorHAnsi" w:hAnsiTheme="minorHAnsi"/>
                <w:b w:val="0"/>
                <w:color w:val="auto"/>
              </w:rPr>
              <w:t>Tonnes</w:t>
            </w:r>
          </w:p>
        </w:tc>
        <w:tc>
          <w:tcPr>
            <w:tcW w:w="1621" w:type="dxa"/>
          </w:tcPr>
          <w:p w14:paraId="52C3F78D" w14:textId="44205AE6" w:rsidR="00757768" w:rsidRPr="00DF2480" w:rsidRDefault="00581C3E" w:rsidP="00BC0415">
            <w:pPr>
              <w:pStyle w:val="Tableheader"/>
              <w:rPr>
                <w:b w:val="0"/>
                <w:color w:val="auto"/>
              </w:rPr>
            </w:pPr>
            <w:r>
              <w:rPr>
                <w:b w:val="0"/>
                <w:color w:val="auto"/>
              </w:rPr>
              <w:t>metric equivalent of tons</w:t>
            </w:r>
          </w:p>
        </w:tc>
      </w:tr>
    </w:tbl>
    <w:p w14:paraId="56388820" w14:textId="0341485D" w:rsidR="00481A73" w:rsidRDefault="00481A73" w:rsidP="00481A73">
      <w:pPr>
        <w:pStyle w:val="Heading3"/>
      </w:pPr>
      <w:r>
        <w:t>Units of energy</w:t>
      </w:r>
    </w:p>
    <w:p w14:paraId="51F9E677" w14:textId="57D12EC2" w:rsidR="00481A73" w:rsidRDefault="00481A73" w:rsidP="00481A73">
      <w:pPr>
        <w:pStyle w:val="BodyText"/>
      </w:pPr>
      <w:r>
        <w:t xml:space="preserve">The basic international unit of energy across all energy types is the joule (J). </w:t>
      </w:r>
      <w:r w:rsidR="00502AE7">
        <w:t>Concepts, definitions and presentation align as closely as possible with the framework used by the International Energy Agency.</w:t>
      </w:r>
    </w:p>
    <w:p w14:paraId="75448B2E" w14:textId="0009974B" w:rsidR="00481A73" w:rsidRDefault="00481A73" w:rsidP="00481A73">
      <w:pPr>
        <w:pStyle w:val="BodyText"/>
      </w:pPr>
      <w:r>
        <w:t xml:space="preserve">The basic unit of power, or energy per unit time, is the watt (W), which is equal to one joule per second. </w:t>
      </w:r>
      <w:r w:rsidR="00502AE7">
        <w:t>In Australia</w:t>
      </w:r>
      <w:r>
        <w:t>, electricity usage (power consumption) is typically reported in gigawatt hours (GWh)</w:t>
      </w:r>
      <w:r w:rsidR="00502AE7">
        <w:t>, and gas usage and production as petajoules (PJ</w:t>
      </w:r>
      <w:r>
        <w:t>).</w:t>
      </w:r>
    </w:p>
    <w:p w14:paraId="23C01731" w14:textId="03BA8A58" w:rsidR="00757768" w:rsidRDefault="00481A73" w:rsidP="00DF2480">
      <w:pPr>
        <w:pStyle w:val="BodyText"/>
        <w:rPr>
          <w:rFonts w:eastAsia="Times New Roman" w:cs="Arial"/>
          <w:b/>
          <w:bCs/>
          <w:color w:val="005CAF"/>
          <w:kern w:val="32"/>
          <w:sz w:val="24"/>
          <w:szCs w:val="24"/>
        </w:rPr>
      </w:pPr>
      <w:r>
        <w:t xml:space="preserve">Many other units of energy are in use in Australia and internationally, including British thermal units (Btu), </w:t>
      </w:r>
      <w:r w:rsidR="00D61EF1">
        <w:t>cubic metres (cm or m</w:t>
      </w:r>
      <w:r w:rsidR="00D61EF1" w:rsidRPr="00D61EF1">
        <w:rPr>
          <w:vertAlign w:val="superscript"/>
        </w:rPr>
        <w:t>3</w:t>
      </w:r>
      <w:r>
        <w:t>) and tonnes of oil equivalent (toe). Conversions between other common units of energy are provided in Table C.3.</w:t>
      </w:r>
    </w:p>
    <w:p w14:paraId="4AE201CE" w14:textId="114DD732" w:rsidR="00757768" w:rsidRPr="000618FB" w:rsidRDefault="00757768" w:rsidP="00C97679">
      <w:pPr>
        <w:pStyle w:val="Caption"/>
      </w:pPr>
      <w:r w:rsidRPr="000618FB">
        <w:t xml:space="preserve">Table </w:t>
      </w:r>
      <w:r>
        <w:rPr>
          <w:noProof/>
        </w:rPr>
        <w:t>C.</w:t>
      </w:r>
      <w:r w:rsidR="00041A0E">
        <w:rPr>
          <w:noProof/>
        </w:rPr>
        <w:t>2</w:t>
      </w:r>
      <w:r>
        <w:t>: Conversion between units of volume</w:t>
      </w:r>
    </w:p>
    <w:tbl>
      <w:tblPr>
        <w:tblStyle w:val="OCETable"/>
        <w:tblW w:w="5000" w:type="pct"/>
        <w:tblLook w:val="04A0" w:firstRow="1" w:lastRow="0" w:firstColumn="1" w:lastColumn="0" w:noHBand="0" w:noVBand="1"/>
      </w:tblPr>
      <w:tblGrid>
        <w:gridCol w:w="763"/>
        <w:gridCol w:w="1465"/>
        <w:gridCol w:w="1466"/>
        <w:gridCol w:w="1465"/>
        <w:gridCol w:w="1466"/>
      </w:tblGrid>
      <w:tr w:rsidR="00041A0E" w14:paraId="75C3A6D7" w14:textId="77777777" w:rsidTr="00041A0E">
        <w:trPr>
          <w:cnfStyle w:val="100000000000" w:firstRow="1" w:lastRow="0" w:firstColumn="0" w:lastColumn="0" w:oddVBand="0" w:evenVBand="0" w:oddHBand="0" w:evenHBand="0" w:firstRowFirstColumn="0" w:firstRowLastColumn="0" w:lastRowFirstColumn="0" w:lastRowLastColumn="0"/>
          <w:trHeight w:val="339"/>
        </w:trPr>
        <w:tc>
          <w:tcPr>
            <w:tcW w:w="0" w:type="dxa"/>
          </w:tcPr>
          <w:p w14:paraId="5B6C0E2E" w14:textId="3B0EF688" w:rsidR="00041A0E" w:rsidRDefault="00041A0E" w:rsidP="00F163B9">
            <w:pPr>
              <w:pStyle w:val="Tableheader"/>
            </w:pPr>
            <w:r>
              <w:t>To:</w:t>
            </w:r>
          </w:p>
        </w:tc>
        <w:tc>
          <w:tcPr>
            <w:tcW w:w="1394" w:type="dxa"/>
          </w:tcPr>
          <w:p w14:paraId="5B68EC73" w14:textId="2A35BF74" w:rsidR="00041A0E" w:rsidRDefault="00041A0E" w:rsidP="00DF2480">
            <w:pPr>
              <w:pStyle w:val="Tableheader"/>
              <w:jc w:val="right"/>
            </w:pPr>
            <w:r>
              <w:t>bbl</w:t>
            </w:r>
          </w:p>
        </w:tc>
        <w:tc>
          <w:tcPr>
            <w:tcW w:w="1395" w:type="dxa"/>
          </w:tcPr>
          <w:p w14:paraId="6343EDA3" w14:textId="6A837E4A" w:rsidR="00041A0E" w:rsidRDefault="00041A0E" w:rsidP="00DF2480">
            <w:pPr>
              <w:pStyle w:val="Tableheader"/>
              <w:jc w:val="right"/>
            </w:pPr>
            <w:r>
              <w:t>ft</w:t>
            </w:r>
            <w:r w:rsidRPr="00DF2480">
              <w:rPr>
                <w:vertAlign w:val="superscript"/>
              </w:rPr>
              <w:t>3</w:t>
            </w:r>
          </w:p>
        </w:tc>
        <w:tc>
          <w:tcPr>
            <w:tcW w:w="1394" w:type="dxa"/>
          </w:tcPr>
          <w:p w14:paraId="40007BB4" w14:textId="1D686F83" w:rsidR="00041A0E" w:rsidRDefault="00041A0E" w:rsidP="00DF2480">
            <w:pPr>
              <w:pStyle w:val="Tableheader"/>
              <w:jc w:val="right"/>
            </w:pPr>
            <w:r>
              <w:t>L</w:t>
            </w:r>
          </w:p>
        </w:tc>
        <w:tc>
          <w:tcPr>
            <w:tcW w:w="1395" w:type="dxa"/>
          </w:tcPr>
          <w:p w14:paraId="40FAEF85" w14:textId="44FE3658" w:rsidR="00041A0E" w:rsidRDefault="00041A0E" w:rsidP="00DF2480">
            <w:pPr>
              <w:pStyle w:val="Tableheader"/>
              <w:jc w:val="right"/>
            </w:pPr>
            <w:r>
              <w:t>m</w:t>
            </w:r>
            <w:r w:rsidRPr="00DF2480">
              <w:rPr>
                <w:vertAlign w:val="superscript"/>
              </w:rPr>
              <w:t>3</w:t>
            </w:r>
          </w:p>
        </w:tc>
      </w:tr>
      <w:tr w:rsidR="00041A0E" w14:paraId="34244D14" w14:textId="77777777" w:rsidTr="00041A0E">
        <w:trPr>
          <w:cnfStyle w:val="000000100000" w:firstRow="0" w:lastRow="0" w:firstColumn="0" w:lastColumn="0" w:oddVBand="0" w:evenVBand="0" w:oddHBand="1" w:evenHBand="0" w:firstRowFirstColumn="0" w:firstRowLastColumn="0" w:lastRowFirstColumn="0" w:lastRowLastColumn="0"/>
          <w:trHeight w:val="339"/>
        </w:trPr>
        <w:tc>
          <w:tcPr>
            <w:tcW w:w="0" w:type="dxa"/>
          </w:tcPr>
          <w:p w14:paraId="6DE48B07" w14:textId="3B2C5988" w:rsidR="00041A0E" w:rsidRPr="00041A0E" w:rsidRDefault="00041A0E" w:rsidP="00F163B9">
            <w:pPr>
              <w:pStyle w:val="Tableheader"/>
              <w:rPr>
                <w:rFonts w:asciiTheme="minorHAnsi" w:hAnsiTheme="minorHAnsi"/>
                <w:color w:val="auto"/>
              </w:rPr>
            </w:pPr>
            <w:r w:rsidRPr="00DF2480">
              <w:rPr>
                <w:rFonts w:asciiTheme="minorHAnsi" w:hAnsiTheme="minorHAnsi"/>
                <w:color w:val="auto"/>
              </w:rPr>
              <w:t>From:</w:t>
            </w:r>
          </w:p>
        </w:tc>
        <w:tc>
          <w:tcPr>
            <w:tcW w:w="1394" w:type="dxa"/>
          </w:tcPr>
          <w:p w14:paraId="73B66E5F" w14:textId="5F44A78C" w:rsidR="00041A0E" w:rsidRPr="00DF2480" w:rsidRDefault="00041A0E" w:rsidP="00F163B9">
            <w:pPr>
              <w:pStyle w:val="Tableheader"/>
              <w:rPr>
                <w:rFonts w:asciiTheme="minorHAnsi" w:hAnsiTheme="minorHAnsi"/>
                <w:b w:val="0"/>
                <w:color w:val="auto"/>
              </w:rPr>
            </w:pPr>
            <w:r>
              <w:rPr>
                <w:rFonts w:asciiTheme="minorHAnsi" w:hAnsiTheme="minorHAnsi"/>
                <w:b w:val="0"/>
                <w:bCs/>
                <w:color w:val="auto"/>
              </w:rPr>
              <w:t>Multiply by:</w:t>
            </w:r>
          </w:p>
        </w:tc>
        <w:tc>
          <w:tcPr>
            <w:tcW w:w="1395" w:type="dxa"/>
          </w:tcPr>
          <w:p w14:paraId="38B522D4" w14:textId="77777777" w:rsidR="00041A0E" w:rsidRPr="00DF2480" w:rsidRDefault="00041A0E" w:rsidP="00F163B9">
            <w:pPr>
              <w:pStyle w:val="Tableheader"/>
              <w:rPr>
                <w:rFonts w:asciiTheme="minorHAnsi" w:hAnsiTheme="minorHAnsi"/>
                <w:b w:val="0"/>
                <w:color w:val="auto"/>
              </w:rPr>
            </w:pPr>
          </w:p>
        </w:tc>
        <w:tc>
          <w:tcPr>
            <w:tcW w:w="1394" w:type="dxa"/>
          </w:tcPr>
          <w:p w14:paraId="180603A6" w14:textId="77777777" w:rsidR="00041A0E" w:rsidRPr="00DF2480" w:rsidRDefault="00041A0E" w:rsidP="00F163B9">
            <w:pPr>
              <w:pStyle w:val="Tableheader"/>
              <w:rPr>
                <w:rFonts w:asciiTheme="minorHAnsi" w:hAnsiTheme="minorHAnsi"/>
                <w:b w:val="0"/>
                <w:color w:val="auto"/>
              </w:rPr>
            </w:pPr>
          </w:p>
        </w:tc>
        <w:tc>
          <w:tcPr>
            <w:tcW w:w="1395" w:type="dxa"/>
          </w:tcPr>
          <w:p w14:paraId="153F3015" w14:textId="77777777" w:rsidR="00041A0E" w:rsidRPr="00DF2480" w:rsidRDefault="00041A0E" w:rsidP="00F163B9">
            <w:pPr>
              <w:pStyle w:val="Tableheader"/>
              <w:rPr>
                <w:b w:val="0"/>
                <w:color w:val="auto"/>
              </w:rPr>
            </w:pPr>
          </w:p>
        </w:tc>
      </w:tr>
      <w:tr w:rsidR="00041A0E" w14:paraId="4EC64D7C" w14:textId="77777777" w:rsidTr="00041A0E">
        <w:trPr>
          <w:cnfStyle w:val="000000010000" w:firstRow="0" w:lastRow="0" w:firstColumn="0" w:lastColumn="0" w:oddVBand="0" w:evenVBand="0" w:oddHBand="0" w:evenHBand="1" w:firstRowFirstColumn="0" w:firstRowLastColumn="0" w:lastRowFirstColumn="0" w:lastRowLastColumn="0"/>
          <w:trHeight w:val="339"/>
        </w:trPr>
        <w:tc>
          <w:tcPr>
            <w:tcW w:w="0" w:type="dxa"/>
          </w:tcPr>
          <w:p w14:paraId="6FADBBA0" w14:textId="02C42666" w:rsidR="00041A0E" w:rsidRPr="00DF2480" w:rsidRDefault="00041A0E" w:rsidP="00F163B9">
            <w:pPr>
              <w:pStyle w:val="Tableheader"/>
              <w:rPr>
                <w:rFonts w:asciiTheme="minorHAnsi" w:hAnsiTheme="minorHAnsi"/>
                <w:b w:val="0"/>
                <w:color w:val="auto"/>
              </w:rPr>
            </w:pPr>
            <w:r>
              <w:rPr>
                <w:rFonts w:asciiTheme="minorHAnsi" w:hAnsiTheme="minorHAnsi"/>
                <w:b w:val="0"/>
                <w:bCs/>
                <w:color w:val="auto"/>
              </w:rPr>
              <w:t>bbl</w:t>
            </w:r>
          </w:p>
        </w:tc>
        <w:tc>
          <w:tcPr>
            <w:tcW w:w="1394" w:type="dxa"/>
          </w:tcPr>
          <w:p w14:paraId="7703CE46" w14:textId="67B56A1D"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1</w:t>
            </w:r>
          </w:p>
        </w:tc>
        <w:tc>
          <w:tcPr>
            <w:tcW w:w="1395" w:type="dxa"/>
          </w:tcPr>
          <w:p w14:paraId="680D5C06" w14:textId="73893E82"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5.615</w:t>
            </w:r>
          </w:p>
        </w:tc>
        <w:tc>
          <w:tcPr>
            <w:tcW w:w="1394" w:type="dxa"/>
          </w:tcPr>
          <w:p w14:paraId="6390311D" w14:textId="4ADB8617"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159</w:t>
            </w:r>
          </w:p>
        </w:tc>
        <w:tc>
          <w:tcPr>
            <w:tcW w:w="1395" w:type="dxa"/>
          </w:tcPr>
          <w:p w14:paraId="2DF5EE5E" w14:textId="391D3519" w:rsidR="00041A0E" w:rsidRPr="00DF2480" w:rsidRDefault="00041A0E" w:rsidP="00581C3E">
            <w:pPr>
              <w:pStyle w:val="Tableheader"/>
              <w:jc w:val="right"/>
              <w:rPr>
                <w:b w:val="0"/>
                <w:color w:val="auto"/>
              </w:rPr>
            </w:pPr>
            <w:r>
              <w:rPr>
                <w:b w:val="0"/>
                <w:bCs/>
                <w:color w:val="auto"/>
              </w:rPr>
              <w:t>0.159</w:t>
            </w:r>
          </w:p>
        </w:tc>
      </w:tr>
      <w:tr w:rsidR="00041A0E" w14:paraId="2C29BC4E" w14:textId="77777777" w:rsidTr="00041A0E">
        <w:trPr>
          <w:cnfStyle w:val="000000100000" w:firstRow="0" w:lastRow="0" w:firstColumn="0" w:lastColumn="0" w:oddVBand="0" w:evenVBand="0" w:oddHBand="1" w:evenHBand="0" w:firstRowFirstColumn="0" w:firstRowLastColumn="0" w:lastRowFirstColumn="0" w:lastRowLastColumn="0"/>
          <w:trHeight w:val="339"/>
        </w:trPr>
        <w:tc>
          <w:tcPr>
            <w:tcW w:w="0" w:type="dxa"/>
          </w:tcPr>
          <w:p w14:paraId="289776E0" w14:textId="440A2072" w:rsidR="00041A0E" w:rsidRPr="00DF2480" w:rsidRDefault="00041A0E" w:rsidP="00F163B9">
            <w:pPr>
              <w:pStyle w:val="Tableheader"/>
              <w:rPr>
                <w:rFonts w:asciiTheme="minorHAnsi" w:hAnsiTheme="minorHAnsi"/>
                <w:b w:val="0"/>
                <w:color w:val="auto"/>
              </w:rPr>
            </w:pPr>
            <w:r>
              <w:rPr>
                <w:rFonts w:asciiTheme="minorHAnsi" w:hAnsiTheme="minorHAnsi"/>
                <w:b w:val="0"/>
                <w:bCs/>
                <w:color w:val="auto"/>
              </w:rPr>
              <w:t>ft</w:t>
            </w:r>
            <w:r w:rsidRPr="00DF2480">
              <w:rPr>
                <w:rFonts w:asciiTheme="minorHAnsi" w:hAnsiTheme="minorHAnsi"/>
                <w:b w:val="0"/>
                <w:color w:val="auto"/>
                <w:vertAlign w:val="superscript"/>
              </w:rPr>
              <w:t>3</w:t>
            </w:r>
          </w:p>
        </w:tc>
        <w:tc>
          <w:tcPr>
            <w:tcW w:w="1394" w:type="dxa"/>
          </w:tcPr>
          <w:p w14:paraId="55B82745" w14:textId="32273266"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0.1781</w:t>
            </w:r>
          </w:p>
        </w:tc>
        <w:tc>
          <w:tcPr>
            <w:tcW w:w="1395" w:type="dxa"/>
          </w:tcPr>
          <w:p w14:paraId="14C76F3D" w14:textId="54857957"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1</w:t>
            </w:r>
          </w:p>
        </w:tc>
        <w:tc>
          <w:tcPr>
            <w:tcW w:w="1394" w:type="dxa"/>
          </w:tcPr>
          <w:p w14:paraId="42034396" w14:textId="04D07639"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28.3</w:t>
            </w:r>
          </w:p>
        </w:tc>
        <w:tc>
          <w:tcPr>
            <w:tcW w:w="1395" w:type="dxa"/>
          </w:tcPr>
          <w:p w14:paraId="71001B71" w14:textId="66D0704E" w:rsidR="00041A0E" w:rsidRPr="00DF2480" w:rsidRDefault="00041A0E" w:rsidP="00581C3E">
            <w:pPr>
              <w:pStyle w:val="Tableheader"/>
              <w:jc w:val="right"/>
              <w:rPr>
                <w:b w:val="0"/>
                <w:color w:val="auto"/>
              </w:rPr>
            </w:pPr>
            <w:r>
              <w:rPr>
                <w:b w:val="0"/>
                <w:bCs/>
                <w:color w:val="auto"/>
              </w:rPr>
              <w:t>0.0283</w:t>
            </w:r>
          </w:p>
        </w:tc>
      </w:tr>
      <w:tr w:rsidR="00041A0E" w14:paraId="401007E4" w14:textId="77777777" w:rsidTr="00041A0E">
        <w:trPr>
          <w:cnfStyle w:val="000000010000" w:firstRow="0" w:lastRow="0" w:firstColumn="0" w:lastColumn="0" w:oddVBand="0" w:evenVBand="0" w:oddHBand="0" w:evenHBand="1" w:firstRowFirstColumn="0" w:firstRowLastColumn="0" w:lastRowFirstColumn="0" w:lastRowLastColumn="0"/>
          <w:trHeight w:val="339"/>
        </w:trPr>
        <w:tc>
          <w:tcPr>
            <w:tcW w:w="0" w:type="dxa"/>
          </w:tcPr>
          <w:p w14:paraId="5829D8B9" w14:textId="4F30422D" w:rsidR="00041A0E" w:rsidRPr="00DF2480" w:rsidRDefault="00041A0E" w:rsidP="00F163B9">
            <w:pPr>
              <w:pStyle w:val="Tableheader"/>
              <w:rPr>
                <w:rFonts w:asciiTheme="minorHAnsi" w:hAnsiTheme="minorHAnsi"/>
                <w:b w:val="0"/>
                <w:color w:val="auto"/>
              </w:rPr>
            </w:pPr>
            <w:r>
              <w:rPr>
                <w:rFonts w:asciiTheme="minorHAnsi" w:hAnsiTheme="minorHAnsi"/>
                <w:b w:val="0"/>
                <w:bCs/>
                <w:color w:val="auto"/>
              </w:rPr>
              <w:t>L</w:t>
            </w:r>
          </w:p>
        </w:tc>
        <w:tc>
          <w:tcPr>
            <w:tcW w:w="1394" w:type="dxa"/>
          </w:tcPr>
          <w:p w14:paraId="586C099F" w14:textId="67B08C95"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0.0063</w:t>
            </w:r>
          </w:p>
        </w:tc>
        <w:tc>
          <w:tcPr>
            <w:tcW w:w="1395" w:type="dxa"/>
          </w:tcPr>
          <w:p w14:paraId="43B9FF7D" w14:textId="17457256"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0.353</w:t>
            </w:r>
          </w:p>
        </w:tc>
        <w:tc>
          <w:tcPr>
            <w:tcW w:w="1394" w:type="dxa"/>
          </w:tcPr>
          <w:p w14:paraId="518B395F" w14:textId="391D1C8E"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1</w:t>
            </w:r>
          </w:p>
        </w:tc>
        <w:tc>
          <w:tcPr>
            <w:tcW w:w="1395" w:type="dxa"/>
          </w:tcPr>
          <w:p w14:paraId="528B2B7C" w14:textId="64068406" w:rsidR="00041A0E" w:rsidRPr="00DF2480" w:rsidRDefault="00041A0E" w:rsidP="00581C3E">
            <w:pPr>
              <w:pStyle w:val="Tableheader"/>
              <w:jc w:val="right"/>
              <w:rPr>
                <w:b w:val="0"/>
                <w:color w:val="auto"/>
              </w:rPr>
            </w:pPr>
            <w:r>
              <w:rPr>
                <w:b w:val="0"/>
                <w:bCs/>
                <w:color w:val="auto"/>
              </w:rPr>
              <w:t>0.001</w:t>
            </w:r>
          </w:p>
        </w:tc>
      </w:tr>
      <w:tr w:rsidR="00041A0E" w14:paraId="6724542D" w14:textId="77777777" w:rsidTr="00041A0E">
        <w:trPr>
          <w:cnfStyle w:val="000000100000" w:firstRow="0" w:lastRow="0" w:firstColumn="0" w:lastColumn="0" w:oddVBand="0" w:evenVBand="0" w:oddHBand="1" w:evenHBand="0" w:firstRowFirstColumn="0" w:firstRowLastColumn="0" w:lastRowFirstColumn="0" w:lastRowLastColumn="0"/>
          <w:trHeight w:val="339"/>
        </w:trPr>
        <w:tc>
          <w:tcPr>
            <w:tcW w:w="0" w:type="dxa"/>
          </w:tcPr>
          <w:p w14:paraId="420B997C" w14:textId="01A2F56C" w:rsidR="00041A0E" w:rsidRPr="00DF2480" w:rsidRDefault="00041A0E" w:rsidP="00F163B9">
            <w:pPr>
              <w:pStyle w:val="Tableheader"/>
              <w:rPr>
                <w:rFonts w:asciiTheme="minorHAnsi" w:hAnsiTheme="minorHAnsi"/>
                <w:b w:val="0"/>
                <w:color w:val="auto"/>
              </w:rPr>
            </w:pPr>
            <w:r>
              <w:rPr>
                <w:rFonts w:asciiTheme="minorHAnsi" w:hAnsiTheme="minorHAnsi"/>
                <w:b w:val="0"/>
                <w:bCs/>
                <w:color w:val="auto"/>
              </w:rPr>
              <w:t>m</w:t>
            </w:r>
            <w:r w:rsidRPr="00DF2480">
              <w:rPr>
                <w:rFonts w:asciiTheme="minorHAnsi" w:hAnsiTheme="minorHAnsi"/>
                <w:b w:val="0"/>
                <w:color w:val="auto"/>
                <w:vertAlign w:val="superscript"/>
              </w:rPr>
              <w:t>3</w:t>
            </w:r>
          </w:p>
        </w:tc>
        <w:tc>
          <w:tcPr>
            <w:tcW w:w="1394" w:type="dxa"/>
          </w:tcPr>
          <w:p w14:paraId="520BF3DA" w14:textId="74E50D2E"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6.289</w:t>
            </w:r>
          </w:p>
        </w:tc>
        <w:tc>
          <w:tcPr>
            <w:tcW w:w="1395" w:type="dxa"/>
          </w:tcPr>
          <w:p w14:paraId="2F96C8D0" w14:textId="35C18798"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35.3147</w:t>
            </w:r>
          </w:p>
        </w:tc>
        <w:tc>
          <w:tcPr>
            <w:tcW w:w="1394" w:type="dxa"/>
          </w:tcPr>
          <w:p w14:paraId="46A2AC81" w14:textId="58807EA7" w:rsidR="00041A0E" w:rsidRPr="00DF2480" w:rsidRDefault="00041A0E" w:rsidP="00581C3E">
            <w:pPr>
              <w:pStyle w:val="Tableheader"/>
              <w:jc w:val="right"/>
              <w:rPr>
                <w:rFonts w:asciiTheme="minorHAnsi" w:hAnsiTheme="minorHAnsi"/>
                <w:b w:val="0"/>
                <w:color w:val="auto"/>
              </w:rPr>
            </w:pPr>
            <w:r>
              <w:rPr>
                <w:rFonts w:asciiTheme="minorHAnsi" w:hAnsiTheme="minorHAnsi"/>
                <w:b w:val="0"/>
                <w:bCs/>
                <w:color w:val="auto"/>
              </w:rPr>
              <w:t>1,000</w:t>
            </w:r>
          </w:p>
        </w:tc>
        <w:tc>
          <w:tcPr>
            <w:tcW w:w="1395" w:type="dxa"/>
          </w:tcPr>
          <w:p w14:paraId="1D1FC70F" w14:textId="3CBA692C" w:rsidR="00041A0E" w:rsidRPr="00DF2480" w:rsidRDefault="00041A0E" w:rsidP="00581C3E">
            <w:pPr>
              <w:pStyle w:val="Tableheader"/>
              <w:jc w:val="right"/>
              <w:rPr>
                <w:b w:val="0"/>
                <w:color w:val="auto"/>
              </w:rPr>
            </w:pPr>
            <w:r>
              <w:rPr>
                <w:b w:val="0"/>
                <w:bCs/>
                <w:color w:val="auto"/>
              </w:rPr>
              <w:t>1</w:t>
            </w:r>
          </w:p>
        </w:tc>
      </w:tr>
    </w:tbl>
    <w:p w14:paraId="0CE1F742" w14:textId="13E289A8" w:rsidR="00757768" w:rsidRPr="000618FB" w:rsidRDefault="00757768" w:rsidP="00C97679">
      <w:pPr>
        <w:pStyle w:val="Caption"/>
      </w:pPr>
      <w:r w:rsidRPr="000618FB">
        <w:t xml:space="preserve">Table </w:t>
      </w:r>
      <w:r>
        <w:rPr>
          <w:noProof/>
        </w:rPr>
        <w:t>C.</w:t>
      </w:r>
      <w:r w:rsidR="00041A0E">
        <w:rPr>
          <w:noProof/>
        </w:rPr>
        <w:t>3</w:t>
      </w:r>
      <w:r>
        <w:t>: Conversion between units of energy</w:t>
      </w:r>
    </w:p>
    <w:tbl>
      <w:tblPr>
        <w:tblStyle w:val="OCETable"/>
        <w:tblW w:w="5000" w:type="pct"/>
        <w:tblLook w:val="04A0" w:firstRow="1" w:lastRow="0" w:firstColumn="1" w:lastColumn="0" w:noHBand="0" w:noVBand="1"/>
      </w:tblPr>
      <w:tblGrid>
        <w:gridCol w:w="1047"/>
        <w:gridCol w:w="1063"/>
        <w:gridCol w:w="1021"/>
        <w:gridCol w:w="1086"/>
        <w:gridCol w:w="1021"/>
        <w:gridCol w:w="1387"/>
      </w:tblGrid>
      <w:tr w:rsidR="00757768" w14:paraId="4509EF25" w14:textId="77777777" w:rsidTr="00F163B9">
        <w:trPr>
          <w:cnfStyle w:val="100000000000" w:firstRow="1" w:lastRow="0" w:firstColumn="0" w:lastColumn="0" w:oddVBand="0" w:evenVBand="0" w:oddHBand="0" w:evenHBand="0" w:firstRowFirstColumn="0" w:firstRowLastColumn="0" w:lastRowFirstColumn="0" w:lastRowLastColumn="0"/>
          <w:trHeight w:val="339"/>
        </w:trPr>
        <w:tc>
          <w:tcPr>
            <w:tcW w:w="1047" w:type="dxa"/>
          </w:tcPr>
          <w:p w14:paraId="53D756A6" w14:textId="747714BD" w:rsidR="00757768" w:rsidRDefault="00481A73" w:rsidP="00F163B9">
            <w:pPr>
              <w:pStyle w:val="Tableheader"/>
            </w:pPr>
            <w:r>
              <w:t>To:</w:t>
            </w:r>
          </w:p>
        </w:tc>
        <w:tc>
          <w:tcPr>
            <w:tcW w:w="1063" w:type="dxa"/>
          </w:tcPr>
          <w:p w14:paraId="0723F693" w14:textId="6662912D" w:rsidR="00757768" w:rsidRDefault="00481A73" w:rsidP="00F163B9">
            <w:pPr>
              <w:pStyle w:val="Tableheader"/>
            </w:pPr>
            <w:r>
              <w:t>PJ</w:t>
            </w:r>
          </w:p>
        </w:tc>
        <w:tc>
          <w:tcPr>
            <w:tcW w:w="1021" w:type="dxa"/>
          </w:tcPr>
          <w:p w14:paraId="09B717D5" w14:textId="1818D741" w:rsidR="00757768" w:rsidRDefault="007B035D" w:rsidP="00F163B9">
            <w:pPr>
              <w:pStyle w:val="Tableheader"/>
            </w:pPr>
            <w:r>
              <w:t>Mt</w:t>
            </w:r>
          </w:p>
        </w:tc>
        <w:tc>
          <w:tcPr>
            <w:tcW w:w="1086" w:type="dxa"/>
          </w:tcPr>
          <w:p w14:paraId="501A0338" w14:textId="5BEFC397" w:rsidR="00757768" w:rsidRDefault="007B035D" w:rsidP="00F163B9">
            <w:pPr>
              <w:pStyle w:val="Tableheader"/>
            </w:pPr>
            <w:r>
              <w:t>Bcm</w:t>
            </w:r>
          </w:p>
        </w:tc>
        <w:tc>
          <w:tcPr>
            <w:tcW w:w="1021" w:type="dxa"/>
          </w:tcPr>
          <w:p w14:paraId="10FA6811" w14:textId="50B63136" w:rsidR="00757768" w:rsidRDefault="007B035D" w:rsidP="00F163B9">
            <w:pPr>
              <w:pStyle w:val="Tableheader"/>
            </w:pPr>
            <w:r>
              <w:t>TBtu</w:t>
            </w:r>
          </w:p>
        </w:tc>
        <w:tc>
          <w:tcPr>
            <w:tcW w:w="1387" w:type="dxa"/>
          </w:tcPr>
          <w:p w14:paraId="71771D27" w14:textId="74C6C83D" w:rsidR="00757768" w:rsidRDefault="007B035D" w:rsidP="00F163B9">
            <w:pPr>
              <w:pStyle w:val="Tableheader"/>
            </w:pPr>
            <w:r>
              <w:t>Mtoe</w:t>
            </w:r>
          </w:p>
        </w:tc>
      </w:tr>
      <w:tr w:rsidR="00B37FAA" w14:paraId="517AC994" w14:textId="77777777" w:rsidTr="009E0ED9">
        <w:trPr>
          <w:cnfStyle w:val="000000100000" w:firstRow="0" w:lastRow="0" w:firstColumn="0" w:lastColumn="0" w:oddVBand="0" w:evenVBand="0" w:oddHBand="1" w:evenHBand="0" w:firstRowFirstColumn="0" w:firstRowLastColumn="0" w:lastRowFirstColumn="0" w:lastRowLastColumn="0"/>
          <w:trHeight w:val="339"/>
        </w:trPr>
        <w:tc>
          <w:tcPr>
            <w:tcW w:w="1047" w:type="dxa"/>
          </w:tcPr>
          <w:p w14:paraId="667990B0" w14:textId="0DD93EA9" w:rsidR="00481A73" w:rsidRPr="00F163B9" w:rsidRDefault="00481A73" w:rsidP="00F163B9">
            <w:pPr>
              <w:pStyle w:val="Tableheader"/>
              <w:rPr>
                <w:rFonts w:asciiTheme="minorHAnsi" w:hAnsiTheme="minorHAnsi"/>
                <w:color w:val="auto"/>
              </w:rPr>
            </w:pPr>
            <w:r>
              <w:rPr>
                <w:rFonts w:asciiTheme="minorHAnsi" w:hAnsiTheme="minorHAnsi"/>
                <w:color w:val="auto"/>
              </w:rPr>
              <w:t>From:</w:t>
            </w:r>
          </w:p>
        </w:tc>
        <w:tc>
          <w:tcPr>
            <w:tcW w:w="2084" w:type="dxa"/>
            <w:gridSpan w:val="2"/>
          </w:tcPr>
          <w:p w14:paraId="738DA74B" w14:textId="76B29D4B" w:rsidR="00481A73" w:rsidRPr="00DF2480" w:rsidRDefault="00481A73" w:rsidP="00F163B9">
            <w:pPr>
              <w:pStyle w:val="Tableheader"/>
              <w:rPr>
                <w:rFonts w:asciiTheme="minorHAnsi" w:hAnsiTheme="minorHAnsi"/>
                <w:b w:val="0"/>
                <w:color w:val="auto"/>
              </w:rPr>
            </w:pPr>
            <w:r w:rsidRPr="00DF2480">
              <w:rPr>
                <w:rFonts w:asciiTheme="minorHAnsi" w:hAnsiTheme="minorHAnsi"/>
                <w:b w:val="0"/>
                <w:color w:val="auto"/>
              </w:rPr>
              <w:t>Multiply by:</w:t>
            </w:r>
          </w:p>
        </w:tc>
        <w:tc>
          <w:tcPr>
            <w:tcW w:w="1086" w:type="dxa"/>
          </w:tcPr>
          <w:p w14:paraId="1C57CD2D" w14:textId="77777777" w:rsidR="00481A73" w:rsidRPr="00DF2480" w:rsidRDefault="00481A73" w:rsidP="00F163B9">
            <w:pPr>
              <w:pStyle w:val="Tableheader"/>
              <w:rPr>
                <w:rFonts w:asciiTheme="minorHAnsi" w:hAnsiTheme="minorHAnsi"/>
                <w:b w:val="0"/>
                <w:color w:val="auto"/>
              </w:rPr>
            </w:pPr>
          </w:p>
        </w:tc>
        <w:tc>
          <w:tcPr>
            <w:tcW w:w="1021" w:type="dxa"/>
          </w:tcPr>
          <w:p w14:paraId="6F670499" w14:textId="77777777" w:rsidR="00481A73" w:rsidRPr="00DF2480" w:rsidRDefault="00481A73" w:rsidP="00F163B9">
            <w:pPr>
              <w:pStyle w:val="Tableheader"/>
              <w:rPr>
                <w:rFonts w:asciiTheme="minorHAnsi" w:hAnsiTheme="minorHAnsi"/>
                <w:b w:val="0"/>
                <w:color w:val="auto"/>
              </w:rPr>
            </w:pPr>
          </w:p>
        </w:tc>
        <w:tc>
          <w:tcPr>
            <w:tcW w:w="1387" w:type="dxa"/>
          </w:tcPr>
          <w:p w14:paraId="5E2845D6" w14:textId="77777777" w:rsidR="00481A73" w:rsidRPr="00DF2480" w:rsidRDefault="00481A73" w:rsidP="00F163B9">
            <w:pPr>
              <w:pStyle w:val="Tableheader"/>
              <w:rPr>
                <w:b w:val="0"/>
                <w:color w:val="auto"/>
              </w:rPr>
            </w:pPr>
          </w:p>
        </w:tc>
      </w:tr>
      <w:tr w:rsidR="00757768" w14:paraId="24976318" w14:textId="77777777" w:rsidTr="00F163B9">
        <w:trPr>
          <w:cnfStyle w:val="000000010000" w:firstRow="0" w:lastRow="0" w:firstColumn="0" w:lastColumn="0" w:oddVBand="0" w:evenVBand="0" w:oddHBand="0" w:evenHBand="1" w:firstRowFirstColumn="0" w:firstRowLastColumn="0" w:lastRowFirstColumn="0" w:lastRowLastColumn="0"/>
          <w:trHeight w:val="339"/>
        </w:trPr>
        <w:tc>
          <w:tcPr>
            <w:tcW w:w="1047" w:type="dxa"/>
          </w:tcPr>
          <w:p w14:paraId="491F2F37" w14:textId="255D040A" w:rsidR="00757768" w:rsidRPr="00F163B9" w:rsidRDefault="00481A73" w:rsidP="00F163B9">
            <w:pPr>
              <w:pStyle w:val="Tableheader"/>
              <w:rPr>
                <w:rFonts w:asciiTheme="minorHAnsi" w:hAnsiTheme="minorHAnsi"/>
                <w:color w:val="auto"/>
              </w:rPr>
            </w:pPr>
            <w:r>
              <w:rPr>
                <w:rFonts w:asciiTheme="minorHAnsi" w:hAnsiTheme="minorHAnsi"/>
                <w:color w:val="auto"/>
              </w:rPr>
              <w:t>PJ</w:t>
            </w:r>
          </w:p>
        </w:tc>
        <w:tc>
          <w:tcPr>
            <w:tcW w:w="1063" w:type="dxa"/>
          </w:tcPr>
          <w:p w14:paraId="4C6324AD" w14:textId="05FF67BA" w:rsidR="00757768" w:rsidRPr="00DF2480" w:rsidRDefault="00481A73" w:rsidP="00581C3E">
            <w:pPr>
              <w:pStyle w:val="Tableheader"/>
              <w:jc w:val="right"/>
              <w:rPr>
                <w:rFonts w:asciiTheme="minorHAnsi" w:hAnsiTheme="minorHAnsi"/>
                <w:b w:val="0"/>
                <w:color w:val="auto"/>
              </w:rPr>
            </w:pPr>
            <w:r w:rsidRPr="00DF2480">
              <w:rPr>
                <w:rFonts w:asciiTheme="minorHAnsi" w:hAnsiTheme="minorHAnsi"/>
                <w:b w:val="0"/>
                <w:color w:val="auto"/>
              </w:rPr>
              <w:t>1</w:t>
            </w:r>
            <w:r w:rsidR="00581C3E">
              <w:rPr>
                <w:rFonts w:asciiTheme="minorHAnsi" w:hAnsiTheme="minorHAnsi"/>
                <w:b w:val="0"/>
                <w:color w:val="auto"/>
              </w:rPr>
              <w:t>.000</w:t>
            </w:r>
          </w:p>
        </w:tc>
        <w:tc>
          <w:tcPr>
            <w:tcW w:w="1021" w:type="dxa"/>
          </w:tcPr>
          <w:p w14:paraId="1282D692" w14:textId="16C6B1CB" w:rsidR="00757768" w:rsidRPr="00DF2480" w:rsidRDefault="007B035D" w:rsidP="00581C3E">
            <w:pPr>
              <w:pStyle w:val="Tableheader"/>
              <w:jc w:val="right"/>
              <w:rPr>
                <w:rFonts w:asciiTheme="minorHAnsi" w:hAnsiTheme="minorHAnsi"/>
                <w:b w:val="0"/>
                <w:color w:val="auto"/>
              </w:rPr>
            </w:pPr>
            <w:r>
              <w:rPr>
                <w:rFonts w:asciiTheme="minorHAnsi" w:hAnsiTheme="minorHAnsi"/>
                <w:b w:val="0"/>
                <w:bCs/>
                <w:color w:val="auto"/>
              </w:rPr>
              <w:t>0.021</w:t>
            </w:r>
          </w:p>
        </w:tc>
        <w:tc>
          <w:tcPr>
            <w:tcW w:w="1086" w:type="dxa"/>
          </w:tcPr>
          <w:p w14:paraId="406E4AB9" w14:textId="3A9DB039" w:rsidR="00757768" w:rsidRPr="00DF2480" w:rsidRDefault="00481A73" w:rsidP="00581C3E">
            <w:pPr>
              <w:pStyle w:val="Tableheader"/>
              <w:jc w:val="right"/>
              <w:rPr>
                <w:rFonts w:asciiTheme="minorHAnsi" w:hAnsiTheme="minorHAnsi"/>
                <w:b w:val="0"/>
                <w:color w:val="auto"/>
              </w:rPr>
            </w:pPr>
            <w:r>
              <w:rPr>
                <w:rFonts w:asciiTheme="minorHAnsi" w:hAnsiTheme="minorHAnsi"/>
                <w:b w:val="0"/>
                <w:bCs/>
                <w:color w:val="auto"/>
              </w:rPr>
              <w:t>0.</w:t>
            </w:r>
            <w:r w:rsidR="007B035D">
              <w:rPr>
                <w:rFonts w:asciiTheme="minorHAnsi" w:hAnsiTheme="minorHAnsi"/>
                <w:b w:val="0"/>
                <w:bCs/>
                <w:color w:val="auto"/>
              </w:rPr>
              <w:t>028</w:t>
            </w:r>
          </w:p>
        </w:tc>
        <w:tc>
          <w:tcPr>
            <w:tcW w:w="1021" w:type="dxa"/>
          </w:tcPr>
          <w:p w14:paraId="62357113" w14:textId="366FC404" w:rsidR="00757768" w:rsidRPr="00DF2480" w:rsidRDefault="007B035D" w:rsidP="00581C3E">
            <w:pPr>
              <w:pStyle w:val="Tableheader"/>
              <w:jc w:val="right"/>
              <w:rPr>
                <w:rFonts w:asciiTheme="minorHAnsi" w:hAnsiTheme="minorHAnsi"/>
                <w:b w:val="0"/>
                <w:color w:val="auto"/>
              </w:rPr>
            </w:pPr>
            <w:r>
              <w:rPr>
                <w:rFonts w:asciiTheme="minorHAnsi" w:hAnsiTheme="minorHAnsi"/>
                <w:b w:val="0"/>
                <w:color w:val="auto"/>
              </w:rPr>
              <w:t>0.952</w:t>
            </w:r>
          </w:p>
        </w:tc>
        <w:tc>
          <w:tcPr>
            <w:tcW w:w="1387" w:type="dxa"/>
          </w:tcPr>
          <w:p w14:paraId="373FC5E3" w14:textId="3AEF7670" w:rsidR="00757768" w:rsidRPr="00DF2480" w:rsidRDefault="007B035D" w:rsidP="00581C3E">
            <w:pPr>
              <w:pStyle w:val="Tableheader"/>
              <w:jc w:val="right"/>
              <w:rPr>
                <w:b w:val="0"/>
                <w:color w:val="auto"/>
              </w:rPr>
            </w:pPr>
            <w:r>
              <w:rPr>
                <w:b w:val="0"/>
                <w:color w:val="auto"/>
              </w:rPr>
              <w:t>0.024</w:t>
            </w:r>
          </w:p>
        </w:tc>
      </w:tr>
      <w:tr w:rsidR="00757768" w14:paraId="6FBA4656" w14:textId="77777777" w:rsidTr="00F163B9">
        <w:trPr>
          <w:cnfStyle w:val="000000100000" w:firstRow="0" w:lastRow="0" w:firstColumn="0" w:lastColumn="0" w:oddVBand="0" w:evenVBand="0" w:oddHBand="1" w:evenHBand="0" w:firstRowFirstColumn="0" w:firstRowLastColumn="0" w:lastRowFirstColumn="0" w:lastRowLastColumn="0"/>
          <w:trHeight w:val="339"/>
        </w:trPr>
        <w:tc>
          <w:tcPr>
            <w:tcW w:w="1047" w:type="dxa"/>
          </w:tcPr>
          <w:p w14:paraId="5EC14A16" w14:textId="3F032631" w:rsidR="00757768" w:rsidRPr="00F163B9" w:rsidRDefault="007B035D" w:rsidP="00F163B9">
            <w:pPr>
              <w:pStyle w:val="Tableheader"/>
              <w:rPr>
                <w:rFonts w:asciiTheme="minorHAnsi" w:hAnsiTheme="minorHAnsi"/>
                <w:color w:val="auto"/>
              </w:rPr>
            </w:pPr>
            <w:r>
              <w:rPr>
                <w:rFonts w:asciiTheme="minorHAnsi" w:hAnsiTheme="minorHAnsi"/>
                <w:color w:val="auto"/>
              </w:rPr>
              <w:t>Mt</w:t>
            </w:r>
          </w:p>
        </w:tc>
        <w:tc>
          <w:tcPr>
            <w:tcW w:w="1063" w:type="dxa"/>
          </w:tcPr>
          <w:p w14:paraId="38441AF0" w14:textId="6D824F26" w:rsidR="00757768" w:rsidRPr="00DF2480" w:rsidRDefault="00481A73" w:rsidP="00581C3E">
            <w:pPr>
              <w:pStyle w:val="Tableheader"/>
              <w:jc w:val="right"/>
              <w:rPr>
                <w:rFonts w:asciiTheme="minorHAnsi" w:hAnsiTheme="minorHAnsi"/>
                <w:b w:val="0"/>
                <w:color w:val="auto"/>
              </w:rPr>
            </w:pPr>
            <w:r w:rsidRPr="00DF2480">
              <w:rPr>
                <w:rFonts w:asciiTheme="minorHAnsi" w:hAnsiTheme="minorHAnsi"/>
                <w:b w:val="0"/>
                <w:color w:val="auto"/>
              </w:rPr>
              <w:t>4</w:t>
            </w:r>
            <w:r w:rsidR="007B035D">
              <w:rPr>
                <w:rFonts w:asciiTheme="minorHAnsi" w:hAnsiTheme="minorHAnsi"/>
                <w:b w:val="0"/>
                <w:color w:val="auto"/>
              </w:rPr>
              <w:t>8.747</w:t>
            </w:r>
          </w:p>
        </w:tc>
        <w:tc>
          <w:tcPr>
            <w:tcW w:w="1021" w:type="dxa"/>
          </w:tcPr>
          <w:p w14:paraId="27CA4713" w14:textId="604E30CC" w:rsidR="00757768" w:rsidRPr="00DF2480" w:rsidRDefault="00481A73" w:rsidP="00581C3E">
            <w:pPr>
              <w:pStyle w:val="Tableheader"/>
              <w:jc w:val="right"/>
              <w:rPr>
                <w:rFonts w:asciiTheme="minorHAnsi" w:hAnsiTheme="minorHAnsi"/>
                <w:b w:val="0"/>
                <w:color w:val="auto"/>
              </w:rPr>
            </w:pPr>
            <w:r>
              <w:rPr>
                <w:rFonts w:asciiTheme="minorHAnsi" w:hAnsiTheme="minorHAnsi"/>
                <w:b w:val="0"/>
                <w:bCs/>
                <w:color w:val="auto"/>
              </w:rPr>
              <w:t>1</w:t>
            </w:r>
            <w:r w:rsidR="00581C3E">
              <w:rPr>
                <w:rFonts w:asciiTheme="minorHAnsi" w:hAnsiTheme="minorHAnsi"/>
                <w:b w:val="0"/>
                <w:bCs/>
                <w:color w:val="auto"/>
              </w:rPr>
              <w:t>.000</w:t>
            </w:r>
          </w:p>
        </w:tc>
        <w:tc>
          <w:tcPr>
            <w:tcW w:w="1086" w:type="dxa"/>
          </w:tcPr>
          <w:p w14:paraId="16156E3C" w14:textId="628BF52C" w:rsidR="00757768" w:rsidRPr="00DF2480" w:rsidRDefault="007B035D" w:rsidP="00581C3E">
            <w:pPr>
              <w:pStyle w:val="Tableheader"/>
              <w:jc w:val="right"/>
              <w:rPr>
                <w:rFonts w:asciiTheme="minorHAnsi" w:hAnsiTheme="minorHAnsi"/>
                <w:b w:val="0"/>
                <w:color w:val="auto"/>
              </w:rPr>
            </w:pPr>
            <w:r>
              <w:rPr>
                <w:rFonts w:asciiTheme="minorHAnsi" w:hAnsiTheme="minorHAnsi"/>
                <w:b w:val="0"/>
                <w:color w:val="auto"/>
              </w:rPr>
              <w:t>1.360</w:t>
            </w:r>
          </w:p>
        </w:tc>
        <w:tc>
          <w:tcPr>
            <w:tcW w:w="1021" w:type="dxa"/>
          </w:tcPr>
          <w:p w14:paraId="4F32AE77" w14:textId="3EF6AF2C" w:rsidR="00757768" w:rsidRPr="00DF2480" w:rsidRDefault="007B035D" w:rsidP="00581C3E">
            <w:pPr>
              <w:pStyle w:val="Tableheader"/>
              <w:jc w:val="right"/>
              <w:rPr>
                <w:rFonts w:asciiTheme="minorHAnsi" w:hAnsiTheme="minorHAnsi"/>
                <w:b w:val="0"/>
                <w:color w:val="auto"/>
              </w:rPr>
            </w:pPr>
            <w:r>
              <w:rPr>
                <w:rFonts w:asciiTheme="minorHAnsi" w:hAnsiTheme="minorHAnsi"/>
                <w:b w:val="0"/>
                <w:bCs/>
                <w:color w:val="auto"/>
              </w:rPr>
              <w:t>46.405</w:t>
            </w:r>
          </w:p>
        </w:tc>
        <w:tc>
          <w:tcPr>
            <w:tcW w:w="1387" w:type="dxa"/>
          </w:tcPr>
          <w:p w14:paraId="665BEDAF" w14:textId="7C7430A8" w:rsidR="00757768" w:rsidRPr="00DF2480" w:rsidRDefault="007B035D" w:rsidP="00581C3E">
            <w:pPr>
              <w:pStyle w:val="Tableheader"/>
              <w:jc w:val="right"/>
              <w:rPr>
                <w:b w:val="0"/>
                <w:color w:val="auto"/>
              </w:rPr>
            </w:pPr>
            <w:r>
              <w:rPr>
                <w:b w:val="0"/>
                <w:bCs/>
                <w:color w:val="auto"/>
              </w:rPr>
              <w:t>1.169</w:t>
            </w:r>
          </w:p>
        </w:tc>
      </w:tr>
      <w:tr w:rsidR="00481A73" w14:paraId="37F264ED" w14:textId="77777777" w:rsidTr="00F163B9">
        <w:trPr>
          <w:cnfStyle w:val="000000010000" w:firstRow="0" w:lastRow="0" w:firstColumn="0" w:lastColumn="0" w:oddVBand="0" w:evenVBand="0" w:oddHBand="0" w:evenHBand="1" w:firstRowFirstColumn="0" w:firstRowLastColumn="0" w:lastRowFirstColumn="0" w:lastRowLastColumn="0"/>
          <w:trHeight w:val="339"/>
        </w:trPr>
        <w:tc>
          <w:tcPr>
            <w:tcW w:w="1047" w:type="dxa"/>
          </w:tcPr>
          <w:p w14:paraId="263CEFA1" w14:textId="653B01C0" w:rsidR="00481A73" w:rsidRPr="00F163B9" w:rsidRDefault="007B035D" w:rsidP="00F163B9">
            <w:pPr>
              <w:pStyle w:val="Tableheader"/>
              <w:rPr>
                <w:rFonts w:asciiTheme="minorHAnsi" w:hAnsiTheme="minorHAnsi"/>
                <w:color w:val="auto"/>
              </w:rPr>
            </w:pPr>
            <w:r>
              <w:rPr>
                <w:rFonts w:asciiTheme="minorHAnsi" w:hAnsiTheme="minorHAnsi"/>
                <w:color w:val="auto"/>
              </w:rPr>
              <w:t>Bcm</w:t>
            </w:r>
          </w:p>
        </w:tc>
        <w:tc>
          <w:tcPr>
            <w:tcW w:w="1063" w:type="dxa"/>
          </w:tcPr>
          <w:p w14:paraId="0AC1C131" w14:textId="045C43CB" w:rsidR="00481A73" w:rsidRPr="00DF2480" w:rsidRDefault="007B035D" w:rsidP="00581C3E">
            <w:pPr>
              <w:pStyle w:val="Tableheader"/>
              <w:jc w:val="right"/>
              <w:rPr>
                <w:rFonts w:asciiTheme="minorHAnsi" w:hAnsiTheme="minorHAnsi"/>
                <w:b w:val="0"/>
                <w:color w:val="auto"/>
              </w:rPr>
            </w:pPr>
            <w:r>
              <w:rPr>
                <w:rFonts w:asciiTheme="minorHAnsi" w:hAnsiTheme="minorHAnsi"/>
                <w:b w:val="0"/>
                <w:bCs/>
                <w:color w:val="auto"/>
              </w:rPr>
              <w:t>36.000</w:t>
            </w:r>
          </w:p>
        </w:tc>
        <w:tc>
          <w:tcPr>
            <w:tcW w:w="1021" w:type="dxa"/>
          </w:tcPr>
          <w:p w14:paraId="461D3623" w14:textId="0B85D2B2" w:rsidR="00481A73" w:rsidRPr="00DF2480" w:rsidRDefault="00581C3E" w:rsidP="00581C3E">
            <w:pPr>
              <w:pStyle w:val="Tableheader"/>
              <w:jc w:val="right"/>
              <w:rPr>
                <w:rFonts w:asciiTheme="minorHAnsi" w:hAnsiTheme="minorHAnsi"/>
                <w:b w:val="0"/>
                <w:color w:val="auto"/>
              </w:rPr>
            </w:pPr>
            <w:r>
              <w:rPr>
                <w:rFonts w:asciiTheme="minorHAnsi" w:hAnsiTheme="minorHAnsi"/>
                <w:b w:val="0"/>
                <w:color w:val="auto"/>
              </w:rPr>
              <w:t>0.735</w:t>
            </w:r>
          </w:p>
        </w:tc>
        <w:tc>
          <w:tcPr>
            <w:tcW w:w="1086" w:type="dxa"/>
          </w:tcPr>
          <w:p w14:paraId="69B2C58A" w14:textId="4DCCF0DC" w:rsidR="00481A73" w:rsidRPr="00DF2480" w:rsidRDefault="00481A73" w:rsidP="00581C3E">
            <w:pPr>
              <w:pStyle w:val="Tableheader"/>
              <w:jc w:val="right"/>
              <w:rPr>
                <w:rFonts w:asciiTheme="minorHAnsi" w:hAnsiTheme="minorHAnsi"/>
                <w:b w:val="0"/>
                <w:color w:val="auto"/>
              </w:rPr>
            </w:pPr>
            <w:r>
              <w:rPr>
                <w:rFonts w:asciiTheme="minorHAnsi" w:hAnsiTheme="minorHAnsi"/>
                <w:b w:val="0"/>
                <w:bCs/>
                <w:color w:val="auto"/>
              </w:rPr>
              <w:t>1</w:t>
            </w:r>
            <w:r w:rsidR="00581C3E">
              <w:rPr>
                <w:rFonts w:asciiTheme="minorHAnsi" w:hAnsiTheme="minorHAnsi"/>
                <w:b w:val="0"/>
                <w:bCs/>
                <w:color w:val="auto"/>
              </w:rPr>
              <w:t>.000</w:t>
            </w:r>
          </w:p>
        </w:tc>
        <w:tc>
          <w:tcPr>
            <w:tcW w:w="1021" w:type="dxa"/>
          </w:tcPr>
          <w:p w14:paraId="0A511D65" w14:textId="1971D95B" w:rsidR="00481A73" w:rsidRPr="00DF2480" w:rsidRDefault="00581C3E" w:rsidP="00581C3E">
            <w:pPr>
              <w:pStyle w:val="Tableheader"/>
              <w:jc w:val="right"/>
              <w:rPr>
                <w:rFonts w:asciiTheme="minorHAnsi" w:hAnsiTheme="minorHAnsi"/>
                <w:b w:val="0"/>
                <w:color w:val="auto"/>
              </w:rPr>
            </w:pPr>
            <w:r>
              <w:rPr>
                <w:rFonts w:asciiTheme="minorHAnsi" w:hAnsiTheme="minorHAnsi"/>
                <w:b w:val="0"/>
                <w:bCs/>
                <w:color w:val="auto"/>
              </w:rPr>
              <w:t>34.121</w:t>
            </w:r>
          </w:p>
        </w:tc>
        <w:tc>
          <w:tcPr>
            <w:tcW w:w="1387" w:type="dxa"/>
          </w:tcPr>
          <w:p w14:paraId="64E1727F" w14:textId="74B13E42" w:rsidR="00481A73" w:rsidRPr="00DF2480" w:rsidRDefault="00581C3E" w:rsidP="00581C3E">
            <w:pPr>
              <w:pStyle w:val="Tableheader"/>
              <w:jc w:val="right"/>
              <w:rPr>
                <w:b w:val="0"/>
                <w:color w:val="auto"/>
              </w:rPr>
            </w:pPr>
            <w:r>
              <w:rPr>
                <w:b w:val="0"/>
                <w:color w:val="auto"/>
              </w:rPr>
              <w:t>0.860</w:t>
            </w:r>
          </w:p>
        </w:tc>
      </w:tr>
      <w:tr w:rsidR="00481A73" w14:paraId="60A67E4E" w14:textId="77777777" w:rsidTr="00F163B9">
        <w:trPr>
          <w:cnfStyle w:val="000000100000" w:firstRow="0" w:lastRow="0" w:firstColumn="0" w:lastColumn="0" w:oddVBand="0" w:evenVBand="0" w:oddHBand="1" w:evenHBand="0" w:firstRowFirstColumn="0" w:firstRowLastColumn="0" w:lastRowFirstColumn="0" w:lastRowLastColumn="0"/>
          <w:trHeight w:val="339"/>
        </w:trPr>
        <w:tc>
          <w:tcPr>
            <w:tcW w:w="1047" w:type="dxa"/>
          </w:tcPr>
          <w:p w14:paraId="6916BC6D" w14:textId="6BFFFEC5" w:rsidR="00481A73" w:rsidRPr="00F163B9" w:rsidRDefault="00581C3E" w:rsidP="00F163B9">
            <w:pPr>
              <w:pStyle w:val="Tableheader"/>
              <w:rPr>
                <w:rFonts w:asciiTheme="minorHAnsi" w:hAnsiTheme="minorHAnsi"/>
                <w:color w:val="auto"/>
              </w:rPr>
            </w:pPr>
            <w:r>
              <w:rPr>
                <w:rFonts w:asciiTheme="minorHAnsi" w:hAnsiTheme="minorHAnsi"/>
                <w:color w:val="auto"/>
              </w:rPr>
              <w:t>T</w:t>
            </w:r>
            <w:r w:rsidR="007B035D">
              <w:rPr>
                <w:rFonts w:asciiTheme="minorHAnsi" w:hAnsiTheme="minorHAnsi"/>
                <w:color w:val="auto"/>
              </w:rPr>
              <w:t>Btu</w:t>
            </w:r>
          </w:p>
        </w:tc>
        <w:tc>
          <w:tcPr>
            <w:tcW w:w="1063" w:type="dxa"/>
          </w:tcPr>
          <w:p w14:paraId="284783C1" w14:textId="0D7898D1" w:rsidR="00481A73" w:rsidRPr="00DF2480" w:rsidRDefault="00581C3E" w:rsidP="00581C3E">
            <w:pPr>
              <w:pStyle w:val="Tableheader"/>
              <w:jc w:val="right"/>
              <w:rPr>
                <w:rFonts w:asciiTheme="minorHAnsi" w:hAnsiTheme="minorHAnsi"/>
                <w:b w:val="0"/>
                <w:color w:val="auto"/>
              </w:rPr>
            </w:pPr>
            <w:r>
              <w:rPr>
                <w:rFonts w:asciiTheme="minorHAnsi" w:hAnsiTheme="minorHAnsi"/>
                <w:b w:val="0"/>
                <w:color w:val="auto"/>
              </w:rPr>
              <w:t>1.050</w:t>
            </w:r>
          </w:p>
        </w:tc>
        <w:tc>
          <w:tcPr>
            <w:tcW w:w="1021" w:type="dxa"/>
          </w:tcPr>
          <w:p w14:paraId="5A965B01" w14:textId="4AFE4919" w:rsidR="00481A73" w:rsidRPr="00DF2480" w:rsidRDefault="00581C3E" w:rsidP="00581C3E">
            <w:pPr>
              <w:pStyle w:val="Tableheader"/>
              <w:jc w:val="right"/>
              <w:rPr>
                <w:rFonts w:asciiTheme="minorHAnsi" w:hAnsiTheme="minorHAnsi"/>
                <w:b w:val="0"/>
                <w:color w:val="auto"/>
              </w:rPr>
            </w:pPr>
            <w:r>
              <w:rPr>
                <w:rFonts w:asciiTheme="minorHAnsi" w:hAnsiTheme="minorHAnsi"/>
                <w:b w:val="0"/>
                <w:color w:val="auto"/>
              </w:rPr>
              <w:t>0.022</w:t>
            </w:r>
          </w:p>
        </w:tc>
        <w:tc>
          <w:tcPr>
            <w:tcW w:w="1086" w:type="dxa"/>
          </w:tcPr>
          <w:p w14:paraId="552E11AD" w14:textId="6B0F2A55" w:rsidR="00481A73" w:rsidRPr="00DF2480" w:rsidRDefault="00581C3E" w:rsidP="00581C3E">
            <w:pPr>
              <w:pStyle w:val="Tableheader"/>
              <w:jc w:val="right"/>
              <w:rPr>
                <w:rFonts w:asciiTheme="minorHAnsi" w:hAnsiTheme="minorHAnsi"/>
                <w:b w:val="0"/>
                <w:color w:val="auto"/>
              </w:rPr>
            </w:pPr>
            <w:r>
              <w:rPr>
                <w:rFonts w:asciiTheme="minorHAnsi" w:hAnsiTheme="minorHAnsi"/>
                <w:b w:val="0"/>
                <w:color w:val="auto"/>
              </w:rPr>
              <w:t>0.029</w:t>
            </w:r>
          </w:p>
        </w:tc>
        <w:tc>
          <w:tcPr>
            <w:tcW w:w="1021" w:type="dxa"/>
          </w:tcPr>
          <w:p w14:paraId="6368EB4B" w14:textId="6207BB21" w:rsidR="00481A73" w:rsidRPr="00DF2480" w:rsidRDefault="00481A73" w:rsidP="00581C3E">
            <w:pPr>
              <w:pStyle w:val="Tableheader"/>
              <w:jc w:val="right"/>
              <w:rPr>
                <w:rFonts w:asciiTheme="minorHAnsi" w:hAnsiTheme="minorHAnsi"/>
                <w:b w:val="0"/>
                <w:color w:val="auto"/>
              </w:rPr>
            </w:pPr>
            <w:r>
              <w:rPr>
                <w:rFonts w:asciiTheme="minorHAnsi" w:hAnsiTheme="minorHAnsi"/>
                <w:b w:val="0"/>
                <w:bCs/>
                <w:color w:val="auto"/>
              </w:rPr>
              <w:t>1</w:t>
            </w:r>
            <w:r w:rsidR="00581C3E">
              <w:rPr>
                <w:rFonts w:asciiTheme="minorHAnsi" w:hAnsiTheme="minorHAnsi"/>
                <w:b w:val="0"/>
                <w:bCs/>
                <w:color w:val="auto"/>
              </w:rPr>
              <w:t>.000</w:t>
            </w:r>
          </w:p>
        </w:tc>
        <w:tc>
          <w:tcPr>
            <w:tcW w:w="1387" w:type="dxa"/>
          </w:tcPr>
          <w:p w14:paraId="4B178718" w14:textId="0DB194E5" w:rsidR="00481A73" w:rsidRPr="00DF2480" w:rsidRDefault="00581C3E" w:rsidP="00581C3E">
            <w:pPr>
              <w:pStyle w:val="Tableheader"/>
              <w:jc w:val="right"/>
              <w:rPr>
                <w:b w:val="0"/>
                <w:color w:val="auto"/>
              </w:rPr>
            </w:pPr>
            <w:r>
              <w:rPr>
                <w:b w:val="0"/>
                <w:bCs/>
                <w:color w:val="auto"/>
              </w:rPr>
              <w:t>0.025</w:t>
            </w:r>
          </w:p>
        </w:tc>
      </w:tr>
      <w:tr w:rsidR="00757768" w14:paraId="1C2E0792" w14:textId="77777777" w:rsidTr="00F163B9">
        <w:trPr>
          <w:cnfStyle w:val="000000010000" w:firstRow="0" w:lastRow="0" w:firstColumn="0" w:lastColumn="0" w:oddVBand="0" w:evenVBand="0" w:oddHBand="0" w:evenHBand="1" w:firstRowFirstColumn="0" w:firstRowLastColumn="0" w:lastRowFirstColumn="0" w:lastRowLastColumn="0"/>
          <w:trHeight w:val="339"/>
        </w:trPr>
        <w:tc>
          <w:tcPr>
            <w:tcW w:w="1047" w:type="dxa"/>
          </w:tcPr>
          <w:p w14:paraId="5829436F" w14:textId="5E393C0A" w:rsidR="00757768" w:rsidRPr="00F163B9" w:rsidRDefault="007B035D" w:rsidP="00F163B9">
            <w:pPr>
              <w:pStyle w:val="Tableheader"/>
              <w:rPr>
                <w:rFonts w:asciiTheme="minorHAnsi" w:hAnsiTheme="minorHAnsi"/>
                <w:color w:val="auto"/>
              </w:rPr>
            </w:pPr>
            <w:r>
              <w:rPr>
                <w:rFonts w:asciiTheme="minorHAnsi" w:hAnsiTheme="minorHAnsi"/>
                <w:color w:val="auto"/>
              </w:rPr>
              <w:t>Mtoe</w:t>
            </w:r>
          </w:p>
        </w:tc>
        <w:tc>
          <w:tcPr>
            <w:tcW w:w="1063" w:type="dxa"/>
          </w:tcPr>
          <w:p w14:paraId="420CCC45" w14:textId="7761DEBA" w:rsidR="00757768" w:rsidRPr="00DF2480" w:rsidRDefault="00581C3E" w:rsidP="00581C3E">
            <w:pPr>
              <w:pStyle w:val="Tableheader"/>
              <w:jc w:val="right"/>
              <w:rPr>
                <w:rFonts w:asciiTheme="minorHAnsi" w:hAnsiTheme="minorHAnsi"/>
                <w:b w:val="0"/>
                <w:color w:val="auto"/>
              </w:rPr>
            </w:pPr>
            <w:r>
              <w:rPr>
                <w:rFonts w:asciiTheme="minorHAnsi" w:hAnsiTheme="minorHAnsi"/>
                <w:b w:val="0"/>
                <w:color w:val="auto"/>
              </w:rPr>
              <w:t>41.868</w:t>
            </w:r>
          </w:p>
        </w:tc>
        <w:tc>
          <w:tcPr>
            <w:tcW w:w="1021" w:type="dxa"/>
          </w:tcPr>
          <w:p w14:paraId="00054FD5" w14:textId="52B04305" w:rsidR="00757768" w:rsidRPr="00DF2480" w:rsidRDefault="00581C3E" w:rsidP="00581C3E">
            <w:pPr>
              <w:pStyle w:val="Tableheader"/>
              <w:jc w:val="right"/>
              <w:rPr>
                <w:rFonts w:asciiTheme="minorHAnsi" w:hAnsiTheme="minorHAnsi"/>
                <w:b w:val="0"/>
                <w:color w:val="auto"/>
              </w:rPr>
            </w:pPr>
            <w:r>
              <w:rPr>
                <w:rFonts w:asciiTheme="minorHAnsi" w:hAnsiTheme="minorHAnsi"/>
                <w:b w:val="0"/>
                <w:bCs/>
                <w:color w:val="auto"/>
              </w:rPr>
              <w:t>0.855</w:t>
            </w:r>
          </w:p>
        </w:tc>
        <w:tc>
          <w:tcPr>
            <w:tcW w:w="1086" w:type="dxa"/>
          </w:tcPr>
          <w:p w14:paraId="66D44CE8" w14:textId="59DD992E" w:rsidR="00757768" w:rsidRPr="00DF2480" w:rsidRDefault="00581C3E" w:rsidP="00581C3E">
            <w:pPr>
              <w:pStyle w:val="Tableheader"/>
              <w:jc w:val="right"/>
              <w:rPr>
                <w:rFonts w:asciiTheme="minorHAnsi" w:hAnsiTheme="minorHAnsi"/>
                <w:b w:val="0"/>
                <w:color w:val="auto"/>
              </w:rPr>
            </w:pPr>
            <w:r>
              <w:rPr>
                <w:rFonts w:asciiTheme="minorHAnsi" w:hAnsiTheme="minorHAnsi"/>
                <w:b w:val="0"/>
                <w:color w:val="auto"/>
              </w:rPr>
              <w:t>1.163</w:t>
            </w:r>
          </w:p>
        </w:tc>
        <w:tc>
          <w:tcPr>
            <w:tcW w:w="1021" w:type="dxa"/>
          </w:tcPr>
          <w:p w14:paraId="799758C4" w14:textId="538BF9A3" w:rsidR="00757768" w:rsidRPr="00DF2480" w:rsidRDefault="00581C3E" w:rsidP="00581C3E">
            <w:pPr>
              <w:pStyle w:val="Tableheader"/>
              <w:jc w:val="right"/>
              <w:rPr>
                <w:rFonts w:asciiTheme="minorHAnsi" w:hAnsiTheme="minorHAnsi"/>
                <w:b w:val="0"/>
                <w:color w:val="auto"/>
              </w:rPr>
            </w:pPr>
            <w:r>
              <w:rPr>
                <w:rFonts w:asciiTheme="minorHAnsi" w:hAnsiTheme="minorHAnsi"/>
                <w:b w:val="0"/>
                <w:bCs/>
                <w:color w:val="auto"/>
              </w:rPr>
              <w:t>39.683</w:t>
            </w:r>
          </w:p>
        </w:tc>
        <w:tc>
          <w:tcPr>
            <w:tcW w:w="1387" w:type="dxa"/>
          </w:tcPr>
          <w:p w14:paraId="3E3541E7" w14:textId="392BBC73" w:rsidR="00757768" w:rsidRPr="00DF2480" w:rsidRDefault="00481A73" w:rsidP="00581C3E">
            <w:pPr>
              <w:pStyle w:val="Tableheader"/>
              <w:jc w:val="right"/>
              <w:rPr>
                <w:b w:val="0"/>
                <w:color w:val="auto"/>
              </w:rPr>
            </w:pPr>
            <w:r>
              <w:rPr>
                <w:b w:val="0"/>
                <w:bCs/>
                <w:color w:val="auto"/>
              </w:rPr>
              <w:t>1</w:t>
            </w:r>
            <w:r w:rsidR="00581C3E">
              <w:rPr>
                <w:b w:val="0"/>
                <w:bCs/>
                <w:color w:val="auto"/>
              </w:rPr>
              <w:t>.000</w:t>
            </w:r>
          </w:p>
        </w:tc>
      </w:tr>
    </w:tbl>
    <w:p w14:paraId="7E1D8603" w14:textId="7DE3C109" w:rsidR="00757768" w:rsidRDefault="00757768" w:rsidP="00581C3E">
      <w:pPr>
        <w:pStyle w:val="Note"/>
        <w:spacing w:before="60"/>
      </w:pPr>
      <w:r w:rsidRPr="00C62F3A">
        <w:t>Note</w:t>
      </w:r>
      <w:r>
        <w:t xml:space="preserve">s: </w:t>
      </w:r>
      <w:r w:rsidR="007B035D">
        <w:t>Derived from BP (2022).</w:t>
      </w:r>
    </w:p>
    <w:p w14:paraId="28F21BB0" w14:textId="77777777" w:rsidR="00757768" w:rsidRDefault="00757768" w:rsidP="00757768">
      <w:pPr>
        <w:pStyle w:val="Note"/>
      </w:pPr>
    </w:p>
    <w:p w14:paraId="3CA67609" w14:textId="77777777" w:rsidR="00757768" w:rsidRDefault="00757768">
      <w:pPr>
        <w:spacing w:after="200" w:line="276" w:lineRule="auto"/>
        <w:rPr>
          <w:rFonts w:eastAsia="Times New Roman" w:cs="Arial"/>
          <w:b/>
          <w:bCs/>
          <w:color w:val="005CAF"/>
          <w:kern w:val="32"/>
          <w:sz w:val="24"/>
          <w:szCs w:val="24"/>
        </w:rPr>
      </w:pPr>
    </w:p>
    <w:p w14:paraId="1DA531A4" w14:textId="36D5E7DC" w:rsidR="001976EA" w:rsidRDefault="001976EA">
      <w:pPr>
        <w:spacing w:after="200" w:line="276" w:lineRule="auto"/>
        <w:rPr>
          <w:rFonts w:eastAsia="Times New Roman" w:cs="Arial"/>
          <w:b/>
          <w:bCs/>
          <w:color w:val="005CAF"/>
          <w:kern w:val="32"/>
          <w:sz w:val="24"/>
          <w:szCs w:val="24"/>
        </w:rPr>
      </w:pPr>
      <w:r>
        <w:rPr>
          <w:rFonts w:eastAsia="Times New Roman" w:cs="Arial"/>
          <w:b/>
          <w:bCs/>
          <w:color w:val="005CAF"/>
          <w:kern w:val="32"/>
          <w:sz w:val="24"/>
          <w:szCs w:val="24"/>
        </w:rPr>
        <w:br w:type="page"/>
      </w:r>
    </w:p>
    <w:p w14:paraId="076345DB" w14:textId="77777777" w:rsidR="001976EA" w:rsidRDefault="001976EA" w:rsidP="001976EA">
      <w:pPr>
        <w:pStyle w:val="UnnumberedHeading"/>
        <w:rPr>
          <w:sz w:val="20"/>
        </w:rPr>
      </w:pPr>
      <w:bookmarkStart w:id="190" w:name="_Toc172794542"/>
      <w:r w:rsidRPr="00DC6BE0">
        <w:t xml:space="preserve">Appendix </w:t>
      </w:r>
      <w:r>
        <w:t>D</w:t>
      </w:r>
      <w:r w:rsidRPr="00DC6BE0">
        <w:rPr>
          <w:sz w:val="28"/>
          <w:szCs w:val="28"/>
        </w:rPr>
        <w:t xml:space="preserve">: </w:t>
      </w:r>
      <w:r w:rsidRPr="002B6745">
        <w:t>Glossary</w:t>
      </w:r>
      <w:r>
        <w:t xml:space="preserve"> and definitions</w:t>
      </w:r>
      <w:bookmarkEnd w:id="190"/>
    </w:p>
    <w:tbl>
      <w:tblPr>
        <w:tblStyle w:val="OCETable"/>
        <w:tblW w:w="5000" w:type="pct"/>
        <w:tblLook w:val="04A0" w:firstRow="1" w:lastRow="0" w:firstColumn="1" w:lastColumn="0" w:noHBand="0" w:noVBand="1"/>
      </w:tblPr>
      <w:tblGrid>
        <w:gridCol w:w="1418"/>
        <w:gridCol w:w="5207"/>
      </w:tblGrid>
      <w:tr w:rsidR="001976EA" w14:paraId="4A3FE301" w14:textId="77777777" w:rsidTr="00187202">
        <w:trPr>
          <w:cnfStyle w:val="100000000000" w:firstRow="1" w:lastRow="0" w:firstColumn="0" w:lastColumn="0" w:oddVBand="0" w:evenVBand="0" w:oddHBand="0" w:evenHBand="0" w:firstRowFirstColumn="0" w:firstRowLastColumn="0" w:lastRowFirstColumn="0" w:lastRowLastColumn="0"/>
          <w:trHeight w:val="295"/>
        </w:trPr>
        <w:tc>
          <w:tcPr>
            <w:tcW w:w="1070" w:type="pct"/>
          </w:tcPr>
          <w:p w14:paraId="067B98BC" w14:textId="77777777" w:rsidR="001976EA" w:rsidRDefault="001976EA" w:rsidP="00AA38BB">
            <w:pPr>
              <w:pStyle w:val="Tableheader"/>
              <w:keepNext w:val="0"/>
            </w:pPr>
            <w:r>
              <w:t>Term</w:t>
            </w:r>
          </w:p>
        </w:tc>
        <w:tc>
          <w:tcPr>
            <w:tcW w:w="3930" w:type="pct"/>
          </w:tcPr>
          <w:p w14:paraId="4E9F2449" w14:textId="77777777" w:rsidR="001976EA" w:rsidRDefault="001976EA" w:rsidP="00AA38BB">
            <w:pPr>
              <w:pStyle w:val="Tableheader"/>
              <w:keepNext w:val="0"/>
            </w:pPr>
            <w:r>
              <w:t>Description</w:t>
            </w:r>
          </w:p>
        </w:tc>
      </w:tr>
      <w:tr w:rsidR="001976EA" w14:paraId="1173DFF9"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0FF47914" w14:textId="77777777" w:rsidR="001976EA" w:rsidRDefault="001976EA" w:rsidP="00AA38BB">
            <w:pPr>
              <w:pStyle w:val="Tabletext"/>
              <w:keepNext w:val="0"/>
            </w:pPr>
            <w:r w:rsidRPr="0086218A">
              <w:t>2C</w:t>
            </w:r>
          </w:p>
        </w:tc>
        <w:tc>
          <w:tcPr>
            <w:tcW w:w="3930" w:type="pct"/>
          </w:tcPr>
          <w:p w14:paraId="30D5B455" w14:textId="77777777" w:rsidR="001976EA" w:rsidRDefault="001976EA" w:rsidP="00AA38BB">
            <w:pPr>
              <w:pStyle w:val="Tabletext"/>
              <w:keepNext w:val="0"/>
            </w:pPr>
            <w:r w:rsidRPr="0086218A">
              <w:t>The best estimate of contingent resources</w:t>
            </w:r>
          </w:p>
        </w:tc>
      </w:tr>
      <w:tr w:rsidR="001976EA" w14:paraId="758D08CE"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256404B0" w14:textId="77777777" w:rsidR="001976EA" w:rsidRDefault="001976EA" w:rsidP="00AA38BB">
            <w:pPr>
              <w:pStyle w:val="Tabletext"/>
              <w:keepNext w:val="0"/>
            </w:pPr>
            <w:r w:rsidRPr="0086218A">
              <w:t>2P</w:t>
            </w:r>
          </w:p>
        </w:tc>
        <w:tc>
          <w:tcPr>
            <w:tcW w:w="3930" w:type="pct"/>
          </w:tcPr>
          <w:p w14:paraId="09149461" w14:textId="77777777" w:rsidR="001976EA" w:rsidRDefault="001976EA" w:rsidP="00AA38BB">
            <w:pPr>
              <w:pStyle w:val="Tabletext"/>
              <w:keepNext w:val="0"/>
            </w:pPr>
            <w:r w:rsidRPr="0086218A">
              <w:t>Proved and Probable; or Proved plus Probable</w:t>
            </w:r>
          </w:p>
        </w:tc>
      </w:tr>
      <w:tr w:rsidR="001976EA" w14:paraId="5989CCD0"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E97B02F" w14:textId="77777777" w:rsidR="001976EA" w:rsidRDefault="001976EA" w:rsidP="00AA38BB">
            <w:pPr>
              <w:pStyle w:val="Tabletext"/>
              <w:keepNext w:val="0"/>
            </w:pPr>
            <w:r w:rsidRPr="0086218A">
              <w:t>ABS</w:t>
            </w:r>
          </w:p>
        </w:tc>
        <w:tc>
          <w:tcPr>
            <w:tcW w:w="3930" w:type="pct"/>
          </w:tcPr>
          <w:p w14:paraId="5C4EE3E6" w14:textId="77777777" w:rsidR="001976EA" w:rsidRDefault="001976EA" w:rsidP="00AA38BB">
            <w:pPr>
              <w:pStyle w:val="Tabletext"/>
              <w:keepNext w:val="0"/>
            </w:pPr>
            <w:r w:rsidRPr="0086218A">
              <w:t>Australian Bureau of Statistics</w:t>
            </w:r>
          </w:p>
        </w:tc>
      </w:tr>
      <w:tr w:rsidR="001976EA" w14:paraId="64428989"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68334BC" w14:textId="77777777" w:rsidR="001976EA" w:rsidRDefault="001976EA" w:rsidP="00AA38BB">
            <w:pPr>
              <w:pStyle w:val="Tabletext"/>
              <w:keepNext w:val="0"/>
            </w:pPr>
            <w:r w:rsidRPr="0086218A">
              <w:t>ACCC</w:t>
            </w:r>
          </w:p>
        </w:tc>
        <w:tc>
          <w:tcPr>
            <w:tcW w:w="3930" w:type="pct"/>
          </w:tcPr>
          <w:p w14:paraId="428ADCB9" w14:textId="77777777" w:rsidR="001976EA" w:rsidRDefault="001976EA" w:rsidP="00AA38BB">
            <w:pPr>
              <w:pStyle w:val="Tabletext"/>
              <w:keepNext w:val="0"/>
            </w:pPr>
            <w:r w:rsidRPr="0086218A">
              <w:t>Australian Competition and Consumer Commission</w:t>
            </w:r>
          </w:p>
        </w:tc>
      </w:tr>
      <w:tr w:rsidR="001976EA" w14:paraId="535AF339"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67A32EEC" w14:textId="77777777" w:rsidR="001976EA" w:rsidRDefault="001976EA" w:rsidP="00AA38BB">
            <w:pPr>
              <w:pStyle w:val="Tabletext"/>
              <w:keepNext w:val="0"/>
            </w:pPr>
            <w:r w:rsidRPr="0086218A">
              <w:t>ACCU</w:t>
            </w:r>
          </w:p>
        </w:tc>
        <w:tc>
          <w:tcPr>
            <w:tcW w:w="3930" w:type="pct"/>
          </w:tcPr>
          <w:p w14:paraId="7A4C11FC" w14:textId="77777777" w:rsidR="001976EA" w:rsidRDefault="001976EA" w:rsidP="00AA38BB">
            <w:pPr>
              <w:pStyle w:val="Tabletext"/>
              <w:keepNext w:val="0"/>
            </w:pPr>
            <w:r w:rsidRPr="0086218A">
              <w:t xml:space="preserve">Australian Carbon Credit Units </w:t>
            </w:r>
          </w:p>
        </w:tc>
      </w:tr>
      <w:tr w:rsidR="001976EA" w14:paraId="5E20460A"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331A327" w14:textId="77777777" w:rsidR="001976EA" w:rsidRDefault="001976EA" w:rsidP="00AA38BB">
            <w:pPr>
              <w:pStyle w:val="Tabletext"/>
              <w:keepNext w:val="0"/>
            </w:pPr>
            <w:r w:rsidRPr="0086218A">
              <w:t>ACT</w:t>
            </w:r>
          </w:p>
        </w:tc>
        <w:tc>
          <w:tcPr>
            <w:tcW w:w="3930" w:type="pct"/>
          </w:tcPr>
          <w:p w14:paraId="024CFA05" w14:textId="77777777" w:rsidR="001976EA" w:rsidRDefault="001976EA" w:rsidP="00AA38BB">
            <w:pPr>
              <w:pStyle w:val="Tabletext"/>
              <w:keepNext w:val="0"/>
            </w:pPr>
            <w:r w:rsidRPr="0086218A">
              <w:t>Australian Capital Territory</w:t>
            </w:r>
          </w:p>
        </w:tc>
      </w:tr>
      <w:tr w:rsidR="001976EA" w14:paraId="282FC864"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172BDEA1" w14:textId="77777777" w:rsidR="001976EA" w:rsidRDefault="001976EA" w:rsidP="00AA38BB">
            <w:pPr>
              <w:pStyle w:val="Tabletext"/>
              <w:keepNext w:val="0"/>
            </w:pPr>
            <w:r w:rsidRPr="0086218A">
              <w:t>ADGSM</w:t>
            </w:r>
          </w:p>
        </w:tc>
        <w:tc>
          <w:tcPr>
            <w:tcW w:w="3930" w:type="pct"/>
          </w:tcPr>
          <w:p w14:paraId="09088DAD" w14:textId="77777777" w:rsidR="001976EA" w:rsidRDefault="001976EA" w:rsidP="00AA38BB">
            <w:pPr>
              <w:pStyle w:val="Tabletext"/>
              <w:keepNext w:val="0"/>
            </w:pPr>
            <w:r w:rsidRPr="0086218A">
              <w:t>Australian Domestic Gas Security Mechanism</w:t>
            </w:r>
          </w:p>
        </w:tc>
      </w:tr>
      <w:tr w:rsidR="001976EA" w14:paraId="1AEF8466"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4C27740D" w14:textId="77777777" w:rsidR="001976EA" w:rsidRPr="0086218A" w:rsidRDefault="001976EA" w:rsidP="00AA38BB">
            <w:pPr>
              <w:pStyle w:val="Tabletext"/>
              <w:keepNext w:val="0"/>
            </w:pPr>
            <w:r>
              <w:t>AE</w:t>
            </w:r>
          </w:p>
        </w:tc>
        <w:tc>
          <w:tcPr>
            <w:tcW w:w="3930" w:type="pct"/>
          </w:tcPr>
          <w:p w14:paraId="209BFAC1" w14:textId="77777777" w:rsidR="001976EA" w:rsidRPr="0086218A" w:rsidRDefault="001976EA" w:rsidP="00AA38BB">
            <w:pPr>
              <w:pStyle w:val="Tabletext"/>
              <w:keepNext w:val="0"/>
            </w:pPr>
            <w:r>
              <w:t>Alkaline Electrolyser</w:t>
            </w:r>
          </w:p>
        </w:tc>
      </w:tr>
      <w:tr w:rsidR="001976EA" w14:paraId="5CE00E71"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71B6FF10" w14:textId="77777777" w:rsidR="001976EA" w:rsidRDefault="001976EA" w:rsidP="00AA38BB">
            <w:pPr>
              <w:pStyle w:val="Tabletext"/>
              <w:keepNext w:val="0"/>
            </w:pPr>
            <w:r w:rsidRPr="0086218A">
              <w:t>AEMO</w:t>
            </w:r>
          </w:p>
        </w:tc>
        <w:tc>
          <w:tcPr>
            <w:tcW w:w="3930" w:type="pct"/>
          </w:tcPr>
          <w:p w14:paraId="146409FE" w14:textId="77777777" w:rsidR="001976EA" w:rsidRDefault="001976EA" w:rsidP="00AA38BB">
            <w:pPr>
              <w:pStyle w:val="Tabletext"/>
              <w:keepNext w:val="0"/>
            </w:pPr>
            <w:r w:rsidRPr="0086218A">
              <w:t>Australian Energy Market Operator</w:t>
            </w:r>
          </w:p>
        </w:tc>
      </w:tr>
      <w:tr w:rsidR="001976EA" w14:paraId="5E4B36C2"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A96F598" w14:textId="77777777" w:rsidR="001976EA" w:rsidRDefault="001976EA" w:rsidP="00AA38BB">
            <w:pPr>
              <w:pStyle w:val="Tabletext"/>
              <w:keepNext w:val="0"/>
            </w:pPr>
            <w:r w:rsidRPr="0086218A">
              <w:t>AER</w:t>
            </w:r>
          </w:p>
        </w:tc>
        <w:tc>
          <w:tcPr>
            <w:tcW w:w="3930" w:type="pct"/>
          </w:tcPr>
          <w:p w14:paraId="2C589B51" w14:textId="77777777" w:rsidR="001976EA" w:rsidRDefault="001976EA" w:rsidP="00AA38BB">
            <w:pPr>
              <w:pStyle w:val="Tabletext"/>
              <w:keepNext w:val="0"/>
            </w:pPr>
            <w:r w:rsidRPr="0086218A">
              <w:t>Australian Energy Regulator</w:t>
            </w:r>
          </w:p>
        </w:tc>
      </w:tr>
      <w:tr w:rsidR="001976EA" w14:paraId="5AB8EEBC"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0680A37F" w14:textId="77777777" w:rsidR="001976EA" w:rsidRDefault="001976EA" w:rsidP="00AA38BB">
            <w:pPr>
              <w:pStyle w:val="Tabletext"/>
              <w:keepNext w:val="0"/>
            </w:pPr>
            <w:r w:rsidRPr="0086218A">
              <w:t>AGP</w:t>
            </w:r>
          </w:p>
        </w:tc>
        <w:tc>
          <w:tcPr>
            <w:tcW w:w="3930" w:type="pct"/>
          </w:tcPr>
          <w:p w14:paraId="100CEBA6" w14:textId="77777777" w:rsidR="001976EA" w:rsidRDefault="001976EA" w:rsidP="00AA38BB">
            <w:pPr>
              <w:pStyle w:val="Tabletext"/>
              <w:keepNext w:val="0"/>
            </w:pPr>
            <w:r w:rsidRPr="0086218A">
              <w:t>Amadeus Gas Pipeline</w:t>
            </w:r>
          </w:p>
        </w:tc>
      </w:tr>
      <w:tr w:rsidR="001976EA" w14:paraId="62354E8E"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03AB7B51" w14:textId="77777777" w:rsidR="001976EA" w:rsidRDefault="001976EA" w:rsidP="00AA38BB">
            <w:pPr>
              <w:pStyle w:val="Tabletext"/>
              <w:keepNext w:val="0"/>
            </w:pPr>
            <w:r w:rsidRPr="0086218A">
              <w:t>AIE</w:t>
            </w:r>
          </w:p>
        </w:tc>
        <w:tc>
          <w:tcPr>
            <w:tcW w:w="3930" w:type="pct"/>
          </w:tcPr>
          <w:p w14:paraId="64A67DCF" w14:textId="77777777" w:rsidR="001976EA" w:rsidRDefault="001976EA" w:rsidP="00AA38BB">
            <w:pPr>
              <w:pStyle w:val="Tabletext"/>
              <w:keepNext w:val="0"/>
            </w:pPr>
            <w:r w:rsidRPr="0086218A">
              <w:t xml:space="preserve">Australian Industrial Energy </w:t>
            </w:r>
          </w:p>
        </w:tc>
      </w:tr>
      <w:tr w:rsidR="001976EA" w14:paraId="58ACB56F"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2138E0E" w14:textId="77777777" w:rsidR="001976EA" w:rsidRDefault="001976EA" w:rsidP="00AA38BB">
            <w:pPr>
              <w:pStyle w:val="Tabletext"/>
              <w:keepNext w:val="0"/>
            </w:pPr>
            <w:r w:rsidRPr="0086218A">
              <w:t>APLNG</w:t>
            </w:r>
          </w:p>
        </w:tc>
        <w:tc>
          <w:tcPr>
            <w:tcW w:w="3930" w:type="pct"/>
          </w:tcPr>
          <w:p w14:paraId="333D7B37" w14:textId="77777777" w:rsidR="001976EA" w:rsidRDefault="001976EA" w:rsidP="00AA38BB">
            <w:pPr>
              <w:pStyle w:val="Tabletext"/>
              <w:keepNext w:val="0"/>
            </w:pPr>
            <w:r w:rsidRPr="0086218A">
              <w:t xml:space="preserve">Australia Pacific LNG </w:t>
            </w:r>
          </w:p>
        </w:tc>
      </w:tr>
      <w:tr w:rsidR="001976EA" w14:paraId="46CE7EBC"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4B955F6" w14:textId="77777777" w:rsidR="001976EA" w:rsidRDefault="001976EA" w:rsidP="00AA38BB">
            <w:pPr>
              <w:pStyle w:val="Tabletext"/>
              <w:keepNext w:val="0"/>
            </w:pPr>
            <w:r w:rsidRPr="0086218A">
              <w:t>APS</w:t>
            </w:r>
          </w:p>
        </w:tc>
        <w:tc>
          <w:tcPr>
            <w:tcW w:w="3930" w:type="pct"/>
          </w:tcPr>
          <w:p w14:paraId="0523BB20" w14:textId="77777777" w:rsidR="001976EA" w:rsidRDefault="001976EA" w:rsidP="00AA38BB">
            <w:pPr>
              <w:pStyle w:val="Tabletext"/>
              <w:keepNext w:val="0"/>
            </w:pPr>
            <w:r w:rsidRPr="0086218A">
              <w:t xml:space="preserve">Announced Pledges Scenario </w:t>
            </w:r>
          </w:p>
        </w:tc>
      </w:tr>
      <w:tr w:rsidR="001976EA" w14:paraId="51D53F32"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7AE0D067" w14:textId="77777777" w:rsidR="001976EA" w:rsidRDefault="001976EA" w:rsidP="00AA38BB">
            <w:pPr>
              <w:pStyle w:val="Tabletext"/>
              <w:keepNext w:val="0"/>
            </w:pPr>
            <w:r w:rsidRPr="0086218A">
              <w:t>ARENA</w:t>
            </w:r>
          </w:p>
        </w:tc>
        <w:tc>
          <w:tcPr>
            <w:tcW w:w="3930" w:type="pct"/>
          </w:tcPr>
          <w:p w14:paraId="1DA80504" w14:textId="77777777" w:rsidR="001976EA" w:rsidRDefault="001976EA" w:rsidP="00AA38BB">
            <w:pPr>
              <w:pStyle w:val="Tabletext"/>
              <w:keepNext w:val="0"/>
            </w:pPr>
            <w:r w:rsidRPr="0086218A">
              <w:t>Australian Renewable Energy Agency</w:t>
            </w:r>
          </w:p>
        </w:tc>
      </w:tr>
      <w:tr w:rsidR="001976EA" w14:paraId="7A3DDB59"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CE64BB5" w14:textId="77777777" w:rsidR="001976EA" w:rsidRDefault="001976EA" w:rsidP="00AA38BB">
            <w:pPr>
              <w:pStyle w:val="Tabletext"/>
              <w:keepNext w:val="0"/>
            </w:pPr>
            <w:r w:rsidRPr="0086218A">
              <w:t>ASEAN</w:t>
            </w:r>
          </w:p>
        </w:tc>
        <w:tc>
          <w:tcPr>
            <w:tcW w:w="3930" w:type="pct"/>
          </w:tcPr>
          <w:p w14:paraId="29F36A32" w14:textId="77777777" w:rsidR="001976EA" w:rsidRDefault="001976EA" w:rsidP="00AA38BB">
            <w:pPr>
              <w:pStyle w:val="Tabletext"/>
              <w:keepNext w:val="0"/>
            </w:pPr>
            <w:r w:rsidRPr="0086218A">
              <w:t>Association of Southeast Asian Nations</w:t>
            </w:r>
          </w:p>
        </w:tc>
      </w:tr>
      <w:tr w:rsidR="001976EA" w14:paraId="01E3E946"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214E7B5" w14:textId="77777777" w:rsidR="001976EA" w:rsidRDefault="001976EA" w:rsidP="00AA38BB">
            <w:pPr>
              <w:pStyle w:val="Tabletext"/>
              <w:keepNext w:val="0"/>
            </w:pPr>
            <w:r w:rsidRPr="0086218A">
              <w:t>AUD</w:t>
            </w:r>
          </w:p>
        </w:tc>
        <w:tc>
          <w:tcPr>
            <w:tcW w:w="3930" w:type="pct"/>
          </w:tcPr>
          <w:p w14:paraId="6709E6B0" w14:textId="77777777" w:rsidR="001976EA" w:rsidRDefault="001976EA" w:rsidP="00AA38BB">
            <w:pPr>
              <w:pStyle w:val="Tabletext"/>
              <w:keepNext w:val="0"/>
            </w:pPr>
            <w:r w:rsidRPr="0086218A">
              <w:t xml:space="preserve">Australian Dollar </w:t>
            </w:r>
          </w:p>
        </w:tc>
      </w:tr>
      <w:tr w:rsidR="001976EA" w14:paraId="12F8BC21"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F78D529" w14:textId="77777777" w:rsidR="001976EA" w:rsidRDefault="001976EA" w:rsidP="00AA38BB">
            <w:pPr>
              <w:pStyle w:val="Tabletext"/>
              <w:keepNext w:val="0"/>
            </w:pPr>
            <w:r w:rsidRPr="0086218A">
              <w:t>AWE</w:t>
            </w:r>
          </w:p>
        </w:tc>
        <w:tc>
          <w:tcPr>
            <w:tcW w:w="3930" w:type="pct"/>
          </w:tcPr>
          <w:p w14:paraId="7996383F" w14:textId="77777777" w:rsidR="001976EA" w:rsidRDefault="001976EA" w:rsidP="00AA38BB">
            <w:pPr>
              <w:pStyle w:val="Tabletext"/>
              <w:keepNext w:val="0"/>
            </w:pPr>
            <w:r w:rsidRPr="0086218A">
              <w:t xml:space="preserve">Alkaline Water Electrolysis </w:t>
            </w:r>
          </w:p>
        </w:tc>
      </w:tr>
      <w:tr w:rsidR="001976EA" w14:paraId="0612C1E8"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6B55FF8C" w14:textId="77777777" w:rsidR="001976EA" w:rsidRDefault="001976EA" w:rsidP="00AA38BB">
            <w:pPr>
              <w:pStyle w:val="Tabletext"/>
              <w:keepNext w:val="0"/>
            </w:pPr>
            <w:r w:rsidRPr="0086218A">
              <w:t>BAT</w:t>
            </w:r>
          </w:p>
        </w:tc>
        <w:tc>
          <w:tcPr>
            <w:tcW w:w="3930" w:type="pct"/>
          </w:tcPr>
          <w:p w14:paraId="5D399B96" w14:textId="77777777" w:rsidR="001976EA" w:rsidRDefault="001976EA" w:rsidP="00AA38BB">
            <w:pPr>
              <w:pStyle w:val="Tabletext"/>
              <w:keepNext w:val="0"/>
            </w:pPr>
            <w:r w:rsidRPr="0086218A">
              <w:t>Best Available Technology</w:t>
            </w:r>
          </w:p>
        </w:tc>
      </w:tr>
      <w:tr w:rsidR="001976EA" w14:paraId="60D3A6FD"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8A590CA" w14:textId="77777777" w:rsidR="001976EA" w:rsidRDefault="001976EA" w:rsidP="00AA38BB">
            <w:pPr>
              <w:pStyle w:val="Tabletext"/>
              <w:keepNext w:val="0"/>
            </w:pPr>
            <w:r w:rsidRPr="0086218A">
              <w:t>BCM</w:t>
            </w:r>
          </w:p>
        </w:tc>
        <w:tc>
          <w:tcPr>
            <w:tcW w:w="3930" w:type="pct"/>
          </w:tcPr>
          <w:p w14:paraId="22B04F01" w14:textId="77777777" w:rsidR="001976EA" w:rsidRDefault="001976EA" w:rsidP="00AA38BB">
            <w:pPr>
              <w:pStyle w:val="Tabletext"/>
              <w:keepNext w:val="0"/>
            </w:pPr>
            <w:r w:rsidRPr="0086218A">
              <w:t>Billion cubic metr</w:t>
            </w:r>
            <w:r>
              <w:t>e</w:t>
            </w:r>
            <w:r w:rsidRPr="0086218A">
              <w:t>s</w:t>
            </w:r>
          </w:p>
        </w:tc>
      </w:tr>
      <w:tr w:rsidR="001976EA" w14:paraId="28954A91"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2BA18A5" w14:textId="77777777" w:rsidR="001976EA" w:rsidRDefault="001976EA" w:rsidP="00AA38BB">
            <w:pPr>
              <w:pStyle w:val="Tabletext"/>
              <w:keepNext w:val="0"/>
            </w:pPr>
            <w:r w:rsidRPr="0086218A">
              <w:t>BCR</w:t>
            </w:r>
          </w:p>
        </w:tc>
        <w:tc>
          <w:tcPr>
            <w:tcW w:w="3930" w:type="pct"/>
          </w:tcPr>
          <w:p w14:paraId="28503887" w14:textId="77777777" w:rsidR="001976EA" w:rsidRDefault="001976EA" w:rsidP="00AA38BB">
            <w:pPr>
              <w:pStyle w:val="Tabletext"/>
              <w:keepNext w:val="0"/>
            </w:pPr>
            <w:r w:rsidRPr="0086218A">
              <w:t>Benefit</w:t>
            </w:r>
            <w:r>
              <w:t>-c</w:t>
            </w:r>
            <w:r w:rsidRPr="0086218A">
              <w:t xml:space="preserve">ost </w:t>
            </w:r>
            <w:r>
              <w:t>r</w:t>
            </w:r>
            <w:r w:rsidRPr="0086218A">
              <w:t xml:space="preserve">atio </w:t>
            </w:r>
          </w:p>
        </w:tc>
      </w:tr>
      <w:tr w:rsidR="001976EA" w14:paraId="4DE76F26"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025A6702" w14:textId="77777777" w:rsidR="001976EA" w:rsidRDefault="001976EA" w:rsidP="00AA38BB">
            <w:pPr>
              <w:pStyle w:val="Tabletext"/>
              <w:keepNext w:val="0"/>
            </w:pPr>
            <w:r w:rsidRPr="0086218A">
              <w:t>BF-BOF</w:t>
            </w:r>
          </w:p>
        </w:tc>
        <w:tc>
          <w:tcPr>
            <w:tcW w:w="3930" w:type="pct"/>
          </w:tcPr>
          <w:p w14:paraId="612E7265" w14:textId="77777777" w:rsidR="001976EA" w:rsidRDefault="001976EA" w:rsidP="00AA38BB">
            <w:pPr>
              <w:pStyle w:val="Tabletext"/>
              <w:keepNext w:val="0"/>
            </w:pPr>
            <w:r w:rsidRPr="0086218A">
              <w:t>Blast Furnace-Basic Oxygen Furnace</w:t>
            </w:r>
          </w:p>
        </w:tc>
      </w:tr>
      <w:tr w:rsidR="001976EA" w14:paraId="3F9D8002"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429FE935" w14:textId="77777777" w:rsidR="001976EA" w:rsidRDefault="001976EA" w:rsidP="00AA38BB">
            <w:pPr>
              <w:pStyle w:val="Tabletext"/>
              <w:keepNext w:val="0"/>
            </w:pPr>
            <w:r w:rsidRPr="0086218A">
              <w:t>BP</w:t>
            </w:r>
          </w:p>
        </w:tc>
        <w:tc>
          <w:tcPr>
            <w:tcW w:w="3930" w:type="pct"/>
          </w:tcPr>
          <w:p w14:paraId="0BC27F62" w14:textId="77777777" w:rsidR="001976EA" w:rsidRDefault="001976EA" w:rsidP="00AA38BB">
            <w:pPr>
              <w:pStyle w:val="Tabletext"/>
              <w:keepNext w:val="0"/>
            </w:pPr>
            <w:r w:rsidRPr="0086218A">
              <w:t>British Petroleum</w:t>
            </w:r>
          </w:p>
        </w:tc>
      </w:tr>
      <w:tr w:rsidR="001976EA" w14:paraId="0C571992"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844A96A" w14:textId="77777777" w:rsidR="001976EA" w:rsidRDefault="001976EA" w:rsidP="00AA38BB">
            <w:pPr>
              <w:pStyle w:val="Tabletext"/>
              <w:keepNext w:val="0"/>
            </w:pPr>
            <w:r w:rsidRPr="0086218A">
              <w:t>CCS</w:t>
            </w:r>
          </w:p>
        </w:tc>
        <w:tc>
          <w:tcPr>
            <w:tcW w:w="3930" w:type="pct"/>
          </w:tcPr>
          <w:p w14:paraId="1D241570" w14:textId="77777777" w:rsidR="001976EA" w:rsidRDefault="001976EA" w:rsidP="00AA38BB">
            <w:pPr>
              <w:pStyle w:val="Tabletext"/>
              <w:keepNext w:val="0"/>
            </w:pPr>
            <w:r w:rsidRPr="0086218A">
              <w:t xml:space="preserve">Carbon Capture and Storage </w:t>
            </w:r>
          </w:p>
        </w:tc>
      </w:tr>
      <w:tr w:rsidR="00187202" w14:paraId="19F00200"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0BDFD3D5" w14:textId="77777777" w:rsidR="00187202" w:rsidRDefault="00187202" w:rsidP="00AA38BB">
            <w:pPr>
              <w:pStyle w:val="Tabletext"/>
              <w:keepNext w:val="0"/>
            </w:pPr>
            <w:r w:rsidRPr="00823F1E">
              <w:t>CCUS</w:t>
            </w:r>
          </w:p>
        </w:tc>
        <w:tc>
          <w:tcPr>
            <w:tcW w:w="3930" w:type="pct"/>
          </w:tcPr>
          <w:p w14:paraId="24CE506C" w14:textId="77777777" w:rsidR="00187202" w:rsidRDefault="00187202" w:rsidP="00AA38BB">
            <w:pPr>
              <w:pStyle w:val="Tabletext"/>
              <w:keepNext w:val="0"/>
            </w:pPr>
            <w:r w:rsidRPr="00823F1E">
              <w:t xml:space="preserve">Carbon Capture, Use and Storage </w:t>
            </w:r>
          </w:p>
        </w:tc>
      </w:tr>
      <w:tr w:rsidR="00187202" w14:paraId="024D1286"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27896769" w14:textId="77777777" w:rsidR="00187202" w:rsidRDefault="00187202" w:rsidP="00962382">
            <w:pPr>
              <w:pStyle w:val="Tabletext"/>
              <w:keepNext w:val="0"/>
            </w:pPr>
            <w:r w:rsidRPr="00823F1E">
              <w:t>CH</w:t>
            </w:r>
            <w:r w:rsidRPr="000923E6">
              <w:rPr>
                <w:vertAlign w:val="subscript"/>
              </w:rPr>
              <w:t>4</w:t>
            </w:r>
          </w:p>
        </w:tc>
        <w:tc>
          <w:tcPr>
            <w:tcW w:w="3930" w:type="pct"/>
          </w:tcPr>
          <w:p w14:paraId="5D50DD77" w14:textId="77777777" w:rsidR="00187202" w:rsidRDefault="00187202" w:rsidP="00962382">
            <w:pPr>
              <w:pStyle w:val="Tabletext"/>
              <w:keepNext w:val="0"/>
            </w:pPr>
            <w:r w:rsidRPr="00823F1E">
              <w:t>Methane</w:t>
            </w:r>
          </w:p>
        </w:tc>
      </w:tr>
      <w:tr w:rsidR="00187202" w14:paraId="5E8CD288" w14:textId="77777777" w:rsidTr="00187202">
        <w:trPr>
          <w:cnfStyle w:val="000000100000" w:firstRow="0" w:lastRow="0" w:firstColumn="0" w:lastColumn="0" w:oddVBand="0" w:evenVBand="0" w:oddHBand="1" w:evenHBand="0" w:firstRowFirstColumn="0" w:firstRowLastColumn="0" w:lastRowFirstColumn="0" w:lastRowLastColumn="0"/>
          <w:trHeight w:val="295"/>
        </w:trPr>
        <w:tc>
          <w:tcPr>
            <w:tcW w:w="1070" w:type="pct"/>
          </w:tcPr>
          <w:p w14:paraId="61CC4E8F" w14:textId="77777777" w:rsidR="00187202" w:rsidRDefault="00187202" w:rsidP="00962382">
            <w:pPr>
              <w:pStyle w:val="Tabletext"/>
              <w:keepNext w:val="0"/>
            </w:pPr>
            <w:r w:rsidRPr="00E56435">
              <w:t>CIE</w:t>
            </w:r>
          </w:p>
        </w:tc>
        <w:tc>
          <w:tcPr>
            <w:tcW w:w="3930" w:type="pct"/>
          </w:tcPr>
          <w:p w14:paraId="75EEA069" w14:textId="77777777" w:rsidR="00187202" w:rsidRDefault="00187202" w:rsidP="00962382">
            <w:pPr>
              <w:pStyle w:val="Tabletext"/>
              <w:keepNext w:val="0"/>
            </w:pPr>
            <w:r w:rsidRPr="00E56435">
              <w:t>Computability in Europe</w:t>
            </w:r>
          </w:p>
        </w:tc>
      </w:tr>
      <w:tr w:rsidR="00187202" w14:paraId="546106C6"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5B7584F2" w14:textId="77777777" w:rsidR="00187202" w:rsidRDefault="00187202" w:rsidP="00AA38BB">
            <w:pPr>
              <w:pStyle w:val="Tabletext"/>
              <w:keepNext w:val="0"/>
            </w:pPr>
            <w:r w:rsidRPr="00E56435">
              <w:t>CO</w:t>
            </w:r>
          </w:p>
        </w:tc>
        <w:tc>
          <w:tcPr>
            <w:tcW w:w="3930" w:type="pct"/>
          </w:tcPr>
          <w:p w14:paraId="467A1413" w14:textId="77777777" w:rsidR="00187202" w:rsidRDefault="00187202" w:rsidP="00AA38BB">
            <w:pPr>
              <w:pStyle w:val="Tabletext"/>
              <w:keepNext w:val="0"/>
            </w:pPr>
            <w:r w:rsidRPr="00E56435">
              <w:t xml:space="preserve">Carbon monoxide </w:t>
            </w:r>
          </w:p>
        </w:tc>
      </w:tr>
      <w:tr w:rsidR="00187202" w14:paraId="453B88B4"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294DCD05" w14:textId="77777777" w:rsidR="00187202" w:rsidRDefault="00187202" w:rsidP="00AA38BB">
            <w:pPr>
              <w:pStyle w:val="Tabletext"/>
              <w:keepNext w:val="0"/>
            </w:pPr>
            <w:r w:rsidRPr="00E56435">
              <w:t>CO</w:t>
            </w:r>
            <w:r w:rsidRPr="0052215B">
              <w:rPr>
                <w:szCs w:val="16"/>
                <w:vertAlign w:val="subscript"/>
              </w:rPr>
              <w:t>2</w:t>
            </w:r>
          </w:p>
        </w:tc>
        <w:tc>
          <w:tcPr>
            <w:tcW w:w="3930" w:type="pct"/>
          </w:tcPr>
          <w:p w14:paraId="28BF12A8" w14:textId="77777777" w:rsidR="00187202" w:rsidRDefault="00187202" w:rsidP="00AA38BB">
            <w:pPr>
              <w:pStyle w:val="Tabletext"/>
              <w:keepNext w:val="0"/>
            </w:pPr>
            <w:r w:rsidRPr="00E56435">
              <w:t>Carbon dioxide</w:t>
            </w:r>
          </w:p>
        </w:tc>
      </w:tr>
      <w:tr w:rsidR="00187202" w:rsidRPr="00E56435" w14:paraId="2DD421DB"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7F83AC8" w14:textId="77777777" w:rsidR="00187202" w:rsidRPr="00E56435" w:rsidRDefault="00187202" w:rsidP="00AA38BB">
            <w:pPr>
              <w:pStyle w:val="Tabletext"/>
              <w:keepNext w:val="0"/>
            </w:pPr>
            <w:r w:rsidRPr="006E79D8">
              <w:rPr>
                <w:rFonts w:eastAsia="Times New Roman"/>
                <w:szCs w:val="16"/>
                <w:lang w:val="en"/>
              </w:rPr>
              <w:t>CO</w:t>
            </w:r>
            <w:r w:rsidRPr="006E79D8">
              <w:rPr>
                <w:rFonts w:eastAsia="Times New Roman"/>
                <w:szCs w:val="16"/>
                <w:vertAlign w:val="subscript"/>
                <w:lang w:val="en"/>
              </w:rPr>
              <w:t>2</w:t>
            </w:r>
            <w:r w:rsidRPr="006E79D8">
              <w:rPr>
                <w:rFonts w:eastAsia="Times New Roman"/>
                <w:szCs w:val="16"/>
                <w:lang w:val="en"/>
              </w:rPr>
              <w:t>-e</w:t>
            </w:r>
          </w:p>
        </w:tc>
        <w:tc>
          <w:tcPr>
            <w:tcW w:w="3930" w:type="pct"/>
          </w:tcPr>
          <w:p w14:paraId="28F3D8E2" w14:textId="77777777" w:rsidR="00187202" w:rsidRPr="00E56435" w:rsidRDefault="00187202" w:rsidP="00AA38BB">
            <w:pPr>
              <w:pStyle w:val="Tabletext"/>
              <w:keepNext w:val="0"/>
            </w:pPr>
            <w:r w:rsidRPr="006E79D8">
              <w:rPr>
                <w:szCs w:val="16"/>
              </w:rPr>
              <w:t xml:space="preserve">Carbon dioxide equivalent </w:t>
            </w:r>
          </w:p>
        </w:tc>
      </w:tr>
      <w:tr w:rsidR="00187202" w14:paraId="645E8D2F"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E239A89" w14:textId="77777777" w:rsidR="00187202" w:rsidRDefault="00187202" w:rsidP="00AA38BB">
            <w:pPr>
              <w:pStyle w:val="Tabletext"/>
              <w:keepNext w:val="0"/>
            </w:pPr>
            <w:r w:rsidRPr="00E56435">
              <w:t>CSG</w:t>
            </w:r>
          </w:p>
        </w:tc>
        <w:tc>
          <w:tcPr>
            <w:tcW w:w="3930" w:type="pct"/>
          </w:tcPr>
          <w:p w14:paraId="76EC5AA6" w14:textId="77777777" w:rsidR="00187202" w:rsidRDefault="00187202" w:rsidP="00AA38BB">
            <w:pPr>
              <w:pStyle w:val="Tabletext"/>
              <w:keepNext w:val="0"/>
            </w:pPr>
            <w:r w:rsidRPr="00E56435">
              <w:t>Coal Seam Gas</w:t>
            </w:r>
          </w:p>
        </w:tc>
      </w:tr>
      <w:tr w:rsidR="00187202" w14:paraId="1D7769BF"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A5B4015" w14:textId="77777777" w:rsidR="00187202" w:rsidRDefault="00187202" w:rsidP="00AA38BB">
            <w:pPr>
              <w:pStyle w:val="Tabletext"/>
              <w:keepNext w:val="0"/>
            </w:pPr>
            <w:r w:rsidRPr="00E56435">
              <w:t>CSIRO</w:t>
            </w:r>
          </w:p>
        </w:tc>
        <w:tc>
          <w:tcPr>
            <w:tcW w:w="3930" w:type="pct"/>
          </w:tcPr>
          <w:p w14:paraId="39B630B5" w14:textId="77777777" w:rsidR="00187202" w:rsidRDefault="00187202" w:rsidP="00AA38BB">
            <w:pPr>
              <w:pStyle w:val="Tabletext"/>
              <w:keepNext w:val="0"/>
            </w:pPr>
            <w:r w:rsidRPr="00E56435">
              <w:t>Commonwealth Scientific and Industrial Research Organisation</w:t>
            </w:r>
          </w:p>
        </w:tc>
      </w:tr>
      <w:tr w:rsidR="00187202" w14:paraId="62E1ABF9"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09207DA3" w14:textId="77777777" w:rsidR="00187202" w:rsidRDefault="00187202" w:rsidP="00AA38BB">
            <w:pPr>
              <w:pStyle w:val="Tabletext"/>
              <w:keepNext w:val="0"/>
            </w:pPr>
            <w:r w:rsidRPr="00E56435">
              <w:t>DAC</w:t>
            </w:r>
          </w:p>
        </w:tc>
        <w:tc>
          <w:tcPr>
            <w:tcW w:w="3930" w:type="pct"/>
          </w:tcPr>
          <w:p w14:paraId="3E808100" w14:textId="77777777" w:rsidR="00187202" w:rsidRDefault="00187202" w:rsidP="00AA38BB">
            <w:pPr>
              <w:pStyle w:val="Tabletext"/>
              <w:keepNext w:val="0"/>
            </w:pPr>
            <w:r w:rsidRPr="00E56435">
              <w:t xml:space="preserve">Direct Air Capture </w:t>
            </w:r>
          </w:p>
        </w:tc>
      </w:tr>
      <w:tr w:rsidR="00187202" w14:paraId="04695867"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068F5A89" w14:textId="77777777" w:rsidR="00187202" w:rsidRDefault="00187202" w:rsidP="00AA38BB">
            <w:pPr>
              <w:pStyle w:val="Tabletext"/>
              <w:keepNext w:val="0"/>
            </w:pPr>
            <w:r w:rsidRPr="00E56435">
              <w:t>DBNGP</w:t>
            </w:r>
          </w:p>
        </w:tc>
        <w:tc>
          <w:tcPr>
            <w:tcW w:w="3930" w:type="pct"/>
          </w:tcPr>
          <w:p w14:paraId="4490DC89" w14:textId="77777777" w:rsidR="00187202" w:rsidRDefault="00187202" w:rsidP="00AA38BB">
            <w:pPr>
              <w:pStyle w:val="Tabletext"/>
              <w:keepNext w:val="0"/>
            </w:pPr>
            <w:r w:rsidRPr="00E56435">
              <w:t>Dampier to Bunbury Natural Gas Pipeline</w:t>
            </w:r>
          </w:p>
        </w:tc>
      </w:tr>
      <w:tr w:rsidR="00187202" w14:paraId="535EBCD8"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587118B8" w14:textId="77777777" w:rsidR="00187202" w:rsidRDefault="00187202" w:rsidP="00AA38BB">
            <w:pPr>
              <w:pStyle w:val="Tabletext"/>
              <w:keepNext w:val="0"/>
            </w:pPr>
            <w:r w:rsidRPr="00E56435">
              <w:t>DCCEEW</w:t>
            </w:r>
          </w:p>
        </w:tc>
        <w:tc>
          <w:tcPr>
            <w:tcW w:w="3930" w:type="pct"/>
          </w:tcPr>
          <w:p w14:paraId="05CE389E" w14:textId="77777777" w:rsidR="00187202" w:rsidRDefault="00187202" w:rsidP="00AA38BB">
            <w:pPr>
              <w:pStyle w:val="Tabletext"/>
              <w:keepNext w:val="0"/>
            </w:pPr>
            <w:r w:rsidRPr="00E56435">
              <w:t>Department of Climate Change, Energy, the Environment and Water</w:t>
            </w:r>
          </w:p>
        </w:tc>
      </w:tr>
      <w:tr w:rsidR="00187202" w14:paraId="06E272E0"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47F9431" w14:textId="77777777" w:rsidR="00187202" w:rsidRDefault="00187202" w:rsidP="00AA38BB">
            <w:pPr>
              <w:pStyle w:val="Tabletext"/>
              <w:keepNext w:val="0"/>
            </w:pPr>
            <w:r w:rsidRPr="00E56435">
              <w:t>DISR</w:t>
            </w:r>
          </w:p>
        </w:tc>
        <w:tc>
          <w:tcPr>
            <w:tcW w:w="3930" w:type="pct"/>
          </w:tcPr>
          <w:p w14:paraId="5D6500F4" w14:textId="77777777" w:rsidR="00187202" w:rsidRDefault="00187202" w:rsidP="00AA38BB">
            <w:pPr>
              <w:pStyle w:val="Tabletext"/>
              <w:keepNext w:val="0"/>
            </w:pPr>
            <w:r w:rsidRPr="00E56435">
              <w:t>Department of Industry, Science and Resources</w:t>
            </w:r>
          </w:p>
        </w:tc>
      </w:tr>
      <w:tr w:rsidR="00187202" w14:paraId="548D7EB6"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85DB3DF" w14:textId="77777777" w:rsidR="00187202" w:rsidRDefault="00187202" w:rsidP="00AA38BB">
            <w:pPr>
              <w:pStyle w:val="Tabletext"/>
              <w:keepNext w:val="0"/>
            </w:pPr>
            <w:r w:rsidRPr="00E56435">
              <w:t>DRI-EAF</w:t>
            </w:r>
          </w:p>
        </w:tc>
        <w:tc>
          <w:tcPr>
            <w:tcW w:w="3930" w:type="pct"/>
          </w:tcPr>
          <w:p w14:paraId="7DCA4A33" w14:textId="77777777" w:rsidR="00187202" w:rsidRDefault="00187202" w:rsidP="00AA38BB">
            <w:pPr>
              <w:pStyle w:val="Tabletext"/>
              <w:keepNext w:val="0"/>
            </w:pPr>
            <w:r w:rsidRPr="00E56435">
              <w:t xml:space="preserve">Direct Reduced Iron and Electric Arc Furnaces </w:t>
            </w:r>
          </w:p>
        </w:tc>
      </w:tr>
      <w:tr w:rsidR="00187202" w:rsidRPr="00E56435" w14:paraId="7D6E6F8E"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5342F371" w14:textId="77777777" w:rsidR="00187202" w:rsidRPr="00E56435" w:rsidRDefault="00187202" w:rsidP="00AA38BB">
            <w:pPr>
              <w:pStyle w:val="Tabletext"/>
              <w:keepNext w:val="0"/>
            </w:pPr>
            <w:r>
              <w:t>DWGM</w:t>
            </w:r>
          </w:p>
        </w:tc>
        <w:tc>
          <w:tcPr>
            <w:tcW w:w="3930" w:type="pct"/>
          </w:tcPr>
          <w:p w14:paraId="4A822266" w14:textId="77777777" w:rsidR="00187202" w:rsidRPr="00E56435" w:rsidRDefault="00187202" w:rsidP="00AA38BB">
            <w:pPr>
              <w:pStyle w:val="Tabletext"/>
              <w:keepNext w:val="0"/>
            </w:pPr>
            <w:r w:rsidRPr="00F56506">
              <w:t>Victorian Declared Wholesale Gas Market</w:t>
            </w:r>
          </w:p>
        </w:tc>
      </w:tr>
      <w:tr w:rsidR="00187202" w:rsidRPr="00E56435" w14:paraId="7C97CFFA"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10BA85E3" w14:textId="77777777" w:rsidR="00187202" w:rsidRPr="00E56435" w:rsidRDefault="00187202" w:rsidP="00AA38BB">
            <w:pPr>
              <w:pStyle w:val="Tabletext"/>
              <w:keepNext w:val="0"/>
            </w:pPr>
            <w:r>
              <w:t>ECGM</w:t>
            </w:r>
          </w:p>
        </w:tc>
        <w:tc>
          <w:tcPr>
            <w:tcW w:w="3930" w:type="pct"/>
          </w:tcPr>
          <w:p w14:paraId="5EAF0D23" w14:textId="77777777" w:rsidR="00187202" w:rsidRPr="00E56435" w:rsidRDefault="00187202" w:rsidP="00AA38BB">
            <w:pPr>
              <w:pStyle w:val="Tabletext"/>
              <w:keepNext w:val="0"/>
            </w:pPr>
            <w:r>
              <w:t>East Coast Gas Market</w:t>
            </w:r>
          </w:p>
        </w:tc>
      </w:tr>
      <w:tr w:rsidR="00187202" w14:paraId="7BA58EFC"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712A8F9" w14:textId="77777777" w:rsidR="00187202" w:rsidRDefault="00187202" w:rsidP="00AA38BB">
            <w:pPr>
              <w:pStyle w:val="Tabletext"/>
              <w:keepNext w:val="0"/>
            </w:pPr>
            <w:r w:rsidRPr="00E56435">
              <w:t>EGP</w:t>
            </w:r>
          </w:p>
        </w:tc>
        <w:tc>
          <w:tcPr>
            <w:tcW w:w="3930" w:type="pct"/>
          </w:tcPr>
          <w:p w14:paraId="51E93BBC" w14:textId="77777777" w:rsidR="00187202" w:rsidRDefault="00187202" w:rsidP="00AA38BB">
            <w:pPr>
              <w:pStyle w:val="Tabletext"/>
              <w:keepNext w:val="0"/>
            </w:pPr>
            <w:r w:rsidRPr="00E56435">
              <w:t>Eastern Gas Pipeline</w:t>
            </w:r>
          </w:p>
        </w:tc>
      </w:tr>
      <w:tr w:rsidR="00187202" w14:paraId="259FD31C"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196B44C6" w14:textId="77777777" w:rsidR="00187202" w:rsidRDefault="00187202" w:rsidP="00AA38BB">
            <w:pPr>
              <w:pStyle w:val="Tabletext"/>
              <w:keepNext w:val="0"/>
            </w:pPr>
            <w:r w:rsidRPr="00E56435">
              <w:t>EIS</w:t>
            </w:r>
          </w:p>
        </w:tc>
        <w:tc>
          <w:tcPr>
            <w:tcW w:w="3930" w:type="pct"/>
          </w:tcPr>
          <w:p w14:paraId="433A10B5" w14:textId="77777777" w:rsidR="00187202" w:rsidRDefault="00187202" w:rsidP="00AA38BB">
            <w:pPr>
              <w:pStyle w:val="Tabletext"/>
              <w:keepNext w:val="0"/>
            </w:pPr>
            <w:r w:rsidRPr="00E56435">
              <w:t>Environmental Impact Statement</w:t>
            </w:r>
          </w:p>
        </w:tc>
      </w:tr>
      <w:tr w:rsidR="00187202" w14:paraId="52EEB552"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F72AD76" w14:textId="77777777" w:rsidR="00187202" w:rsidRDefault="00187202" w:rsidP="00AA38BB">
            <w:pPr>
              <w:pStyle w:val="Tabletext"/>
              <w:keepNext w:val="0"/>
            </w:pPr>
            <w:r w:rsidRPr="00E56435">
              <w:t>EPBC</w:t>
            </w:r>
          </w:p>
        </w:tc>
        <w:tc>
          <w:tcPr>
            <w:tcW w:w="3930" w:type="pct"/>
          </w:tcPr>
          <w:p w14:paraId="6D759554" w14:textId="77777777" w:rsidR="00187202" w:rsidRDefault="00187202" w:rsidP="00AA38BB">
            <w:pPr>
              <w:pStyle w:val="Tabletext"/>
              <w:keepNext w:val="0"/>
            </w:pPr>
            <w:r w:rsidRPr="00E56435">
              <w:t>Environment Protection and Biodiversity Conservation</w:t>
            </w:r>
          </w:p>
        </w:tc>
      </w:tr>
      <w:tr w:rsidR="00187202" w14:paraId="05C2F59A"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2AAEE3BB" w14:textId="77777777" w:rsidR="00187202" w:rsidRDefault="00187202" w:rsidP="00AA38BB">
            <w:pPr>
              <w:pStyle w:val="Tabletext"/>
              <w:keepNext w:val="0"/>
            </w:pPr>
            <w:r w:rsidRPr="00E56435">
              <w:t>EU</w:t>
            </w:r>
          </w:p>
        </w:tc>
        <w:tc>
          <w:tcPr>
            <w:tcW w:w="3930" w:type="pct"/>
          </w:tcPr>
          <w:p w14:paraId="126347B7" w14:textId="77777777" w:rsidR="00187202" w:rsidRDefault="00187202" w:rsidP="00AA38BB">
            <w:pPr>
              <w:pStyle w:val="Tabletext"/>
              <w:keepNext w:val="0"/>
            </w:pPr>
            <w:r w:rsidRPr="00E56435">
              <w:t>European Union</w:t>
            </w:r>
          </w:p>
        </w:tc>
      </w:tr>
      <w:tr w:rsidR="00187202" w14:paraId="32CEB72E"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2354B850" w14:textId="77777777" w:rsidR="00187202" w:rsidRDefault="00187202" w:rsidP="00AA38BB">
            <w:pPr>
              <w:pStyle w:val="Tabletext"/>
              <w:keepNext w:val="0"/>
            </w:pPr>
            <w:r w:rsidRPr="00E56435">
              <w:t>EV</w:t>
            </w:r>
          </w:p>
        </w:tc>
        <w:tc>
          <w:tcPr>
            <w:tcW w:w="3930" w:type="pct"/>
          </w:tcPr>
          <w:p w14:paraId="042FA4B7" w14:textId="77777777" w:rsidR="00187202" w:rsidRDefault="00187202" w:rsidP="00AA38BB">
            <w:pPr>
              <w:pStyle w:val="Tabletext"/>
              <w:keepNext w:val="0"/>
            </w:pPr>
            <w:r w:rsidRPr="00E56435">
              <w:t>Electric Vehicles</w:t>
            </w:r>
          </w:p>
        </w:tc>
      </w:tr>
      <w:tr w:rsidR="00187202" w14:paraId="2D8EA01B"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F562A1D" w14:textId="77777777" w:rsidR="00187202" w:rsidRDefault="00187202" w:rsidP="00AA38BB">
            <w:pPr>
              <w:pStyle w:val="Tabletext"/>
              <w:keepNext w:val="0"/>
            </w:pPr>
            <w:r w:rsidRPr="00E56435">
              <w:t>FEED</w:t>
            </w:r>
          </w:p>
        </w:tc>
        <w:tc>
          <w:tcPr>
            <w:tcW w:w="3930" w:type="pct"/>
          </w:tcPr>
          <w:p w14:paraId="679A8289" w14:textId="77777777" w:rsidR="00187202" w:rsidRDefault="00187202" w:rsidP="00AA38BB">
            <w:pPr>
              <w:pStyle w:val="Tabletext"/>
              <w:keepNext w:val="0"/>
            </w:pPr>
            <w:r w:rsidRPr="00E56435">
              <w:t>Front-End Engineering and Design</w:t>
            </w:r>
          </w:p>
        </w:tc>
      </w:tr>
      <w:tr w:rsidR="00187202" w14:paraId="7AFEF1CF"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53A0F995" w14:textId="77777777" w:rsidR="00187202" w:rsidRDefault="00187202" w:rsidP="00AA38BB">
            <w:pPr>
              <w:pStyle w:val="Tabletext"/>
              <w:keepNext w:val="0"/>
            </w:pPr>
            <w:r w:rsidRPr="00E56435">
              <w:t>FID</w:t>
            </w:r>
          </w:p>
        </w:tc>
        <w:tc>
          <w:tcPr>
            <w:tcW w:w="3930" w:type="pct"/>
          </w:tcPr>
          <w:p w14:paraId="6193B7CC" w14:textId="77777777" w:rsidR="00187202" w:rsidRDefault="00187202" w:rsidP="00AA38BB">
            <w:pPr>
              <w:pStyle w:val="Tabletext"/>
              <w:keepNext w:val="0"/>
            </w:pPr>
            <w:r w:rsidRPr="00E56435">
              <w:t>Final Investment Decision</w:t>
            </w:r>
          </w:p>
        </w:tc>
      </w:tr>
      <w:tr w:rsidR="00187202" w14:paraId="7E1AE39D"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218F9733" w14:textId="77777777" w:rsidR="00187202" w:rsidRDefault="00187202" w:rsidP="00AA38BB">
            <w:pPr>
              <w:pStyle w:val="Tabletext"/>
              <w:keepNext w:val="0"/>
            </w:pPr>
            <w:r w:rsidRPr="00E56435">
              <w:t>FOB</w:t>
            </w:r>
          </w:p>
        </w:tc>
        <w:tc>
          <w:tcPr>
            <w:tcW w:w="3930" w:type="pct"/>
          </w:tcPr>
          <w:p w14:paraId="1CA842E4" w14:textId="77777777" w:rsidR="00187202" w:rsidRDefault="00187202" w:rsidP="00AA38BB">
            <w:pPr>
              <w:pStyle w:val="Tabletext"/>
              <w:keepNext w:val="0"/>
            </w:pPr>
            <w:r w:rsidRPr="00E56435">
              <w:t>Free-on Board</w:t>
            </w:r>
            <w:r>
              <w:t xml:space="preserve"> – LNG exports with no defined import ports as part of their contracts</w:t>
            </w:r>
          </w:p>
        </w:tc>
      </w:tr>
      <w:tr w:rsidR="00187202" w14:paraId="2800939D"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89B067A" w14:textId="77777777" w:rsidR="00187202" w:rsidRDefault="00187202" w:rsidP="00AA38BB">
            <w:pPr>
              <w:pStyle w:val="Tabletext"/>
              <w:keepNext w:val="0"/>
            </w:pPr>
            <w:r w:rsidRPr="00E56435">
              <w:t>FSRU</w:t>
            </w:r>
          </w:p>
        </w:tc>
        <w:tc>
          <w:tcPr>
            <w:tcW w:w="3930" w:type="pct"/>
          </w:tcPr>
          <w:p w14:paraId="1E546DAF" w14:textId="77777777" w:rsidR="00187202" w:rsidRDefault="00187202" w:rsidP="00AA38BB">
            <w:pPr>
              <w:pStyle w:val="Tabletext"/>
              <w:keepNext w:val="0"/>
            </w:pPr>
            <w:r w:rsidRPr="00E56435">
              <w:t xml:space="preserve">Floating Storage and Regasification Unit </w:t>
            </w:r>
          </w:p>
        </w:tc>
      </w:tr>
      <w:tr w:rsidR="00187202" w14:paraId="3B1F8C4D"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BEF1534" w14:textId="77777777" w:rsidR="00187202" w:rsidRDefault="00187202" w:rsidP="00187202">
            <w:pPr>
              <w:pStyle w:val="Tabletext"/>
              <w:keepNext w:val="0"/>
            </w:pPr>
            <w:r w:rsidRPr="00E56435">
              <w:t>FY</w:t>
            </w:r>
          </w:p>
        </w:tc>
        <w:tc>
          <w:tcPr>
            <w:tcW w:w="3930" w:type="pct"/>
          </w:tcPr>
          <w:p w14:paraId="5E0D310C" w14:textId="77777777" w:rsidR="00187202" w:rsidRDefault="00187202" w:rsidP="00187202">
            <w:pPr>
              <w:pStyle w:val="Tabletext"/>
              <w:keepNext w:val="0"/>
            </w:pPr>
            <w:r w:rsidRPr="00E56435">
              <w:t>Financial Year</w:t>
            </w:r>
          </w:p>
        </w:tc>
      </w:tr>
      <w:tr w:rsidR="00187202" w14:paraId="37B04786"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445631E0" w14:textId="77777777" w:rsidR="00187202" w:rsidRDefault="00187202" w:rsidP="00187202">
            <w:pPr>
              <w:pStyle w:val="Tabletext"/>
              <w:keepNext w:val="0"/>
            </w:pPr>
            <w:r w:rsidRPr="00E56435">
              <w:t>GB</w:t>
            </w:r>
          </w:p>
        </w:tc>
        <w:tc>
          <w:tcPr>
            <w:tcW w:w="3930" w:type="pct"/>
          </w:tcPr>
          <w:p w14:paraId="39C4384A" w14:textId="77777777" w:rsidR="00187202" w:rsidRDefault="00187202" w:rsidP="00187202">
            <w:pPr>
              <w:pStyle w:val="Tabletext"/>
              <w:keepNext w:val="0"/>
            </w:pPr>
            <w:r w:rsidRPr="00E56435">
              <w:t xml:space="preserve">Golden Beach </w:t>
            </w:r>
          </w:p>
        </w:tc>
      </w:tr>
      <w:tr w:rsidR="00187202" w14:paraId="0D252BF9"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00B4B4F4" w14:textId="77777777" w:rsidR="00187202" w:rsidRDefault="00187202" w:rsidP="00187202">
            <w:pPr>
              <w:pStyle w:val="Tabletext"/>
              <w:keepNext w:val="0"/>
            </w:pPr>
            <w:r w:rsidRPr="00E56435">
              <w:t>GDP</w:t>
            </w:r>
          </w:p>
        </w:tc>
        <w:tc>
          <w:tcPr>
            <w:tcW w:w="3930" w:type="pct"/>
          </w:tcPr>
          <w:p w14:paraId="2F8E9CE1" w14:textId="77777777" w:rsidR="00187202" w:rsidRDefault="00187202" w:rsidP="00187202">
            <w:pPr>
              <w:pStyle w:val="Tabletext"/>
              <w:keepNext w:val="0"/>
            </w:pPr>
            <w:r w:rsidRPr="00E56435">
              <w:t>Gross Domestic Product</w:t>
            </w:r>
          </w:p>
        </w:tc>
      </w:tr>
      <w:tr w:rsidR="00187202" w14:paraId="7929EE04"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614B254" w14:textId="77777777" w:rsidR="00187202" w:rsidRPr="00E56435" w:rsidRDefault="00187202" w:rsidP="00187202">
            <w:pPr>
              <w:pStyle w:val="Tabletext"/>
              <w:keepNext w:val="0"/>
            </w:pPr>
            <w:r>
              <w:t>GECF</w:t>
            </w:r>
          </w:p>
        </w:tc>
        <w:tc>
          <w:tcPr>
            <w:tcW w:w="3930" w:type="pct"/>
          </w:tcPr>
          <w:p w14:paraId="430A31EB" w14:textId="77777777" w:rsidR="00187202" w:rsidRPr="00E56435" w:rsidRDefault="00187202" w:rsidP="00187202">
            <w:pPr>
              <w:pStyle w:val="Tabletext"/>
              <w:keepNext w:val="0"/>
            </w:pPr>
            <w:r>
              <w:t>Gas Exporting Countries Forum</w:t>
            </w:r>
          </w:p>
        </w:tc>
      </w:tr>
      <w:tr w:rsidR="00187202" w14:paraId="5003BD4F"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589D1400" w14:textId="77777777" w:rsidR="00187202" w:rsidRDefault="00187202" w:rsidP="00187202">
            <w:pPr>
              <w:pStyle w:val="Tabletext"/>
              <w:keepNext w:val="0"/>
            </w:pPr>
            <w:r w:rsidRPr="00E56435">
              <w:t>GHG</w:t>
            </w:r>
          </w:p>
        </w:tc>
        <w:tc>
          <w:tcPr>
            <w:tcW w:w="3930" w:type="pct"/>
          </w:tcPr>
          <w:p w14:paraId="1D152A48" w14:textId="77777777" w:rsidR="00187202" w:rsidRDefault="00187202" w:rsidP="00187202">
            <w:pPr>
              <w:pStyle w:val="Tabletext"/>
              <w:keepNext w:val="0"/>
            </w:pPr>
            <w:r w:rsidRPr="00E56435">
              <w:t>Greenhouse Gases</w:t>
            </w:r>
          </w:p>
        </w:tc>
      </w:tr>
      <w:tr w:rsidR="00187202" w14:paraId="783ED37A"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3A825F88" w14:textId="77777777" w:rsidR="00187202" w:rsidRDefault="00187202" w:rsidP="00187202">
            <w:pPr>
              <w:pStyle w:val="Tabletext"/>
              <w:keepNext w:val="0"/>
            </w:pPr>
            <w:r w:rsidRPr="00E56435">
              <w:t>GIIGNL</w:t>
            </w:r>
          </w:p>
        </w:tc>
        <w:tc>
          <w:tcPr>
            <w:tcW w:w="3930" w:type="pct"/>
          </w:tcPr>
          <w:p w14:paraId="3697CA76" w14:textId="77777777" w:rsidR="00187202" w:rsidRDefault="00187202" w:rsidP="00187202">
            <w:pPr>
              <w:pStyle w:val="Tabletext"/>
              <w:keepNext w:val="0"/>
            </w:pPr>
            <w:r w:rsidRPr="00E56435">
              <w:t>International Group of Liquefied Natural Gas (LNG) Importers</w:t>
            </w:r>
          </w:p>
        </w:tc>
      </w:tr>
      <w:tr w:rsidR="00187202" w:rsidRPr="00E56435" w14:paraId="478B1A47"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1D43DB85" w14:textId="77777777" w:rsidR="00187202" w:rsidRPr="00E56435" w:rsidRDefault="00187202" w:rsidP="00187202">
            <w:pPr>
              <w:pStyle w:val="Tabletext"/>
              <w:keepNext w:val="0"/>
            </w:pPr>
            <w:r w:rsidRPr="00454256">
              <w:t>GJ</w:t>
            </w:r>
          </w:p>
        </w:tc>
        <w:tc>
          <w:tcPr>
            <w:tcW w:w="3930" w:type="pct"/>
          </w:tcPr>
          <w:p w14:paraId="4F493BE2" w14:textId="77777777" w:rsidR="00187202" w:rsidRPr="00E56435" w:rsidRDefault="00187202" w:rsidP="00187202">
            <w:pPr>
              <w:pStyle w:val="Tabletext"/>
              <w:keepNext w:val="0"/>
            </w:pPr>
            <w:r w:rsidRPr="00454256">
              <w:t>Gigajoule</w:t>
            </w:r>
          </w:p>
        </w:tc>
      </w:tr>
      <w:tr w:rsidR="00187202" w14:paraId="2993540B" w14:textId="77777777" w:rsidTr="00187202">
        <w:trPr>
          <w:cnfStyle w:val="000000010000" w:firstRow="0" w:lastRow="0" w:firstColumn="0" w:lastColumn="0" w:oddVBand="0" w:evenVBand="0" w:oddHBand="0" w:evenHBand="1" w:firstRowFirstColumn="0" w:firstRowLastColumn="0" w:lastRowFirstColumn="0" w:lastRowLastColumn="0"/>
          <w:trHeight w:val="295"/>
        </w:trPr>
        <w:tc>
          <w:tcPr>
            <w:tcW w:w="1070" w:type="pct"/>
          </w:tcPr>
          <w:p w14:paraId="3E7BF314" w14:textId="77777777" w:rsidR="00187202" w:rsidRDefault="00187202" w:rsidP="00187202">
            <w:pPr>
              <w:pStyle w:val="Tabletext"/>
              <w:keepNext w:val="0"/>
            </w:pPr>
            <w:r w:rsidRPr="000E6238">
              <w:t>GLNG</w:t>
            </w:r>
          </w:p>
        </w:tc>
        <w:tc>
          <w:tcPr>
            <w:tcW w:w="3930" w:type="pct"/>
          </w:tcPr>
          <w:p w14:paraId="34292593" w14:textId="77777777" w:rsidR="00187202" w:rsidRDefault="00187202" w:rsidP="00187202">
            <w:pPr>
              <w:pStyle w:val="Tabletext"/>
              <w:keepNext w:val="0"/>
            </w:pPr>
            <w:r w:rsidRPr="000E6238">
              <w:t>Gladstone LNG</w:t>
            </w:r>
          </w:p>
        </w:tc>
      </w:tr>
      <w:tr w:rsidR="00187202" w14:paraId="3E8FCBAE"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140BE318" w14:textId="77777777" w:rsidR="00187202" w:rsidRDefault="00187202" w:rsidP="00187202">
            <w:pPr>
              <w:pStyle w:val="Tabletext"/>
              <w:keepNext w:val="0"/>
            </w:pPr>
            <w:r w:rsidRPr="000E6238">
              <w:t>GPG</w:t>
            </w:r>
          </w:p>
        </w:tc>
        <w:tc>
          <w:tcPr>
            <w:tcW w:w="3930" w:type="pct"/>
          </w:tcPr>
          <w:p w14:paraId="2713D2EE" w14:textId="77777777" w:rsidR="00187202" w:rsidRDefault="00187202" w:rsidP="00187202">
            <w:pPr>
              <w:pStyle w:val="Tabletext"/>
              <w:keepNext w:val="0"/>
            </w:pPr>
            <w:r w:rsidRPr="000E6238">
              <w:t>Gas</w:t>
            </w:r>
            <w:r>
              <w:t>-powered</w:t>
            </w:r>
            <w:r w:rsidRPr="000E6238">
              <w:t xml:space="preserve"> Generation</w:t>
            </w:r>
          </w:p>
        </w:tc>
      </w:tr>
      <w:tr w:rsidR="00187202" w14:paraId="1A307403"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2D85962C" w14:textId="77777777" w:rsidR="00187202" w:rsidRDefault="00187202" w:rsidP="00187202">
            <w:pPr>
              <w:pStyle w:val="Tabletext"/>
              <w:keepNext w:val="0"/>
            </w:pPr>
            <w:r w:rsidRPr="000E6238">
              <w:t>GSH</w:t>
            </w:r>
          </w:p>
        </w:tc>
        <w:tc>
          <w:tcPr>
            <w:tcW w:w="3930" w:type="pct"/>
          </w:tcPr>
          <w:p w14:paraId="78DEE628" w14:textId="77777777" w:rsidR="00187202" w:rsidRDefault="00187202" w:rsidP="00187202">
            <w:pPr>
              <w:pStyle w:val="Tabletext"/>
              <w:keepNext w:val="0"/>
            </w:pPr>
            <w:r w:rsidRPr="000E6238">
              <w:t>Gas Supply Hub</w:t>
            </w:r>
          </w:p>
        </w:tc>
      </w:tr>
      <w:tr w:rsidR="00187202" w14:paraId="43EDE240"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4FDF44B8" w14:textId="77777777" w:rsidR="00187202" w:rsidRDefault="00187202" w:rsidP="00187202">
            <w:pPr>
              <w:pStyle w:val="Tabletext"/>
              <w:keepNext w:val="0"/>
            </w:pPr>
            <w:r w:rsidRPr="000E6238">
              <w:t>GSOO</w:t>
            </w:r>
          </w:p>
        </w:tc>
        <w:tc>
          <w:tcPr>
            <w:tcW w:w="3930" w:type="pct"/>
          </w:tcPr>
          <w:p w14:paraId="435C386F" w14:textId="77777777" w:rsidR="00187202" w:rsidRDefault="00187202" w:rsidP="00187202">
            <w:pPr>
              <w:pStyle w:val="Tabletext"/>
              <w:keepNext w:val="0"/>
            </w:pPr>
            <w:r w:rsidRPr="000E6238">
              <w:t xml:space="preserve">Gas Statement of Opportunities </w:t>
            </w:r>
          </w:p>
        </w:tc>
      </w:tr>
      <w:tr w:rsidR="00187202" w14:paraId="3A3C168B"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80D889F" w14:textId="77777777" w:rsidR="00187202" w:rsidRDefault="00187202" w:rsidP="00187202">
            <w:pPr>
              <w:pStyle w:val="Tabletext"/>
              <w:keepNext w:val="0"/>
            </w:pPr>
            <w:r w:rsidRPr="000E6238">
              <w:t>GST</w:t>
            </w:r>
          </w:p>
        </w:tc>
        <w:tc>
          <w:tcPr>
            <w:tcW w:w="3930" w:type="pct"/>
          </w:tcPr>
          <w:p w14:paraId="5A3EE74B" w14:textId="77777777" w:rsidR="00187202" w:rsidRDefault="00187202" w:rsidP="00187202">
            <w:pPr>
              <w:pStyle w:val="Tabletext"/>
              <w:keepNext w:val="0"/>
            </w:pPr>
            <w:r w:rsidRPr="000E6238">
              <w:t>Goods and Services Tax</w:t>
            </w:r>
          </w:p>
        </w:tc>
      </w:tr>
      <w:tr w:rsidR="00187202" w14:paraId="1F7DFD63"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2E39945C" w14:textId="77777777" w:rsidR="00187202" w:rsidRDefault="00187202" w:rsidP="00187202">
            <w:pPr>
              <w:pStyle w:val="Tabletext"/>
              <w:keepNext w:val="0"/>
            </w:pPr>
            <w:r w:rsidRPr="00226253">
              <w:t>GTG</w:t>
            </w:r>
          </w:p>
        </w:tc>
        <w:tc>
          <w:tcPr>
            <w:tcW w:w="3930" w:type="pct"/>
          </w:tcPr>
          <w:p w14:paraId="71FD5A4C" w14:textId="77777777" w:rsidR="00187202" w:rsidRDefault="00187202" w:rsidP="00187202">
            <w:pPr>
              <w:pStyle w:val="Tabletext"/>
              <w:keepNext w:val="0"/>
            </w:pPr>
            <w:r w:rsidRPr="00226253">
              <w:t>Gas Turbine Generator</w:t>
            </w:r>
          </w:p>
        </w:tc>
      </w:tr>
      <w:tr w:rsidR="00187202" w14:paraId="6A367073"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3F6E8878" w14:textId="77777777" w:rsidR="00187202" w:rsidRDefault="00187202" w:rsidP="00187202">
            <w:pPr>
              <w:pStyle w:val="Tabletext"/>
              <w:keepNext w:val="0"/>
            </w:pPr>
            <w:r w:rsidRPr="00882E5E">
              <w:t>H</w:t>
            </w:r>
            <w:r w:rsidRPr="000923E6">
              <w:rPr>
                <w:vertAlign w:val="subscript"/>
              </w:rPr>
              <w:t>2</w:t>
            </w:r>
          </w:p>
        </w:tc>
        <w:tc>
          <w:tcPr>
            <w:tcW w:w="3930" w:type="pct"/>
          </w:tcPr>
          <w:p w14:paraId="0E7644B4" w14:textId="77777777" w:rsidR="00187202" w:rsidRDefault="00187202" w:rsidP="00187202">
            <w:pPr>
              <w:pStyle w:val="Tabletext"/>
              <w:keepNext w:val="0"/>
            </w:pPr>
            <w:r w:rsidRPr="00882E5E">
              <w:t>Hydrogen</w:t>
            </w:r>
          </w:p>
        </w:tc>
      </w:tr>
      <w:tr w:rsidR="00187202" w14:paraId="51E5BA1C"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4584DB6C" w14:textId="77777777" w:rsidR="00187202" w:rsidRDefault="00187202" w:rsidP="00187202">
            <w:pPr>
              <w:pStyle w:val="Tabletext"/>
              <w:keepNext w:val="0"/>
            </w:pPr>
            <w:r w:rsidRPr="00882E5E">
              <w:t>H</w:t>
            </w:r>
            <w:r w:rsidRPr="000923E6">
              <w:rPr>
                <w:vertAlign w:val="subscript"/>
              </w:rPr>
              <w:t>2</w:t>
            </w:r>
            <w:r w:rsidRPr="00882E5E">
              <w:t>O</w:t>
            </w:r>
          </w:p>
        </w:tc>
        <w:tc>
          <w:tcPr>
            <w:tcW w:w="3930" w:type="pct"/>
          </w:tcPr>
          <w:p w14:paraId="14E28A70" w14:textId="77777777" w:rsidR="00187202" w:rsidRDefault="00187202" w:rsidP="00187202">
            <w:pPr>
              <w:pStyle w:val="Tabletext"/>
              <w:keepNext w:val="0"/>
            </w:pPr>
            <w:r w:rsidRPr="00882E5E">
              <w:t>Water</w:t>
            </w:r>
          </w:p>
        </w:tc>
      </w:tr>
      <w:tr w:rsidR="00187202" w14:paraId="7608FE33"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521B2B0" w14:textId="77777777" w:rsidR="00187202" w:rsidRDefault="00187202" w:rsidP="00187202">
            <w:pPr>
              <w:pStyle w:val="Tabletext"/>
              <w:keepNext w:val="0"/>
            </w:pPr>
            <w:r w:rsidRPr="00882E5E">
              <w:t>HGP</w:t>
            </w:r>
          </w:p>
        </w:tc>
        <w:tc>
          <w:tcPr>
            <w:tcW w:w="3930" w:type="pct"/>
          </w:tcPr>
          <w:p w14:paraId="28D10712" w14:textId="77777777" w:rsidR="00187202" w:rsidRDefault="00187202" w:rsidP="00187202">
            <w:pPr>
              <w:pStyle w:val="Tabletext"/>
              <w:keepNext w:val="0"/>
            </w:pPr>
            <w:r w:rsidRPr="00882E5E">
              <w:t xml:space="preserve">Hunter Gas Pipeline </w:t>
            </w:r>
          </w:p>
        </w:tc>
      </w:tr>
      <w:tr w:rsidR="00187202" w14:paraId="3B6DF41B"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520CE15D" w14:textId="77777777" w:rsidR="00187202" w:rsidRDefault="00187202" w:rsidP="00187202">
            <w:pPr>
              <w:pStyle w:val="Tabletext"/>
              <w:keepNext w:val="0"/>
            </w:pPr>
            <w:r w:rsidRPr="00882E5E">
              <w:t>HUGS</w:t>
            </w:r>
          </w:p>
        </w:tc>
        <w:tc>
          <w:tcPr>
            <w:tcW w:w="3930" w:type="pct"/>
          </w:tcPr>
          <w:p w14:paraId="532E89EC" w14:textId="77777777" w:rsidR="00187202" w:rsidRDefault="00187202" w:rsidP="00187202">
            <w:pPr>
              <w:pStyle w:val="Tabletext"/>
              <w:keepNext w:val="0"/>
            </w:pPr>
            <w:r w:rsidRPr="00882E5E">
              <w:t xml:space="preserve">Heytesbury Underground Gas Storage </w:t>
            </w:r>
          </w:p>
        </w:tc>
      </w:tr>
      <w:tr w:rsidR="00187202" w14:paraId="091F9B90"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043A93B1" w14:textId="77777777" w:rsidR="00187202" w:rsidRDefault="00187202" w:rsidP="00187202">
            <w:pPr>
              <w:pStyle w:val="Tabletext"/>
              <w:keepNext w:val="0"/>
            </w:pPr>
            <w:r w:rsidRPr="00882E5E">
              <w:t>IEA</w:t>
            </w:r>
          </w:p>
        </w:tc>
        <w:tc>
          <w:tcPr>
            <w:tcW w:w="3930" w:type="pct"/>
          </w:tcPr>
          <w:p w14:paraId="5640A5A5" w14:textId="77777777" w:rsidR="00187202" w:rsidRDefault="00187202" w:rsidP="00187202">
            <w:pPr>
              <w:pStyle w:val="Tabletext"/>
              <w:keepNext w:val="0"/>
            </w:pPr>
            <w:r w:rsidRPr="00882E5E">
              <w:t>International Energy Agency</w:t>
            </w:r>
          </w:p>
        </w:tc>
      </w:tr>
      <w:tr w:rsidR="00187202" w14:paraId="5EFE5125"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1C9F9704" w14:textId="77777777" w:rsidR="00187202" w:rsidRDefault="00187202" w:rsidP="00187202">
            <w:pPr>
              <w:pStyle w:val="Tabletext"/>
              <w:keepNext w:val="0"/>
            </w:pPr>
            <w:r w:rsidRPr="00882E5E">
              <w:t>IEEFA</w:t>
            </w:r>
          </w:p>
        </w:tc>
        <w:tc>
          <w:tcPr>
            <w:tcW w:w="3930" w:type="pct"/>
          </w:tcPr>
          <w:p w14:paraId="317134AB" w14:textId="77777777" w:rsidR="00187202" w:rsidRDefault="00187202" w:rsidP="00187202">
            <w:pPr>
              <w:pStyle w:val="Tabletext"/>
              <w:keepNext w:val="0"/>
            </w:pPr>
            <w:r w:rsidRPr="00882E5E">
              <w:t>Institute for Energy Economics and Financial Analysis</w:t>
            </w:r>
          </w:p>
        </w:tc>
      </w:tr>
      <w:tr w:rsidR="00187202" w14:paraId="3055AEBC"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5D7BEE27" w14:textId="77777777" w:rsidR="00187202" w:rsidRDefault="00187202" w:rsidP="00187202">
            <w:pPr>
              <w:pStyle w:val="Tabletext"/>
              <w:keepNext w:val="0"/>
            </w:pPr>
            <w:r w:rsidRPr="00882E5E">
              <w:t>IEEJ</w:t>
            </w:r>
          </w:p>
        </w:tc>
        <w:tc>
          <w:tcPr>
            <w:tcW w:w="3930" w:type="pct"/>
          </w:tcPr>
          <w:p w14:paraId="766C35B7" w14:textId="77777777" w:rsidR="00187202" w:rsidRDefault="00187202" w:rsidP="00187202">
            <w:pPr>
              <w:pStyle w:val="Tabletext"/>
              <w:keepNext w:val="0"/>
            </w:pPr>
            <w:r w:rsidRPr="00882E5E">
              <w:t>The Institute of Energy Economics, Japan</w:t>
            </w:r>
          </w:p>
        </w:tc>
      </w:tr>
      <w:tr w:rsidR="00187202" w14:paraId="2F3A24C0"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621D2282" w14:textId="77777777" w:rsidR="00187202" w:rsidRDefault="00187202" w:rsidP="00187202">
            <w:pPr>
              <w:pStyle w:val="Tabletext"/>
              <w:keepNext w:val="0"/>
            </w:pPr>
            <w:r w:rsidRPr="00882E5E">
              <w:t>INPEX</w:t>
            </w:r>
          </w:p>
        </w:tc>
        <w:tc>
          <w:tcPr>
            <w:tcW w:w="3930" w:type="pct"/>
          </w:tcPr>
          <w:p w14:paraId="12C1C89F" w14:textId="77777777" w:rsidR="00187202" w:rsidRDefault="00187202" w:rsidP="00187202">
            <w:pPr>
              <w:pStyle w:val="Tabletext"/>
              <w:keepNext w:val="0"/>
            </w:pPr>
            <w:r w:rsidRPr="00882E5E">
              <w:t>International Petroleum Exploration-Teikoku Oil stock company</w:t>
            </w:r>
          </w:p>
        </w:tc>
      </w:tr>
      <w:tr w:rsidR="00187202" w14:paraId="34C2F368"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4A09AF0" w14:textId="77777777" w:rsidR="00187202" w:rsidRDefault="00187202" w:rsidP="00187202">
            <w:pPr>
              <w:pStyle w:val="Tabletext"/>
              <w:keepNext w:val="0"/>
            </w:pPr>
            <w:r w:rsidRPr="00882E5E">
              <w:t>ISP</w:t>
            </w:r>
          </w:p>
        </w:tc>
        <w:tc>
          <w:tcPr>
            <w:tcW w:w="3930" w:type="pct"/>
          </w:tcPr>
          <w:p w14:paraId="0064C414" w14:textId="77777777" w:rsidR="00187202" w:rsidRDefault="00187202" w:rsidP="00187202">
            <w:pPr>
              <w:pStyle w:val="Tabletext"/>
              <w:keepNext w:val="0"/>
            </w:pPr>
            <w:r w:rsidRPr="00882E5E">
              <w:t>Integrated System Plan</w:t>
            </w:r>
          </w:p>
        </w:tc>
      </w:tr>
      <w:tr w:rsidR="00187202" w14:paraId="686306BF"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600A2D7" w14:textId="77777777" w:rsidR="00187202" w:rsidRDefault="00187202" w:rsidP="00187202">
            <w:pPr>
              <w:pStyle w:val="Tabletext"/>
              <w:keepNext w:val="0"/>
            </w:pPr>
            <w:r w:rsidRPr="00882E5E">
              <w:t>JKT</w:t>
            </w:r>
          </w:p>
        </w:tc>
        <w:tc>
          <w:tcPr>
            <w:tcW w:w="3930" w:type="pct"/>
          </w:tcPr>
          <w:p w14:paraId="5173F3F6" w14:textId="77777777" w:rsidR="00187202" w:rsidRDefault="00187202" w:rsidP="00187202">
            <w:pPr>
              <w:pStyle w:val="Tabletext"/>
              <w:keepNext w:val="0"/>
            </w:pPr>
            <w:r w:rsidRPr="00882E5E">
              <w:t>Japan, Korea and Taiwan</w:t>
            </w:r>
          </w:p>
        </w:tc>
      </w:tr>
      <w:tr w:rsidR="00187202" w:rsidRPr="00882E5E" w14:paraId="306051C0"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3A06BA2F" w14:textId="77777777" w:rsidR="00187202" w:rsidRPr="00882E5E" w:rsidRDefault="00187202" w:rsidP="00187202">
            <w:pPr>
              <w:pStyle w:val="Tabletext"/>
              <w:keepNext w:val="0"/>
            </w:pPr>
            <w:r>
              <w:t>j</w:t>
            </w:r>
          </w:p>
        </w:tc>
        <w:tc>
          <w:tcPr>
            <w:tcW w:w="3930" w:type="pct"/>
          </w:tcPr>
          <w:p w14:paraId="2F216D06" w14:textId="77777777" w:rsidR="00187202" w:rsidRPr="00882E5E" w:rsidRDefault="00187202" w:rsidP="00187202">
            <w:pPr>
              <w:pStyle w:val="Tabletext"/>
              <w:keepNext w:val="0"/>
            </w:pPr>
            <w:r>
              <w:t>Joule – the amount of work done by a force of one newton exerted over a distance of one metre</w:t>
            </w:r>
          </w:p>
        </w:tc>
      </w:tr>
      <w:tr w:rsidR="00187202" w:rsidRPr="00882E5E" w14:paraId="68CF7D07"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7A2D1308" w14:textId="77777777" w:rsidR="00187202" w:rsidRDefault="00187202" w:rsidP="00187202">
            <w:pPr>
              <w:pStyle w:val="Tabletext"/>
              <w:keepNext w:val="0"/>
            </w:pPr>
            <w:r w:rsidRPr="00F756F1">
              <w:t>Li</w:t>
            </w:r>
            <w:r w:rsidRPr="00FB2A9B">
              <w:rPr>
                <w:vertAlign w:val="subscript"/>
              </w:rPr>
              <w:t>2</w:t>
            </w:r>
            <w:r w:rsidRPr="00F756F1">
              <w:t>O</w:t>
            </w:r>
          </w:p>
        </w:tc>
        <w:tc>
          <w:tcPr>
            <w:tcW w:w="3930" w:type="pct"/>
          </w:tcPr>
          <w:p w14:paraId="2E400368" w14:textId="77777777" w:rsidR="00187202" w:rsidRDefault="00187202" w:rsidP="00187202">
            <w:pPr>
              <w:pStyle w:val="Tabletext"/>
              <w:keepNext w:val="0"/>
            </w:pPr>
            <w:r>
              <w:t>Lithium Oxide</w:t>
            </w:r>
          </w:p>
        </w:tc>
      </w:tr>
      <w:tr w:rsidR="00187202" w14:paraId="464BFAD4"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AFC63FC" w14:textId="77777777" w:rsidR="00187202" w:rsidRDefault="00187202" w:rsidP="00187202">
            <w:pPr>
              <w:pStyle w:val="Tabletext"/>
              <w:keepNext w:val="0"/>
            </w:pPr>
            <w:r w:rsidRPr="00882E5E">
              <w:t>LCOE</w:t>
            </w:r>
          </w:p>
        </w:tc>
        <w:tc>
          <w:tcPr>
            <w:tcW w:w="3930" w:type="pct"/>
          </w:tcPr>
          <w:p w14:paraId="3F94B0B6" w14:textId="77777777" w:rsidR="00187202" w:rsidRDefault="00187202" w:rsidP="00187202">
            <w:pPr>
              <w:pStyle w:val="Tabletext"/>
              <w:keepNext w:val="0"/>
            </w:pPr>
            <w:r w:rsidRPr="00882E5E">
              <w:t>Levelised Cost of Energy</w:t>
            </w:r>
          </w:p>
        </w:tc>
      </w:tr>
      <w:tr w:rsidR="00187202" w14:paraId="22FF9A48"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6BE26025" w14:textId="77777777" w:rsidR="00187202" w:rsidRPr="00882E5E" w:rsidRDefault="00187202" w:rsidP="00187202">
            <w:pPr>
              <w:pStyle w:val="Tabletext"/>
              <w:keepNext w:val="0"/>
            </w:pPr>
            <w:r w:rsidRPr="00882E5E">
              <w:t>LDAR</w:t>
            </w:r>
          </w:p>
        </w:tc>
        <w:tc>
          <w:tcPr>
            <w:tcW w:w="3930" w:type="pct"/>
          </w:tcPr>
          <w:p w14:paraId="668F5011" w14:textId="77777777" w:rsidR="00187202" w:rsidRPr="00882E5E" w:rsidRDefault="00187202" w:rsidP="00187202">
            <w:pPr>
              <w:pStyle w:val="Tabletext"/>
              <w:keepNext w:val="0"/>
            </w:pPr>
            <w:r w:rsidRPr="00882E5E">
              <w:t xml:space="preserve">Leak Detection and Repair </w:t>
            </w:r>
          </w:p>
        </w:tc>
      </w:tr>
      <w:tr w:rsidR="00187202" w14:paraId="4AF14BD1"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42CE8A88" w14:textId="77777777" w:rsidR="00187202" w:rsidRDefault="00187202" w:rsidP="00187202">
            <w:pPr>
              <w:pStyle w:val="Tabletext"/>
              <w:keepNext w:val="0"/>
            </w:pPr>
            <w:r>
              <w:t>Li</w:t>
            </w:r>
            <w:r w:rsidRPr="002A6E15">
              <w:rPr>
                <w:vertAlign w:val="subscript"/>
              </w:rPr>
              <w:t>2</w:t>
            </w:r>
            <w:r>
              <w:t>O</w:t>
            </w:r>
          </w:p>
        </w:tc>
        <w:tc>
          <w:tcPr>
            <w:tcW w:w="3930" w:type="pct"/>
          </w:tcPr>
          <w:p w14:paraId="08A55D19" w14:textId="77777777" w:rsidR="00187202" w:rsidRDefault="00187202" w:rsidP="00187202">
            <w:pPr>
              <w:pStyle w:val="Tabletext"/>
              <w:keepNext w:val="0"/>
            </w:pPr>
            <w:r>
              <w:t>Lithium Oxide</w:t>
            </w:r>
          </w:p>
        </w:tc>
      </w:tr>
      <w:tr w:rsidR="00187202" w14:paraId="59F81964"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25F6728F" w14:textId="77777777" w:rsidR="00187202" w:rsidRPr="00882E5E" w:rsidRDefault="00187202" w:rsidP="00187202">
            <w:pPr>
              <w:pStyle w:val="Tabletext"/>
              <w:keepNext w:val="0"/>
            </w:pPr>
            <w:r w:rsidRPr="00882E5E">
              <w:t>LNG</w:t>
            </w:r>
          </w:p>
        </w:tc>
        <w:tc>
          <w:tcPr>
            <w:tcW w:w="3930" w:type="pct"/>
          </w:tcPr>
          <w:p w14:paraId="7A95A56C" w14:textId="77777777" w:rsidR="00187202" w:rsidRPr="00882E5E" w:rsidRDefault="00187202" w:rsidP="00187202">
            <w:pPr>
              <w:pStyle w:val="Tabletext"/>
              <w:keepNext w:val="0"/>
            </w:pPr>
            <w:r w:rsidRPr="00882E5E">
              <w:t>Liquefied Natural Gas</w:t>
            </w:r>
          </w:p>
        </w:tc>
      </w:tr>
      <w:tr w:rsidR="00187202" w14:paraId="25EE549F"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DF30698" w14:textId="77777777" w:rsidR="00187202" w:rsidRDefault="00187202" w:rsidP="00187202">
            <w:pPr>
              <w:pStyle w:val="Tabletext"/>
              <w:keepNext w:val="0"/>
            </w:pPr>
            <w:r w:rsidRPr="00882E5E">
              <w:t>MACC</w:t>
            </w:r>
          </w:p>
        </w:tc>
        <w:tc>
          <w:tcPr>
            <w:tcW w:w="3930" w:type="pct"/>
          </w:tcPr>
          <w:p w14:paraId="0F50B2F7" w14:textId="77777777" w:rsidR="00187202" w:rsidRDefault="00187202" w:rsidP="00187202">
            <w:pPr>
              <w:pStyle w:val="Tabletext"/>
              <w:keepNext w:val="0"/>
            </w:pPr>
            <w:r w:rsidRPr="00882E5E">
              <w:t>Marginal Abatement Cost Curve</w:t>
            </w:r>
          </w:p>
        </w:tc>
      </w:tr>
      <w:tr w:rsidR="00187202" w14:paraId="4060E792"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433115A7" w14:textId="77777777" w:rsidR="00187202" w:rsidRDefault="00187202" w:rsidP="00187202">
            <w:pPr>
              <w:pStyle w:val="Tabletext"/>
              <w:keepNext w:val="0"/>
            </w:pPr>
            <w:r w:rsidRPr="00882E5E">
              <w:t>MDQ</w:t>
            </w:r>
          </w:p>
        </w:tc>
        <w:tc>
          <w:tcPr>
            <w:tcW w:w="3930" w:type="pct"/>
          </w:tcPr>
          <w:p w14:paraId="4D1882DB" w14:textId="77777777" w:rsidR="00187202" w:rsidRDefault="00187202" w:rsidP="00187202">
            <w:pPr>
              <w:pStyle w:val="Tabletext"/>
              <w:keepNext w:val="0"/>
            </w:pPr>
            <w:r w:rsidRPr="00882E5E">
              <w:t>Maximum Daily Quantity</w:t>
            </w:r>
          </w:p>
        </w:tc>
      </w:tr>
      <w:tr w:rsidR="00187202" w14:paraId="06007C7A"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0A0A7F9" w14:textId="77777777" w:rsidR="00187202" w:rsidRDefault="00187202" w:rsidP="00187202">
            <w:pPr>
              <w:pStyle w:val="Tabletext"/>
              <w:keepNext w:val="0"/>
            </w:pPr>
            <w:r w:rsidRPr="00882E5E">
              <w:t>MJ</w:t>
            </w:r>
          </w:p>
        </w:tc>
        <w:tc>
          <w:tcPr>
            <w:tcW w:w="3930" w:type="pct"/>
          </w:tcPr>
          <w:p w14:paraId="0E58F6CB" w14:textId="77777777" w:rsidR="00187202" w:rsidRDefault="00187202" w:rsidP="00187202">
            <w:pPr>
              <w:pStyle w:val="Tabletext"/>
              <w:keepNext w:val="0"/>
            </w:pPr>
            <w:r w:rsidRPr="00882E5E">
              <w:t>Megajoule</w:t>
            </w:r>
          </w:p>
        </w:tc>
      </w:tr>
      <w:tr w:rsidR="00187202" w14:paraId="170413B0"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5BB406AC" w14:textId="77777777" w:rsidR="00187202" w:rsidRDefault="00187202" w:rsidP="00187202">
            <w:pPr>
              <w:pStyle w:val="Tabletext"/>
              <w:keepNext w:val="0"/>
            </w:pPr>
            <w:r w:rsidRPr="00882E5E">
              <w:t xml:space="preserve">MMBtu </w:t>
            </w:r>
          </w:p>
        </w:tc>
        <w:tc>
          <w:tcPr>
            <w:tcW w:w="3930" w:type="pct"/>
          </w:tcPr>
          <w:p w14:paraId="2470D0B9" w14:textId="77777777" w:rsidR="00187202" w:rsidRDefault="00187202" w:rsidP="00187202">
            <w:pPr>
              <w:pStyle w:val="Tabletext"/>
              <w:keepNext w:val="0"/>
            </w:pPr>
            <w:r w:rsidRPr="00882E5E">
              <w:t>Million British Thermal units</w:t>
            </w:r>
          </w:p>
        </w:tc>
      </w:tr>
      <w:tr w:rsidR="00187202" w14:paraId="536B1144"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2740F8C" w14:textId="77777777" w:rsidR="00187202" w:rsidRDefault="00187202" w:rsidP="00187202">
            <w:pPr>
              <w:pStyle w:val="Tabletext"/>
              <w:keepNext w:val="0"/>
            </w:pPr>
            <w:r w:rsidRPr="00882E5E">
              <w:t>MOU</w:t>
            </w:r>
          </w:p>
        </w:tc>
        <w:tc>
          <w:tcPr>
            <w:tcW w:w="3930" w:type="pct"/>
          </w:tcPr>
          <w:p w14:paraId="098521B7" w14:textId="77777777" w:rsidR="00187202" w:rsidRDefault="00187202" w:rsidP="00187202">
            <w:pPr>
              <w:pStyle w:val="Tabletext"/>
              <w:keepNext w:val="0"/>
            </w:pPr>
            <w:r w:rsidRPr="00882E5E">
              <w:t>Memorandum of Understanding</w:t>
            </w:r>
          </w:p>
        </w:tc>
      </w:tr>
      <w:tr w:rsidR="00187202" w14:paraId="7D5254C0"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4D8248DA" w14:textId="77777777" w:rsidR="00187202" w:rsidRDefault="00187202" w:rsidP="00187202">
            <w:pPr>
              <w:pStyle w:val="Tabletext"/>
              <w:keepNext w:val="0"/>
            </w:pPr>
            <w:r w:rsidRPr="00882E5E">
              <w:t>MSP</w:t>
            </w:r>
          </w:p>
        </w:tc>
        <w:tc>
          <w:tcPr>
            <w:tcW w:w="3930" w:type="pct"/>
          </w:tcPr>
          <w:p w14:paraId="1A31A34C" w14:textId="77777777" w:rsidR="00187202" w:rsidRDefault="00187202" w:rsidP="00187202">
            <w:pPr>
              <w:pStyle w:val="Tabletext"/>
              <w:keepNext w:val="0"/>
            </w:pPr>
            <w:r w:rsidRPr="00882E5E">
              <w:t>Moomba Sydney Pipeline</w:t>
            </w:r>
          </w:p>
        </w:tc>
      </w:tr>
      <w:tr w:rsidR="00187202" w:rsidRPr="00882E5E" w14:paraId="1F76B3F3"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5A8A4827" w14:textId="77777777" w:rsidR="00187202" w:rsidRPr="00882E5E" w:rsidRDefault="00187202" w:rsidP="00187202">
            <w:pPr>
              <w:pStyle w:val="Tabletext"/>
              <w:keepNext w:val="0"/>
            </w:pPr>
            <w:r>
              <w:t>Mt</w:t>
            </w:r>
          </w:p>
        </w:tc>
        <w:tc>
          <w:tcPr>
            <w:tcW w:w="3930" w:type="pct"/>
          </w:tcPr>
          <w:p w14:paraId="05FEEA7F" w14:textId="77777777" w:rsidR="00187202" w:rsidRPr="00882E5E" w:rsidRDefault="00187202" w:rsidP="00187202">
            <w:pPr>
              <w:pStyle w:val="Tabletext"/>
              <w:keepNext w:val="0"/>
            </w:pPr>
            <w:r>
              <w:t xml:space="preserve">Million tonnes or Megatonnes </w:t>
            </w:r>
          </w:p>
        </w:tc>
      </w:tr>
      <w:tr w:rsidR="00187202" w:rsidRPr="00A041B0" w14:paraId="32942D83"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27E23264" w14:textId="77777777" w:rsidR="00187202" w:rsidRPr="00A041B0" w:rsidRDefault="00187202" w:rsidP="00187202">
            <w:pPr>
              <w:pStyle w:val="Tabletext"/>
              <w:keepNext w:val="0"/>
            </w:pPr>
            <w:r w:rsidRPr="006E79D8">
              <w:rPr>
                <w:rFonts w:eastAsia="Times New Roman"/>
                <w:szCs w:val="16"/>
                <w:lang w:val="en"/>
              </w:rPr>
              <w:t>Mt CO</w:t>
            </w:r>
            <w:r w:rsidRPr="006E79D8">
              <w:rPr>
                <w:rFonts w:eastAsia="Times New Roman"/>
                <w:szCs w:val="16"/>
                <w:vertAlign w:val="subscript"/>
                <w:lang w:val="en"/>
              </w:rPr>
              <w:t>2</w:t>
            </w:r>
            <w:r w:rsidRPr="006E79D8">
              <w:rPr>
                <w:rFonts w:eastAsia="Times New Roman"/>
                <w:szCs w:val="16"/>
                <w:lang w:val="en"/>
              </w:rPr>
              <w:t>-e</w:t>
            </w:r>
          </w:p>
        </w:tc>
        <w:tc>
          <w:tcPr>
            <w:tcW w:w="3930" w:type="pct"/>
          </w:tcPr>
          <w:p w14:paraId="2BB3FA40" w14:textId="77777777" w:rsidR="00187202" w:rsidRPr="00A041B0" w:rsidRDefault="00187202" w:rsidP="00187202">
            <w:pPr>
              <w:pStyle w:val="Tabletext"/>
              <w:keepNext w:val="0"/>
            </w:pPr>
            <w:r w:rsidRPr="006E79D8">
              <w:t>Million tonnes Carbon dioxide equivalent</w:t>
            </w:r>
            <w:r>
              <w:rPr>
                <w:sz w:val="20"/>
              </w:rPr>
              <w:t xml:space="preserve"> </w:t>
            </w:r>
          </w:p>
        </w:tc>
      </w:tr>
      <w:tr w:rsidR="00187202" w:rsidRPr="00E56435" w14:paraId="519748BA"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9A2C045" w14:textId="77777777" w:rsidR="00187202" w:rsidRPr="00E56435" w:rsidRDefault="00187202" w:rsidP="00187202">
            <w:pPr>
              <w:pStyle w:val="Tabletext"/>
              <w:keepNext w:val="0"/>
            </w:pPr>
            <w:r w:rsidRPr="00A041B0">
              <w:t>MTPA</w:t>
            </w:r>
          </w:p>
        </w:tc>
        <w:tc>
          <w:tcPr>
            <w:tcW w:w="3930" w:type="pct"/>
          </w:tcPr>
          <w:p w14:paraId="73B7146B" w14:textId="77777777" w:rsidR="00187202" w:rsidRPr="00E56435" w:rsidRDefault="00187202" w:rsidP="00187202">
            <w:pPr>
              <w:pStyle w:val="Tabletext"/>
              <w:keepNext w:val="0"/>
            </w:pPr>
            <w:r w:rsidRPr="00A041B0">
              <w:t>Million tonnes per annum</w:t>
            </w:r>
          </w:p>
        </w:tc>
      </w:tr>
      <w:tr w:rsidR="00187202" w14:paraId="3BFDD31A" w14:textId="77777777" w:rsidTr="00187202">
        <w:trPr>
          <w:cnfStyle w:val="000000100000" w:firstRow="0" w:lastRow="0" w:firstColumn="0" w:lastColumn="0" w:oddVBand="0" w:evenVBand="0" w:oddHBand="1" w:evenHBand="0" w:firstRowFirstColumn="0" w:firstRowLastColumn="0" w:lastRowFirstColumn="0" w:lastRowLastColumn="0"/>
          <w:trHeight w:val="295"/>
        </w:trPr>
        <w:tc>
          <w:tcPr>
            <w:tcW w:w="1070" w:type="pct"/>
          </w:tcPr>
          <w:p w14:paraId="33CDEB27" w14:textId="77777777" w:rsidR="00187202" w:rsidRDefault="00187202" w:rsidP="00187202">
            <w:pPr>
              <w:pStyle w:val="Tabletext"/>
              <w:keepNext w:val="0"/>
            </w:pPr>
            <w:r w:rsidRPr="003C3DFD">
              <w:t>MW</w:t>
            </w:r>
          </w:p>
        </w:tc>
        <w:tc>
          <w:tcPr>
            <w:tcW w:w="3930" w:type="pct"/>
          </w:tcPr>
          <w:p w14:paraId="7DC2FA00" w14:textId="77777777" w:rsidR="00187202" w:rsidRDefault="00187202" w:rsidP="00187202">
            <w:pPr>
              <w:pStyle w:val="Tabletext"/>
              <w:keepNext w:val="0"/>
            </w:pPr>
            <w:r w:rsidRPr="003C3DFD">
              <w:t>Megawatt</w:t>
            </w:r>
          </w:p>
        </w:tc>
      </w:tr>
      <w:tr w:rsidR="00187202" w14:paraId="151122F1"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13986517" w14:textId="77777777" w:rsidR="00187202" w:rsidRDefault="00187202" w:rsidP="00187202">
            <w:pPr>
              <w:pStyle w:val="Tabletext"/>
              <w:keepNext w:val="0"/>
            </w:pPr>
            <w:r w:rsidRPr="003C3DFD">
              <w:t>N2</w:t>
            </w:r>
          </w:p>
        </w:tc>
        <w:tc>
          <w:tcPr>
            <w:tcW w:w="3930" w:type="pct"/>
          </w:tcPr>
          <w:p w14:paraId="586AD242" w14:textId="77777777" w:rsidR="00187202" w:rsidRDefault="00187202" w:rsidP="00187202">
            <w:pPr>
              <w:pStyle w:val="Tabletext"/>
              <w:keepNext w:val="0"/>
            </w:pPr>
            <w:r w:rsidRPr="003C3DFD">
              <w:t>Nitrogen</w:t>
            </w:r>
          </w:p>
        </w:tc>
      </w:tr>
      <w:tr w:rsidR="00187202" w14:paraId="74CA1415"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4D763FC8" w14:textId="77777777" w:rsidR="00187202" w:rsidRDefault="00187202" w:rsidP="00187202">
            <w:pPr>
              <w:pStyle w:val="Tabletext"/>
              <w:keepNext w:val="0"/>
            </w:pPr>
            <w:r w:rsidRPr="003C3DFD">
              <w:t>N2O</w:t>
            </w:r>
          </w:p>
        </w:tc>
        <w:tc>
          <w:tcPr>
            <w:tcW w:w="3930" w:type="pct"/>
          </w:tcPr>
          <w:p w14:paraId="4C79B964" w14:textId="77777777" w:rsidR="00187202" w:rsidRDefault="00187202" w:rsidP="00187202">
            <w:pPr>
              <w:pStyle w:val="Tabletext"/>
              <w:keepNext w:val="0"/>
            </w:pPr>
            <w:r w:rsidRPr="003C3DFD">
              <w:t>Nitrous Oxide</w:t>
            </w:r>
          </w:p>
        </w:tc>
      </w:tr>
      <w:tr w:rsidR="00187202" w:rsidRPr="003C3DFD" w14:paraId="37C63371"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077152E8" w14:textId="77777777" w:rsidR="00187202" w:rsidRPr="003C3DFD" w:rsidRDefault="00187202" w:rsidP="00187202">
            <w:pPr>
              <w:pStyle w:val="Tabletext"/>
              <w:keepNext w:val="0"/>
            </w:pPr>
            <w:r>
              <w:t>NOPTA</w:t>
            </w:r>
          </w:p>
        </w:tc>
        <w:tc>
          <w:tcPr>
            <w:tcW w:w="3930" w:type="pct"/>
          </w:tcPr>
          <w:p w14:paraId="218649B4" w14:textId="77777777" w:rsidR="00187202" w:rsidRPr="003C3DFD" w:rsidRDefault="00187202" w:rsidP="00187202">
            <w:pPr>
              <w:pStyle w:val="Tabletext"/>
              <w:keepNext w:val="0"/>
            </w:pPr>
            <w:r w:rsidRPr="00622224">
              <w:t xml:space="preserve">National Offshore Petroleum Titles Administrator  </w:t>
            </w:r>
          </w:p>
        </w:tc>
      </w:tr>
      <w:tr w:rsidR="00187202" w14:paraId="0B3E3933"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49B0409B" w14:textId="77777777" w:rsidR="00187202" w:rsidRDefault="00187202" w:rsidP="00187202">
            <w:pPr>
              <w:pStyle w:val="Tabletext"/>
              <w:keepNext w:val="0"/>
            </w:pPr>
            <w:r w:rsidRPr="003C3DFD">
              <w:t>NEM</w:t>
            </w:r>
          </w:p>
        </w:tc>
        <w:tc>
          <w:tcPr>
            <w:tcW w:w="3930" w:type="pct"/>
          </w:tcPr>
          <w:p w14:paraId="09AB49E3" w14:textId="77777777" w:rsidR="00187202" w:rsidRDefault="00187202" w:rsidP="00187202">
            <w:pPr>
              <w:pStyle w:val="Tabletext"/>
              <w:keepNext w:val="0"/>
            </w:pPr>
            <w:r w:rsidRPr="003C3DFD">
              <w:t>National Electricity Market</w:t>
            </w:r>
          </w:p>
        </w:tc>
      </w:tr>
      <w:tr w:rsidR="00187202" w14:paraId="0FBC0A3F"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D2501B0" w14:textId="77777777" w:rsidR="00187202" w:rsidRDefault="00187202" w:rsidP="00187202">
            <w:pPr>
              <w:pStyle w:val="Tabletext"/>
              <w:keepNext w:val="0"/>
            </w:pPr>
            <w:r w:rsidRPr="003C3DFD">
              <w:t>NG</w:t>
            </w:r>
          </w:p>
        </w:tc>
        <w:tc>
          <w:tcPr>
            <w:tcW w:w="3930" w:type="pct"/>
          </w:tcPr>
          <w:p w14:paraId="3FBEA490" w14:textId="77777777" w:rsidR="00187202" w:rsidRDefault="00187202" w:rsidP="00187202">
            <w:pPr>
              <w:pStyle w:val="Tabletext"/>
              <w:keepNext w:val="0"/>
            </w:pPr>
            <w:r w:rsidRPr="003C3DFD">
              <w:t>Natural Gas</w:t>
            </w:r>
          </w:p>
        </w:tc>
      </w:tr>
      <w:tr w:rsidR="00187202" w14:paraId="04DE9444"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BE1D5E0" w14:textId="77777777" w:rsidR="00187202" w:rsidRDefault="00187202" w:rsidP="00187202">
            <w:pPr>
              <w:pStyle w:val="Tabletext"/>
              <w:keepNext w:val="0"/>
            </w:pPr>
            <w:r w:rsidRPr="003C3DFD">
              <w:t>NOPSEMA</w:t>
            </w:r>
          </w:p>
        </w:tc>
        <w:tc>
          <w:tcPr>
            <w:tcW w:w="3930" w:type="pct"/>
          </w:tcPr>
          <w:p w14:paraId="61D6B4AF" w14:textId="77777777" w:rsidR="00187202" w:rsidRDefault="00187202" w:rsidP="00187202">
            <w:pPr>
              <w:pStyle w:val="Tabletext"/>
              <w:keepNext w:val="0"/>
            </w:pPr>
            <w:r w:rsidRPr="003C3DFD">
              <w:t xml:space="preserve">National Offshore Petroleum Safety and Environmental Management Authority </w:t>
            </w:r>
          </w:p>
        </w:tc>
      </w:tr>
      <w:tr w:rsidR="00187202" w14:paraId="15F2FEBD"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9EA9D63" w14:textId="77777777" w:rsidR="00187202" w:rsidRDefault="00187202" w:rsidP="00187202">
            <w:pPr>
              <w:pStyle w:val="Tabletext"/>
              <w:keepNext w:val="0"/>
            </w:pPr>
            <w:r w:rsidRPr="003C3DFD">
              <w:t>NSW</w:t>
            </w:r>
          </w:p>
        </w:tc>
        <w:tc>
          <w:tcPr>
            <w:tcW w:w="3930" w:type="pct"/>
          </w:tcPr>
          <w:p w14:paraId="68A4D101" w14:textId="77777777" w:rsidR="00187202" w:rsidRDefault="00187202" w:rsidP="00187202">
            <w:pPr>
              <w:pStyle w:val="Tabletext"/>
              <w:keepNext w:val="0"/>
            </w:pPr>
            <w:r w:rsidRPr="003C3DFD">
              <w:t xml:space="preserve">New South Wales </w:t>
            </w:r>
          </w:p>
        </w:tc>
      </w:tr>
      <w:tr w:rsidR="00187202" w14:paraId="02D9CD11"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2623574D" w14:textId="77777777" w:rsidR="00187202" w:rsidRDefault="00187202" w:rsidP="00187202">
            <w:pPr>
              <w:pStyle w:val="Tabletext"/>
              <w:keepNext w:val="0"/>
            </w:pPr>
            <w:r w:rsidRPr="003C3DFD">
              <w:t>NT</w:t>
            </w:r>
          </w:p>
        </w:tc>
        <w:tc>
          <w:tcPr>
            <w:tcW w:w="3930" w:type="pct"/>
          </w:tcPr>
          <w:p w14:paraId="34D8F91E" w14:textId="77777777" w:rsidR="00187202" w:rsidRDefault="00187202" w:rsidP="00187202">
            <w:pPr>
              <w:pStyle w:val="Tabletext"/>
              <w:keepNext w:val="0"/>
            </w:pPr>
            <w:r w:rsidRPr="003C3DFD">
              <w:t>Northern Territory</w:t>
            </w:r>
          </w:p>
        </w:tc>
      </w:tr>
      <w:tr w:rsidR="00187202" w14:paraId="5E422D8B"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89CBE7E" w14:textId="77777777" w:rsidR="00187202" w:rsidRDefault="00187202" w:rsidP="00187202">
            <w:pPr>
              <w:pStyle w:val="Tabletext"/>
              <w:keepNext w:val="0"/>
            </w:pPr>
            <w:r w:rsidRPr="003C3DFD">
              <w:t>NZE</w:t>
            </w:r>
          </w:p>
        </w:tc>
        <w:tc>
          <w:tcPr>
            <w:tcW w:w="3930" w:type="pct"/>
          </w:tcPr>
          <w:p w14:paraId="3044E642" w14:textId="77777777" w:rsidR="00187202" w:rsidRDefault="00187202" w:rsidP="00187202">
            <w:pPr>
              <w:pStyle w:val="Tabletext"/>
              <w:keepNext w:val="0"/>
            </w:pPr>
            <w:r w:rsidRPr="003C3DFD">
              <w:t>Net Zero Emissions</w:t>
            </w:r>
            <w:r>
              <w:t xml:space="preserve"> Scenario</w:t>
            </w:r>
          </w:p>
        </w:tc>
      </w:tr>
      <w:tr w:rsidR="00187202" w14:paraId="0D886CC5"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2BDA16D9" w14:textId="77777777" w:rsidR="00187202" w:rsidRDefault="00187202" w:rsidP="00187202">
            <w:pPr>
              <w:pStyle w:val="Tabletext"/>
              <w:keepNext w:val="0"/>
            </w:pPr>
            <w:r w:rsidRPr="003C3DFD">
              <w:t>OPGGS</w:t>
            </w:r>
          </w:p>
        </w:tc>
        <w:tc>
          <w:tcPr>
            <w:tcW w:w="3930" w:type="pct"/>
          </w:tcPr>
          <w:p w14:paraId="68AB4524" w14:textId="77777777" w:rsidR="00187202" w:rsidRDefault="00187202" w:rsidP="00187202">
            <w:pPr>
              <w:pStyle w:val="Tabletext"/>
              <w:keepNext w:val="0"/>
            </w:pPr>
            <w:r w:rsidRPr="003C3DFD">
              <w:t>Offshore Petroleum and Greenhouse Gas Storage</w:t>
            </w:r>
          </w:p>
        </w:tc>
      </w:tr>
      <w:tr w:rsidR="00187202" w14:paraId="70BC0141"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45C16A41" w14:textId="77777777" w:rsidR="00187202" w:rsidRDefault="00187202" w:rsidP="00187202">
            <w:pPr>
              <w:pStyle w:val="Tabletext"/>
              <w:keepNext w:val="0"/>
            </w:pPr>
            <w:r w:rsidRPr="000F358E">
              <w:t>PAWE</w:t>
            </w:r>
          </w:p>
        </w:tc>
        <w:tc>
          <w:tcPr>
            <w:tcW w:w="3930" w:type="pct"/>
          </w:tcPr>
          <w:p w14:paraId="28160B4B" w14:textId="77777777" w:rsidR="00187202" w:rsidRDefault="00187202" w:rsidP="00187202">
            <w:pPr>
              <w:pStyle w:val="Tabletext"/>
              <w:keepNext w:val="0"/>
            </w:pPr>
            <w:r w:rsidRPr="000F358E">
              <w:t xml:space="preserve">Pressurised Alkaline Water Electrolysis </w:t>
            </w:r>
          </w:p>
        </w:tc>
      </w:tr>
      <w:tr w:rsidR="00187202" w14:paraId="225DC1BD"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7788FF9D" w14:textId="77777777" w:rsidR="00187202" w:rsidRDefault="00187202" w:rsidP="00187202">
            <w:pPr>
              <w:pStyle w:val="Tabletext"/>
              <w:keepNext w:val="0"/>
            </w:pPr>
            <w:r w:rsidRPr="000F358E">
              <w:t>PCA</w:t>
            </w:r>
          </w:p>
        </w:tc>
        <w:tc>
          <w:tcPr>
            <w:tcW w:w="3930" w:type="pct"/>
          </w:tcPr>
          <w:p w14:paraId="5DC3248B" w14:textId="77777777" w:rsidR="00187202" w:rsidRDefault="00187202" w:rsidP="00187202">
            <w:pPr>
              <w:pStyle w:val="Tabletext"/>
              <w:keepNext w:val="0"/>
            </w:pPr>
            <w:r w:rsidRPr="000F358E">
              <w:t xml:space="preserve">Port Campbell to Adelaide </w:t>
            </w:r>
          </w:p>
        </w:tc>
      </w:tr>
      <w:tr w:rsidR="00187202" w14:paraId="5C54B5A9"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01DE2FF4" w14:textId="77777777" w:rsidR="00187202" w:rsidRDefault="00187202" w:rsidP="00187202">
            <w:pPr>
              <w:pStyle w:val="Tabletext"/>
              <w:keepNext w:val="0"/>
            </w:pPr>
            <w:r w:rsidRPr="000F358E">
              <w:t>PEM</w:t>
            </w:r>
          </w:p>
        </w:tc>
        <w:tc>
          <w:tcPr>
            <w:tcW w:w="3930" w:type="pct"/>
          </w:tcPr>
          <w:p w14:paraId="43E25146" w14:textId="77777777" w:rsidR="00187202" w:rsidRDefault="00187202" w:rsidP="00187202">
            <w:pPr>
              <w:pStyle w:val="Tabletext"/>
              <w:keepNext w:val="0"/>
            </w:pPr>
            <w:r w:rsidRPr="000F358E">
              <w:t>Proton Exchange Membrane</w:t>
            </w:r>
          </w:p>
        </w:tc>
      </w:tr>
      <w:tr w:rsidR="00187202" w14:paraId="1959DDD8"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8C9ECF6" w14:textId="77777777" w:rsidR="00187202" w:rsidRDefault="00187202" w:rsidP="00187202">
            <w:pPr>
              <w:pStyle w:val="Tabletext"/>
              <w:keepNext w:val="0"/>
            </w:pPr>
            <w:r w:rsidRPr="000F358E">
              <w:t>PEMWE</w:t>
            </w:r>
          </w:p>
        </w:tc>
        <w:tc>
          <w:tcPr>
            <w:tcW w:w="3930" w:type="pct"/>
          </w:tcPr>
          <w:p w14:paraId="359467AB" w14:textId="77777777" w:rsidR="00187202" w:rsidRDefault="00187202" w:rsidP="00187202">
            <w:pPr>
              <w:pStyle w:val="Tabletext"/>
              <w:keepNext w:val="0"/>
            </w:pPr>
            <w:r w:rsidRPr="000F358E">
              <w:t xml:space="preserve">Proton Exchange Membrane Water Electrolysis </w:t>
            </w:r>
          </w:p>
        </w:tc>
      </w:tr>
      <w:tr w:rsidR="00187202" w14:paraId="153F2125"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27A06F54" w14:textId="77777777" w:rsidR="00187202" w:rsidRPr="000F358E" w:rsidRDefault="00187202" w:rsidP="00AA38BB">
            <w:pPr>
              <w:pStyle w:val="Tabletext"/>
              <w:keepNext w:val="0"/>
            </w:pPr>
            <w:r w:rsidRPr="000F358E">
              <w:t>PJ</w:t>
            </w:r>
          </w:p>
        </w:tc>
        <w:tc>
          <w:tcPr>
            <w:tcW w:w="3930" w:type="pct"/>
          </w:tcPr>
          <w:p w14:paraId="50DBA469" w14:textId="77777777" w:rsidR="00187202" w:rsidRPr="000F358E" w:rsidRDefault="00187202" w:rsidP="00AA38BB">
            <w:pPr>
              <w:pStyle w:val="Tabletext"/>
              <w:keepNext w:val="0"/>
            </w:pPr>
            <w:r w:rsidRPr="000F358E">
              <w:t>Petajoule</w:t>
            </w:r>
            <w:r>
              <w:t>s</w:t>
            </w:r>
          </w:p>
        </w:tc>
      </w:tr>
      <w:tr w:rsidR="00187202" w14:paraId="7EBCF598"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1E7497B" w14:textId="77777777" w:rsidR="00187202" w:rsidRDefault="00187202" w:rsidP="00AA38BB">
            <w:pPr>
              <w:pStyle w:val="Tabletext"/>
              <w:keepNext w:val="0"/>
            </w:pPr>
            <w:r w:rsidRPr="000F358E">
              <w:t>PKET</w:t>
            </w:r>
          </w:p>
        </w:tc>
        <w:tc>
          <w:tcPr>
            <w:tcW w:w="3930" w:type="pct"/>
          </w:tcPr>
          <w:p w14:paraId="10FAC0A3" w14:textId="77777777" w:rsidR="00187202" w:rsidRDefault="00187202" w:rsidP="00AA38BB">
            <w:pPr>
              <w:pStyle w:val="Tabletext"/>
              <w:keepNext w:val="0"/>
            </w:pPr>
            <w:r w:rsidRPr="000F358E">
              <w:t xml:space="preserve">Port Kembla Energy Terminal </w:t>
            </w:r>
          </w:p>
        </w:tc>
      </w:tr>
      <w:tr w:rsidR="00187202" w14:paraId="75792F7F"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3226B3E4" w14:textId="77777777" w:rsidR="00187202" w:rsidRPr="000F358E" w:rsidRDefault="00187202" w:rsidP="00AA38BB">
            <w:pPr>
              <w:pStyle w:val="Tabletext"/>
              <w:keepNext w:val="0"/>
            </w:pPr>
            <w:r>
              <w:t>PPI</w:t>
            </w:r>
          </w:p>
        </w:tc>
        <w:tc>
          <w:tcPr>
            <w:tcW w:w="3930" w:type="pct"/>
          </w:tcPr>
          <w:p w14:paraId="11D00C6B" w14:textId="77777777" w:rsidR="00187202" w:rsidRPr="000F358E" w:rsidRDefault="00187202" w:rsidP="00AA38BB">
            <w:pPr>
              <w:pStyle w:val="Tabletext"/>
              <w:keepNext w:val="0"/>
            </w:pPr>
            <w:r>
              <w:t>Producer Price Index</w:t>
            </w:r>
          </w:p>
        </w:tc>
      </w:tr>
      <w:tr w:rsidR="00187202" w14:paraId="750AEBDC"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4520180B" w14:textId="77777777" w:rsidR="00187202" w:rsidRDefault="00187202" w:rsidP="00AA38BB">
            <w:pPr>
              <w:pStyle w:val="Tabletext"/>
              <w:keepNext w:val="0"/>
            </w:pPr>
            <w:r w:rsidRPr="000F358E">
              <w:t>QCLNG</w:t>
            </w:r>
          </w:p>
        </w:tc>
        <w:tc>
          <w:tcPr>
            <w:tcW w:w="3930" w:type="pct"/>
          </w:tcPr>
          <w:p w14:paraId="7B47300A" w14:textId="77777777" w:rsidR="00187202" w:rsidRDefault="00187202" w:rsidP="00AA38BB">
            <w:pPr>
              <w:pStyle w:val="Tabletext"/>
              <w:keepNext w:val="0"/>
            </w:pPr>
            <w:r w:rsidRPr="000F358E">
              <w:t>Queensland Curtis LNG</w:t>
            </w:r>
          </w:p>
        </w:tc>
      </w:tr>
      <w:tr w:rsidR="00187202" w14:paraId="0DE833B0"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3F075D6B" w14:textId="77777777" w:rsidR="00187202" w:rsidRPr="000F358E" w:rsidRDefault="00187202" w:rsidP="00AA38BB">
            <w:pPr>
              <w:pStyle w:val="Tabletext"/>
              <w:keepNext w:val="0"/>
            </w:pPr>
            <w:r>
              <w:t>R&amp;D</w:t>
            </w:r>
          </w:p>
        </w:tc>
        <w:tc>
          <w:tcPr>
            <w:tcW w:w="3930" w:type="pct"/>
          </w:tcPr>
          <w:p w14:paraId="1897AD83" w14:textId="77777777" w:rsidR="00187202" w:rsidRPr="000F358E" w:rsidRDefault="00187202" w:rsidP="00AA38BB">
            <w:pPr>
              <w:pStyle w:val="Tabletext"/>
              <w:keepNext w:val="0"/>
            </w:pPr>
            <w:r>
              <w:t>Research and development</w:t>
            </w:r>
          </w:p>
        </w:tc>
      </w:tr>
      <w:tr w:rsidR="00187202" w14:paraId="3B11E924"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2013AA27" w14:textId="77777777" w:rsidR="00187202" w:rsidRDefault="00187202" w:rsidP="00AA38BB">
            <w:pPr>
              <w:pStyle w:val="Tabletext"/>
              <w:keepNext w:val="0"/>
            </w:pPr>
            <w:r w:rsidRPr="000F358E">
              <w:t>RCP</w:t>
            </w:r>
          </w:p>
        </w:tc>
        <w:tc>
          <w:tcPr>
            <w:tcW w:w="3930" w:type="pct"/>
          </w:tcPr>
          <w:p w14:paraId="2D734B06" w14:textId="77777777" w:rsidR="00187202" w:rsidRDefault="00187202" w:rsidP="00AA38BB">
            <w:pPr>
              <w:pStyle w:val="Tabletext"/>
              <w:keepNext w:val="0"/>
            </w:pPr>
            <w:r w:rsidRPr="000F358E">
              <w:t>Representative Concentration Pathway</w:t>
            </w:r>
          </w:p>
        </w:tc>
      </w:tr>
      <w:tr w:rsidR="00187202" w14:paraId="36D6A37E"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3929DA41" w14:textId="77777777" w:rsidR="00187202" w:rsidRDefault="00187202" w:rsidP="00AA38BB">
            <w:pPr>
              <w:pStyle w:val="Tabletext"/>
              <w:keepNext w:val="0"/>
            </w:pPr>
            <w:r w:rsidRPr="000F358E">
              <w:t>REQ</w:t>
            </w:r>
          </w:p>
        </w:tc>
        <w:tc>
          <w:tcPr>
            <w:tcW w:w="3930" w:type="pct"/>
          </w:tcPr>
          <w:p w14:paraId="15A6B0BB" w14:textId="77777777" w:rsidR="00187202" w:rsidRDefault="00187202" w:rsidP="00AA38BB">
            <w:pPr>
              <w:pStyle w:val="Tabletext"/>
              <w:keepNext w:val="0"/>
            </w:pPr>
            <w:r w:rsidRPr="000F358E">
              <w:t xml:space="preserve">Resources and Energy Quarterly </w:t>
            </w:r>
          </w:p>
        </w:tc>
      </w:tr>
      <w:tr w:rsidR="00187202" w14:paraId="25B6D2A2"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634ADD08" w14:textId="77777777" w:rsidR="00187202" w:rsidRDefault="00187202" w:rsidP="00AA38BB">
            <w:pPr>
              <w:pStyle w:val="Tabletext"/>
              <w:keepNext w:val="0"/>
            </w:pPr>
            <w:r w:rsidRPr="000F358E">
              <w:t>SA</w:t>
            </w:r>
          </w:p>
        </w:tc>
        <w:tc>
          <w:tcPr>
            <w:tcW w:w="3930" w:type="pct"/>
          </w:tcPr>
          <w:p w14:paraId="4A0E67F4" w14:textId="77777777" w:rsidR="00187202" w:rsidRDefault="00187202" w:rsidP="00AA38BB">
            <w:pPr>
              <w:pStyle w:val="Tabletext"/>
              <w:keepNext w:val="0"/>
            </w:pPr>
            <w:r w:rsidRPr="000F358E">
              <w:t>South Australia</w:t>
            </w:r>
          </w:p>
        </w:tc>
      </w:tr>
      <w:tr w:rsidR="00187202" w14:paraId="24949760"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1BB6644" w14:textId="77777777" w:rsidR="00187202" w:rsidRDefault="00187202" w:rsidP="00AA38BB">
            <w:pPr>
              <w:pStyle w:val="Tabletext"/>
              <w:keepNext w:val="0"/>
            </w:pPr>
            <w:r w:rsidRPr="000F358E">
              <w:t>SMR</w:t>
            </w:r>
          </w:p>
        </w:tc>
        <w:tc>
          <w:tcPr>
            <w:tcW w:w="3930" w:type="pct"/>
          </w:tcPr>
          <w:p w14:paraId="3D4F419A" w14:textId="77777777" w:rsidR="00187202" w:rsidRDefault="00187202" w:rsidP="00AA38BB">
            <w:pPr>
              <w:pStyle w:val="Tabletext"/>
              <w:keepNext w:val="0"/>
            </w:pPr>
            <w:r w:rsidRPr="000F358E">
              <w:t>Steam Methane Reforming</w:t>
            </w:r>
          </w:p>
        </w:tc>
      </w:tr>
      <w:tr w:rsidR="00187202" w14:paraId="13409BAB"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737FFCF6" w14:textId="77777777" w:rsidR="00187202" w:rsidRDefault="00187202" w:rsidP="00AA38BB">
            <w:pPr>
              <w:pStyle w:val="Tabletext"/>
              <w:keepNext w:val="0"/>
            </w:pPr>
            <w:r w:rsidRPr="000F358E">
              <w:t>SOEC</w:t>
            </w:r>
          </w:p>
        </w:tc>
        <w:tc>
          <w:tcPr>
            <w:tcW w:w="3930" w:type="pct"/>
          </w:tcPr>
          <w:p w14:paraId="10186753" w14:textId="77777777" w:rsidR="00187202" w:rsidRDefault="00187202" w:rsidP="00AA38BB">
            <w:pPr>
              <w:pStyle w:val="Tabletext"/>
              <w:keepNext w:val="0"/>
            </w:pPr>
            <w:r w:rsidRPr="000F358E">
              <w:t>Solid Oxide Electrolysis Cells</w:t>
            </w:r>
          </w:p>
        </w:tc>
      </w:tr>
      <w:tr w:rsidR="00187202" w14:paraId="7E6F5006"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30A0B1A9" w14:textId="77777777" w:rsidR="00187202" w:rsidRDefault="00187202" w:rsidP="00AA38BB">
            <w:pPr>
              <w:pStyle w:val="Tabletext"/>
              <w:keepNext w:val="0"/>
            </w:pPr>
            <w:r w:rsidRPr="000F358E">
              <w:t>SRMC</w:t>
            </w:r>
          </w:p>
        </w:tc>
        <w:tc>
          <w:tcPr>
            <w:tcW w:w="3930" w:type="pct"/>
          </w:tcPr>
          <w:p w14:paraId="1FCC5F43" w14:textId="77777777" w:rsidR="00187202" w:rsidRDefault="00187202" w:rsidP="00AA38BB">
            <w:pPr>
              <w:pStyle w:val="Tabletext"/>
              <w:keepNext w:val="0"/>
            </w:pPr>
            <w:r w:rsidRPr="000F358E">
              <w:t>Short Run Marginal Cost</w:t>
            </w:r>
          </w:p>
        </w:tc>
      </w:tr>
      <w:tr w:rsidR="00187202" w14:paraId="0EC640B8"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0F5DE959" w14:textId="77777777" w:rsidR="00187202" w:rsidRDefault="00187202" w:rsidP="00AA38BB">
            <w:pPr>
              <w:pStyle w:val="Tabletext"/>
              <w:keepNext w:val="0"/>
            </w:pPr>
            <w:r w:rsidRPr="000F358E">
              <w:t>STEPS</w:t>
            </w:r>
          </w:p>
        </w:tc>
        <w:tc>
          <w:tcPr>
            <w:tcW w:w="3930" w:type="pct"/>
          </w:tcPr>
          <w:p w14:paraId="20CDB5DA" w14:textId="77777777" w:rsidR="00187202" w:rsidRDefault="00187202" w:rsidP="00AA38BB">
            <w:pPr>
              <w:pStyle w:val="Tabletext"/>
              <w:keepNext w:val="0"/>
            </w:pPr>
            <w:r w:rsidRPr="000F358E">
              <w:t>Stated Policies Scenario</w:t>
            </w:r>
          </w:p>
        </w:tc>
      </w:tr>
      <w:tr w:rsidR="00187202" w14:paraId="42046361"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6AD821F" w14:textId="77777777" w:rsidR="00187202" w:rsidRPr="000F358E" w:rsidRDefault="00187202" w:rsidP="00AA38BB">
            <w:pPr>
              <w:pStyle w:val="Tabletext"/>
              <w:keepNext w:val="0"/>
            </w:pPr>
            <w:r>
              <w:t>STTM</w:t>
            </w:r>
          </w:p>
        </w:tc>
        <w:tc>
          <w:tcPr>
            <w:tcW w:w="3930" w:type="pct"/>
          </w:tcPr>
          <w:p w14:paraId="2965D0B4" w14:textId="77777777" w:rsidR="00187202" w:rsidRPr="000F358E" w:rsidRDefault="00187202" w:rsidP="00AA38BB">
            <w:pPr>
              <w:pStyle w:val="Tabletext"/>
              <w:keepNext w:val="0"/>
            </w:pPr>
            <w:r>
              <w:t>Short-Term Trading Market</w:t>
            </w:r>
          </w:p>
        </w:tc>
      </w:tr>
      <w:tr w:rsidR="00187202" w14:paraId="2202E429"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3D655FD9" w14:textId="77777777" w:rsidR="00187202" w:rsidRDefault="00187202" w:rsidP="00AA38BB">
            <w:pPr>
              <w:pStyle w:val="Tabletext"/>
              <w:keepNext w:val="0"/>
            </w:pPr>
            <w:r w:rsidRPr="000F358E">
              <w:t>SWQP</w:t>
            </w:r>
          </w:p>
        </w:tc>
        <w:tc>
          <w:tcPr>
            <w:tcW w:w="3930" w:type="pct"/>
          </w:tcPr>
          <w:p w14:paraId="751AD8FA" w14:textId="77777777" w:rsidR="00187202" w:rsidRDefault="00187202" w:rsidP="00AA38BB">
            <w:pPr>
              <w:pStyle w:val="Tabletext"/>
              <w:keepNext w:val="0"/>
            </w:pPr>
            <w:r w:rsidRPr="000F358E">
              <w:t>South West Queensland Pipeline</w:t>
            </w:r>
          </w:p>
        </w:tc>
      </w:tr>
      <w:tr w:rsidR="00187202" w14:paraId="133DFD1A"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63F7BDC0" w14:textId="77777777" w:rsidR="00187202" w:rsidRDefault="00187202" w:rsidP="00AA38BB">
            <w:pPr>
              <w:pStyle w:val="Tabletext"/>
              <w:keepNext w:val="0"/>
            </w:pPr>
            <w:r w:rsidRPr="00937E69">
              <w:t>TGP</w:t>
            </w:r>
          </w:p>
        </w:tc>
        <w:tc>
          <w:tcPr>
            <w:tcW w:w="3930" w:type="pct"/>
          </w:tcPr>
          <w:p w14:paraId="32376C2E" w14:textId="77777777" w:rsidR="00187202" w:rsidRDefault="00187202" w:rsidP="00AA38BB">
            <w:pPr>
              <w:pStyle w:val="Tabletext"/>
              <w:keepNext w:val="0"/>
            </w:pPr>
            <w:r w:rsidRPr="00937E69">
              <w:t xml:space="preserve">Tasmanian Gas Pipeline </w:t>
            </w:r>
          </w:p>
        </w:tc>
      </w:tr>
      <w:tr w:rsidR="00187202" w14:paraId="307AEF40" w14:textId="77777777" w:rsidTr="00187202">
        <w:trPr>
          <w:cnfStyle w:val="000000100000" w:firstRow="0" w:lastRow="0" w:firstColumn="0" w:lastColumn="0" w:oddVBand="0" w:evenVBand="0" w:oddHBand="1" w:evenHBand="0" w:firstRowFirstColumn="0" w:firstRowLastColumn="0" w:lastRowFirstColumn="0" w:lastRowLastColumn="0"/>
          <w:trHeight w:val="295"/>
        </w:trPr>
        <w:tc>
          <w:tcPr>
            <w:tcW w:w="1070" w:type="pct"/>
          </w:tcPr>
          <w:p w14:paraId="4C23807F" w14:textId="77777777" w:rsidR="00187202" w:rsidRPr="00F86843" w:rsidRDefault="00187202" w:rsidP="00AA38BB">
            <w:pPr>
              <w:pStyle w:val="Tabletext"/>
              <w:keepNext w:val="0"/>
            </w:pPr>
            <w:r w:rsidRPr="00937E69">
              <w:t>TJ</w:t>
            </w:r>
          </w:p>
        </w:tc>
        <w:tc>
          <w:tcPr>
            <w:tcW w:w="3930" w:type="pct"/>
          </w:tcPr>
          <w:p w14:paraId="09056EDE" w14:textId="77777777" w:rsidR="00187202" w:rsidRPr="00F86843" w:rsidRDefault="00187202" w:rsidP="00AA38BB">
            <w:pPr>
              <w:pStyle w:val="Tabletext"/>
              <w:keepNext w:val="0"/>
            </w:pPr>
            <w:r w:rsidRPr="00937E69">
              <w:t>Terajoule</w:t>
            </w:r>
            <w:r>
              <w:t>s</w:t>
            </w:r>
          </w:p>
        </w:tc>
      </w:tr>
      <w:tr w:rsidR="00187202" w14:paraId="48759544" w14:textId="77777777" w:rsidTr="00187202">
        <w:trPr>
          <w:cnfStyle w:val="000000010000" w:firstRow="0" w:lastRow="0" w:firstColumn="0" w:lastColumn="0" w:oddVBand="0" w:evenVBand="0" w:oddHBand="0" w:evenHBand="1" w:firstRowFirstColumn="0" w:firstRowLastColumn="0" w:lastRowFirstColumn="0" w:lastRowLastColumn="0"/>
          <w:trHeight w:val="295"/>
        </w:trPr>
        <w:tc>
          <w:tcPr>
            <w:tcW w:w="1070" w:type="pct"/>
          </w:tcPr>
          <w:p w14:paraId="7739315B" w14:textId="77777777" w:rsidR="00187202" w:rsidRDefault="00187202" w:rsidP="00AA38BB">
            <w:pPr>
              <w:pStyle w:val="Tabletext"/>
              <w:keepNext w:val="0"/>
            </w:pPr>
            <w:r w:rsidRPr="00F86843">
              <w:t>TWh</w:t>
            </w:r>
          </w:p>
        </w:tc>
        <w:tc>
          <w:tcPr>
            <w:tcW w:w="3930" w:type="pct"/>
          </w:tcPr>
          <w:p w14:paraId="6827585B" w14:textId="77777777" w:rsidR="00187202" w:rsidRDefault="00187202" w:rsidP="00AA38BB">
            <w:pPr>
              <w:pStyle w:val="Tabletext"/>
              <w:keepNext w:val="0"/>
            </w:pPr>
            <w:r w:rsidRPr="00F86843">
              <w:t>Terawatt hours</w:t>
            </w:r>
          </w:p>
        </w:tc>
      </w:tr>
      <w:tr w:rsidR="00187202" w14:paraId="36258BB0"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61EC355B" w14:textId="77777777" w:rsidR="00187202" w:rsidRDefault="00187202" w:rsidP="00AA38BB">
            <w:pPr>
              <w:pStyle w:val="Tabletext"/>
              <w:keepNext w:val="0"/>
            </w:pPr>
            <w:r w:rsidRPr="00F86843">
              <w:t>UNFCCC</w:t>
            </w:r>
          </w:p>
        </w:tc>
        <w:tc>
          <w:tcPr>
            <w:tcW w:w="3930" w:type="pct"/>
          </w:tcPr>
          <w:p w14:paraId="3DC7D43A" w14:textId="77777777" w:rsidR="00187202" w:rsidRDefault="00187202" w:rsidP="00AA38BB">
            <w:pPr>
              <w:pStyle w:val="Tabletext"/>
              <w:keepNext w:val="0"/>
            </w:pPr>
            <w:r w:rsidRPr="00F86843">
              <w:t>United Nations Framework Convention on Climate Change</w:t>
            </w:r>
          </w:p>
        </w:tc>
      </w:tr>
      <w:tr w:rsidR="00187202" w14:paraId="64C8956E"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596CB7E0" w14:textId="77777777" w:rsidR="00187202" w:rsidRDefault="00187202" w:rsidP="00AA38BB">
            <w:pPr>
              <w:pStyle w:val="Tabletext"/>
              <w:keepNext w:val="0"/>
            </w:pPr>
            <w:r w:rsidRPr="00F86843">
              <w:t>US</w:t>
            </w:r>
          </w:p>
        </w:tc>
        <w:tc>
          <w:tcPr>
            <w:tcW w:w="3930" w:type="pct"/>
          </w:tcPr>
          <w:p w14:paraId="3AD6FD84" w14:textId="77777777" w:rsidR="00187202" w:rsidRDefault="00187202" w:rsidP="00AA38BB">
            <w:pPr>
              <w:pStyle w:val="Tabletext"/>
              <w:keepNext w:val="0"/>
            </w:pPr>
            <w:r w:rsidRPr="00F86843">
              <w:t>United States</w:t>
            </w:r>
          </w:p>
        </w:tc>
      </w:tr>
      <w:tr w:rsidR="00187202" w14:paraId="382C066F"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7E198D0D" w14:textId="77777777" w:rsidR="00187202" w:rsidRDefault="00187202" w:rsidP="00AA38BB">
            <w:pPr>
              <w:pStyle w:val="Tabletext"/>
              <w:keepNext w:val="0"/>
            </w:pPr>
            <w:r w:rsidRPr="00F86843">
              <w:t>USA</w:t>
            </w:r>
          </w:p>
        </w:tc>
        <w:tc>
          <w:tcPr>
            <w:tcW w:w="3930" w:type="pct"/>
          </w:tcPr>
          <w:p w14:paraId="354521BC" w14:textId="77777777" w:rsidR="00187202" w:rsidRDefault="00187202" w:rsidP="00AA38BB">
            <w:pPr>
              <w:pStyle w:val="Tabletext"/>
              <w:keepNext w:val="0"/>
            </w:pPr>
            <w:r w:rsidRPr="00F86843">
              <w:t>United States of America</w:t>
            </w:r>
          </w:p>
        </w:tc>
      </w:tr>
      <w:tr w:rsidR="00187202" w14:paraId="1C736C35"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0BFFA1B3" w14:textId="77777777" w:rsidR="00187202" w:rsidRDefault="00187202" w:rsidP="00AA38BB">
            <w:pPr>
              <w:pStyle w:val="Tabletext"/>
              <w:keepNext w:val="0"/>
            </w:pPr>
            <w:r w:rsidRPr="00F86843">
              <w:t>USD</w:t>
            </w:r>
          </w:p>
        </w:tc>
        <w:tc>
          <w:tcPr>
            <w:tcW w:w="3930" w:type="pct"/>
          </w:tcPr>
          <w:p w14:paraId="68EB0D8B" w14:textId="77777777" w:rsidR="00187202" w:rsidRDefault="00187202" w:rsidP="00AA38BB">
            <w:pPr>
              <w:pStyle w:val="Tabletext"/>
              <w:keepNext w:val="0"/>
            </w:pPr>
            <w:r w:rsidRPr="00F86843">
              <w:t>United States Dollar</w:t>
            </w:r>
          </w:p>
        </w:tc>
      </w:tr>
      <w:tr w:rsidR="00187202" w14:paraId="176BCD76"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130AF783" w14:textId="77777777" w:rsidR="00187202" w:rsidRDefault="00187202" w:rsidP="00AA38BB">
            <w:pPr>
              <w:pStyle w:val="Tabletext"/>
              <w:keepNext w:val="0"/>
            </w:pPr>
            <w:r w:rsidRPr="00F86843">
              <w:t>VIC</w:t>
            </w:r>
          </w:p>
        </w:tc>
        <w:tc>
          <w:tcPr>
            <w:tcW w:w="3930" w:type="pct"/>
          </w:tcPr>
          <w:p w14:paraId="26C6104B" w14:textId="77777777" w:rsidR="00187202" w:rsidRDefault="00187202" w:rsidP="00AA38BB">
            <w:pPr>
              <w:pStyle w:val="Tabletext"/>
              <w:keepNext w:val="0"/>
            </w:pPr>
            <w:r w:rsidRPr="00F86843">
              <w:t>Victoria</w:t>
            </w:r>
          </w:p>
        </w:tc>
      </w:tr>
      <w:tr w:rsidR="00D33852" w14:paraId="521CCCA5"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3C37A717" w14:textId="10C5C189" w:rsidR="00D33852" w:rsidRPr="00F86843" w:rsidRDefault="00D33852" w:rsidP="00AA38BB">
            <w:pPr>
              <w:pStyle w:val="Tabletext"/>
              <w:keepNext w:val="0"/>
            </w:pPr>
            <w:r>
              <w:t>VTS</w:t>
            </w:r>
          </w:p>
        </w:tc>
        <w:tc>
          <w:tcPr>
            <w:tcW w:w="3930" w:type="pct"/>
          </w:tcPr>
          <w:p w14:paraId="3E11F625" w14:textId="33197780" w:rsidR="00D33852" w:rsidRPr="00F86843" w:rsidRDefault="00D33852" w:rsidP="00AA38BB">
            <w:pPr>
              <w:pStyle w:val="Tabletext"/>
              <w:keepNext w:val="0"/>
            </w:pPr>
            <w:r>
              <w:t>Victorian Transmission System</w:t>
            </w:r>
          </w:p>
        </w:tc>
      </w:tr>
      <w:tr w:rsidR="00187202" w14:paraId="2F00C9AF"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1DB5F4E5" w14:textId="77777777" w:rsidR="00187202" w:rsidRDefault="00187202" w:rsidP="00AA38BB">
            <w:pPr>
              <w:pStyle w:val="Tabletext"/>
              <w:keepNext w:val="0"/>
            </w:pPr>
            <w:r w:rsidRPr="00F86843">
              <w:t>WA</w:t>
            </w:r>
          </w:p>
        </w:tc>
        <w:tc>
          <w:tcPr>
            <w:tcW w:w="3930" w:type="pct"/>
          </w:tcPr>
          <w:p w14:paraId="6880C48A" w14:textId="77777777" w:rsidR="00187202" w:rsidRDefault="00187202" w:rsidP="00AA38BB">
            <w:pPr>
              <w:pStyle w:val="Tabletext"/>
              <w:keepNext w:val="0"/>
            </w:pPr>
            <w:r w:rsidRPr="00F86843">
              <w:t>Western Australia</w:t>
            </w:r>
          </w:p>
        </w:tc>
      </w:tr>
      <w:tr w:rsidR="00187202" w14:paraId="49D3C492"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4C461976" w14:textId="77777777" w:rsidR="00187202" w:rsidRDefault="00187202" w:rsidP="00AA38BB">
            <w:pPr>
              <w:pStyle w:val="Tabletext"/>
              <w:keepNext w:val="0"/>
            </w:pPr>
            <w:r w:rsidRPr="00F86843">
              <w:t>WEM</w:t>
            </w:r>
          </w:p>
        </w:tc>
        <w:tc>
          <w:tcPr>
            <w:tcW w:w="3930" w:type="pct"/>
          </w:tcPr>
          <w:p w14:paraId="384BAA5F" w14:textId="77777777" w:rsidR="00187202" w:rsidRDefault="00187202" w:rsidP="00AA38BB">
            <w:pPr>
              <w:pStyle w:val="Tabletext"/>
              <w:keepNext w:val="0"/>
            </w:pPr>
            <w:r w:rsidRPr="00F86843">
              <w:t>Wholesale Electricity Market</w:t>
            </w:r>
          </w:p>
        </w:tc>
      </w:tr>
      <w:tr w:rsidR="00187202" w14:paraId="6BD20FD3"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5C28E882" w14:textId="77777777" w:rsidR="00187202" w:rsidRDefault="00187202" w:rsidP="00AA38BB">
            <w:pPr>
              <w:pStyle w:val="Tabletext"/>
              <w:keepNext w:val="0"/>
            </w:pPr>
            <w:r w:rsidRPr="00F86843">
              <w:t>WEO</w:t>
            </w:r>
          </w:p>
        </w:tc>
        <w:tc>
          <w:tcPr>
            <w:tcW w:w="3930" w:type="pct"/>
          </w:tcPr>
          <w:p w14:paraId="286CAA68" w14:textId="77777777" w:rsidR="00187202" w:rsidRDefault="00187202" w:rsidP="00AA38BB">
            <w:pPr>
              <w:pStyle w:val="Tabletext"/>
              <w:keepNext w:val="0"/>
            </w:pPr>
            <w:r w:rsidRPr="00F86843">
              <w:t>World Energy Outlook</w:t>
            </w:r>
          </w:p>
        </w:tc>
      </w:tr>
      <w:tr w:rsidR="00187202" w14:paraId="32AB0034" w14:textId="77777777" w:rsidTr="00187202">
        <w:trPr>
          <w:cnfStyle w:val="000000010000" w:firstRow="0" w:lastRow="0" w:firstColumn="0" w:lastColumn="0" w:oddVBand="0" w:evenVBand="0" w:oddHBand="0" w:evenHBand="1" w:firstRowFirstColumn="0" w:firstRowLastColumn="0" w:lastRowFirstColumn="0" w:lastRowLastColumn="0"/>
        </w:trPr>
        <w:tc>
          <w:tcPr>
            <w:tcW w:w="1070" w:type="pct"/>
          </w:tcPr>
          <w:p w14:paraId="74B60CC2" w14:textId="77777777" w:rsidR="00187202" w:rsidRDefault="00187202" w:rsidP="00AA38BB">
            <w:pPr>
              <w:pStyle w:val="Tabletext"/>
              <w:keepNext w:val="0"/>
            </w:pPr>
            <w:r w:rsidRPr="00F86843">
              <w:t>WGM</w:t>
            </w:r>
          </w:p>
        </w:tc>
        <w:tc>
          <w:tcPr>
            <w:tcW w:w="3930" w:type="pct"/>
          </w:tcPr>
          <w:p w14:paraId="0714591A" w14:textId="77777777" w:rsidR="00187202" w:rsidRDefault="00187202" w:rsidP="00AA38BB">
            <w:pPr>
              <w:pStyle w:val="Tabletext"/>
              <w:keepNext w:val="0"/>
            </w:pPr>
            <w:r w:rsidRPr="00F86843">
              <w:t>World Gas Model</w:t>
            </w:r>
          </w:p>
        </w:tc>
      </w:tr>
      <w:tr w:rsidR="00187202" w14:paraId="2BA4B2B0" w14:textId="77777777" w:rsidTr="00187202">
        <w:trPr>
          <w:cnfStyle w:val="000000100000" w:firstRow="0" w:lastRow="0" w:firstColumn="0" w:lastColumn="0" w:oddVBand="0" w:evenVBand="0" w:oddHBand="1" w:evenHBand="0" w:firstRowFirstColumn="0" w:firstRowLastColumn="0" w:lastRowFirstColumn="0" w:lastRowLastColumn="0"/>
        </w:trPr>
        <w:tc>
          <w:tcPr>
            <w:tcW w:w="1070" w:type="pct"/>
          </w:tcPr>
          <w:p w14:paraId="6533A8D9" w14:textId="77777777" w:rsidR="00187202" w:rsidRDefault="00187202" w:rsidP="00AA38BB">
            <w:pPr>
              <w:pStyle w:val="Tabletext"/>
              <w:keepNext w:val="0"/>
            </w:pPr>
            <w:r w:rsidRPr="00F86843">
              <w:t>WORM</w:t>
            </w:r>
          </w:p>
        </w:tc>
        <w:tc>
          <w:tcPr>
            <w:tcW w:w="3930" w:type="pct"/>
          </w:tcPr>
          <w:p w14:paraId="09E1847F" w14:textId="77777777" w:rsidR="00187202" w:rsidRDefault="00187202" w:rsidP="00AA38BB">
            <w:pPr>
              <w:pStyle w:val="Tabletext"/>
              <w:keepNext w:val="0"/>
            </w:pPr>
            <w:r w:rsidRPr="00F86843">
              <w:t xml:space="preserve">Western Outer Ring Main </w:t>
            </w:r>
          </w:p>
        </w:tc>
      </w:tr>
    </w:tbl>
    <w:p w14:paraId="472CBEC9" w14:textId="77777777" w:rsidR="002D30C7" w:rsidRDefault="002D30C7">
      <w:pPr>
        <w:spacing w:after="200" w:line="276" w:lineRule="auto"/>
        <w:rPr>
          <w:rFonts w:eastAsia="Times New Roman" w:cs="Arial"/>
          <w:b/>
          <w:bCs/>
          <w:color w:val="005CAF"/>
          <w:kern w:val="32"/>
          <w:sz w:val="24"/>
          <w:szCs w:val="24"/>
        </w:rPr>
      </w:pPr>
    </w:p>
    <w:p w14:paraId="4D623B5E" w14:textId="77777777" w:rsidR="001976EA" w:rsidRDefault="001976EA">
      <w:pPr>
        <w:spacing w:after="200" w:line="276" w:lineRule="auto"/>
        <w:rPr>
          <w:rFonts w:eastAsia="Times New Roman" w:cs="Arial"/>
          <w:b/>
          <w:bCs/>
          <w:color w:val="005CAF"/>
          <w:kern w:val="32"/>
          <w:sz w:val="24"/>
          <w:szCs w:val="24"/>
        </w:rPr>
      </w:pPr>
    </w:p>
    <w:sectPr w:rsidR="001976EA" w:rsidSect="00926B14">
      <w:footerReference w:type="even" r:id="rId182"/>
      <w:footerReference w:type="default" r:id="rId183"/>
      <w:footerReference w:type="first" r:id="rId184"/>
      <w:pgSz w:w="16838" w:h="11906" w:orient="landscape" w:code="9"/>
      <w:pgMar w:top="992"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00BBD" w14:textId="77777777" w:rsidR="00CA6638" w:rsidRDefault="00CA6638" w:rsidP="00F244EA">
      <w:pPr>
        <w:spacing w:after="0" w:line="240" w:lineRule="auto"/>
      </w:pPr>
      <w:r>
        <w:separator/>
      </w:r>
    </w:p>
  </w:endnote>
  <w:endnote w:type="continuationSeparator" w:id="0">
    <w:p w14:paraId="476DB0C3" w14:textId="77777777" w:rsidR="00CA6638" w:rsidRDefault="00CA6638" w:rsidP="00F244EA">
      <w:pPr>
        <w:spacing w:after="0" w:line="240" w:lineRule="auto"/>
      </w:pPr>
      <w:r>
        <w:continuationSeparator/>
      </w:r>
    </w:p>
  </w:endnote>
  <w:endnote w:type="continuationNotice" w:id="1">
    <w:p w14:paraId="15DA7987" w14:textId="77777777" w:rsidR="00160FCC" w:rsidRDefault="00160F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8873" w14:textId="144021BC" w:rsidR="00C21B20" w:rsidRPr="001C2E57" w:rsidRDefault="00C21B20" w:rsidP="00C50D71">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BF178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964E73">
      <w:rPr>
        <w:noProof/>
      </w:rPr>
      <w:instrText>Future Gas Strategy</w:instrText>
    </w:r>
    <w:r>
      <w:rPr>
        <w:noProof/>
      </w:rPr>
      <w:fldChar w:fldCharType="end"/>
    </w:r>
    <w:r w:rsidRPr="001C2E57">
      <w:instrText xml:space="preserve"> </w:instrText>
    </w:r>
    <w:r w:rsidRPr="001C2E57">
      <w:fldChar w:fldCharType="end"/>
    </w:r>
    <w:r>
      <w:t xml:space="preserve"> </w:t>
    </w:r>
    <w:r>
      <w:tab/>
    </w:r>
    <w:r w:rsidRPr="001C2E57">
      <w:fldChar w:fldCharType="begin"/>
    </w:r>
    <w:r w:rsidRPr="001C2E57">
      <w:instrText xml:space="preserve"> PAGE   \* MERGEFORMAT </w:instrText>
    </w:r>
    <w:r w:rsidRPr="001C2E57">
      <w:fldChar w:fldCharType="separate"/>
    </w:r>
    <w:r>
      <w:rPr>
        <w:noProof/>
      </w:rPr>
      <w:t>i</w:t>
    </w:r>
    <w:r w:rsidRPr="001C2E57">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DC72" w14:textId="7F874CF7" w:rsidR="0025282C" w:rsidRPr="001C2E57" w:rsidRDefault="006579D4" w:rsidP="00C83F69">
    <w:pPr>
      <w:pStyle w:val="Footer"/>
      <w:tabs>
        <w:tab w:val="clear" w:pos="9680"/>
      </w:tabs>
    </w:pPr>
    <w:r>
      <w:t>Future Gas Strategy</w:t>
    </w:r>
    <w:r w:rsidRPr="001C2E57">
      <w:t xml:space="preserve"> </w:t>
    </w:r>
    <w:r w:rsidR="0025282C" w:rsidRPr="001C2E57">
      <w:fldChar w:fldCharType="begin"/>
    </w:r>
    <w:r w:rsidR="0025282C" w:rsidRPr="001C2E57">
      <w:instrText>IF</w:instrText>
    </w:r>
    <w:r w:rsidR="007301FA">
      <w:fldChar w:fldCharType="begin"/>
    </w:r>
    <w:r w:rsidR="007301FA">
      <w:instrText xml:space="preserve"> STYLEREF "Title Heading" \* Charformat </w:instrText>
    </w:r>
    <w:r w:rsidR="007301FA">
      <w:fldChar w:fldCharType="separate"/>
    </w:r>
    <w:r w:rsidR="00F22385">
      <w:rPr>
        <w:b/>
        <w:bCs/>
        <w:noProof/>
        <w:lang w:val="en-US"/>
      </w:rPr>
      <w:instrText>Error! No text of specified style in document.</w:instrText>
    </w:r>
    <w:r w:rsidR="007301FA">
      <w:rPr>
        <w:noProof/>
      </w:rPr>
      <w:fldChar w:fldCharType="end"/>
    </w:r>
    <w:r w:rsidR="0025282C" w:rsidRPr="001C2E57">
      <w:instrText xml:space="preserve"> &lt;&gt; "Error*" </w:instrText>
    </w:r>
    <w:r w:rsidR="0025282C">
      <w:rPr>
        <w:noProof/>
      </w:rPr>
      <w:fldChar w:fldCharType="begin"/>
    </w:r>
    <w:r w:rsidR="0025282C">
      <w:rPr>
        <w:noProof/>
      </w:rPr>
      <w:instrText xml:space="preserve"> STYLEREF "Title Heading" \* Charformat </w:instrText>
    </w:r>
    <w:r w:rsidR="0025282C">
      <w:rPr>
        <w:noProof/>
      </w:rPr>
      <w:fldChar w:fldCharType="separate"/>
    </w:r>
    <w:r w:rsidR="00AA38BB">
      <w:rPr>
        <w:noProof/>
      </w:rPr>
      <w:instrText>Future Gas Strategy</w:instrText>
    </w:r>
    <w:r w:rsidR="0025282C">
      <w:rPr>
        <w:noProof/>
      </w:rPr>
      <w:fldChar w:fldCharType="end"/>
    </w:r>
    <w:r w:rsidR="0025282C" w:rsidRPr="001C2E57">
      <w:instrText xml:space="preserve"> </w:instrText>
    </w:r>
    <w:r w:rsidR="0025282C" w:rsidRPr="001C2E57">
      <w:fldChar w:fldCharType="end"/>
    </w:r>
    <w:r w:rsidR="0025282C">
      <w:t xml:space="preserve"> </w:t>
    </w:r>
    <w:r w:rsidR="00F32882">
      <w:t xml:space="preserve">| Analytical Report </w:t>
    </w:r>
    <w:r w:rsidR="0025282C">
      <w:ptab w:relativeTo="margin" w:alignment="right" w:leader="none"/>
    </w:r>
    <w:r w:rsidR="0025282C" w:rsidRPr="001C2E57">
      <w:fldChar w:fldCharType="begin"/>
    </w:r>
    <w:r w:rsidR="0025282C" w:rsidRPr="001C2E57">
      <w:instrText xml:space="preserve"> PAGE   \* MERGEFORMAT </w:instrText>
    </w:r>
    <w:r w:rsidR="0025282C" w:rsidRPr="001C2E57">
      <w:fldChar w:fldCharType="separate"/>
    </w:r>
    <w:r w:rsidR="003A02A9">
      <w:rPr>
        <w:noProof/>
      </w:rPr>
      <w:t>1</w:t>
    </w:r>
    <w:r w:rsidR="0025282C" w:rsidRPr="001C2E57">
      <w:rPr>
        <w:noProof/>
      </w:rPr>
      <w:fldChar w:fldCharType="end"/>
    </w:r>
  </w:p>
  <w:p w14:paraId="74AA26A2" w14:textId="77777777" w:rsidR="00D1615F" w:rsidRDefault="00D1615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AC5D" w14:textId="2FA5E6B4" w:rsidR="0025282C" w:rsidRPr="001C2E57" w:rsidRDefault="0025282C" w:rsidP="00E35ECE">
    <w:pPr>
      <w:pStyle w:val="Footer"/>
    </w:pPr>
    <w:r w:rsidRPr="001C2E57">
      <w:fldChar w:fldCharType="begin"/>
    </w:r>
    <w:r w:rsidRPr="001C2E57">
      <w:instrText>IF</w:instrText>
    </w:r>
    <w:r w:rsidR="00024DA6">
      <w:fldChar w:fldCharType="begin"/>
    </w:r>
    <w:r w:rsidR="00024DA6">
      <w:instrText xml:space="preserve"> STYLEREF "Title Heading" \* Charformat </w:instrText>
    </w:r>
    <w:r w:rsidR="00024DA6">
      <w:fldChar w:fldCharType="separate"/>
    </w:r>
    <w:r w:rsidR="00BF178A">
      <w:rPr>
        <w:b/>
        <w:bCs/>
        <w:noProof/>
        <w:lang w:val="en-US"/>
      </w:rPr>
      <w:instrText>Error! No text of specified style in document.</w:instrText>
    </w:r>
    <w:r w:rsidR="00024DA6">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231476">
      <w:rPr>
        <w:noProof/>
      </w:rPr>
      <w:instrText>Future Gas Strategy</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26A7B189" w14:textId="77777777" w:rsidR="00D1615F" w:rsidRDefault="00D161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3190" w14:textId="14257750" w:rsidR="005C256A" w:rsidRPr="001C2E57" w:rsidRDefault="006579D4" w:rsidP="00C50D71">
    <w:pPr>
      <w:pStyle w:val="Footer"/>
      <w:tabs>
        <w:tab w:val="clear" w:pos="9680"/>
      </w:tabs>
    </w:pPr>
    <w:r>
      <w:t>Future Gas Strategy</w:t>
    </w:r>
    <w:r w:rsidR="005C256A" w:rsidRPr="001C2E57">
      <w:fldChar w:fldCharType="begin"/>
    </w:r>
    <w:r w:rsidR="005C256A" w:rsidRPr="001C2E57">
      <w:instrText>IF</w:instrText>
    </w:r>
    <w:r w:rsidR="007301FA">
      <w:fldChar w:fldCharType="begin"/>
    </w:r>
    <w:r w:rsidR="007301FA">
      <w:instrText xml:space="preserve"> STYLEREF "Title Heading" \* Charformat </w:instrText>
    </w:r>
    <w:r w:rsidR="007301FA">
      <w:fldChar w:fldCharType="separate"/>
    </w:r>
    <w:r w:rsidR="00D21206">
      <w:rPr>
        <w:b/>
        <w:bCs/>
        <w:noProof/>
        <w:lang w:val="en-US"/>
      </w:rPr>
      <w:instrText>Error! No text of specified style in document.</w:instrText>
    </w:r>
    <w:r w:rsidR="007301FA">
      <w:rPr>
        <w:noProof/>
      </w:rPr>
      <w:fldChar w:fldCharType="end"/>
    </w:r>
    <w:r w:rsidR="005C256A" w:rsidRPr="001C2E57">
      <w:instrText xml:space="preserve"> &lt;&gt; "Error*" </w:instrText>
    </w:r>
    <w:r w:rsidR="005C256A">
      <w:rPr>
        <w:noProof/>
      </w:rPr>
      <w:fldChar w:fldCharType="begin"/>
    </w:r>
    <w:r w:rsidR="005C256A">
      <w:rPr>
        <w:noProof/>
      </w:rPr>
      <w:instrText xml:space="preserve"> STYLEREF "Title Heading" \* Charformat </w:instrText>
    </w:r>
    <w:r w:rsidR="005C256A">
      <w:rPr>
        <w:noProof/>
      </w:rPr>
      <w:fldChar w:fldCharType="separate"/>
    </w:r>
    <w:r w:rsidR="00AA38BB">
      <w:rPr>
        <w:noProof/>
      </w:rPr>
      <w:instrText>Future Gas Strategy</w:instrText>
    </w:r>
    <w:r w:rsidR="005C256A">
      <w:rPr>
        <w:noProof/>
      </w:rPr>
      <w:fldChar w:fldCharType="end"/>
    </w:r>
    <w:r w:rsidR="005C256A" w:rsidRPr="001C2E57">
      <w:instrText xml:space="preserve"> </w:instrText>
    </w:r>
    <w:r w:rsidR="005C256A" w:rsidRPr="001C2E57">
      <w:fldChar w:fldCharType="end"/>
    </w:r>
    <w:r w:rsidR="005C256A">
      <w:t xml:space="preserve"> </w:t>
    </w:r>
    <w:r w:rsidR="00F32882">
      <w:t>| Analytical Report</w:t>
    </w:r>
    <w:r w:rsidR="005C256A">
      <w:ptab w:relativeTo="margin" w:alignment="right" w:leader="none"/>
    </w:r>
    <w:r w:rsidR="005C256A" w:rsidRPr="001C2E57">
      <w:fldChar w:fldCharType="begin"/>
    </w:r>
    <w:r w:rsidR="005C256A" w:rsidRPr="001C2E57">
      <w:instrText xml:space="preserve"> PAGE   \* MERGEFORMAT </w:instrText>
    </w:r>
    <w:r w:rsidR="005C256A" w:rsidRPr="001C2E57">
      <w:fldChar w:fldCharType="separate"/>
    </w:r>
    <w:r w:rsidR="005C256A">
      <w:rPr>
        <w:noProof/>
      </w:rPr>
      <w:t>1</w:t>
    </w:r>
    <w:r w:rsidR="005C256A" w:rsidRPr="001C2E5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4BBA" w14:textId="54330455" w:rsidR="005C256A" w:rsidRPr="001C2E57" w:rsidRDefault="005C256A" w:rsidP="00C50D71">
    <w:pPr>
      <w:pStyle w:val="Footer"/>
    </w:pPr>
    <w:r w:rsidRPr="001C2E57">
      <w:fldChar w:fldCharType="begin"/>
    </w:r>
    <w:r w:rsidRPr="001C2E57">
      <w:instrText>IF</w:instrText>
    </w:r>
    <w:r w:rsidR="00024DA6">
      <w:fldChar w:fldCharType="begin"/>
    </w:r>
    <w:r w:rsidR="00024DA6">
      <w:instrText xml:space="preserve"> STYLEREF "Title Heading" \* Charformat </w:instrText>
    </w:r>
    <w:r w:rsidR="00024DA6">
      <w:fldChar w:fldCharType="separate"/>
    </w:r>
    <w:r w:rsidR="00BF178A">
      <w:rPr>
        <w:b/>
        <w:bCs/>
        <w:noProof/>
        <w:lang w:val="en-US"/>
      </w:rPr>
      <w:instrText>Error! No text of specified style in document.</w:instrText>
    </w:r>
    <w:r w:rsidR="00024DA6">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20044E">
      <w:rPr>
        <w:noProof/>
      </w:rPr>
      <w:instrText>Future Gas Strategy</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19CF" w14:textId="0E55B048" w:rsidR="005C256A" w:rsidRPr="001C2E57" w:rsidRDefault="006579D4" w:rsidP="00C50D71">
    <w:pPr>
      <w:pStyle w:val="Footer"/>
      <w:tabs>
        <w:tab w:val="clear" w:pos="9680"/>
      </w:tabs>
    </w:pPr>
    <w:r>
      <w:t>Future Gas Strategy</w:t>
    </w:r>
    <w:r w:rsidR="005C256A" w:rsidRPr="001C2E57">
      <w:fldChar w:fldCharType="begin"/>
    </w:r>
    <w:r w:rsidR="005C256A" w:rsidRPr="001C2E57">
      <w:instrText>IF</w:instrText>
    </w:r>
    <w:r w:rsidR="007301FA">
      <w:fldChar w:fldCharType="begin"/>
    </w:r>
    <w:r w:rsidR="007301FA">
      <w:instrText xml:space="preserve"> STYLEREF "Title Heading" \* Charformat </w:instrText>
    </w:r>
    <w:r w:rsidR="007301FA">
      <w:fldChar w:fldCharType="separate"/>
    </w:r>
    <w:r w:rsidR="00D21206">
      <w:rPr>
        <w:b/>
        <w:bCs/>
        <w:noProof/>
        <w:lang w:val="en-US"/>
      </w:rPr>
      <w:instrText>Error! No text of specified style in document.</w:instrText>
    </w:r>
    <w:r w:rsidR="007301FA">
      <w:rPr>
        <w:noProof/>
      </w:rPr>
      <w:fldChar w:fldCharType="end"/>
    </w:r>
    <w:r w:rsidR="005C256A" w:rsidRPr="001C2E57">
      <w:instrText xml:space="preserve"> &lt;&gt; "Error*" </w:instrText>
    </w:r>
    <w:r w:rsidR="005C256A">
      <w:rPr>
        <w:noProof/>
      </w:rPr>
      <w:fldChar w:fldCharType="begin"/>
    </w:r>
    <w:r w:rsidR="005C256A">
      <w:rPr>
        <w:noProof/>
      </w:rPr>
      <w:instrText xml:space="preserve"> STYLEREF "Title Heading" \* Charformat </w:instrText>
    </w:r>
    <w:r w:rsidR="005C256A">
      <w:rPr>
        <w:noProof/>
      </w:rPr>
      <w:fldChar w:fldCharType="separate"/>
    </w:r>
    <w:r w:rsidR="00AA38BB">
      <w:rPr>
        <w:noProof/>
      </w:rPr>
      <w:instrText>Future Gas Strategy</w:instrText>
    </w:r>
    <w:r w:rsidR="005C256A">
      <w:rPr>
        <w:noProof/>
      </w:rPr>
      <w:fldChar w:fldCharType="end"/>
    </w:r>
    <w:r w:rsidR="005C256A" w:rsidRPr="001C2E57">
      <w:instrText xml:space="preserve"> </w:instrText>
    </w:r>
    <w:r w:rsidR="005C256A" w:rsidRPr="001C2E57">
      <w:fldChar w:fldCharType="end"/>
    </w:r>
    <w:r w:rsidR="005C256A">
      <w:t xml:space="preserve"> </w:t>
    </w:r>
    <w:r w:rsidR="00F32882">
      <w:t>| Analytical Report</w:t>
    </w:r>
    <w:r w:rsidR="005C256A">
      <w:t xml:space="preserve"> </w:t>
    </w:r>
    <w:r w:rsidR="005C256A">
      <w:ptab w:relativeTo="margin" w:alignment="right" w:leader="none"/>
    </w:r>
    <w:r w:rsidR="005C256A" w:rsidRPr="001C2E57">
      <w:fldChar w:fldCharType="begin"/>
    </w:r>
    <w:r w:rsidR="005C256A" w:rsidRPr="001C2E57">
      <w:instrText xml:space="preserve"> PAGE   \* MERGEFORMAT </w:instrText>
    </w:r>
    <w:r w:rsidR="005C256A" w:rsidRPr="001C2E57">
      <w:fldChar w:fldCharType="separate"/>
    </w:r>
    <w:r w:rsidR="005C256A">
      <w:rPr>
        <w:noProof/>
      </w:rPr>
      <w:t>1</w:t>
    </w:r>
    <w:r w:rsidR="005C256A" w:rsidRPr="001C2E5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2C25" w14:textId="6D73F9F4" w:rsidR="005C256A" w:rsidRPr="001C2E57" w:rsidRDefault="005C256A" w:rsidP="00C50D71">
    <w:pPr>
      <w:pStyle w:val="Footer"/>
    </w:pPr>
    <w:r w:rsidRPr="001C2E57">
      <w:fldChar w:fldCharType="begin"/>
    </w:r>
    <w:r w:rsidRPr="001C2E57">
      <w:instrText>IF</w:instrText>
    </w:r>
    <w:r w:rsidR="00024DA6">
      <w:fldChar w:fldCharType="begin"/>
    </w:r>
    <w:r w:rsidR="00024DA6">
      <w:instrText xml:space="preserve"> STYLEREF "Title Heading" \* Charformat </w:instrText>
    </w:r>
    <w:r w:rsidR="00024DA6">
      <w:fldChar w:fldCharType="separate"/>
    </w:r>
    <w:r w:rsidR="00BF178A">
      <w:rPr>
        <w:b/>
        <w:bCs/>
        <w:noProof/>
        <w:lang w:val="en-US"/>
      </w:rPr>
      <w:instrText>Error! No text of specified style in document.</w:instrText>
    </w:r>
    <w:r w:rsidR="00024DA6">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Future Gas Strategy</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6BCB" w14:textId="4833E2A4" w:rsidR="00EC7EC7" w:rsidRPr="001C2E57" w:rsidRDefault="006579D4" w:rsidP="00C50D71">
    <w:pPr>
      <w:pStyle w:val="Footer"/>
      <w:tabs>
        <w:tab w:val="clear" w:pos="9680"/>
      </w:tabs>
    </w:pPr>
    <w:r>
      <w:t>Future Gas Strategy</w:t>
    </w:r>
    <w:r w:rsidR="00EC7EC7" w:rsidRPr="001C2E57">
      <w:fldChar w:fldCharType="begin"/>
    </w:r>
    <w:r w:rsidR="00EC7EC7" w:rsidRPr="001C2E57">
      <w:instrText>IF</w:instrText>
    </w:r>
    <w:r w:rsidR="007301FA">
      <w:fldChar w:fldCharType="begin"/>
    </w:r>
    <w:r w:rsidR="007301FA">
      <w:instrText xml:space="preserve"> STYLEREF "Title Heading" \* Charformat </w:instrText>
    </w:r>
    <w:r w:rsidR="007301FA">
      <w:fldChar w:fldCharType="separate"/>
    </w:r>
    <w:r w:rsidR="00D21206">
      <w:rPr>
        <w:b/>
        <w:bCs/>
        <w:noProof/>
        <w:lang w:val="en-US"/>
      </w:rPr>
      <w:instrText>Error! No text of specified style in document.</w:instrText>
    </w:r>
    <w:r w:rsidR="007301FA">
      <w:rPr>
        <w:noProof/>
      </w:rPr>
      <w:fldChar w:fldCharType="end"/>
    </w:r>
    <w:r w:rsidR="00EC7EC7" w:rsidRPr="001C2E57">
      <w:instrText xml:space="preserve"> &lt;&gt; "Error*" </w:instrText>
    </w:r>
    <w:r w:rsidR="00EC7EC7">
      <w:rPr>
        <w:noProof/>
      </w:rPr>
      <w:fldChar w:fldCharType="begin"/>
    </w:r>
    <w:r w:rsidR="00EC7EC7">
      <w:rPr>
        <w:noProof/>
      </w:rPr>
      <w:instrText xml:space="preserve"> STYLEREF "Title Heading" \* Charformat </w:instrText>
    </w:r>
    <w:r w:rsidR="00EC7EC7">
      <w:rPr>
        <w:noProof/>
      </w:rPr>
      <w:fldChar w:fldCharType="separate"/>
    </w:r>
    <w:r w:rsidR="00AA38BB">
      <w:rPr>
        <w:noProof/>
      </w:rPr>
      <w:instrText>Future Gas Strategy</w:instrText>
    </w:r>
    <w:r w:rsidR="00EC7EC7">
      <w:rPr>
        <w:noProof/>
      </w:rPr>
      <w:fldChar w:fldCharType="end"/>
    </w:r>
    <w:r w:rsidR="00EC7EC7" w:rsidRPr="001C2E57">
      <w:instrText xml:space="preserve"> </w:instrText>
    </w:r>
    <w:r w:rsidR="00EC7EC7" w:rsidRPr="001C2E57">
      <w:fldChar w:fldCharType="end"/>
    </w:r>
    <w:r w:rsidR="00F32882">
      <w:t xml:space="preserve"> | Analytical Report</w:t>
    </w:r>
    <w:r w:rsidR="00EC7EC7">
      <w:ptab w:relativeTo="margin" w:alignment="right" w:leader="none"/>
    </w:r>
    <w:r w:rsidR="00EC7EC7" w:rsidRPr="001C2E57">
      <w:fldChar w:fldCharType="begin"/>
    </w:r>
    <w:r w:rsidR="00EC7EC7" w:rsidRPr="001C2E57">
      <w:instrText xml:space="preserve"> PAGE   \* MERGEFORMAT </w:instrText>
    </w:r>
    <w:r w:rsidR="00EC7EC7" w:rsidRPr="001C2E57">
      <w:fldChar w:fldCharType="separate"/>
    </w:r>
    <w:r w:rsidR="00EC7EC7">
      <w:rPr>
        <w:noProof/>
      </w:rPr>
      <w:t>1</w:t>
    </w:r>
    <w:r w:rsidR="00EC7EC7" w:rsidRPr="001C2E57">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972A" w14:textId="076DB850" w:rsidR="00EC7EC7" w:rsidRPr="001C2E57" w:rsidRDefault="00EC7EC7" w:rsidP="00C50D71">
    <w:pPr>
      <w:pStyle w:val="Footer"/>
    </w:pPr>
    <w:r w:rsidRPr="001C2E57">
      <w:fldChar w:fldCharType="begin"/>
    </w:r>
    <w:r w:rsidRPr="001C2E57">
      <w:instrText>IF</w:instrText>
    </w:r>
    <w:r w:rsidR="00024DA6">
      <w:fldChar w:fldCharType="begin"/>
    </w:r>
    <w:r w:rsidR="00024DA6">
      <w:instrText xml:space="preserve"> STYLEREF "Title Heading" \* Charformat </w:instrText>
    </w:r>
    <w:r w:rsidR="00024DA6">
      <w:fldChar w:fldCharType="separate"/>
    </w:r>
    <w:r w:rsidR="00BF178A">
      <w:rPr>
        <w:b/>
        <w:bCs/>
        <w:noProof/>
        <w:lang w:val="en-US"/>
      </w:rPr>
      <w:instrText>Error! No text of specified style in document.</w:instrText>
    </w:r>
    <w:r w:rsidR="00024DA6">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20044E">
      <w:rPr>
        <w:noProof/>
      </w:rPr>
      <w:instrText>Future Gas Strategy</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A8FE" w14:textId="2C9C7183" w:rsidR="00EC7EC7" w:rsidRPr="001C2E57" w:rsidRDefault="00EC7EC7" w:rsidP="00C50D71">
    <w:pPr>
      <w:pStyle w:val="Footer"/>
    </w:pPr>
    <w:r w:rsidRPr="001C2E57">
      <w:fldChar w:fldCharType="begin"/>
    </w:r>
    <w:r w:rsidRPr="001C2E57">
      <w:instrText>IF</w:instrText>
    </w:r>
    <w:r w:rsidR="00024DA6">
      <w:fldChar w:fldCharType="begin"/>
    </w:r>
    <w:r w:rsidR="00024DA6">
      <w:instrText xml:space="preserve"> STYLEREF "Title Heading" \* Charformat </w:instrText>
    </w:r>
    <w:r w:rsidR="00024DA6">
      <w:fldChar w:fldCharType="separate"/>
    </w:r>
    <w:r w:rsidR="00BF178A">
      <w:rPr>
        <w:b/>
        <w:bCs/>
        <w:noProof/>
        <w:lang w:val="en-US"/>
      </w:rPr>
      <w:instrText>Error! No text of specified style in document.</w:instrText>
    </w:r>
    <w:r w:rsidR="00024DA6">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231476">
      <w:rPr>
        <w:noProof/>
      </w:rPr>
      <w:instrText>Future Gas Strategy</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26E0" w14:textId="77777777" w:rsidR="0025282C" w:rsidRDefault="00252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9B1BB" w14:textId="77777777" w:rsidR="00CA6638" w:rsidRDefault="00CA6638" w:rsidP="00F244EA">
      <w:pPr>
        <w:spacing w:after="0" w:line="240" w:lineRule="auto"/>
      </w:pPr>
      <w:r>
        <w:separator/>
      </w:r>
    </w:p>
  </w:footnote>
  <w:footnote w:type="continuationSeparator" w:id="0">
    <w:p w14:paraId="41B29CB9" w14:textId="77777777" w:rsidR="00CA6638" w:rsidRDefault="00CA6638" w:rsidP="00F244EA">
      <w:pPr>
        <w:spacing w:after="0" w:line="240" w:lineRule="auto"/>
      </w:pPr>
      <w:r>
        <w:continuationSeparator/>
      </w:r>
    </w:p>
  </w:footnote>
  <w:footnote w:type="continuationNotice" w:id="1">
    <w:p w14:paraId="5388323B" w14:textId="77777777" w:rsidR="00160FCC" w:rsidRDefault="00160FCC">
      <w:pPr>
        <w:spacing w:after="0" w:line="240" w:lineRule="auto"/>
      </w:pPr>
    </w:p>
  </w:footnote>
  <w:footnote w:id="2">
    <w:p w14:paraId="4A656FF9" w14:textId="77777777" w:rsidR="00EC7EC7" w:rsidRDefault="00EC7EC7" w:rsidP="00EC7EC7">
      <w:pPr>
        <w:pStyle w:val="FootnoteText"/>
        <w:spacing w:after="0" w:line="240" w:lineRule="auto"/>
        <w:ind w:left="108"/>
      </w:pPr>
      <w:r>
        <w:rPr>
          <w:rStyle w:val="FootnoteReference"/>
        </w:rPr>
        <w:footnoteRef/>
      </w:r>
      <w:r>
        <w:t xml:space="preserve"> </w:t>
      </w:r>
      <w:r w:rsidRPr="000E7451">
        <w:rPr>
          <w:rFonts w:cstheme="majorHAnsi"/>
        </w:rPr>
        <w:t xml:space="preserve">The </w:t>
      </w:r>
      <w:r>
        <w:rPr>
          <w:rFonts w:cstheme="majorHAnsi"/>
        </w:rPr>
        <w:t>‘</w:t>
      </w:r>
      <w:r w:rsidRPr="000E7451">
        <w:rPr>
          <w:rFonts w:cstheme="majorHAnsi"/>
        </w:rPr>
        <w:t>gas economy</w:t>
      </w:r>
      <w:r>
        <w:rPr>
          <w:rFonts w:cstheme="majorHAnsi"/>
        </w:rPr>
        <w:t>’</w:t>
      </w:r>
      <w:r w:rsidRPr="000E7451">
        <w:rPr>
          <w:rFonts w:cstheme="majorHAnsi"/>
        </w:rPr>
        <w:t xml:space="preserve"> </w:t>
      </w:r>
      <w:r>
        <w:rPr>
          <w:rFonts w:cstheme="majorHAnsi"/>
        </w:rPr>
        <w:t xml:space="preserve">concept </w:t>
      </w:r>
      <w:r w:rsidRPr="000E7451">
        <w:rPr>
          <w:rFonts w:cstheme="majorHAnsi"/>
        </w:rPr>
        <w:t xml:space="preserve">of interest for this analysis covers a range of gaseous fuels, including </w:t>
      </w:r>
      <w:r>
        <w:rPr>
          <w:rFonts w:cstheme="majorHAnsi"/>
        </w:rPr>
        <w:t>n</w:t>
      </w:r>
      <w:r w:rsidRPr="000E7451">
        <w:rPr>
          <w:rFonts w:cstheme="majorHAnsi"/>
        </w:rPr>
        <w:t xml:space="preserve">atural gas in gaseous form, </w:t>
      </w:r>
      <w:r>
        <w:rPr>
          <w:rFonts w:cstheme="majorHAnsi"/>
        </w:rPr>
        <w:t>liquefied natural gas</w:t>
      </w:r>
      <w:r w:rsidRPr="000E7451">
        <w:rPr>
          <w:rFonts w:cstheme="majorHAnsi"/>
        </w:rPr>
        <w:t xml:space="preserve"> for export, </w:t>
      </w:r>
      <w:r>
        <w:rPr>
          <w:rFonts w:cstheme="majorHAnsi"/>
        </w:rPr>
        <w:t>liquefied petroleum gas</w:t>
      </w:r>
      <w:r w:rsidRPr="000E7451">
        <w:rPr>
          <w:rFonts w:cstheme="majorHAnsi"/>
        </w:rPr>
        <w:t xml:space="preserve">, </w:t>
      </w:r>
      <w:r>
        <w:rPr>
          <w:rFonts w:cstheme="majorHAnsi"/>
        </w:rPr>
        <w:t>compressed natural gas</w:t>
      </w:r>
      <w:r w:rsidRPr="000E7451">
        <w:rPr>
          <w:rFonts w:cstheme="majorHAnsi"/>
        </w:rPr>
        <w:t xml:space="preserve"> and </w:t>
      </w:r>
      <w:r>
        <w:rPr>
          <w:rFonts w:cstheme="majorHAnsi"/>
        </w:rPr>
        <w:t>h</w:t>
      </w:r>
      <w:r w:rsidRPr="000E7451">
        <w:rPr>
          <w:rFonts w:cstheme="majorHAnsi"/>
        </w:rPr>
        <w:t>ydrogen.</w:t>
      </w:r>
    </w:p>
  </w:footnote>
  <w:footnote w:id="3">
    <w:p w14:paraId="3AF1A3BD" w14:textId="77777777" w:rsidR="0087448B" w:rsidRDefault="0087448B" w:rsidP="0087448B">
      <w:pPr>
        <w:pStyle w:val="FootnoteText"/>
        <w:spacing w:after="0" w:line="240" w:lineRule="auto"/>
        <w:ind w:left="108"/>
      </w:pPr>
      <w:r w:rsidRPr="00C85344">
        <w:rPr>
          <w:rFonts w:cstheme="majorHAnsi"/>
        </w:rPr>
        <w:footnoteRef/>
      </w:r>
      <w:r w:rsidRPr="005C4323">
        <w:rPr>
          <w:rFonts w:cstheme="majorHAnsi"/>
        </w:rPr>
        <w:t xml:space="preserve"> </w:t>
      </w:r>
      <w:r>
        <w:rPr>
          <w:rFonts w:cstheme="majorHAnsi"/>
        </w:rPr>
        <w:t>Department of Climate Change, Energy, the Environment and Water</w:t>
      </w:r>
      <w:r w:rsidRPr="005C4323">
        <w:rPr>
          <w:rFonts w:cstheme="majorHAnsi"/>
        </w:rPr>
        <w:t xml:space="preserve"> analysis of </w:t>
      </w:r>
      <w:r>
        <w:rPr>
          <w:rFonts w:cstheme="majorHAnsi"/>
        </w:rPr>
        <w:t xml:space="preserve">Department of Foreign Affairs and Trade, </w:t>
      </w:r>
      <w:r w:rsidRPr="00C85344">
        <w:rPr>
          <w:rFonts w:cstheme="majorHAnsi"/>
          <w:i/>
          <w:iCs/>
        </w:rPr>
        <w:t xml:space="preserve">Trade statistics </w:t>
      </w:r>
      <w:r w:rsidRPr="005C4323">
        <w:rPr>
          <w:rFonts w:cstheme="majorHAnsi"/>
        </w:rPr>
        <w:t>(2024).</w:t>
      </w:r>
    </w:p>
  </w:footnote>
  <w:footnote w:id="4">
    <w:p w14:paraId="0D7ED0DA" w14:textId="77777777" w:rsidR="000955F6" w:rsidRDefault="000955F6" w:rsidP="000955F6">
      <w:pPr>
        <w:pStyle w:val="FootnoteText"/>
        <w:ind w:left="108"/>
      </w:pPr>
      <w:r>
        <w:rPr>
          <w:rStyle w:val="FootnoteReference"/>
        </w:rPr>
        <w:footnoteRef/>
      </w:r>
      <w:r>
        <w:t xml:space="preserve"> This chapter covers emission from the supply and use of gas, contrasting with other chapters where production and consumption are used.</w:t>
      </w:r>
    </w:p>
  </w:footnote>
  <w:footnote w:id="5">
    <w:p w14:paraId="3FAE5082" w14:textId="77777777" w:rsidR="00EC7EC7" w:rsidRDefault="00EC7EC7" w:rsidP="00EC7EC7">
      <w:pPr>
        <w:pStyle w:val="FootnoteText"/>
        <w:ind w:left="108"/>
      </w:pPr>
      <w:r w:rsidRPr="008820CB">
        <w:rPr>
          <w:rStyle w:val="FootnoteReference"/>
        </w:rPr>
        <w:footnoteRef/>
      </w:r>
      <w:r w:rsidRPr="004A5205">
        <w:rPr>
          <w:rFonts w:asciiTheme="minorHAnsi" w:hAnsiTheme="minorHAnsi" w:cstheme="minorHAnsi"/>
          <w:szCs w:val="20"/>
        </w:rPr>
        <w:t xml:space="preserve"> </w:t>
      </w:r>
      <w:r>
        <w:rPr>
          <w:rFonts w:asciiTheme="minorHAnsi" w:hAnsiTheme="minorHAnsi" w:cstheme="minorHAnsi"/>
          <w:szCs w:val="20"/>
        </w:rPr>
        <w:t>The supply chain focus</w:t>
      </w:r>
      <w:r w:rsidRPr="004A5205">
        <w:rPr>
          <w:rFonts w:asciiTheme="minorHAnsi" w:hAnsiTheme="minorHAnsi" w:cstheme="minorHAnsi"/>
          <w:szCs w:val="20"/>
        </w:rPr>
        <w:t xml:space="preserve"> differs to the emissions projections and quarterly emissions updates from DCCEEW, where emissions from the use of gas are aggregated on </w:t>
      </w:r>
      <w:r>
        <w:rPr>
          <w:rFonts w:asciiTheme="minorHAnsi" w:hAnsiTheme="minorHAnsi" w:cstheme="minorHAnsi"/>
          <w:szCs w:val="20"/>
        </w:rPr>
        <w:t xml:space="preserve">a </w:t>
      </w:r>
      <w:r w:rsidRPr="004A5205">
        <w:rPr>
          <w:rFonts w:asciiTheme="minorHAnsi" w:hAnsiTheme="minorHAnsi" w:cstheme="minorHAnsi"/>
          <w:szCs w:val="20"/>
        </w:rPr>
        <w:t>sector basis rather than by emissions source</w:t>
      </w:r>
      <w:r>
        <w:rPr>
          <w:rFonts w:asciiTheme="minorHAnsi" w:hAnsiTheme="minorHAnsi" w:cstheme="minorHAnsi"/>
          <w:szCs w:val="20"/>
        </w:rPr>
        <w:t>.</w:t>
      </w:r>
    </w:p>
  </w:footnote>
  <w:footnote w:id="6">
    <w:p w14:paraId="1D02FE88" w14:textId="14604F71" w:rsidR="00082213" w:rsidRDefault="00082213" w:rsidP="00082213">
      <w:pPr>
        <w:pStyle w:val="FootnoteText"/>
        <w:ind w:left="108"/>
      </w:pPr>
      <w:r>
        <w:rPr>
          <w:rStyle w:val="FootnoteReference"/>
        </w:rPr>
        <w:footnoteRef/>
      </w:r>
      <w:r>
        <w:t xml:space="preserve"> </w:t>
      </w:r>
      <w:bookmarkStart w:id="38" w:name="_Hlk161237628"/>
      <w:r w:rsidR="00E31387">
        <w:rPr>
          <w:color w:val="373737"/>
        </w:rPr>
        <w:t>M</w:t>
      </w:r>
      <w:r>
        <w:rPr>
          <w:color w:val="373737"/>
        </w:rPr>
        <w:t>ore than 3 nautical miles from shore, extending to the boundary of Australia’s exclusive economic zone.</w:t>
      </w:r>
      <w:bookmarkEnd w:id="38"/>
    </w:p>
  </w:footnote>
  <w:footnote w:id="7">
    <w:p w14:paraId="56F7E82F" w14:textId="2D9B30F9" w:rsidR="00EC7EC7" w:rsidRDefault="00EC7EC7" w:rsidP="00EC7EC7">
      <w:pPr>
        <w:pStyle w:val="FootnoteText"/>
        <w:spacing w:line="240" w:lineRule="auto"/>
        <w:ind w:left="142"/>
      </w:pPr>
      <w:r>
        <w:rPr>
          <w:rStyle w:val="FootnoteReference"/>
        </w:rPr>
        <w:footnoteRef/>
      </w:r>
      <w:r>
        <w:t xml:space="preserve"> Consistent with the Future Gas Strategy Terms of Reference, we have chosen these pathways as off-the-shelf projections for </w:t>
      </w:r>
      <w:r w:rsidR="003C3B7D">
        <w:t>e</w:t>
      </w:r>
      <w:r>
        <w:t xml:space="preserve">ast and </w:t>
      </w:r>
      <w:r w:rsidR="003C3B7D">
        <w:t>w</w:t>
      </w:r>
      <w:r>
        <w:t xml:space="preserve">est coast markets. </w:t>
      </w:r>
      <w:r w:rsidDel="00900E47">
        <w:t xml:space="preserve"> </w:t>
      </w:r>
      <w:r w:rsidR="00900E47">
        <w:t>Three</w:t>
      </w:r>
      <w:r>
        <w:t xml:space="preserve"> major scenarios are for the </w:t>
      </w:r>
      <w:r w:rsidR="00006846">
        <w:t>e</w:t>
      </w:r>
      <w:r>
        <w:t xml:space="preserve">ast </w:t>
      </w:r>
      <w:r w:rsidR="00006846">
        <w:t>c</w:t>
      </w:r>
      <w:r>
        <w:t xml:space="preserve">oast (Progressive change, Step Change and Green Energy Exports), and three for </w:t>
      </w:r>
      <w:r w:rsidR="00006846">
        <w:t>w</w:t>
      </w:r>
      <w:r>
        <w:t xml:space="preserve">est </w:t>
      </w:r>
      <w:r w:rsidR="00006846">
        <w:t>c</w:t>
      </w:r>
      <w:r>
        <w:t>oast (High, Base and Low).</w:t>
      </w:r>
    </w:p>
  </w:footnote>
  <w:footnote w:id="8">
    <w:p w14:paraId="665A75AB" w14:textId="40DFD9CF" w:rsidR="00A95C34" w:rsidRDefault="00A95C34" w:rsidP="00C74FC7">
      <w:pPr>
        <w:pStyle w:val="FootnoteText"/>
        <w:spacing w:after="0"/>
        <w:ind w:left="0" w:firstLine="0"/>
      </w:pPr>
      <w:r>
        <w:rPr>
          <w:rStyle w:val="FootnoteReference"/>
        </w:rPr>
        <w:footnoteRef/>
      </w:r>
      <w:r>
        <w:t xml:space="preserve"> For AEMO’s 2024 GSOO, </w:t>
      </w:r>
      <w:r w:rsidRPr="00A95C34">
        <w:t>adoption of alternative gases is explored in the</w:t>
      </w:r>
      <w:r>
        <w:t>ir</w:t>
      </w:r>
      <w:r w:rsidRPr="00A95C34">
        <w:t xml:space="preserve"> Step Change</w:t>
      </w:r>
      <w:r>
        <w:t xml:space="preserve"> scenario. </w:t>
      </w:r>
    </w:p>
  </w:footnote>
  <w:footnote w:id="9">
    <w:p w14:paraId="7F9336CD" w14:textId="77777777" w:rsidR="00EC7EC7" w:rsidRDefault="00EC7EC7" w:rsidP="00EC7EC7">
      <w:pPr>
        <w:spacing w:line="240" w:lineRule="auto"/>
        <w:ind w:left="142" w:hanging="108"/>
      </w:pPr>
      <w:r>
        <w:rPr>
          <w:rStyle w:val="FootnoteReference"/>
        </w:rPr>
        <w:footnoteRef/>
      </w:r>
      <w:r w:rsidRPr="006E2A42">
        <w:rPr>
          <w:sz w:val="16"/>
          <w:szCs w:val="16"/>
        </w:rPr>
        <w:t xml:space="preserve">It’s important to note that there is no established consensus on the boundary between low- and high- temperature heat. The range presented here is consistent with meta-analysis by </w:t>
      </w:r>
      <w:hyperlink r:id="rId1" w:history="1">
        <w:r w:rsidRPr="006E2A42">
          <w:rPr>
            <w:rStyle w:val="Hyperlink"/>
            <w:sz w:val="16"/>
            <w:szCs w:val="16"/>
          </w:rPr>
          <w:t>IEA Bioenergy (2021)</w:t>
        </w:r>
      </w:hyperlink>
      <w:r w:rsidRPr="006E2A42">
        <w:rPr>
          <w:sz w:val="16"/>
          <w:szCs w:val="16"/>
        </w:rPr>
        <w:t>.</w:t>
      </w:r>
    </w:p>
  </w:footnote>
  <w:footnote w:id="10">
    <w:p w14:paraId="4456FB65" w14:textId="77777777" w:rsidR="00203D63" w:rsidRDefault="00203D63" w:rsidP="00D42D0E">
      <w:pPr>
        <w:pStyle w:val="FootnoteText"/>
        <w:spacing w:line="240" w:lineRule="auto"/>
        <w:ind w:left="0" w:firstLine="0"/>
      </w:pPr>
      <w:r>
        <w:rPr>
          <w:rStyle w:val="FootnoteReference"/>
        </w:rPr>
        <w:footnoteRef/>
      </w:r>
      <w:r>
        <w:t xml:space="preserve"> These scenarios are from the 2023 GSOO. No updates were made to the hydrogen and biomethane forecast in the 2024 GSOO, as no material renewable gas facilities (biomethane or hydrogen) have been committed since the 2023 GSOO.</w:t>
      </w:r>
    </w:p>
    <w:p w14:paraId="6731D98D" w14:textId="57F7247C" w:rsidR="00203D63" w:rsidRDefault="00203D63">
      <w:pPr>
        <w:pStyle w:val="FootnoteText"/>
      </w:pPr>
    </w:p>
  </w:footnote>
  <w:footnote w:id="11">
    <w:p w14:paraId="4E3A5973" w14:textId="77777777" w:rsidR="00EC7EC7" w:rsidRDefault="00EC7EC7" w:rsidP="00EC7EC7">
      <w:pPr>
        <w:pStyle w:val="FootnoteText"/>
        <w:spacing w:after="0" w:line="200" w:lineRule="exact"/>
        <w:ind w:left="0" w:firstLine="0"/>
      </w:pPr>
      <w:r>
        <w:rPr>
          <w:rStyle w:val="FootnoteReference"/>
        </w:rPr>
        <w:footnoteRef/>
      </w:r>
      <w:r>
        <w:t xml:space="preserve"> There are typically two types of supply-demand imbalances: 1) A seasonal or annual supply gap is generally driven by broad lack of available gas production or transport capacity and 2) A peak shortfall is generally driven by insufficient capacity to meet demand on an extreme peak day; A region may experience peak day shortfalls under extreme peak days during a certain period without facing annual supply gap.</w:t>
      </w:r>
    </w:p>
  </w:footnote>
  <w:footnote w:id="12">
    <w:p w14:paraId="6C8EA890" w14:textId="77777777" w:rsidR="006317D9" w:rsidRDefault="006317D9" w:rsidP="009A5EAA">
      <w:pPr>
        <w:pStyle w:val="FootnoteText"/>
        <w:ind w:left="0" w:firstLine="0"/>
      </w:pPr>
      <w:r>
        <w:rPr>
          <w:rStyle w:val="FootnoteReference"/>
        </w:rPr>
        <w:footnoteRef/>
      </w:r>
      <w:r>
        <w:t xml:space="preserve"> Golden Beach storage is expected to </w:t>
      </w:r>
      <w:r w:rsidR="00B12528">
        <w:t>be commissioned by around 2027.</w:t>
      </w:r>
    </w:p>
  </w:footnote>
  <w:footnote w:id="13">
    <w:p w14:paraId="2F86770E" w14:textId="77777777" w:rsidR="00EC7EC7" w:rsidRDefault="00EC7EC7" w:rsidP="00EC7EC7">
      <w:pPr>
        <w:pStyle w:val="ListBullet3"/>
        <w:numPr>
          <w:ilvl w:val="0"/>
          <w:numId w:val="0"/>
        </w:numPr>
        <w:spacing w:line="240" w:lineRule="auto"/>
        <w:ind w:left="142" w:hanging="142"/>
      </w:pPr>
      <w:r>
        <w:rPr>
          <w:rStyle w:val="FootnoteReference"/>
        </w:rPr>
        <w:footnoteRef/>
      </w:r>
      <w:r>
        <w:t xml:space="preserve"> </w:t>
      </w:r>
      <w:r w:rsidRPr="008319F7">
        <w:rPr>
          <w:rStyle w:val="DisclaimerandAcknowledgementChar"/>
        </w:rPr>
        <w:t xml:space="preserve">Supply forecasts </w:t>
      </w:r>
      <w:r>
        <w:rPr>
          <w:rStyle w:val="DisclaimerandAcknowledgementChar"/>
        </w:rPr>
        <w:t xml:space="preserve">are typically produced by aggregating well or a group of wells performance data, which will then be complied to the filed level or project level using a bottom-up approach. </w:t>
      </w:r>
    </w:p>
  </w:footnote>
  <w:footnote w:id="14">
    <w:p w14:paraId="54922B9A" w14:textId="218B3E04" w:rsidR="00EC7EC7" w:rsidRDefault="00EC7EC7" w:rsidP="00EC7EC7">
      <w:pPr>
        <w:pStyle w:val="FootnoteText"/>
        <w:spacing w:line="240" w:lineRule="auto"/>
        <w:ind w:left="108"/>
      </w:pPr>
      <w:r>
        <w:rPr>
          <w:rStyle w:val="FootnoteReference"/>
        </w:rPr>
        <w:footnoteRef/>
      </w:r>
      <w:r>
        <w:t xml:space="preserve"> </w:t>
      </w:r>
      <w:hyperlink r:id="rId2" w:history="1">
        <w:r w:rsidRPr="008319F7">
          <w:rPr>
            <w:rStyle w:val="DisclaimerandAcknowledgementChar"/>
          </w:rPr>
          <w:t>SPE-Petroleum Resources Management System</w:t>
        </w:r>
      </w:hyperlink>
      <w:r w:rsidRPr="008319F7">
        <w:rPr>
          <w:rStyle w:val="DisclaimerandAcknowledgementChar"/>
        </w:rPr>
        <w:t>.</w:t>
      </w:r>
      <w:r>
        <w:rPr>
          <w:rStyle w:val="DisclaimerandAcknowledgementChar"/>
        </w:rPr>
        <w:t xml:space="preserve"> An elaborate system of </w:t>
      </w:r>
      <w:r w:rsidRPr="00C42CF8">
        <w:rPr>
          <w:rStyle w:val="DisclaimerandAcknowledgementChar"/>
        </w:rPr>
        <w:t>categori</w:t>
      </w:r>
      <w:r>
        <w:rPr>
          <w:rStyle w:val="DisclaimerandAcknowledgementChar"/>
        </w:rPr>
        <w:t>s</w:t>
      </w:r>
      <w:r w:rsidRPr="00C42CF8">
        <w:rPr>
          <w:rStyle w:val="DisclaimerandAcknowledgementChar"/>
        </w:rPr>
        <w:t>ation</w:t>
      </w:r>
      <w:r w:rsidRPr="001C50E6">
        <w:rPr>
          <w:rStyle w:val="DisclaimerandAcknowledgementChar"/>
        </w:rPr>
        <w:t xml:space="preserve"> </w:t>
      </w:r>
      <w:r>
        <w:rPr>
          <w:rStyle w:val="DisclaimerandAcknowledgementChar"/>
        </w:rPr>
        <w:t>has been established</w:t>
      </w:r>
      <w:r w:rsidRPr="001C50E6">
        <w:rPr>
          <w:rStyle w:val="DisclaimerandAcknowledgementChar"/>
        </w:rPr>
        <w:t xml:space="preserve"> </w:t>
      </w:r>
      <w:r>
        <w:rPr>
          <w:rStyle w:val="DisclaimerandAcknowledgementChar"/>
        </w:rPr>
        <w:t>based on</w:t>
      </w:r>
      <w:r w:rsidRPr="001C50E6">
        <w:rPr>
          <w:rStyle w:val="DisclaimerandAcknowledgementChar"/>
        </w:rPr>
        <w:t xml:space="preserve"> different level of probability that the quantities can be recovered</w:t>
      </w:r>
      <w:r>
        <w:rPr>
          <w:rStyle w:val="DisclaimerandAcknowledgementChar"/>
        </w:rPr>
        <w:t xml:space="preserve">. </w:t>
      </w:r>
      <w:r w:rsidRPr="001C50E6">
        <w:rPr>
          <w:rStyle w:val="DisclaimerandAcknowledgementChar"/>
        </w:rPr>
        <w:t>1P (Proved): at least 90</w:t>
      </w:r>
      <w:r>
        <w:rPr>
          <w:rStyle w:val="DisclaimerandAcknowledgementChar"/>
        </w:rPr>
        <w:t>%</w:t>
      </w:r>
      <w:r w:rsidRPr="001C50E6">
        <w:rPr>
          <w:rStyle w:val="DisclaimerandAcknowledgementChar"/>
        </w:rPr>
        <w:t xml:space="preserve"> probability that gas reserves recovered will equal or exceed the low estimate</w:t>
      </w:r>
      <w:r>
        <w:rPr>
          <w:rStyle w:val="DisclaimerandAcknowledgementChar"/>
        </w:rPr>
        <w:t xml:space="preserve"> of reserve; </w:t>
      </w:r>
      <w:r w:rsidRPr="001C50E6">
        <w:rPr>
          <w:rStyle w:val="DisclaimerandAcknowledgementChar"/>
        </w:rPr>
        <w:t xml:space="preserve">2P (Proved </w:t>
      </w:r>
      <w:r>
        <w:rPr>
          <w:rStyle w:val="DisclaimerandAcknowledgementChar"/>
        </w:rPr>
        <w:t>+</w:t>
      </w:r>
      <w:r w:rsidRPr="001C50E6">
        <w:rPr>
          <w:rStyle w:val="DisclaimerandAcknowledgementChar"/>
        </w:rPr>
        <w:t xml:space="preserve"> probable): at least 50</w:t>
      </w:r>
      <w:r>
        <w:rPr>
          <w:rStyle w:val="DisclaimerandAcknowledgementChar"/>
        </w:rPr>
        <w:t>%</w:t>
      </w:r>
      <w:r w:rsidRPr="001C50E6">
        <w:rPr>
          <w:rStyle w:val="DisclaimerandAcknowledgementChar"/>
        </w:rPr>
        <w:t xml:space="preserve"> probability that gas reserves recovered will equal or exceed the best estimates</w:t>
      </w:r>
      <w:r>
        <w:rPr>
          <w:rStyle w:val="DisclaimerandAcknowledgementChar"/>
        </w:rPr>
        <w:t xml:space="preserve"> of reserves; </w:t>
      </w:r>
      <w:r w:rsidRPr="001C50E6">
        <w:rPr>
          <w:rStyle w:val="DisclaimerandAcknowledgementChar"/>
        </w:rPr>
        <w:t xml:space="preserve">3P (Proved </w:t>
      </w:r>
      <w:r>
        <w:rPr>
          <w:rStyle w:val="DisclaimerandAcknowledgementChar"/>
        </w:rPr>
        <w:t>+</w:t>
      </w:r>
      <w:r w:rsidRPr="001C50E6">
        <w:rPr>
          <w:rStyle w:val="DisclaimerandAcknowledgementChar"/>
        </w:rPr>
        <w:t xml:space="preserve"> probable </w:t>
      </w:r>
      <w:r>
        <w:rPr>
          <w:rStyle w:val="DisclaimerandAcknowledgementChar"/>
        </w:rPr>
        <w:t>+</w:t>
      </w:r>
      <w:r w:rsidRPr="001C50E6">
        <w:rPr>
          <w:rStyle w:val="DisclaimerandAcknowledgementChar"/>
        </w:rPr>
        <w:t xml:space="preserve"> possible): at least 10</w:t>
      </w:r>
      <w:r>
        <w:rPr>
          <w:rStyle w:val="DisclaimerandAcknowledgementChar"/>
        </w:rPr>
        <w:t xml:space="preserve">% </w:t>
      </w:r>
      <w:r w:rsidRPr="001C50E6">
        <w:rPr>
          <w:rStyle w:val="DisclaimerandAcknowledgementChar"/>
        </w:rPr>
        <w:t>probability that gas reserves recovered will equal or exceed the high estimates</w:t>
      </w:r>
      <w:r>
        <w:rPr>
          <w:rStyle w:val="DisclaimerandAcknowledgementChar"/>
        </w:rPr>
        <w:t xml:space="preserve"> of reserves; </w:t>
      </w:r>
      <w:r w:rsidRPr="001C50E6">
        <w:rPr>
          <w:rStyle w:val="DisclaimerandAcknowledgementChar"/>
        </w:rPr>
        <w:t>1C: at least 90</w:t>
      </w:r>
      <w:r>
        <w:rPr>
          <w:rStyle w:val="DisclaimerandAcknowledgementChar"/>
        </w:rPr>
        <w:t>%</w:t>
      </w:r>
      <w:r w:rsidRPr="001C50E6">
        <w:rPr>
          <w:rStyle w:val="DisclaimerandAcknowledgementChar"/>
        </w:rPr>
        <w:t xml:space="preserve"> probability that gas resources recovered will equal or exceed the low estimate</w:t>
      </w:r>
      <w:r>
        <w:rPr>
          <w:rStyle w:val="DisclaimerandAcknowledgementChar"/>
        </w:rPr>
        <w:t xml:space="preserve"> of contingent resources; </w:t>
      </w:r>
      <w:r w:rsidRPr="001C50E6">
        <w:rPr>
          <w:rStyle w:val="DisclaimerandAcknowledgementChar"/>
        </w:rPr>
        <w:t>2C: at least 50</w:t>
      </w:r>
      <w:r>
        <w:rPr>
          <w:rStyle w:val="DisclaimerandAcknowledgementChar"/>
        </w:rPr>
        <w:t>%</w:t>
      </w:r>
      <w:r w:rsidRPr="001C50E6">
        <w:rPr>
          <w:rStyle w:val="DisclaimerandAcknowledgementChar"/>
        </w:rPr>
        <w:t xml:space="preserve"> probability that gas resources recovered will equal or exceed the best estimates</w:t>
      </w:r>
      <w:r>
        <w:rPr>
          <w:rStyle w:val="DisclaimerandAcknowledgementChar"/>
        </w:rPr>
        <w:t xml:space="preserve"> of contingent resources; and </w:t>
      </w:r>
      <w:r w:rsidRPr="001C50E6">
        <w:rPr>
          <w:rStyle w:val="DisclaimerandAcknowledgementChar"/>
        </w:rPr>
        <w:t>3C:at least 10</w:t>
      </w:r>
      <w:r>
        <w:rPr>
          <w:rStyle w:val="DisclaimerandAcknowledgementChar"/>
        </w:rPr>
        <w:t>%</w:t>
      </w:r>
      <w:r w:rsidRPr="001C50E6">
        <w:rPr>
          <w:rStyle w:val="DisclaimerandAcknowledgementChar"/>
        </w:rPr>
        <w:t xml:space="preserve"> probability that gas resources recovered will equal or exceed the high estimates</w:t>
      </w:r>
      <w:r>
        <w:rPr>
          <w:rStyle w:val="DisclaimerandAcknowledgementChar"/>
        </w:rPr>
        <w:t xml:space="preserve"> of contingent resources.</w:t>
      </w:r>
    </w:p>
  </w:footnote>
  <w:footnote w:id="15">
    <w:p w14:paraId="2A9E3516" w14:textId="77777777" w:rsidR="004244D7" w:rsidRPr="007958F0" w:rsidRDefault="004244D7" w:rsidP="004244D7">
      <w:pPr>
        <w:pStyle w:val="FootnoteText"/>
        <w:spacing w:after="0" w:line="240" w:lineRule="auto"/>
        <w:ind w:left="0" w:firstLine="0"/>
      </w:pPr>
      <w:r>
        <w:rPr>
          <w:rStyle w:val="FootnoteReference"/>
        </w:rPr>
        <w:footnoteRef/>
      </w:r>
      <w:r>
        <w:t xml:space="preserve"> 1 PJ is 10</w:t>
      </w:r>
      <w:r w:rsidRPr="00380144">
        <w:rPr>
          <w:vertAlign w:val="superscript"/>
        </w:rPr>
        <w:t>15</w:t>
      </w:r>
      <w:r>
        <w:t xml:space="preserve"> joules or 278 gigawatt hours, 1 PJ generally allows energy used by 19,000 homes in a year (</w:t>
      </w:r>
      <w:hyperlink r:id="rId3" w:history="1">
        <w:r w:rsidRPr="007958F0">
          <w:rPr>
            <w:rStyle w:val="Hyperlink"/>
          </w:rPr>
          <w:t>https://www.energy.gov.au/sites/default/files/2016-australian-energy-statistics-info3.pdf</w:t>
        </w:r>
      </w:hyperlink>
      <w:r>
        <w:t>)</w:t>
      </w:r>
    </w:p>
  </w:footnote>
  <w:footnote w:id="16">
    <w:p w14:paraId="1267542D" w14:textId="77777777" w:rsidR="004244D7" w:rsidRDefault="004244D7" w:rsidP="004244D7">
      <w:pPr>
        <w:pStyle w:val="FootnoteText"/>
        <w:spacing w:line="240" w:lineRule="auto"/>
        <w:ind w:left="108"/>
      </w:pPr>
      <w:r>
        <w:rPr>
          <w:rStyle w:val="FootnoteReference"/>
        </w:rPr>
        <w:footnoteRef/>
      </w:r>
      <w:r>
        <w:t xml:space="preserve"> In ACCC’s latest December Gas Inquiry report, they forecast that southern 2P reserves will be largely depleted within the next 10 years,</w:t>
      </w:r>
    </w:p>
  </w:footnote>
  <w:footnote w:id="17">
    <w:p w14:paraId="21150B41" w14:textId="77777777" w:rsidR="004244D7" w:rsidRDefault="004244D7" w:rsidP="004244D7">
      <w:pPr>
        <w:pStyle w:val="FootnoteText"/>
        <w:spacing w:after="0" w:line="240" w:lineRule="auto"/>
        <w:ind w:left="0" w:firstLine="0"/>
      </w:pPr>
      <w:r>
        <w:rPr>
          <w:rStyle w:val="FootnoteReference"/>
        </w:rPr>
        <w:footnoteRef/>
      </w:r>
      <w:r>
        <w:t xml:space="preserve"> Prospective resources </w:t>
      </w:r>
      <w:r w:rsidRPr="003C1377">
        <w:t>are those quantities of petroleum which are estimated, on a given date, to be potentially recoverable from undiscovered accumulations</w:t>
      </w:r>
      <w:r>
        <w:t>.</w:t>
      </w:r>
    </w:p>
  </w:footnote>
  <w:footnote w:id="18">
    <w:p w14:paraId="3F5D8C56" w14:textId="77777777" w:rsidR="004244D7" w:rsidRDefault="004244D7" w:rsidP="004244D7">
      <w:pPr>
        <w:pStyle w:val="FootnoteText"/>
        <w:spacing w:after="0" w:line="240" w:lineRule="auto"/>
        <w:ind w:left="108"/>
      </w:pPr>
      <w:r>
        <w:rPr>
          <w:rStyle w:val="FootnoteReference"/>
        </w:rPr>
        <w:footnoteRef/>
      </w:r>
      <w:r>
        <w:t xml:space="preserve"> A</w:t>
      </w:r>
      <w:r w:rsidRPr="009A40CC">
        <w:t>s companies rarely report their prospective resources</w:t>
      </w:r>
      <w:r>
        <w:t xml:space="preserve">, having companies submit their prospective resource estimates or implementing </w:t>
      </w:r>
      <w:r w:rsidRPr="00C4030A">
        <w:t xml:space="preserve">precompetitive work programs that target new data acquisition in underexplored basins </w:t>
      </w:r>
      <w:r>
        <w:t>would help to increase our understanding of prospective resources.</w:t>
      </w:r>
    </w:p>
  </w:footnote>
  <w:footnote w:id="19">
    <w:p w14:paraId="739060C5" w14:textId="1FDBB671" w:rsidR="00BC0461" w:rsidRDefault="00BC0461" w:rsidP="00BC0461">
      <w:pPr>
        <w:pStyle w:val="FootnoteText"/>
        <w:spacing w:after="0" w:line="240" w:lineRule="auto"/>
        <w:ind w:left="0" w:firstLine="0"/>
      </w:pPr>
      <w:r w:rsidRPr="00380144">
        <w:rPr>
          <w:rStyle w:val="FootnoteReference"/>
          <w:rFonts w:eastAsia="Calibri"/>
        </w:rPr>
        <w:footnoteRef/>
      </w:r>
      <w:r>
        <w:t xml:space="preserve"> Cumulative production figures are es</w:t>
      </w:r>
      <w:r w:rsidRPr="00307B32">
        <w:t xml:space="preserve">timated by adding </w:t>
      </w:r>
      <w:r>
        <w:t xml:space="preserve">the </w:t>
      </w:r>
      <w:r w:rsidRPr="00307B32">
        <w:t>cumulative production estimates for 2021</w:t>
      </w:r>
      <w:r>
        <w:t xml:space="preserve"> from </w:t>
      </w:r>
      <w:r w:rsidR="00FB0BB2">
        <w:t>GA</w:t>
      </w:r>
      <w:r>
        <w:t xml:space="preserve"> with 2022 production from EnergyQuest. End-year of 2P reserves for each basin is estimated by GA (not all basins can be estimated). This map is prepared by the DISR, Office of the Chief Economist, Location Service team.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3B38"/>
    <w:multiLevelType w:val="multilevel"/>
    <w:tmpl w:val="6B88B6D4"/>
    <w:styleLink w:val="OCEBulletedList5"/>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2381" w:hanging="2381"/>
      </w:pPr>
      <w:rPr>
        <w:rFonts w:hint="default"/>
      </w:rPr>
    </w:lvl>
    <w:lvl w:ilvl="6">
      <w:start w:val="1"/>
      <w:numFmt w:val="decimal"/>
      <w:pStyle w:val="Heading7"/>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B2C3B14"/>
    <w:multiLevelType w:val="multilevel"/>
    <w:tmpl w:val="DB5E657A"/>
    <w:styleLink w:val="DataHub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82859EC"/>
    <w:multiLevelType w:val="multilevel"/>
    <w:tmpl w:val="3684BDEC"/>
    <w:styleLink w:val="DataHubUnnumberedHeadings5"/>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3" w15:restartNumberingAfterBreak="0">
    <w:nsid w:val="187029E1"/>
    <w:multiLevelType w:val="multilevel"/>
    <w:tmpl w:val="9E06CAEE"/>
    <w:styleLink w:val="OCETableBullets4"/>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4" w15:restartNumberingAfterBreak="0">
    <w:nsid w:val="18801DAD"/>
    <w:multiLevelType w:val="multilevel"/>
    <w:tmpl w:val="3BFA39A6"/>
    <w:styleLink w:val="EASDMultilevelList4"/>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5" w15:restartNumberingAfterBreak="0">
    <w:nsid w:val="19172D53"/>
    <w:multiLevelType w:val="hybridMultilevel"/>
    <w:tmpl w:val="7D7EA9B2"/>
    <w:lvl w:ilvl="0" w:tplc="77E2BBEA">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31791A"/>
    <w:multiLevelType w:val="multilevel"/>
    <w:tmpl w:val="D8FA72B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080C92"/>
    <w:multiLevelType w:val="multilevel"/>
    <w:tmpl w:val="E6469B56"/>
    <w:styleLink w:val="OnePagerNumbered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8" w15:restartNumberingAfterBreak="0">
    <w:nsid w:val="3C096BAD"/>
    <w:multiLevelType w:val="hybridMultilevel"/>
    <w:tmpl w:val="9F0E754E"/>
    <w:lvl w:ilvl="0" w:tplc="FFFFFFFF">
      <w:start w:val="1"/>
      <w:numFmt w:val="decimal"/>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9" w15:restartNumberingAfterBreak="0">
    <w:nsid w:val="3CA8400C"/>
    <w:multiLevelType w:val="singleLevel"/>
    <w:tmpl w:val="FCC80ED4"/>
    <w:styleLink w:val="OCEHeadings4"/>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0" w15:restartNumberingAfterBreak="0">
    <w:nsid w:val="3CBC2FF1"/>
    <w:multiLevelType w:val="hybridMultilevel"/>
    <w:tmpl w:val="7734697E"/>
    <w:lvl w:ilvl="0" w:tplc="5274C26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7C52AC"/>
    <w:multiLevelType w:val="hybridMultilevel"/>
    <w:tmpl w:val="51D61290"/>
    <w:styleLink w:val="OnePagerNumberedList3"/>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2" w15:restartNumberingAfterBreak="0">
    <w:nsid w:val="43490AF5"/>
    <w:multiLevelType w:val="hybridMultilevel"/>
    <w:tmpl w:val="2E748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5D586E"/>
    <w:multiLevelType w:val="hybridMultilevel"/>
    <w:tmpl w:val="4F0623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B94390E"/>
    <w:multiLevelType w:val="multilevel"/>
    <w:tmpl w:val="D8FA72B0"/>
    <w:styleLink w:val="OCENumberedList5"/>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709" w:hanging="369"/>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0" w:firstLine="9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55DF1968"/>
    <w:multiLevelType w:val="hybridMultilevel"/>
    <w:tmpl w:val="C32E3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EC29DC"/>
    <w:multiLevelType w:val="hybridMultilevel"/>
    <w:tmpl w:val="18A83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EB31F8"/>
    <w:multiLevelType w:val="hybridMultilevel"/>
    <w:tmpl w:val="698C9E36"/>
    <w:lvl w:ilvl="0" w:tplc="F9D60BEC">
      <w:start w:val="1"/>
      <w:numFmt w:val="bullet"/>
      <w:lvlText w:val=""/>
      <w:lvlJc w:val="left"/>
      <w:pPr>
        <w:ind w:left="720" w:hanging="360"/>
      </w:pPr>
      <w:rPr>
        <w:rFonts w:ascii="Symbol" w:hAnsi="Symbol"/>
      </w:rPr>
    </w:lvl>
    <w:lvl w:ilvl="1" w:tplc="C4C44CE4">
      <w:start w:val="1"/>
      <w:numFmt w:val="bullet"/>
      <w:lvlText w:val=""/>
      <w:lvlJc w:val="left"/>
      <w:pPr>
        <w:ind w:left="720" w:hanging="360"/>
      </w:pPr>
      <w:rPr>
        <w:rFonts w:ascii="Symbol" w:hAnsi="Symbol"/>
      </w:rPr>
    </w:lvl>
    <w:lvl w:ilvl="2" w:tplc="4EC2D4E2">
      <w:start w:val="1"/>
      <w:numFmt w:val="bullet"/>
      <w:lvlText w:val=""/>
      <w:lvlJc w:val="left"/>
      <w:pPr>
        <w:ind w:left="720" w:hanging="360"/>
      </w:pPr>
      <w:rPr>
        <w:rFonts w:ascii="Symbol" w:hAnsi="Symbol"/>
      </w:rPr>
    </w:lvl>
    <w:lvl w:ilvl="3" w:tplc="7D2EAFC2">
      <w:start w:val="1"/>
      <w:numFmt w:val="bullet"/>
      <w:lvlText w:val=""/>
      <w:lvlJc w:val="left"/>
      <w:pPr>
        <w:ind w:left="720" w:hanging="360"/>
      </w:pPr>
      <w:rPr>
        <w:rFonts w:ascii="Symbol" w:hAnsi="Symbol"/>
      </w:rPr>
    </w:lvl>
    <w:lvl w:ilvl="4" w:tplc="1F7413CE">
      <w:start w:val="1"/>
      <w:numFmt w:val="bullet"/>
      <w:lvlText w:val=""/>
      <w:lvlJc w:val="left"/>
      <w:pPr>
        <w:ind w:left="720" w:hanging="360"/>
      </w:pPr>
      <w:rPr>
        <w:rFonts w:ascii="Symbol" w:hAnsi="Symbol"/>
      </w:rPr>
    </w:lvl>
    <w:lvl w:ilvl="5" w:tplc="1A188248">
      <w:start w:val="1"/>
      <w:numFmt w:val="bullet"/>
      <w:lvlText w:val=""/>
      <w:lvlJc w:val="left"/>
      <w:pPr>
        <w:ind w:left="720" w:hanging="360"/>
      </w:pPr>
      <w:rPr>
        <w:rFonts w:ascii="Symbol" w:hAnsi="Symbol"/>
      </w:rPr>
    </w:lvl>
    <w:lvl w:ilvl="6" w:tplc="8AAE9692">
      <w:start w:val="1"/>
      <w:numFmt w:val="bullet"/>
      <w:lvlText w:val=""/>
      <w:lvlJc w:val="left"/>
      <w:pPr>
        <w:ind w:left="720" w:hanging="360"/>
      </w:pPr>
      <w:rPr>
        <w:rFonts w:ascii="Symbol" w:hAnsi="Symbol"/>
      </w:rPr>
    </w:lvl>
    <w:lvl w:ilvl="7" w:tplc="F490CEB4">
      <w:start w:val="1"/>
      <w:numFmt w:val="bullet"/>
      <w:lvlText w:val=""/>
      <w:lvlJc w:val="left"/>
      <w:pPr>
        <w:ind w:left="720" w:hanging="360"/>
      </w:pPr>
      <w:rPr>
        <w:rFonts w:ascii="Symbol" w:hAnsi="Symbol"/>
      </w:rPr>
    </w:lvl>
    <w:lvl w:ilvl="8" w:tplc="49C4453E">
      <w:start w:val="1"/>
      <w:numFmt w:val="bullet"/>
      <w:lvlText w:val=""/>
      <w:lvlJc w:val="left"/>
      <w:pPr>
        <w:ind w:left="720" w:hanging="360"/>
      </w:pPr>
      <w:rPr>
        <w:rFonts w:ascii="Symbol" w:hAnsi="Symbol"/>
      </w:rPr>
    </w:lvl>
  </w:abstractNum>
  <w:abstractNum w:abstractNumId="18" w15:restartNumberingAfterBreak="0">
    <w:nsid w:val="5FB447AF"/>
    <w:multiLevelType w:val="hybridMultilevel"/>
    <w:tmpl w:val="89340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69503F"/>
    <w:multiLevelType w:val="hybridMultilevel"/>
    <w:tmpl w:val="8EF0F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445468"/>
    <w:multiLevelType w:val="multilevel"/>
    <w:tmpl w:val="8DC2CE9A"/>
    <w:styleLink w:val="DataHubUnnumberedHeadings"/>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nothing"/>
      <w:lvlText w:val="Appendix %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04316326">
    <w:abstractNumId w:val="21"/>
  </w:num>
  <w:num w:numId="2" w16cid:durableId="657726967">
    <w:abstractNumId w:val="9"/>
  </w:num>
  <w:num w:numId="3" w16cid:durableId="1071195937">
    <w:abstractNumId w:val="0"/>
  </w:num>
  <w:num w:numId="4" w16cid:durableId="154416198">
    <w:abstractNumId w:val="14"/>
  </w:num>
  <w:num w:numId="5" w16cid:durableId="83499299">
    <w:abstractNumId w:val="4"/>
  </w:num>
  <w:num w:numId="6" w16cid:durableId="1301576227">
    <w:abstractNumId w:val="3"/>
  </w:num>
  <w:num w:numId="7" w16cid:durableId="961305970">
    <w:abstractNumId w:val="11"/>
  </w:num>
  <w:num w:numId="8" w16cid:durableId="760371681">
    <w:abstractNumId w:val="2"/>
  </w:num>
  <w:num w:numId="9" w16cid:durableId="1455176850">
    <w:abstractNumId w:val="1"/>
  </w:num>
  <w:num w:numId="10" w16cid:durableId="19941659">
    <w:abstractNumId w:val="20"/>
  </w:num>
  <w:num w:numId="11" w16cid:durableId="1962611933">
    <w:abstractNumId w:val="14"/>
  </w:num>
  <w:num w:numId="12" w16cid:durableId="508911510">
    <w:abstractNumId w:val="4"/>
  </w:num>
  <w:num w:numId="13" w16cid:durableId="27068756">
    <w:abstractNumId w:val="11"/>
  </w:num>
  <w:num w:numId="14" w16cid:durableId="522403756">
    <w:abstractNumId w:val="2"/>
  </w:num>
  <w:num w:numId="15" w16cid:durableId="2105227726">
    <w:abstractNumId w:val="7"/>
  </w:num>
  <w:num w:numId="16" w16cid:durableId="1683052233">
    <w:abstractNumId w:val="13"/>
  </w:num>
  <w:num w:numId="17" w16cid:durableId="566040710">
    <w:abstractNumId w:val="0"/>
    <w:lvlOverride w:ilvl="0">
      <w:startOverride w:val="4"/>
    </w:lvlOverride>
    <w:lvlOverride w:ilvl="1">
      <w:startOverride w:val="1"/>
    </w:lvlOverride>
  </w:num>
  <w:num w:numId="18" w16cid:durableId="2111192626">
    <w:abstractNumId w:val="5"/>
  </w:num>
  <w:num w:numId="19" w16cid:durableId="1907833079">
    <w:abstractNumId w:val="19"/>
  </w:num>
  <w:num w:numId="20" w16cid:durableId="6102117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8532419">
    <w:abstractNumId w:val="8"/>
  </w:num>
  <w:num w:numId="22" w16cid:durableId="1099184110">
    <w:abstractNumId w:val="0"/>
  </w:num>
  <w:num w:numId="23" w16cid:durableId="497886998">
    <w:abstractNumId w:val="6"/>
  </w:num>
  <w:num w:numId="24" w16cid:durableId="1753745735">
    <w:abstractNumId w:val="18"/>
  </w:num>
  <w:num w:numId="25" w16cid:durableId="1824153478">
    <w:abstractNumId w:val="10"/>
  </w:num>
  <w:num w:numId="26" w16cid:durableId="1348096825">
    <w:abstractNumId w:val="12"/>
  </w:num>
  <w:num w:numId="27" w16cid:durableId="8630103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0956253">
    <w:abstractNumId w:val="16"/>
  </w:num>
  <w:num w:numId="29" w16cid:durableId="2011830554">
    <w:abstractNumId w:val="14"/>
  </w:num>
  <w:num w:numId="30" w16cid:durableId="1107967333">
    <w:abstractNumId w:val="17"/>
  </w:num>
  <w:num w:numId="31" w16cid:durableId="738013659">
    <w:abstractNumId w:val="0"/>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2" w16cid:durableId="1731533719">
    <w:abstractNumId w:val="0"/>
    <w:lvlOverride w:ilvl="0">
      <w:startOverride w:val="1"/>
      <w:lvl w:ilvl="0">
        <w:start w:val="1"/>
        <w:numFmt w:val="decimal"/>
        <w:pStyle w:val="Heading1"/>
        <w:lvlText w:val="%1."/>
        <w:lvlJc w:val="left"/>
        <w:pPr>
          <w:ind w:left="709" w:hanging="709"/>
        </w:pPr>
        <w:rPr>
          <w:rFonts w:hint="default"/>
        </w:rPr>
      </w:lvl>
    </w:lvlOverride>
    <w:lvlOverride w:ilvl="1">
      <w:startOverride w:val="1"/>
      <w:lvl w:ilvl="1">
        <w:start w:val="1"/>
        <w:numFmt w:val="decimal"/>
        <w:pStyle w:val="Heading2"/>
        <w:lvlText w:val="%1.%2"/>
        <w:lvlJc w:val="left"/>
        <w:pPr>
          <w:ind w:left="709" w:hanging="709"/>
        </w:pPr>
        <w:rPr>
          <w:rFonts w:hint="default"/>
        </w:rPr>
      </w:lvl>
    </w:lvlOverride>
    <w:lvlOverride w:ilvl="2">
      <w:startOverride w:val="1"/>
      <w:lvl w:ilvl="2">
        <w:start w:val="1"/>
        <w:numFmt w:val="none"/>
        <w:pStyle w:val="Heading3"/>
        <w:suff w:val="nothing"/>
        <w:lvlText w:val=""/>
        <w:lvlJc w:val="left"/>
        <w:pPr>
          <w:ind w:left="0" w:firstLine="0"/>
        </w:pPr>
        <w:rPr>
          <w:rFonts w:hint="default"/>
        </w:rPr>
      </w:lvl>
    </w:lvlOverride>
    <w:lvlOverride w:ilvl="3">
      <w:startOverride w:val="1"/>
      <w:lvl w:ilvl="3">
        <w:start w:val="1"/>
        <w:numFmt w:val="none"/>
        <w:suff w:val="nothing"/>
        <w:lvlText w:val=""/>
        <w:lvlJc w:val="left"/>
        <w:pPr>
          <w:ind w:left="2160" w:firstLine="0"/>
        </w:pPr>
        <w:rPr>
          <w:rFonts w:hint="default"/>
        </w:rPr>
      </w:lvl>
    </w:lvlOverride>
    <w:lvlOverride w:ilvl="4">
      <w:startOverride w:val="1"/>
      <w:lvl w:ilvl="4">
        <w:start w:val="1"/>
        <w:numFmt w:val="none"/>
        <w:suff w:val="nothing"/>
        <w:lvlText w:val=""/>
        <w:lvlJc w:val="left"/>
        <w:pPr>
          <w:ind w:left="2160" w:firstLine="0"/>
        </w:pPr>
        <w:rPr>
          <w:rFonts w:hint="default"/>
        </w:rPr>
      </w:lvl>
    </w:lvlOverride>
    <w:lvlOverride w:ilvl="5">
      <w:startOverride w:val="1"/>
      <w:lvl w:ilvl="5">
        <w:start w:val="1"/>
        <w:numFmt w:val="upperLetter"/>
        <w:pStyle w:val="Heading6"/>
        <w:lvlText w:val="Appendix %6"/>
        <w:lvlJc w:val="left"/>
        <w:pPr>
          <w:ind w:left="2381" w:hanging="2381"/>
        </w:pPr>
        <w:rPr>
          <w:rFonts w:hint="default"/>
        </w:rPr>
      </w:lvl>
    </w:lvlOverride>
    <w:lvlOverride w:ilvl="6">
      <w:startOverride w:val="1"/>
      <w:lvl w:ilvl="6">
        <w:start w:val="1"/>
        <w:numFmt w:val="decimal"/>
        <w:pStyle w:val="Heading7"/>
        <w:lvlText w:val="%6.%7"/>
        <w:lvlJc w:val="left"/>
        <w:pPr>
          <w:ind w:left="709" w:hanging="709"/>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33" w16cid:durableId="1745252262">
    <w:abstractNumId w:val="15"/>
  </w:num>
  <w:num w:numId="34" w16cid:durableId="90048637">
    <w:abstractNumId w:val="14"/>
  </w:num>
  <w:num w:numId="35" w16cid:durableId="209803696">
    <w:abstractNumId w:val="0"/>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characterSpacingControl w:val="doNotCompress"/>
  <w:hdrShapeDefaults>
    <o:shapedefaults v:ext="edit" spidmax="2129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638"/>
    <w:rsid w:val="00000624"/>
    <w:rsid w:val="00000A47"/>
    <w:rsid w:val="00000CAC"/>
    <w:rsid w:val="00001096"/>
    <w:rsid w:val="00001697"/>
    <w:rsid w:val="00002F55"/>
    <w:rsid w:val="0000320E"/>
    <w:rsid w:val="000036F1"/>
    <w:rsid w:val="00003B81"/>
    <w:rsid w:val="00004365"/>
    <w:rsid w:val="00004BF6"/>
    <w:rsid w:val="000055F6"/>
    <w:rsid w:val="00005A9D"/>
    <w:rsid w:val="000067DD"/>
    <w:rsid w:val="00006846"/>
    <w:rsid w:val="00007523"/>
    <w:rsid w:val="000077ED"/>
    <w:rsid w:val="00007EBB"/>
    <w:rsid w:val="000102D3"/>
    <w:rsid w:val="00010A80"/>
    <w:rsid w:val="00010B16"/>
    <w:rsid w:val="00010D77"/>
    <w:rsid w:val="000110D2"/>
    <w:rsid w:val="000112AB"/>
    <w:rsid w:val="0001161C"/>
    <w:rsid w:val="00011A48"/>
    <w:rsid w:val="00011BE7"/>
    <w:rsid w:val="00011E7E"/>
    <w:rsid w:val="000122D8"/>
    <w:rsid w:val="00012C19"/>
    <w:rsid w:val="00012D06"/>
    <w:rsid w:val="00013052"/>
    <w:rsid w:val="00013F4A"/>
    <w:rsid w:val="00013F80"/>
    <w:rsid w:val="000149C1"/>
    <w:rsid w:val="00014BAD"/>
    <w:rsid w:val="0001561F"/>
    <w:rsid w:val="000156E4"/>
    <w:rsid w:val="00016051"/>
    <w:rsid w:val="00016C7B"/>
    <w:rsid w:val="0001702F"/>
    <w:rsid w:val="000178FE"/>
    <w:rsid w:val="00021991"/>
    <w:rsid w:val="00021F85"/>
    <w:rsid w:val="00021FA9"/>
    <w:rsid w:val="000220BF"/>
    <w:rsid w:val="000220C2"/>
    <w:rsid w:val="00022D3F"/>
    <w:rsid w:val="00022D93"/>
    <w:rsid w:val="00022E61"/>
    <w:rsid w:val="00023228"/>
    <w:rsid w:val="0002344F"/>
    <w:rsid w:val="00023614"/>
    <w:rsid w:val="000238B9"/>
    <w:rsid w:val="00023C87"/>
    <w:rsid w:val="000240CA"/>
    <w:rsid w:val="00024294"/>
    <w:rsid w:val="00024DA6"/>
    <w:rsid w:val="000254EB"/>
    <w:rsid w:val="0002604A"/>
    <w:rsid w:val="0002648C"/>
    <w:rsid w:val="00026E64"/>
    <w:rsid w:val="000275CF"/>
    <w:rsid w:val="00030286"/>
    <w:rsid w:val="00030322"/>
    <w:rsid w:val="0003043B"/>
    <w:rsid w:val="00030558"/>
    <w:rsid w:val="00030B5D"/>
    <w:rsid w:val="00030D1F"/>
    <w:rsid w:val="00030D2C"/>
    <w:rsid w:val="00030E4F"/>
    <w:rsid w:val="00031175"/>
    <w:rsid w:val="000319FD"/>
    <w:rsid w:val="000324DC"/>
    <w:rsid w:val="00032E91"/>
    <w:rsid w:val="000330D4"/>
    <w:rsid w:val="00033218"/>
    <w:rsid w:val="00033429"/>
    <w:rsid w:val="00033506"/>
    <w:rsid w:val="00034659"/>
    <w:rsid w:val="0003477A"/>
    <w:rsid w:val="00034A3E"/>
    <w:rsid w:val="00034BB9"/>
    <w:rsid w:val="00035325"/>
    <w:rsid w:val="00035AB2"/>
    <w:rsid w:val="00035B22"/>
    <w:rsid w:val="0003643D"/>
    <w:rsid w:val="00036B91"/>
    <w:rsid w:val="000370BB"/>
    <w:rsid w:val="000374D9"/>
    <w:rsid w:val="00037589"/>
    <w:rsid w:val="00037B42"/>
    <w:rsid w:val="0004035E"/>
    <w:rsid w:val="00041255"/>
    <w:rsid w:val="0004128B"/>
    <w:rsid w:val="00041A0E"/>
    <w:rsid w:val="00041CCD"/>
    <w:rsid w:val="00041F2F"/>
    <w:rsid w:val="00041FE3"/>
    <w:rsid w:val="00042378"/>
    <w:rsid w:val="00042BD6"/>
    <w:rsid w:val="00042C73"/>
    <w:rsid w:val="00043051"/>
    <w:rsid w:val="00043C89"/>
    <w:rsid w:val="00044CFE"/>
    <w:rsid w:val="00044D6E"/>
    <w:rsid w:val="00044D88"/>
    <w:rsid w:val="00045448"/>
    <w:rsid w:val="00045477"/>
    <w:rsid w:val="00045A3B"/>
    <w:rsid w:val="00046118"/>
    <w:rsid w:val="000467B1"/>
    <w:rsid w:val="00046B82"/>
    <w:rsid w:val="00047373"/>
    <w:rsid w:val="00047534"/>
    <w:rsid w:val="000478F9"/>
    <w:rsid w:val="0005061E"/>
    <w:rsid w:val="00050F65"/>
    <w:rsid w:val="0005125B"/>
    <w:rsid w:val="0005131B"/>
    <w:rsid w:val="00051433"/>
    <w:rsid w:val="00051CBF"/>
    <w:rsid w:val="00051D25"/>
    <w:rsid w:val="00051F78"/>
    <w:rsid w:val="00051FCC"/>
    <w:rsid w:val="000521E2"/>
    <w:rsid w:val="00052890"/>
    <w:rsid w:val="00052FFF"/>
    <w:rsid w:val="00053C5B"/>
    <w:rsid w:val="00053EC1"/>
    <w:rsid w:val="0005539D"/>
    <w:rsid w:val="000557C0"/>
    <w:rsid w:val="00056354"/>
    <w:rsid w:val="00056458"/>
    <w:rsid w:val="000565F6"/>
    <w:rsid w:val="00056639"/>
    <w:rsid w:val="00056838"/>
    <w:rsid w:val="000569E1"/>
    <w:rsid w:val="00056E6C"/>
    <w:rsid w:val="0005753A"/>
    <w:rsid w:val="00060184"/>
    <w:rsid w:val="00060761"/>
    <w:rsid w:val="0006094D"/>
    <w:rsid w:val="00060CC5"/>
    <w:rsid w:val="00060CE1"/>
    <w:rsid w:val="00060CFA"/>
    <w:rsid w:val="000618FB"/>
    <w:rsid w:val="000624F5"/>
    <w:rsid w:val="000627DB"/>
    <w:rsid w:val="00062F25"/>
    <w:rsid w:val="0006388B"/>
    <w:rsid w:val="000641E0"/>
    <w:rsid w:val="0006439B"/>
    <w:rsid w:val="00064529"/>
    <w:rsid w:val="0006492D"/>
    <w:rsid w:val="00065AE4"/>
    <w:rsid w:val="00065C95"/>
    <w:rsid w:val="00066160"/>
    <w:rsid w:val="000661B9"/>
    <w:rsid w:val="0006665C"/>
    <w:rsid w:val="000669C2"/>
    <w:rsid w:val="00066BBE"/>
    <w:rsid w:val="00066FFF"/>
    <w:rsid w:val="00067566"/>
    <w:rsid w:val="0006766C"/>
    <w:rsid w:val="000676A7"/>
    <w:rsid w:val="0006775A"/>
    <w:rsid w:val="00067812"/>
    <w:rsid w:val="00067894"/>
    <w:rsid w:val="000679B1"/>
    <w:rsid w:val="00067AB2"/>
    <w:rsid w:val="0007006B"/>
    <w:rsid w:val="00070749"/>
    <w:rsid w:val="00070991"/>
    <w:rsid w:val="00070B87"/>
    <w:rsid w:val="00070F55"/>
    <w:rsid w:val="0007137D"/>
    <w:rsid w:val="00071594"/>
    <w:rsid w:val="0007193D"/>
    <w:rsid w:val="00071C04"/>
    <w:rsid w:val="00072859"/>
    <w:rsid w:val="000728D2"/>
    <w:rsid w:val="00072F84"/>
    <w:rsid w:val="00073626"/>
    <w:rsid w:val="00073711"/>
    <w:rsid w:val="00073880"/>
    <w:rsid w:val="00074E9C"/>
    <w:rsid w:val="00076445"/>
    <w:rsid w:val="00076A27"/>
    <w:rsid w:val="00076DAA"/>
    <w:rsid w:val="00076E42"/>
    <w:rsid w:val="000773A8"/>
    <w:rsid w:val="000775F1"/>
    <w:rsid w:val="00080A53"/>
    <w:rsid w:val="00081056"/>
    <w:rsid w:val="00082213"/>
    <w:rsid w:val="000827BE"/>
    <w:rsid w:val="00082A08"/>
    <w:rsid w:val="00082BF4"/>
    <w:rsid w:val="00083089"/>
    <w:rsid w:val="000842E0"/>
    <w:rsid w:val="00084BE3"/>
    <w:rsid w:val="00084D66"/>
    <w:rsid w:val="000861B2"/>
    <w:rsid w:val="000862C9"/>
    <w:rsid w:val="000870AF"/>
    <w:rsid w:val="00087180"/>
    <w:rsid w:val="00087464"/>
    <w:rsid w:val="00087716"/>
    <w:rsid w:val="00087731"/>
    <w:rsid w:val="0008782E"/>
    <w:rsid w:val="00087B29"/>
    <w:rsid w:val="00090174"/>
    <w:rsid w:val="000902E8"/>
    <w:rsid w:val="000904D3"/>
    <w:rsid w:val="000907A5"/>
    <w:rsid w:val="000920D2"/>
    <w:rsid w:val="000921BE"/>
    <w:rsid w:val="000923E6"/>
    <w:rsid w:val="00092523"/>
    <w:rsid w:val="000926A5"/>
    <w:rsid w:val="00092CF4"/>
    <w:rsid w:val="00092F44"/>
    <w:rsid w:val="000930E2"/>
    <w:rsid w:val="000941E4"/>
    <w:rsid w:val="00094BCC"/>
    <w:rsid w:val="00094CC8"/>
    <w:rsid w:val="00094FB3"/>
    <w:rsid w:val="000950AB"/>
    <w:rsid w:val="00095548"/>
    <w:rsid w:val="000955F6"/>
    <w:rsid w:val="00095953"/>
    <w:rsid w:val="00095D54"/>
    <w:rsid w:val="0009610C"/>
    <w:rsid w:val="00096208"/>
    <w:rsid w:val="00096FFD"/>
    <w:rsid w:val="00097070"/>
    <w:rsid w:val="000972CB"/>
    <w:rsid w:val="000975EE"/>
    <w:rsid w:val="000A011E"/>
    <w:rsid w:val="000A0C3E"/>
    <w:rsid w:val="000A161F"/>
    <w:rsid w:val="000A29BA"/>
    <w:rsid w:val="000A2E66"/>
    <w:rsid w:val="000A2F60"/>
    <w:rsid w:val="000A341A"/>
    <w:rsid w:val="000A34F2"/>
    <w:rsid w:val="000A3D7F"/>
    <w:rsid w:val="000A4E45"/>
    <w:rsid w:val="000A53E5"/>
    <w:rsid w:val="000A5452"/>
    <w:rsid w:val="000A5628"/>
    <w:rsid w:val="000A57AB"/>
    <w:rsid w:val="000A5CFF"/>
    <w:rsid w:val="000A5F6B"/>
    <w:rsid w:val="000A62FD"/>
    <w:rsid w:val="000A63C0"/>
    <w:rsid w:val="000A6519"/>
    <w:rsid w:val="000A6F5B"/>
    <w:rsid w:val="000A757A"/>
    <w:rsid w:val="000A7963"/>
    <w:rsid w:val="000A796F"/>
    <w:rsid w:val="000A7CF1"/>
    <w:rsid w:val="000B279E"/>
    <w:rsid w:val="000B2995"/>
    <w:rsid w:val="000B2C1B"/>
    <w:rsid w:val="000B4020"/>
    <w:rsid w:val="000B4177"/>
    <w:rsid w:val="000B5300"/>
    <w:rsid w:val="000B5459"/>
    <w:rsid w:val="000B5A7E"/>
    <w:rsid w:val="000B5D6E"/>
    <w:rsid w:val="000B6A1E"/>
    <w:rsid w:val="000B739C"/>
    <w:rsid w:val="000B7C94"/>
    <w:rsid w:val="000B7F7A"/>
    <w:rsid w:val="000C03CF"/>
    <w:rsid w:val="000C08C2"/>
    <w:rsid w:val="000C0DD7"/>
    <w:rsid w:val="000C19CB"/>
    <w:rsid w:val="000C3116"/>
    <w:rsid w:val="000C3393"/>
    <w:rsid w:val="000C4281"/>
    <w:rsid w:val="000C5460"/>
    <w:rsid w:val="000C5C3C"/>
    <w:rsid w:val="000C6164"/>
    <w:rsid w:val="000C62E7"/>
    <w:rsid w:val="000C66FE"/>
    <w:rsid w:val="000C6AD6"/>
    <w:rsid w:val="000C7082"/>
    <w:rsid w:val="000D1B13"/>
    <w:rsid w:val="000D248B"/>
    <w:rsid w:val="000D253E"/>
    <w:rsid w:val="000D279A"/>
    <w:rsid w:val="000D27C5"/>
    <w:rsid w:val="000D2D54"/>
    <w:rsid w:val="000D33DA"/>
    <w:rsid w:val="000D3520"/>
    <w:rsid w:val="000D3EEE"/>
    <w:rsid w:val="000D4064"/>
    <w:rsid w:val="000D4E28"/>
    <w:rsid w:val="000D4F62"/>
    <w:rsid w:val="000D5123"/>
    <w:rsid w:val="000D5653"/>
    <w:rsid w:val="000D5D41"/>
    <w:rsid w:val="000D6820"/>
    <w:rsid w:val="000D6E28"/>
    <w:rsid w:val="000D6E5D"/>
    <w:rsid w:val="000D7278"/>
    <w:rsid w:val="000D7878"/>
    <w:rsid w:val="000D7912"/>
    <w:rsid w:val="000D7D94"/>
    <w:rsid w:val="000D7ECB"/>
    <w:rsid w:val="000E0CD3"/>
    <w:rsid w:val="000E1021"/>
    <w:rsid w:val="000E11CE"/>
    <w:rsid w:val="000E1551"/>
    <w:rsid w:val="000E1595"/>
    <w:rsid w:val="000E1C00"/>
    <w:rsid w:val="000E1CD4"/>
    <w:rsid w:val="000E1E9C"/>
    <w:rsid w:val="000E20FE"/>
    <w:rsid w:val="000E26F3"/>
    <w:rsid w:val="000E2BAC"/>
    <w:rsid w:val="000E2F89"/>
    <w:rsid w:val="000E319E"/>
    <w:rsid w:val="000E3B13"/>
    <w:rsid w:val="000E3FBF"/>
    <w:rsid w:val="000E4092"/>
    <w:rsid w:val="000E415F"/>
    <w:rsid w:val="000E530D"/>
    <w:rsid w:val="000E5969"/>
    <w:rsid w:val="000E60FD"/>
    <w:rsid w:val="000E6D59"/>
    <w:rsid w:val="000E71E8"/>
    <w:rsid w:val="000E767A"/>
    <w:rsid w:val="000E7DEE"/>
    <w:rsid w:val="000F0623"/>
    <w:rsid w:val="000F0976"/>
    <w:rsid w:val="000F0D37"/>
    <w:rsid w:val="000F0DAE"/>
    <w:rsid w:val="000F0E5C"/>
    <w:rsid w:val="000F21EC"/>
    <w:rsid w:val="000F2993"/>
    <w:rsid w:val="000F2ADA"/>
    <w:rsid w:val="000F36AE"/>
    <w:rsid w:val="000F37B4"/>
    <w:rsid w:val="000F3B50"/>
    <w:rsid w:val="000F4A07"/>
    <w:rsid w:val="000F4E5D"/>
    <w:rsid w:val="000F5285"/>
    <w:rsid w:val="000F52E2"/>
    <w:rsid w:val="000F530A"/>
    <w:rsid w:val="000F5649"/>
    <w:rsid w:val="000F5AEC"/>
    <w:rsid w:val="000F5FB6"/>
    <w:rsid w:val="000F6434"/>
    <w:rsid w:val="000F744D"/>
    <w:rsid w:val="000F77AB"/>
    <w:rsid w:val="000F7EFC"/>
    <w:rsid w:val="001007F0"/>
    <w:rsid w:val="00100AF1"/>
    <w:rsid w:val="00100B74"/>
    <w:rsid w:val="00100DED"/>
    <w:rsid w:val="001018FB"/>
    <w:rsid w:val="00101A29"/>
    <w:rsid w:val="00101DC6"/>
    <w:rsid w:val="00101FF7"/>
    <w:rsid w:val="00102F74"/>
    <w:rsid w:val="0010476F"/>
    <w:rsid w:val="00104F73"/>
    <w:rsid w:val="00105A0D"/>
    <w:rsid w:val="00105BC7"/>
    <w:rsid w:val="00105FBC"/>
    <w:rsid w:val="00106017"/>
    <w:rsid w:val="00106BAF"/>
    <w:rsid w:val="00106D22"/>
    <w:rsid w:val="00107A3F"/>
    <w:rsid w:val="00110656"/>
    <w:rsid w:val="001110A7"/>
    <w:rsid w:val="00111ED1"/>
    <w:rsid w:val="00112208"/>
    <w:rsid w:val="00112235"/>
    <w:rsid w:val="00112DC3"/>
    <w:rsid w:val="00113FB6"/>
    <w:rsid w:val="00114A96"/>
    <w:rsid w:val="00114BAF"/>
    <w:rsid w:val="00114BB1"/>
    <w:rsid w:val="00114ED0"/>
    <w:rsid w:val="0011640A"/>
    <w:rsid w:val="0011663E"/>
    <w:rsid w:val="001168CC"/>
    <w:rsid w:val="00116B0F"/>
    <w:rsid w:val="00116C8E"/>
    <w:rsid w:val="00116F39"/>
    <w:rsid w:val="00116FEC"/>
    <w:rsid w:val="00117267"/>
    <w:rsid w:val="00117E63"/>
    <w:rsid w:val="0012045F"/>
    <w:rsid w:val="00120615"/>
    <w:rsid w:val="00120864"/>
    <w:rsid w:val="001209C0"/>
    <w:rsid w:val="00120CA6"/>
    <w:rsid w:val="00120D05"/>
    <w:rsid w:val="00120E94"/>
    <w:rsid w:val="0012124C"/>
    <w:rsid w:val="0012161C"/>
    <w:rsid w:val="00121A70"/>
    <w:rsid w:val="00121A7C"/>
    <w:rsid w:val="00121FC5"/>
    <w:rsid w:val="001221E0"/>
    <w:rsid w:val="001227BE"/>
    <w:rsid w:val="0012291B"/>
    <w:rsid w:val="001235C9"/>
    <w:rsid w:val="001243D4"/>
    <w:rsid w:val="001246EC"/>
    <w:rsid w:val="001248CF"/>
    <w:rsid w:val="0012497A"/>
    <w:rsid w:val="00124A85"/>
    <w:rsid w:val="0012539D"/>
    <w:rsid w:val="00125462"/>
    <w:rsid w:val="00125971"/>
    <w:rsid w:val="001259A1"/>
    <w:rsid w:val="00126455"/>
    <w:rsid w:val="00127333"/>
    <w:rsid w:val="0012749C"/>
    <w:rsid w:val="0012753F"/>
    <w:rsid w:val="00127A0F"/>
    <w:rsid w:val="00127A64"/>
    <w:rsid w:val="001301AE"/>
    <w:rsid w:val="001305EF"/>
    <w:rsid w:val="0013066A"/>
    <w:rsid w:val="00130744"/>
    <w:rsid w:val="00130921"/>
    <w:rsid w:val="00130F69"/>
    <w:rsid w:val="00131EE9"/>
    <w:rsid w:val="001331B5"/>
    <w:rsid w:val="001332E8"/>
    <w:rsid w:val="0013336D"/>
    <w:rsid w:val="0013367F"/>
    <w:rsid w:val="00133F7C"/>
    <w:rsid w:val="00134335"/>
    <w:rsid w:val="001349DB"/>
    <w:rsid w:val="00134B28"/>
    <w:rsid w:val="00134B58"/>
    <w:rsid w:val="00135585"/>
    <w:rsid w:val="001357C4"/>
    <w:rsid w:val="00135E19"/>
    <w:rsid w:val="001367DE"/>
    <w:rsid w:val="00136C55"/>
    <w:rsid w:val="0013776C"/>
    <w:rsid w:val="00140B4B"/>
    <w:rsid w:val="00141B32"/>
    <w:rsid w:val="00141E80"/>
    <w:rsid w:val="001440AA"/>
    <w:rsid w:val="0014476F"/>
    <w:rsid w:val="0014570E"/>
    <w:rsid w:val="0014594A"/>
    <w:rsid w:val="00145D83"/>
    <w:rsid w:val="00146783"/>
    <w:rsid w:val="0014757E"/>
    <w:rsid w:val="001477E3"/>
    <w:rsid w:val="0015000D"/>
    <w:rsid w:val="00150472"/>
    <w:rsid w:val="001508B2"/>
    <w:rsid w:val="00150B57"/>
    <w:rsid w:val="00150C16"/>
    <w:rsid w:val="00151036"/>
    <w:rsid w:val="00151284"/>
    <w:rsid w:val="001516C8"/>
    <w:rsid w:val="001517A1"/>
    <w:rsid w:val="00151810"/>
    <w:rsid w:val="00151958"/>
    <w:rsid w:val="0015200D"/>
    <w:rsid w:val="001520F9"/>
    <w:rsid w:val="00152102"/>
    <w:rsid w:val="00152159"/>
    <w:rsid w:val="00152F8F"/>
    <w:rsid w:val="00153F4A"/>
    <w:rsid w:val="0015407F"/>
    <w:rsid w:val="00154886"/>
    <w:rsid w:val="001548BB"/>
    <w:rsid w:val="00154DF3"/>
    <w:rsid w:val="00154EDB"/>
    <w:rsid w:val="0015552C"/>
    <w:rsid w:val="00155E23"/>
    <w:rsid w:val="00156B5B"/>
    <w:rsid w:val="00156B85"/>
    <w:rsid w:val="00157FA6"/>
    <w:rsid w:val="00160225"/>
    <w:rsid w:val="001609E4"/>
    <w:rsid w:val="00160AEF"/>
    <w:rsid w:val="00160FCC"/>
    <w:rsid w:val="00161063"/>
    <w:rsid w:val="00161929"/>
    <w:rsid w:val="00161F43"/>
    <w:rsid w:val="001622EB"/>
    <w:rsid w:val="0016288C"/>
    <w:rsid w:val="00162B2E"/>
    <w:rsid w:val="00163208"/>
    <w:rsid w:val="001637D1"/>
    <w:rsid w:val="00163C7F"/>
    <w:rsid w:val="00163D6E"/>
    <w:rsid w:val="001640B8"/>
    <w:rsid w:val="00164449"/>
    <w:rsid w:val="00164C21"/>
    <w:rsid w:val="001658D2"/>
    <w:rsid w:val="0016608E"/>
    <w:rsid w:val="00166276"/>
    <w:rsid w:val="00166576"/>
    <w:rsid w:val="0016669B"/>
    <w:rsid w:val="00166996"/>
    <w:rsid w:val="00166CA4"/>
    <w:rsid w:val="00166F14"/>
    <w:rsid w:val="00166F34"/>
    <w:rsid w:val="001670C6"/>
    <w:rsid w:val="00170065"/>
    <w:rsid w:val="00170704"/>
    <w:rsid w:val="00170F22"/>
    <w:rsid w:val="00170FCD"/>
    <w:rsid w:val="00171A8A"/>
    <w:rsid w:val="00171BB3"/>
    <w:rsid w:val="00171D3A"/>
    <w:rsid w:val="0017293E"/>
    <w:rsid w:val="00172A15"/>
    <w:rsid w:val="00172BBC"/>
    <w:rsid w:val="00172EF5"/>
    <w:rsid w:val="001732B4"/>
    <w:rsid w:val="00173446"/>
    <w:rsid w:val="00173CBC"/>
    <w:rsid w:val="00174156"/>
    <w:rsid w:val="00174500"/>
    <w:rsid w:val="00174624"/>
    <w:rsid w:val="001748D8"/>
    <w:rsid w:val="00175157"/>
    <w:rsid w:val="001753EF"/>
    <w:rsid w:val="00175A34"/>
    <w:rsid w:val="0017646F"/>
    <w:rsid w:val="001764EC"/>
    <w:rsid w:val="00176CFB"/>
    <w:rsid w:val="00177BA9"/>
    <w:rsid w:val="0018008D"/>
    <w:rsid w:val="00180631"/>
    <w:rsid w:val="00180775"/>
    <w:rsid w:val="00180C54"/>
    <w:rsid w:val="00180E3B"/>
    <w:rsid w:val="00180E4F"/>
    <w:rsid w:val="00180F1D"/>
    <w:rsid w:val="00181826"/>
    <w:rsid w:val="001819A0"/>
    <w:rsid w:val="00181F36"/>
    <w:rsid w:val="0018235B"/>
    <w:rsid w:val="001829D8"/>
    <w:rsid w:val="00182B15"/>
    <w:rsid w:val="00182E5E"/>
    <w:rsid w:val="00183457"/>
    <w:rsid w:val="0018348B"/>
    <w:rsid w:val="00183D96"/>
    <w:rsid w:val="00183E97"/>
    <w:rsid w:val="00184231"/>
    <w:rsid w:val="001849A0"/>
    <w:rsid w:val="00185839"/>
    <w:rsid w:val="00185CAF"/>
    <w:rsid w:val="0018604E"/>
    <w:rsid w:val="00186BCA"/>
    <w:rsid w:val="00186D3D"/>
    <w:rsid w:val="00187044"/>
    <w:rsid w:val="00187202"/>
    <w:rsid w:val="001900EE"/>
    <w:rsid w:val="00190159"/>
    <w:rsid w:val="00190D57"/>
    <w:rsid w:val="001912C2"/>
    <w:rsid w:val="00192FA7"/>
    <w:rsid w:val="00193785"/>
    <w:rsid w:val="00194478"/>
    <w:rsid w:val="00194F2D"/>
    <w:rsid w:val="00195153"/>
    <w:rsid w:val="00195C83"/>
    <w:rsid w:val="0019603A"/>
    <w:rsid w:val="0019611D"/>
    <w:rsid w:val="001961AD"/>
    <w:rsid w:val="001961F2"/>
    <w:rsid w:val="001964CC"/>
    <w:rsid w:val="00196E55"/>
    <w:rsid w:val="00197032"/>
    <w:rsid w:val="001976EA"/>
    <w:rsid w:val="001978FF"/>
    <w:rsid w:val="001A0B1E"/>
    <w:rsid w:val="001A1108"/>
    <w:rsid w:val="001A22B7"/>
    <w:rsid w:val="001A2D3F"/>
    <w:rsid w:val="001A2E4E"/>
    <w:rsid w:val="001A322A"/>
    <w:rsid w:val="001A3451"/>
    <w:rsid w:val="001A3516"/>
    <w:rsid w:val="001A3EA4"/>
    <w:rsid w:val="001A48B2"/>
    <w:rsid w:val="001A4B93"/>
    <w:rsid w:val="001A4CB5"/>
    <w:rsid w:val="001A4E10"/>
    <w:rsid w:val="001A57AA"/>
    <w:rsid w:val="001A585D"/>
    <w:rsid w:val="001A6322"/>
    <w:rsid w:val="001A6352"/>
    <w:rsid w:val="001A6544"/>
    <w:rsid w:val="001A6E8C"/>
    <w:rsid w:val="001A729D"/>
    <w:rsid w:val="001A7DC3"/>
    <w:rsid w:val="001A7E83"/>
    <w:rsid w:val="001A7EE8"/>
    <w:rsid w:val="001B032F"/>
    <w:rsid w:val="001B04B4"/>
    <w:rsid w:val="001B065C"/>
    <w:rsid w:val="001B0FB2"/>
    <w:rsid w:val="001B1226"/>
    <w:rsid w:val="001B1464"/>
    <w:rsid w:val="001B1AA7"/>
    <w:rsid w:val="001B32AF"/>
    <w:rsid w:val="001B345E"/>
    <w:rsid w:val="001B48DC"/>
    <w:rsid w:val="001B4B1B"/>
    <w:rsid w:val="001B50F3"/>
    <w:rsid w:val="001B54B9"/>
    <w:rsid w:val="001B56A2"/>
    <w:rsid w:val="001B6554"/>
    <w:rsid w:val="001B6CD3"/>
    <w:rsid w:val="001B6E45"/>
    <w:rsid w:val="001C03B5"/>
    <w:rsid w:val="001C0615"/>
    <w:rsid w:val="001C0D43"/>
    <w:rsid w:val="001C1694"/>
    <w:rsid w:val="001C1C40"/>
    <w:rsid w:val="001C253D"/>
    <w:rsid w:val="001C3791"/>
    <w:rsid w:val="001C40D3"/>
    <w:rsid w:val="001C45E2"/>
    <w:rsid w:val="001C4733"/>
    <w:rsid w:val="001C4FFC"/>
    <w:rsid w:val="001C50BE"/>
    <w:rsid w:val="001C5291"/>
    <w:rsid w:val="001C58C1"/>
    <w:rsid w:val="001C58D6"/>
    <w:rsid w:val="001C617E"/>
    <w:rsid w:val="001C6225"/>
    <w:rsid w:val="001C6CF6"/>
    <w:rsid w:val="001C6E92"/>
    <w:rsid w:val="001C72E1"/>
    <w:rsid w:val="001C73BF"/>
    <w:rsid w:val="001C7502"/>
    <w:rsid w:val="001C7E5A"/>
    <w:rsid w:val="001D0138"/>
    <w:rsid w:val="001D07A5"/>
    <w:rsid w:val="001D07BD"/>
    <w:rsid w:val="001D0EE9"/>
    <w:rsid w:val="001D11FC"/>
    <w:rsid w:val="001D1B60"/>
    <w:rsid w:val="001D204F"/>
    <w:rsid w:val="001D2223"/>
    <w:rsid w:val="001D2417"/>
    <w:rsid w:val="001D2678"/>
    <w:rsid w:val="001D2E2D"/>
    <w:rsid w:val="001D346C"/>
    <w:rsid w:val="001D4374"/>
    <w:rsid w:val="001D4C2A"/>
    <w:rsid w:val="001D4CD1"/>
    <w:rsid w:val="001D6095"/>
    <w:rsid w:val="001D65EC"/>
    <w:rsid w:val="001D67AD"/>
    <w:rsid w:val="001D75A1"/>
    <w:rsid w:val="001E0016"/>
    <w:rsid w:val="001E0A1E"/>
    <w:rsid w:val="001E0CCF"/>
    <w:rsid w:val="001E0E52"/>
    <w:rsid w:val="001E15B4"/>
    <w:rsid w:val="001E1CDE"/>
    <w:rsid w:val="001E1EF6"/>
    <w:rsid w:val="001E2136"/>
    <w:rsid w:val="001E32A7"/>
    <w:rsid w:val="001E33E1"/>
    <w:rsid w:val="001E3450"/>
    <w:rsid w:val="001E37F2"/>
    <w:rsid w:val="001E4780"/>
    <w:rsid w:val="001E4942"/>
    <w:rsid w:val="001E4E51"/>
    <w:rsid w:val="001E523F"/>
    <w:rsid w:val="001E5F16"/>
    <w:rsid w:val="001E649F"/>
    <w:rsid w:val="001E6C59"/>
    <w:rsid w:val="001E6D97"/>
    <w:rsid w:val="001F03E1"/>
    <w:rsid w:val="001F08A5"/>
    <w:rsid w:val="001F0F16"/>
    <w:rsid w:val="001F14E4"/>
    <w:rsid w:val="001F1E5D"/>
    <w:rsid w:val="001F20A9"/>
    <w:rsid w:val="001F2344"/>
    <w:rsid w:val="001F23DE"/>
    <w:rsid w:val="001F2680"/>
    <w:rsid w:val="001F2BFE"/>
    <w:rsid w:val="001F316D"/>
    <w:rsid w:val="001F36EE"/>
    <w:rsid w:val="001F3D29"/>
    <w:rsid w:val="001F4657"/>
    <w:rsid w:val="001F498B"/>
    <w:rsid w:val="001F4A6F"/>
    <w:rsid w:val="001F551B"/>
    <w:rsid w:val="001F5A81"/>
    <w:rsid w:val="001F5B07"/>
    <w:rsid w:val="001F5BC1"/>
    <w:rsid w:val="001F5F85"/>
    <w:rsid w:val="001F61C6"/>
    <w:rsid w:val="001F63D4"/>
    <w:rsid w:val="001F6A3C"/>
    <w:rsid w:val="001F6AAF"/>
    <w:rsid w:val="001F6FAB"/>
    <w:rsid w:val="001F7477"/>
    <w:rsid w:val="001F76CD"/>
    <w:rsid w:val="001F7C36"/>
    <w:rsid w:val="00200075"/>
    <w:rsid w:val="0020044E"/>
    <w:rsid w:val="002006A7"/>
    <w:rsid w:val="0020109A"/>
    <w:rsid w:val="00201AA2"/>
    <w:rsid w:val="00201F1B"/>
    <w:rsid w:val="00202405"/>
    <w:rsid w:val="00202E1B"/>
    <w:rsid w:val="0020359E"/>
    <w:rsid w:val="00203D63"/>
    <w:rsid w:val="002044A2"/>
    <w:rsid w:val="0020534D"/>
    <w:rsid w:val="00205F74"/>
    <w:rsid w:val="002060CE"/>
    <w:rsid w:val="0020632E"/>
    <w:rsid w:val="00206858"/>
    <w:rsid w:val="00206A94"/>
    <w:rsid w:val="00206AAE"/>
    <w:rsid w:val="002076C8"/>
    <w:rsid w:val="00207D37"/>
    <w:rsid w:val="00210678"/>
    <w:rsid w:val="00210867"/>
    <w:rsid w:val="00210BF5"/>
    <w:rsid w:val="00210FFF"/>
    <w:rsid w:val="00211556"/>
    <w:rsid w:val="00212271"/>
    <w:rsid w:val="00212656"/>
    <w:rsid w:val="0021265B"/>
    <w:rsid w:val="00212A5F"/>
    <w:rsid w:val="00212FB7"/>
    <w:rsid w:val="00213137"/>
    <w:rsid w:val="002134AA"/>
    <w:rsid w:val="00213D55"/>
    <w:rsid w:val="002141F5"/>
    <w:rsid w:val="00214241"/>
    <w:rsid w:val="0021489F"/>
    <w:rsid w:val="002169A0"/>
    <w:rsid w:val="00217295"/>
    <w:rsid w:val="00217454"/>
    <w:rsid w:val="00217F8B"/>
    <w:rsid w:val="00220138"/>
    <w:rsid w:val="00220C4F"/>
    <w:rsid w:val="002211F3"/>
    <w:rsid w:val="00221311"/>
    <w:rsid w:val="0022135B"/>
    <w:rsid w:val="002214A5"/>
    <w:rsid w:val="00221986"/>
    <w:rsid w:val="00221B3E"/>
    <w:rsid w:val="002222A2"/>
    <w:rsid w:val="00222C6A"/>
    <w:rsid w:val="00222CB9"/>
    <w:rsid w:val="0022378D"/>
    <w:rsid w:val="00223EF2"/>
    <w:rsid w:val="00223FE2"/>
    <w:rsid w:val="002240DF"/>
    <w:rsid w:val="00224524"/>
    <w:rsid w:val="002250EB"/>
    <w:rsid w:val="0022568C"/>
    <w:rsid w:val="00225842"/>
    <w:rsid w:val="002258DC"/>
    <w:rsid w:val="00225CB8"/>
    <w:rsid w:val="00225FCA"/>
    <w:rsid w:val="0022770B"/>
    <w:rsid w:val="00230C71"/>
    <w:rsid w:val="00231476"/>
    <w:rsid w:val="00231AE2"/>
    <w:rsid w:val="002320BB"/>
    <w:rsid w:val="0023281F"/>
    <w:rsid w:val="00233C41"/>
    <w:rsid w:val="00234357"/>
    <w:rsid w:val="00234CEA"/>
    <w:rsid w:val="00235944"/>
    <w:rsid w:val="00235C51"/>
    <w:rsid w:val="00235CEA"/>
    <w:rsid w:val="00235FC5"/>
    <w:rsid w:val="0023649C"/>
    <w:rsid w:val="00236614"/>
    <w:rsid w:val="00236D6D"/>
    <w:rsid w:val="00237144"/>
    <w:rsid w:val="0023723C"/>
    <w:rsid w:val="0023758C"/>
    <w:rsid w:val="002376A3"/>
    <w:rsid w:val="00237886"/>
    <w:rsid w:val="002378DC"/>
    <w:rsid w:val="00237C96"/>
    <w:rsid w:val="00237F3B"/>
    <w:rsid w:val="002400CF"/>
    <w:rsid w:val="002404B0"/>
    <w:rsid w:val="0024073E"/>
    <w:rsid w:val="00240A75"/>
    <w:rsid w:val="00240C36"/>
    <w:rsid w:val="00240E41"/>
    <w:rsid w:val="0024139D"/>
    <w:rsid w:val="00241743"/>
    <w:rsid w:val="00241BEA"/>
    <w:rsid w:val="0024242F"/>
    <w:rsid w:val="002428E9"/>
    <w:rsid w:val="00243359"/>
    <w:rsid w:val="00243666"/>
    <w:rsid w:val="002439AB"/>
    <w:rsid w:val="00243BE6"/>
    <w:rsid w:val="00243E1F"/>
    <w:rsid w:val="00244254"/>
    <w:rsid w:val="00244399"/>
    <w:rsid w:val="00244F9C"/>
    <w:rsid w:val="00245244"/>
    <w:rsid w:val="00245375"/>
    <w:rsid w:val="00245622"/>
    <w:rsid w:val="00245ADC"/>
    <w:rsid w:val="002468C2"/>
    <w:rsid w:val="00246987"/>
    <w:rsid w:val="00246F21"/>
    <w:rsid w:val="002475D3"/>
    <w:rsid w:val="00247D8A"/>
    <w:rsid w:val="0025023C"/>
    <w:rsid w:val="002502CB"/>
    <w:rsid w:val="0025061B"/>
    <w:rsid w:val="00250696"/>
    <w:rsid w:val="00250B18"/>
    <w:rsid w:val="00250C96"/>
    <w:rsid w:val="00250EDE"/>
    <w:rsid w:val="00251254"/>
    <w:rsid w:val="00251341"/>
    <w:rsid w:val="0025178D"/>
    <w:rsid w:val="00252006"/>
    <w:rsid w:val="0025282C"/>
    <w:rsid w:val="00252BA7"/>
    <w:rsid w:val="00252C28"/>
    <w:rsid w:val="00253194"/>
    <w:rsid w:val="0025348E"/>
    <w:rsid w:val="002536A8"/>
    <w:rsid w:val="00253BEA"/>
    <w:rsid w:val="00253CE5"/>
    <w:rsid w:val="00253CF6"/>
    <w:rsid w:val="00254048"/>
    <w:rsid w:val="00254DCA"/>
    <w:rsid w:val="002555D4"/>
    <w:rsid w:val="00255773"/>
    <w:rsid w:val="002557AB"/>
    <w:rsid w:val="0025620E"/>
    <w:rsid w:val="00256BD3"/>
    <w:rsid w:val="002600D7"/>
    <w:rsid w:val="00260149"/>
    <w:rsid w:val="00260294"/>
    <w:rsid w:val="002606E4"/>
    <w:rsid w:val="00260774"/>
    <w:rsid w:val="00260A84"/>
    <w:rsid w:val="00260C52"/>
    <w:rsid w:val="00260F71"/>
    <w:rsid w:val="002614BA"/>
    <w:rsid w:val="002618D0"/>
    <w:rsid w:val="00261A5D"/>
    <w:rsid w:val="002622AD"/>
    <w:rsid w:val="00262DAB"/>
    <w:rsid w:val="002631BD"/>
    <w:rsid w:val="002631CC"/>
    <w:rsid w:val="002637FC"/>
    <w:rsid w:val="00263B80"/>
    <w:rsid w:val="00263BB2"/>
    <w:rsid w:val="00263C46"/>
    <w:rsid w:val="00264937"/>
    <w:rsid w:val="0026528F"/>
    <w:rsid w:val="0026576F"/>
    <w:rsid w:val="00265B3E"/>
    <w:rsid w:val="00265ED9"/>
    <w:rsid w:val="00266008"/>
    <w:rsid w:val="00266235"/>
    <w:rsid w:val="0026658D"/>
    <w:rsid w:val="00266784"/>
    <w:rsid w:val="00267507"/>
    <w:rsid w:val="00270371"/>
    <w:rsid w:val="002703C6"/>
    <w:rsid w:val="002707F0"/>
    <w:rsid w:val="00270AEF"/>
    <w:rsid w:val="00271748"/>
    <w:rsid w:val="00271977"/>
    <w:rsid w:val="00272952"/>
    <w:rsid w:val="00272FB1"/>
    <w:rsid w:val="00273632"/>
    <w:rsid w:val="002739CB"/>
    <w:rsid w:val="0027402E"/>
    <w:rsid w:val="00274150"/>
    <w:rsid w:val="00274409"/>
    <w:rsid w:val="002746CF"/>
    <w:rsid w:val="002756C5"/>
    <w:rsid w:val="00275777"/>
    <w:rsid w:val="002757A5"/>
    <w:rsid w:val="00280461"/>
    <w:rsid w:val="002805DE"/>
    <w:rsid w:val="00280A89"/>
    <w:rsid w:val="00280EB9"/>
    <w:rsid w:val="00281BD6"/>
    <w:rsid w:val="00282B91"/>
    <w:rsid w:val="00283693"/>
    <w:rsid w:val="002841FE"/>
    <w:rsid w:val="00284268"/>
    <w:rsid w:val="00284936"/>
    <w:rsid w:val="00284FA9"/>
    <w:rsid w:val="002852E8"/>
    <w:rsid w:val="00285600"/>
    <w:rsid w:val="00285A2F"/>
    <w:rsid w:val="00285B0A"/>
    <w:rsid w:val="00285D17"/>
    <w:rsid w:val="00285E28"/>
    <w:rsid w:val="002860BC"/>
    <w:rsid w:val="00286381"/>
    <w:rsid w:val="0028654A"/>
    <w:rsid w:val="002866DE"/>
    <w:rsid w:val="00286DE4"/>
    <w:rsid w:val="00287747"/>
    <w:rsid w:val="002910A5"/>
    <w:rsid w:val="002914CB"/>
    <w:rsid w:val="00291657"/>
    <w:rsid w:val="00291693"/>
    <w:rsid w:val="00291E67"/>
    <w:rsid w:val="0029234D"/>
    <w:rsid w:val="00292889"/>
    <w:rsid w:val="00292928"/>
    <w:rsid w:val="00292A5C"/>
    <w:rsid w:val="00292AE8"/>
    <w:rsid w:val="0029318A"/>
    <w:rsid w:val="002942E2"/>
    <w:rsid w:val="0029526E"/>
    <w:rsid w:val="00295601"/>
    <w:rsid w:val="00295CAB"/>
    <w:rsid w:val="0029668E"/>
    <w:rsid w:val="00296994"/>
    <w:rsid w:val="00296F72"/>
    <w:rsid w:val="00297020"/>
    <w:rsid w:val="002973F1"/>
    <w:rsid w:val="002976A7"/>
    <w:rsid w:val="002A01C7"/>
    <w:rsid w:val="002A0CEF"/>
    <w:rsid w:val="002A0EA8"/>
    <w:rsid w:val="002A0EC5"/>
    <w:rsid w:val="002A2B3D"/>
    <w:rsid w:val="002A2BEF"/>
    <w:rsid w:val="002A33E7"/>
    <w:rsid w:val="002A3B6D"/>
    <w:rsid w:val="002A402D"/>
    <w:rsid w:val="002A4B14"/>
    <w:rsid w:val="002A5B9D"/>
    <w:rsid w:val="002A67B4"/>
    <w:rsid w:val="002A6814"/>
    <w:rsid w:val="002A68DD"/>
    <w:rsid w:val="002A6979"/>
    <w:rsid w:val="002A6E15"/>
    <w:rsid w:val="002A6E9B"/>
    <w:rsid w:val="002A7D6A"/>
    <w:rsid w:val="002A7F2D"/>
    <w:rsid w:val="002A7F72"/>
    <w:rsid w:val="002B025B"/>
    <w:rsid w:val="002B0594"/>
    <w:rsid w:val="002B0EAD"/>
    <w:rsid w:val="002B1339"/>
    <w:rsid w:val="002B1DD2"/>
    <w:rsid w:val="002B23D4"/>
    <w:rsid w:val="002B26DD"/>
    <w:rsid w:val="002B30EE"/>
    <w:rsid w:val="002B3220"/>
    <w:rsid w:val="002B4352"/>
    <w:rsid w:val="002B44A2"/>
    <w:rsid w:val="002B498D"/>
    <w:rsid w:val="002B4F7B"/>
    <w:rsid w:val="002B52E2"/>
    <w:rsid w:val="002B62B5"/>
    <w:rsid w:val="002B6745"/>
    <w:rsid w:val="002B7524"/>
    <w:rsid w:val="002B7623"/>
    <w:rsid w:val="002B779D"/>
    <w:rsid w:val="002B77E5"/>
    <w:rsid w:val="002B7AF0"/>
    <w:rsid w:val="002B7C09"/>
    <w:rsid w:val="002C03BE"/>
    <w:rsid w:val="002C0D57"/>
    <w:rsid w:val="002C0E7F"/>
    <w:rsid w:val="002C1206"/>
    <w:rsid w:val="002C1E3D"/>
    <w:rsid w:val="002C2E66"/>
    <w:rsid w:val="002C33F0"/>
    <w:rsid w:val="002C353C"/>
    <w:rsid w:val="002C438A"/>
    <w:rsid w:val="002C4A89"/>
    <w:rsid w:val="002C5160"/>
    <w:rsid w:val="002C5477"/>
    <w:rsid w:val="002C5830"/>
    <w:rsid w:val="002C5A87"/>
    <w:rsid w:val="002C5D5B"/>
    <w:rsid w:val="002C5DAC"/>
    <w:rsid w:val="002C6A50"/>
    <w:rsid w:val="002C6B97"/>
    <w:rsid w:val="002C74B8"/>
    <w:rsid w:val="002C7B38"/>
    <w:rsid w:val="002D0127"/>
    <w:rsid w:val="002D0479"/>
    <w:rsid w:val="002D0877"/>
    <w:rsid w:val="002D0BB9"/>
    <w:rsid w:val="002D0FB6"/>
    <w:rsid w:val="002D2015"/>
    <w:rsid w:val="002D233F"/>
    <w:rsid w:val="002D241A"/>
    <w:rsid w:val="002D30C7"/>
    <w:rsid w:val="002D31AB"/>
    <w:rsid w:val="002D322E"/>
    <w:rsid w:val="002D387E"/>
    <w:rsid w:val="002D4188"/>
    <w:rsid w:val="002D41CA"/>
    <w:rsid w:val="002D4C09"/>
    <w:rsid w:val="002D4D27"/>
    <w:rsid w:val="002D4DC6"/>
    <w:rsid w:val="002D4EB0"/>
    <w:rsid w:val="002D4EEC"/>
    <w:rsid w:val="002D4FE5"/>
    <w:rsid w:val="002D56BA"/>
    <w:rsid w:val="002D5A07"/>
    <w:rsid w:val="002D5C65"/>
    <w:rsid w:val="002D61F5"/>
    <w:rsid w:val="002D6B30"/>
    <w:rsid w:val="002D6FBF"/>
    <w:rsid w:val="002D7024"/>
    <w:rsid w:val="002D7697"/>
    <w:rsid w:val="002D7FE3"/>
    <w:rsid w:val="002E02CD"/>
    <w:rsid w:val="002E0895"/>
    <w:rsid w:val="002E0B84"/>
    <w:rsid w:val="002E0CDD"/>
    <w:rsid w:val="002E0F5A"/>
    <w:rsid w:val="002E164A"/>
    <w:rsid w:val="002E1E3A"/>
    <w:rsid w:val="002E263C"/>
    <w:rsid w:val="002E2F88"/>
    <w:rsid w:val="002E2F9A"/>
    <w:rsid w:val="002E31CB"/>
    <w:rsid w:val="002E31D5"/>
    <w:rsid w:val="002E3270"/>
    <w:rsid w:val="002E3EDE"/>
    <w:rsid w:val="002E43BD"/>
    <w:rsid w:val="002E4407"/>
    <w:rsid w:val="002E4D1A"/>
    <w:rsid w:val="002E5031"/>
    <w:rsid w:val="002E5187"/>
    <w:rsid w:val="002E5722"/>
    <w:rsid w:val="002E643B"/>
    <w:rsid w:val="002E678E"/>
    <w:rsid w:val="002E7D75"/>
    <w:rsid w:val="002E7E5A"/>
    <w:rsid w:val="002F014A"/>
    <w:rsid w:val="002F0953"/>
    <w:rsid w:val="002F0EEF"/>
    <w:rsid w:val="002F208D"/>
    <w:rsid w:val="002F2208"/>
    <w:rsid w:val="002F421E"/>
    <w:rsid w:val="002F44CE"/>
    <w:rsid w:val="002F45DD"/>
    <w:rsid w:val="002F487F"/>
    <w:rsid w:val="002F4D9F"/>
    <w:rsid w:val="002F56EE"/>
    <w:rsid w:val="002F5831"/>
    <w:rsid w:val="002F5E68"/>
    <w:rsid w:val="002F7005"/>
    <w:rsid w:val="002F7616"/>
    <w:rsid w:val="002F7CFB"/>
    <w:rsid w:val="0030024E"/>
    <w:rsid w:val="0030075C"/>
    <w:rsid w:val="00300F2E"/>
    <w:rsid w:val="00301D88"/>
    <w:rsid w:val="00301EB4"/>
    <w:rsid w:val="003025D5"/>
    <w:rsid w:val="00302689"/>
    <w:rsid w:val="0030286A"/>
    <w:rsid w:val="003030A8"/>
    <w:rsid w:val="0030442F"/>
    <w:rsid w:val="003048F5"/>
    <w:rsid w:val="00304DD8"/>
    <w:rsid w:val="00304F61"/>
    <w:rsid w:val="003055BF"/>
    <w:rsid w:val="0030603F"/>
    <w:rsid w:val="003062DE"/>
    <w:rsid w:val="003069B1"/>
    <w:rsid w:val="00306E18"/>
    <w:rsid w:val="00307101"/>
    <w:rsid w:val="00307AD6"/>
    <w:rsid w:val="00310077"/>
    <w:rsid w:val="00310676"/>
    <w:rsid w:val="00310E76"/>
    <w:rsid w:val="00311129"/>
    <w:rsid w:val="003113BA"/>
    <w:rsid w:val="003116B2"/>
    <w:rsid w:val="00311A07"/>
    <w:rsid w:val="00311B71"/>
    <w:rsid w:val="00312201"/>
    <w:rsid w:val="003123AF"/>
    <w:rsid w:val="003134C2"/>
    <w:rsid w:val="00313615"/>
    <w:rsid w:val="00313666"/>
    <w:rsid w:val="00313788"/>
    <w:rsid w:val="00313B3E"/>
    <w:rsid w:val="00314073"/>
    <w:rsid w:val="00314410"/>
    <w:rsid w:val="003151BE"/>
    <w:rsid w:val="00315909"/>
    <w:rsid w:val="00315AE5"/>
    <w:rsid w:val="00315B65"/>
    <w:rsid w:val="00315C5C"/>
    <w:rsid w:val="003163E0"/>
    <w:rsid w:val="00316497"/>
    <w:rsid w:val="003165F0"/>
    <w:rsid w:val="00316B3A"/>
    <w:rsid w:val="00316C7E"/>
    <w:rsid w:val="0031754E"/>
    <w:rsid w:val="00317A22"/>
    <w:rsid w:val="00317B7B"/>
    <w:rsid w:val="00317E5B"/>
    <w:rsid w:val="00320CFB"/>
    <w:rsid w:val="00320EFE"/>
    <w:rsid w:val="00321081"/>
    <w:rsid w:val="00321B1D"/>
    <w:rsid w:val="00322656"/>
    <w:rsid w:val="00322704"/>
    <w:rsid w:val="00324B14"/>
    <w:rsid w:val="00324ECB"/>
    <w:rsid w:val="00325100"/>
    <w:rsid w:val="0032616F"/>
    <w:rsid w:val="0032629E"/>
    <w:rsid w:val="00326C52"/>
    <w:rsid w:val="00326DEC"/>
    <w:rsid w:val="00327550"/>
    <w:rsid w:val="00327EA6"/>
    <w:rsid w:val="00330BAC"/>
    <w:rsid w:val="00330C19"/>
    <w:rsid w:val="003318F9"/>
    <w:rsid w:val="00331BA7"/>
    <w:rsid w:val="00331CCA"/>
    <w:rsid w:val="003322B1"/>
    <w:rsid w:val="003329A0"/>
    <w:rsid w:val="00332F52"/>
    <w:rsid w:val="0033313B"/>
    <w:rsid w:val="0033353F"/>
    <w:rsid w:val="00334308"/>
    <w:rsid w:val="0033431D"/>
    <w:rsid w:val="0033445D"/>
    <w:rsid w:val="00334578"/>
    <w:rsid w:val="00334F8A"/>
    <w:rsid w:val="0033594A"/>
    <w:rsid w:val="003360C3"/>
    <w:rsid w:val="00337044"/>
    <w:rsid w:val="00337316"/>
    <w:rsid w:val="003402BE"/>
    <w:rsid w:val="00340B44"/>
    <w:rsid w:val="00340E62"/>
    <w:rsid w:val="003413BD"/>
    <w:rsid w:val="0034147D"/>
    <w:rsid w:val="00341601"/>
    <w:rsid w:val="003418AD"/>
    <w:rsid w:val="003418F4"/>
    <w:rsid w:val="00341B20"/>
    <w:rsid w:val="00341B3B"/>
    <w:rsid w:val="00341B6A"/>
    <w:rsid w:val="00341DE9"/>
    <w:rsid w:val="00342370"/>
    <w:rsid w:val="00342AE5"/>
    <w:rsid w:val="003444E9"/>
    <w:rsid w:val="00345111"/>
    <w:rsid w:val="00345516"/>
    <w:rsid w:val="00345B96"/>
    <w:rsid w:val="00345D9E"/>
    <w:rsid w:val="00346653"/>
    <w:rsid w:val="00347A7F"/>
    <w:rsid w:val="00350645"/>
    <w:rsid w:val="00350A54"/>
    <w:rsid w:val="00350B49"/>
    <w:rsid w:val="00350C19"/>
    <w:rsid w:val="00351273"/>
    <w:rsid w:val="00351BBD"/>
    <w:rsid w:val="00351C5F"/>
    <w:rsid w:val="00351D47"/>
    <w:rsid w:val="00352032"/>
    <w:rsid w:val="00352356"/>
    <w:rsid w:val="0035261C"/>
    <w:rsid w:val="00352AFB"/>
    <w:rsid w:val="00352F9A"/>
    <w:rsid w:val="00352FBF"/>
    <w:rsid w:val="003531AD"/>
    <w:rsid w:val="00353339"/>
    <w:rsid w:val="00353D70"/>
    <w:rsid w:val="00353ECE"/>
    <w:rsid w:val="003548F7"/>
    <w:rsid w:val="00354E7E"/>
    <w:rsid w:val="00354EA2"/>
    <w:rsid w:val="00355D51"/>
    <w:rsid w:val="003568D2"/>
    <w:rsid w:val="003570A8"/>
    <w:rsid w:val="00357737"/>
    <w:rsid w:val="003578A6"/>
    <w:rsid w:val="00357DC2"/>
    <w:rsid w:val="003603B7"/>
    <w:rsid w:val="00361661"/>
    <w:rsid w:val="00361D2F"/>
    <w:rsid w:val="00362426"/>
    <w:rsid w:val="00362E00"/>
    <w:rsid w:val="00363B28"/>
    <w:rsid w:val="00363F44"/>
    <w:rsid w:val="003641D9"/>
    <w:rsid w:val="003648F6"/>
    <w:rsid w:val="00364BAD"/>
    <w:rsid w:val="00364BC4"/>
    <w:rsid w:val="00366936"/>
    <w:rsid w:val="00366A80"/>
    <w:rsid w:val="00366AC8"/>
    <w:rsid w:val="003670D1"/>
    <w:rsid w:val="00367EC0"/>
    <w:rsid w:val="00370313"/>
    <w:rsid w:val="003707C3"/>
    <w:rsid w:val="00370B5C"/>
    <w:rsid w:val="00370CD0"/>
    <w:rsid w:val="003712D9"/>
    <w:rsid w:val="00371402"/>
    <w:rsid w:val="003729B6"/>
    <w:rsid w:val="0037353E"/>
    <w:rsid w:val="00373C13"/>
    <w:rsid w:val="00374A1A"/>
    <w:rsid w:val="00375025"/>
    <w:rsid w:val="003750D2"/>
    <w:rsid w:val="003752B0"/>
    <w:rsid w:val="003753D3"/>
    <w:rsid w:val="00375E11"/>
    <w:rsid w:val="00376090"/>
    <w:rsid w:val="00376DC0"/>
    <w:rsid w:val="0037708E"/>
    <w:rsid w:val="00377706"/>
    <w:rsid w:val="00380299"/>
    <w:rsid w:val="003802F9"/>
    <w:rsid w:val="0038046F"/>
    <w:rsid w:val="0038068F"/>
    <w:rsid w:val="00381D26"/>
    <w:rsid w:val="00382235"/>
    <w:rsid w:val="00382BE7"/>
    <w:rsid w:val="0038357C"/>
    <w:rsid w:val="0038390C"/>
    <w:rsid w:val="00384746"/>
    <w:rsid w:val="003849C8"/>
    <w:rsid w:val="00385387"/>
    <w:rsid w:val="00385BB6"/>
    <w:rsid w:val="00387122"/>
    <w:rsid w:val="00387F73"/>
    <w:rsid w:val="00390530"/>
    <w:rsid w:val="00391539"/>
    <w:rsid w:val="003917C4"/>
    <w:rsid w:val="00391845"/>
    <w:rsid w:val="0039235F"/>
    <w:rsid w:val="00392727"/>
    <w:rsid w:val="0039310C"/>
    <w:rsid w:val="003938E9"/>
    <w:rsid w:val="00393B5F"/>
    <w:rsid w:val="003943DE"/>
    <w:rsid w:val="00394708"/>
    <w:rsid w:val="00395409"/>
    <w:rsid w:val="003959E4"/>
    <w:rsid w:val="003960C5"/>
    <w:rsid w:val="00396443"/>
    <w:rsid w:val="003967EE"/>
    <w:rsid w:val="00396945"/>
    <w:rsid w:val="00396AB1"/>
    <w:rsid w:val="00396B28"/>
    <w:rsid w:val="00396E87"/>
    <w:rsid w:val="003A02A9"/>
    <w:rsid w:val="003A07F4"/>
    <w:rsid w:val="003A0BCC"/>
    <w:rsid w:val="003A10CD"/>
    <w:rsid w:val="003A2230"/>
    <w:rsid w:val="003A253A"/>
    <w:rsid w:val="003A2D55"/>
    <w:rsid w:val="003A2E16"/>
    <w:rsid w:val="003A3129"/>
    <w:rsid w:val="003A31C7"/>
    <w:rsid w:val="003A333E"/>
    <w:rsid w:val="003A33D9"/>
    <w:rsid w:val="003A4D67"/>
    <w:rsid w:val="003A564E"/>
    <w:rsid w:val="003A5A88"/>
    <w:rsid w:val="003A5F54"/>
    <w:rsid w:val="003A6048"/>
    <w:rsid w:val="003A62E7"/>
    <w:rsid w:val="003A66E9"/>
    <w:rsid w:val="003A6DEC"/>
    <w:rsid w:val="003A6F4F"/>
    <w:rsid w:val="003B0702"/>
    <w:rsid w:val="003B074F"/>
    <w:rsid w:val="003B0858"/>
    <w:rsid w:val="003B0F23"/>
    <w:rsid w:val="003B0FED"/>
    <w:rsid w:val="003B12C7"/>
    <w:rsid w:val="003B12F3"/>
    <w:rsid w:val="003B141B"/>
    <w:rsid w:val="003B1CA2"/>
    <w:rsid w:val="003B23A2"/>
    <w:rsid w:val="003B338D"/>
    <w:rsid w:val="003B34D4"/>
    <w:rsid w:val="003B38C6"/>
    <w:rsid w:val="003B3B17"/>
    <w:rsid w:val="003B3B32"/>
    <w:rsid w:val="003B3E1E"/>
    <w:rsid w:val="003B4922"/>
    <w:rsid w:val="003B573B"/>
    <w:rsid w:val="003B581C"/>
    <w:rsid w:val="003B6119"/>
    <w:rsid w:val="003B6BFC"/>
    <w:rsid w:val="003B6C42"/>
    <w:rsid w:val="003B6F6C"/>
    <w:rsid w:val="003B704F"/>
    <w:rsid w:val="003B7106"/>
    <w:rsid w:val="003B7ABC"/>
    <w:rsid w:val="003B7CD6"/>
    <w:rsid w:val="003C0383"/>
    <w:rsid w:val="003C0693"/>
    <w:rsid w:val="003C0FAA"/>
    <w:rsid w:val="003C17E9"/>
    <w:rsid w:val="003C2BE7"/>
    <w:rsid w:val="003C2DC2"/>
    <w:rsid w:val="003C3145"/>
    <w:rsid w:val="003C3237"/>
    <w:rsid w:val="003C39F6"/>
    <w:rsid w:val="003C3B7D"/>
    <w:rsid w:val="003C5297"/>
    <w:rsid w:val="003C5353"/>
    <w:rsid w:val="003C551E"/>
    <w:rsid w:val="003C5819"/>
    <w:rsid w:val="003C587D"/>
    <w:rsid w:val="003C5C0E"/>
    <w:rsid w:val="003C5C37"/>
    <w:rsid w:val="003C62CE"/>
    <w:rsid w:val="003C63ED"/>
    <w:rsid w:val="003C6E79"/>
    <w:rsid w:val="003C7586"/>
    <w:rsid w:val="003D08C8"/>
    <w:rsid w:val="003D0E4F"/>
    <w:rsid w:val="003D1834"/>
    <w:rsid w:val="003D1CCE"/>
    <w:rsid w:val="003D1D99"/>
    <w:rsid w:val="003D1E08"/>
    <w:rsid w:val="003D30E8"/>
    <w:rsid w:val="003D3696"/>
    <w:rsid w:val="003D3941"/>
    <w:rsid w:val="003D4000"/>
    <w:rsid w:val="003D43CF"/>
    <w:rsid w:val="003D4464"/>
    <w:rsid w:val="003D448E"/>
    <w:rsid w:val="003D50A2"/>
    <w:rsid w:val="003D5BCD"/>
    <w:rsid w:val="003D63E3"/>
    <w:rsid w:val="003D7074"/>
    <w:rsid w:val="003D76A2"/>
    <w:rsid w:val="003D76DE"/>
    <w:rsid w:val="003D7948"/>
    <w:rsid w:val="003D7A41"/>
    <w:rsid w:val="003D7F41"/>
    <w:rsid w:val="003E0143"/>
    <w:rsid w:val="003E0225"/>
    <w:rsid w:val="003E0D31"/>
    <w:rsid w:val="003E1419"/>
    <w:rsid w:val="003E1BE2"/>
    <w:rsid w:val="003E20E2"/>
    <w:rsid w:val="003E246C"/>
    <w:rsid w:val="003E2D5B"/>
    <w:rsid w:val="003E2F17"/>
    <w:rsid w:val="003E30F0"/>
    <w:rsid w:val="003E32D9"/>
    <w:rsid w:val="003E36A2"/>
    <w:rsid w:val="003E3D96"/>
    <w:rsid w:val="003E53C1"/>
    <w:rsid w:val="003E5471"/>
    <w:rsid w:val="003E5828"/>
    <w:rsid w:val="003E5F3A"/>
    <w:rsid w:val="003F088A"/>
    <w:rsid w:val="003F150D"/>
    <w:rsid w:val="003F164D"/>
    <w:rsid w:val="003F1B65"/>
    <w:rsid w:val="003F1D7E"/>
    <w:rsid w:val="003F1E1A"/>
    <w:rsid w:val="003F258E"/>
    <w:rsid w:val="003F3AAC"/>
    <w:rsid w:val="003F3AB0"/>
    <w:rsid w:val="003F5E25"/>
    <w:rsid w:val="003F5EF2"/>
    <w:rsid w:val="003F7513"/>
    <w:rsid w:val="003F78AD"/>
    <w:rsid w:val="003F7E51"/>
    <w:rsid w:val="00400822"/>
    <w:rsid w:val="00400F37"/>
    <w:rsid w:val="004019F6"/>
    <w:rsid w:val="00401AAE"/>
    <w:rsid w:val="00402F87"/>
    <w:rsid w:val="004039A7"/>
    <w:rsid w:val="004041FC"/>
    <w:rsid w:val="0040442D"/>
    <w:rsid w:val="004065BA"/>
    <w:rsid w:val="004069E4"/>
    <w:rsid w:val="00407588"/>
    <w:rsid w:val="004075AF"/>
    <w:rsid w:val="004077C2"/>
    <w:rsid w:val="00407A0D"/>
    <w:rsid w:val="00407BFB"/>
    <w:rsid w:val="0041000F"/>
    <w:rsid w:val="00410031"/>
    <w:rsid w:val="00410192"/>
    <w:rsid w:val="00410327"/>
    <w:rsid w:val="00410573"/>
    <w:rsid w:val="00410B42"/>
    <w:rsid w:val="00411053"/>
    <w:rsid w:val="004117F2"/>
    <w:rsid w:val="0041193F"/>
    <w:rsid w:val="00411DD9"/>
    <w:rsid w:val="0041256E"/>
    <w:rsid w:val="00412746"/>
    <w:rsid w:val="00412891"/>
    <w:rsid w:val="004129B7"/>
    <w:rsid w:val="0041333D"/>
    <w:rsid w:val="0041382A"/>
    <w:rsid w:val="00413E79"/>
    <w:rsid w:val="0041465F"/>
    <w:rsid w:val="004146E1"/>
    <w:rsid w:val="00414706"/>
    <w:rsid w:val="004147F8"/>
    <w:rsid w:val="00414A62"/>
    <w:rsid w:val="00414C68"/>
    <w:rsid w:val="004150E2"/>
    <w:rsid w:val="00415648"/>
    <w:rsid w:val="00416075"/>
    <w:rsid w:val="004163C0"/>
    <w:rsid w:val="00416BB4"/>
    <w:rsid w:val="00417357"/>
    <w:rsid w:val="004227BB"/>
    <w:rsid w:val="004229E3"/>
    <w:rsid w:val="00424146"/>
    <w:rsid w:val="004242E1"/>
    <w:rsid w:val="004244D7"/>
    <w:rsid w:val="00424AF8"/>
    <w:rsid w:val="00424B96"/>
    <w:rsid w:val="004253A5"/>
    <w:rsid w:val="004259B1"/>
    <w:rsid w:val="00426392"/>
    <w:rsid w:val="00426883"/>
    <w:rsid w:val="00427B00"/>
    <w:rsid w:val="00427D59"/>
    <w:rsid w:val="0043000A"/>
    <w:rsid w:val="0043004F"/>
    <w:rsid w:val="0043009D"/>
    <w:rsid w:val="00430E39"/>
    <w:rsid w:val="004310C7"/>
    <w:rsid w:val="00431948"/>
    <w:rsid w:val="00431C6A"/>
    <w:rsid w:val="00432149"/>
    <w:rsid w:val="0043231B"/>
    <w:rsid w:val="004324F3"/>
    <w:rsid w:val="004325AB"/>
    <w:rsid w:val="0043284D"/>
    <w:rsid w:val="00432ABB"/>
    <w:rsid w:val="00433637"/>
    <w:rsid w:val="00433708"/>
    <w:rsid w:val="00433ED6"/>
    <w:rsid w:val="0043421D"/>
    <w:rsid w:val="00434BC7"/>
    <w:rsid w:val="00434C78"/>
    <w:rsid w:val="0043595A"/>
    <w:rsid w:val="00435FDB"/>
    <w:rsid w:val="00436869"/>
    <w:rsid w:val="0043693E"/>
    <w:rsid w:val="00436F3C"/>
    <w:rsid w:val="00437185"/>
    <w:rsid w:val="004371E6"/>
    <w:rsid w:val="00437EED"/>
    <w:rsid w:val="0044016F"/>
    <w:rsid w:val="00440A2F"/>
    <w:rsid w:val="00441A8E"/>
    <w:rsid w:val="00441BC3"/>
    <w:rsid w:val="00442044"/>
    <w:rsid w:val="0044286C"/>
    <w:rsid w:val="00443176"/>
    <w:rsid w:val="0044319B"/>
    <w:rsid w:val="0044360D"/>
    <w:rsid w:val="0044375F"/>
    <w:rsid w:val="00444443"/>
    <w:rsid w:val="00444756"/>
    <w:rsid w:val="00444A68"/>
    <w:rsid w:val="00445569"/>
    <w:rsid w:val="00445643"/>
    <w:rsid w:val="00445D11"/>
    <w:rsid w:val="00445DE2"/>
    <w:rsid w:val="0044606C"/>
    <w:rsid w:val="004461D6"/>
    <w:rsid w:val="0044634F"/>
    <w:rsid w:val="004467F1"/>
    <w:rsid w:val="004469B1"/>
    <w:rsid w:val="00446C1F"/>
    <w:rsid w:val="00447193"/>
    <w:rsid w:val="004473A4"/>
    <w:rsid w:val="00447B15"/>
    <w:rsid w:val="00450026"/>
    <w:rsid w:val="0045006E"/>
    <w:rsid w:val="0045073A"/>
    <w:rsid w:val="00450CB2"/>
    <w:rsid w:val="00451E38"/>
    <w:rsid w:val="0045227A"/>
    <w:rsid w:val="0045274A"/>
    <w:rsid w:val="004527DB"/>
    <w:rsid w:val="00452A49"/>
    <w:rsid w:val="00452C5D"/>
    <w:rsid w:val="00452FBA"/>
    <w:rsid w:val="00453876"/>
    <w:rsid w:val="0045398E"/>
    <w:rsid w:val="00453AF3"/>
    <w:rsid w:val="00453DB8"/>
    <w:rsid w:val="004542A4"/>
    <w:rsid w:val="004550B4"/>
    <w:rsid w:val="00455EC4"/>
    <w:rsid w:val="004561DA"/>
    <w:rsid w:val="0045635D"/>
    <w:rsid w:val="00456A6E"/>
    <w:rsid w:val="004571DE"/>
    <w:rsid w:val="00457D05"/>
    <w:rsid w:val="00461206"/>
    <w:rsid w:val="004615F8"/>
    <w:rsid w:val="00461C60"/>
    <w:rsid w:val="0046237D"/>
    <w:rsid w:val="00462AF3"/>
    <w:rsid w:val="00462E2C"/>
    <w:rsid w:val="00463053"/>
    <w:rsid w:val="0046406C"/>
    <w:rsid w:val="00464C2D"/>
    <w:rsid w:val="00464C73"/>
    <w:rsid w:val="00464C8C"/>
    <w:rsid w:val="00464DFA"/>
    <w:rsid w:val="00464F71"/>
    <w:rsid w:val="004650F8"/>
    <w:rsid w:val="0046528C"/>
    <w:rsid w:val="004658F4"/>
    <w:rsid w:val="00465FE5"/>
    <w:rsid w:val="00466449"/>
    <w:rsid w:val="0046652C"/>
    <w:rsid w:val="00466660"/>
    <w:rsid w:val="004667E8"/>
    <w:rsid w:val="00466CBA"/>
    <w:rsid w:val="00466E31"/>
    <w:rsid w:val="00467167"/>
    <w:rsid w:val="00467A87"/>
    <w:rsid w:val="00470282"/>
    <w:rsid w:val="00470631"/>
    <w:rsid w:val="00471010"/>
    <w:rsid w:val="0047180F"/>
    <w:rsid w:val="004729EE"/>
    <w:rsid w:val="00473AC5"/>
    <w:rsid w:val="00473DB2"/>
    <w:rsid w:val="00473E09"/>
    <w:rsid w:val="00474A06"/>
    <w:rsid w:val="0047563C"/>
    <w:rsid w:val="004768A3"/>
    <w:rsid w:val="004768D2"/>
    <w:rsid w:val="004770B5"/>
    <w:rsid w:val="0047747F"/>
    <w:rsid w:val="00477C01"/>
    <w:rsid w:val="00477CC4"/>
    <w:rsid w:val="0048023B"/>
    <w:rsid w:val="00480B3C"/>
    <w:rsid w:val="00480CAF"/>
    <w:rsid w:val="00480D6E"/>
    <w:rsid w:val="004812C0"/>
    <w:rsid w:val="00481A73"/>
    <w:rsid w:val="00481BD6"/>
    <w:rsid w:val="00481C6D"/>
    <w:rsid w:val="00481E16"/>
    <w:rsid w:val="0048253B"/>
    <w:rsid w:val="00482D75"/>
    <w:rsid w:val="00483169"/>
    <w:rsid w:val="00483F96"/>
    <w:rsid w:val="00484238"/>
    <w:rsid w:val="0048497F"/>
    <w:rsid w:val="004853C6"/>
    <w:rsid w:val="004858F8"/>
    <w:rsid w:val="0048603E"/>
    <w:rsid w:val="004866CB"/>
    <w:rsid w:val="004866EE"/>
    <w:rsid w:val="00486AAE"/>
    <w:rsid w:val="00486FA5"/>
    <w:rsid w:val="0048712B"/>
    <w:rsid w:val="004874F9"/>
    <w:rsid w:val="00487AE8"/>
    <w:rsid w:val="00487D3C"/>
    <w:rsid w:val="00487DBB"/>
    <w:rsid w:val="00490196"/>
    <w:rsid w:val="0049049A"/>
    <w:rsid w:val="004908B3"/>
    <w:rsid w:val="0049128F"/>
    <w:rsid w:val="00491917"/>
    <w:rsid w:val="00491E7D"/>
    <w:rsid w:val="00491F51"/>
    <w:rsid w:val="00492285"/>
    <w:rsid w:val="004923EE"/>
    <w:rsid w:val="00493446"/>
    <w:rsid w:val="004939EA"/>
    <w:rsid w:val="004942C4"/>
    <w:rsid w:val="00494329"/>
    <w:rsid w:val="004945DE"/>
    <w:rsid w:val="004952AE"/>
    <w:rsid w:val="0049586B"/>
    <w:rsid w:val="00495C60"/>
    <w:rsid w:val="00495EC3"/>
    <w:rsid w:val="004961BD"/>
    <w:rsid w:val="00496236"/>
    <w:rsid w:val="004964D0"/>
    <w:rsid w:val="00496764"/>
    <w:rsid w:val="00496CEA"/>
    <w:rsid w:val="00496DA4"/>
    <w:rsid w:val="00496E58"/>
    <w:rsid w:val="00497A87"/>
    <w:rsid w:val="00497CCE"/>
    <w:rsid w:val="004A05A5"/>
    <w:rsid w:val="004A0B47"/>
    <w:rsid w:val="004A0EC2"/>
    <w:rsid w:val="004A2800"/>
    <w:rsid w:val="004A294E"/>
    <w:rsid w:val="004A2CA3"/>
    <w:rsid w:val="004A3B1F"/>
    <w:rsid w:val="004A3EE4"/>
    <w:rsid w:val="004A3F5A"/>
    <w:rsid w:val="004A46E3"/>
    <w:rsid w:val="004A525D"/>
    <w:rsid w:val="004A5598"/>
    <w:rsid w:val="004A5788"/>
    <w:rsid w:val="004A6042"/>
    <w:rsid w:val="004A6780"/>
    <w:rsid w:val="004A679B"/>
    <w:rsid w:val="004A7009"/>
    <w:rsid w:val="004A70E8"/>
    <w:rsid w:val="004A752B"/>
    <w:rsid w:val="004A756B"/>
    <w:rsid w:val="004B1061"/>
    <w:rsid w:val="004B12AF"/>
    <w:rsid w:val="004B2414"/>
    <w:rsid w:val="004B262B"/>
    <w:rsid w:val="004B2855"/>
    <w:rsid w:val="004B2C82"/>
    <w:rsid w:val="004B2C98"/>
    <w:rsid w:val="004B2EBE"/>
    <w:rsid w:val="004B2FEA"/>
    <w:rsid w:val="004B302B"/>
    <w:rsid w:val="004B3A4A"/>
    <w:rsid w:val="004B3CA3"/>
    <w:rsid w:val="004B467D"/>
    <w:rsid w:val="004B4D6A"/>
    <w:rsid w:val="004B4E62"/>
    <w:rsid w:val="004B5064"/>
    <w:rsid w:val="004B53E7"/>
    <w:rsid w:val="004B595D"/>
    <w:rsid w:val="004B5E34"/>
    <w:rsid w:val="004B6084"/>
    <w:rsid w:val="004B6774"/>
    <w:rsid w:val="004B67E7"/>
    <w:rsid w:val="004B6F5A"/>
    <w:rsid w:val="004B70E3"/>
    <w:rsid w:val="004B71F0"/>
    <w:rsid w:val="004B74D8"/>
    <w:rsid w:val="004B7AEA"/>
    <w:rsid w:val="004B7E64"/>
    <w:rsid w:val="004C0712"/>
    <w:rsid w:val="004C1099"/>
    <w:rsid w:val="004C117A"/>
    <w:rsid w:val="004C14B8"/>
    <w:rsid w:val="004C1602"/>
    <w:rsid w:val="004C1FCB"/>
    <w:rsid w:val="004C2300"/>
    <w:rsid w:val="004C2892"/>
    <w:rsid w:val="004C31EF"/>
    <w:rsid w:val="004C4107"/>
    <w:rsid w:val="004C4397"/>
    <w:rsid w:val="004C502F"/>
    <w:rsid w:val="004C5FD6"/>
    <w:rsid w:val="004C67D5"/>
    <w:rsid w:val="004C7019"/>
    <w:rsid w:val="004C7203"/>
    <w:rsid w:val="004C7466"/>
    <w:rsid w:val="004D0861"/>
    <w:rsid w:val="004D089F"/>
    <w:rsid w:val="004D0D36"/>
    <w:rsid w:val="004D16E6"/>
    <w:rsid w:val="004D1C8B"/>
    <w:rsid w:val="004D2381"/>
    <w:rsid w:val="004D282F"/>
    <w:rsid w:val="004D3615"/>
    <w:rsid w:val="004D3CAB"/>
    <w:rsid w:val="004D53F6"/>
    <w:rsid w:val="004D5641"/>
    <w:rsid w:val="004D5AAF"/>
    <w:rsid w:val="004D5CA0"/>
    <w:rsid w:val="004D755B"/>
    <w:rsid w:val="004D77B6"/>
    <w:rsid w:val="004E02BB"/>
    <w:rsid w:val="004E030E"/>
    <w:rsid w:val="004E039B"/>
    <w:rsid w:val="004E03D6"/>
    <w:rsid w:val="004E086E"/>
    <w:rsid w:val="004E0B4D"/>
    <w:rsid w:val="004E0FFC"/>
    <w:rsid w:val="004E159D"/>
    <w:rsid w:val="004E1B57"/>
    <w:rsid w:val="004E1CA5"/>
    <w:rsid w:val="004E252A"/>
    <w:rsid w:val="004E2692"/>
    <w:rsid w:val="004E2964"/>
    <w:rsid w:val="004E2E6A"/>
    <w:rsid w:val="004E3032"/>
    <w:rsid w:val="004E323D"/>
    <w:rsid w:val="004E33DE"/>
    <w:rsid w:val="004E3472"/>
    <w:rsid w:val="004E3D67"/>
    <w:rsid w:val="004E48B2"/>
    <w:rsid w:val="004E4BBD"/>
    <w:rsid w:val="004E5872"/>
    <w:rsid w:val="004E58D8"/>
    <w:rsid w:val="004E602A"/>
    <w:rsid w:val="004E6C92"/>
    <w:rsid w:val="004E6FAE"/>
    <w:rsid w:val="004E744E"/>
    <w:rsid w:val="004E7691"/>
    <w:rsid w:val="004E787A"/>
    <w:rsid w:val="004E7BC4"/>
    <w:rsid w:val="004F013B"/>
    <w:rsid w:val="004F0160"/>
    <w:rsid w:val="004F0180"/>
    <w:rsid w:val="004F018F"/>
    <w:rsid w:val="004F2029"/>
    <w:rsid w:val="004F2192"/>
    <w:rsid w:val="004F278D"/>
    <w:rsid w:val="004F2938"/>
    <w:rsid w:val="004F3503"/>
    <w:rsid w:val="004F3A71"/>
    <w:rsid w:val="004F3AB0"/>
    <w:rsid w:val="004F3CB8"/>
    <w:rsid w:val="004F446A"/>
    <w:rsid w:val="004F4A12"/>
    <w:rsid w:val="004F4DAB"/>
    <w:rsid w:val="004F4EF3"/>
    <w:rsid w:val="004F5317"/>
    <w:rsid w:val="004F5849"/>
    <w:rsid w:val="004F5D65"/>
    <w:rsid w:val="004F613F"/>
    <w:rsid w:val="004F6A4A"/>
    <w:rsid w:val="004F742C"/>
    <w:rsid w:val="004F75AB"/>
    <w:rsid w:val="004F79EB"/>
    <w:rsid w:val="004F7B46"/>
    <w:rsid w:val="004F7C87"/>
    <w:rsid w:val="004F7D5E"/>
    <w:rsid w:val="00500768"/>
    <w:rsid w:val="00500A1F"/>
    <w:rsid w:val="00501797"/>
    <w:rsid w:val="00501D88"/>
    <w:rsid w:val="00502165"/>
    <w:rsid w:val="0050225F"/>
    <w:rsid w:val="00502AE7"/>
    <w:rsid w:val="0050313C"/>
    <w:rsid w:val="00503455"/>
    <w:rsid w:val="005035A9"/>
    <w:rsid w:val="00503727"/>
    <w:rsid w:val="00503C02"/>
    <w:rsid w:val="00503F0C"/>
    <w:rsid w:val="0050400B"/>
    <w:rsid w:val="0050475F"/>
    <w:rsid w:val="00505080"/>
    <w:rsid w:val="005053B6"/>
    <w:rsid w:val="00505701"/>
    <w:rsid w:val="00506105"/>
    <w:rsid w:val="00506119"/>
    <w:rsid w:val="005069CC"/>
    <w:rsid w:val="00506BB2"/>
    <w:rsid w:val="005073B7"/>
    <w:rsid w:val="00507FB0"/>
    <w:rsid w:val="0051017B"/>
    <w:rsid w:val="0051029B"/>
    <w:rsid w:val="005104E1"/>
    <w:rsid w:val="005104E7"/>
    <w:rsid w:val="0051079B"/>
    <w:rsid w:val="00510BBD"/>
    <w:rsid w:val="00511756"/>
    <w:rsid w:val="00511B11"/>
    <w:rsid w:val="005126DB"/>
    <w:rsid w:val="00512F48"/>
    <w:rsid w:val="00512F7C"/>
    <w:rsid w:val="00513818"/>
    <w:rsid w:val="00513EFA"/>
    <w:rsid w:val="00513F90"/>
    <w:rsid w:val="005141A1"/>
    <w:rsid w:val="00514B95"/>
    <w:rsid w:val="00514CF1"/>
    <w:rsid w:val="00514E5C"/>
    <w:rsid w:val="00514E83"/>
    <w:rsid w:val="00515B82"/>
    <w:rsid w:val="00515CBE"/>
    <w:rsid w:val="00515FBD"/>
    <w:rsid w:val="005161CE"/>
    <w:rsid w:val="005165D9"/>
    <w:rsid w:val="00516A09"/>
    <w:rsid w:val="00516AB0"/>
    <w:rsid w:val="00516D57"/>
    <w:rsid w:val="00521151"/>
    <w:rsid w:val="00521FD5"/>
    <w:rsid w:val="0052215B"/>
    <w:rsid w:val="00522523"/>
    <w:rsid w:val="00522EBD"/>
    <w:rsid w:val="00523066"/>
    <w:rsid w:val="00523A71"/>
    <w:rsid w:val="00523B54"/>
    <w:rsid w:val="00523EF4"/>
    <w:rsid w:val="00524187"/>
    <w:rsid w:val="0052459B"/>
    <w:rsid w:val="00524897"/>
    <w:rsid w:val="00524D1F"/>
    <w:rsid w:val="005253BA"/>
    <w:rsid w:val="00525797"/>
    <w:rsid w:val="00525BCC"/>
    <w:rsid w:val="00525CAD"/>
    <w:rsid w:val="00526041"/>
    <w:rsid w:val="0052610C"/>
    <w:rsid w:val="00526CDE"/>
    <w:rsid w:val="00527285"/>
    <w:rsid w:val="00527AB8"/>
    <w:rsid w:val="00527CD7"/>
    <w:rsid w:val="00527DAD"/>
    <w:rsid w:val="005300FD"/>
    <w:rsid w:val="00530325"/>
    <w:rsid w:val="00530364"/>
    <w:rsid w:val="00530AF2"/>
    <w:rsid w:val="00530DA0"/>
    <w:rsid w:val="005310D6"/>
    <w:rsid w:val="00531786"/>
    <w:rsid w:val="00532293"/>
    <w:rsid w:val="00532498"/>
    <w:rsid w:val="0053313E"/>
    <w:rsid w:val="0053325A"/>
    <w:rsid w:val="005334A8"/>
    <w:rsid w:val="0053362F"/>
    <w:rsid w:val="00533B27"/>
    <w:rsid w:val="00534B26"/>
    <w:rsid w:val="00534C12"/>
    <w:rsid w:val="00535311"/>
    <w:rsid w:val="0053597B"/>
    <w:rsid w:val="00535E7C"/>
    <w:rsid w:val="0053600E"/>
    <w:rsid w:val="00536246"/>
    <w:rsid w:val="00536289"/>
    <w:rsid w:val="00537122"/>
    <w:rsid w:val="00537574"/>
    <w:rsid w:val="00540617"/>
    <w:rsid w:val="00540A80"/>
    <w:rsid w:val="00540B14"/>
    <w:rsid w:val="00540EAD"/>
    <w:rsid w:val="00541595"/>
    <w:rsid w:val="005427A7"/>
    <w:rsid w:val="00542D90"/>
    <w:rsid w:val="00543194"/>
    <w:rsid w:val="00543855"/>
    <w:rsid w:val="00544682"/>
    <w:rsid w:val="0054498E"/>
    <w:rsid w:val="00544BA5"/>
    <w:rsid w:val="00544DB3"/>
    <w:rsid w:val="005453E2"/>
    <w:rsid w:val="005460D7"/>
    <w:rsid w:val="0054620A"/>
    <w:rsid w:val="00546449"/>
    <w:rsid w:val="005466C9"/>
    <w:rsid w:val="00546AD5"/>
    <w:rsid w:val="0054708E"/>
    <w:rsid w:val="0054779C"/>
    <w:rsid w:val="005478C5"/>
    <w:rsid w:val="00547BE8"/>
    <w:rsid w:val="005500F0"/>
    <w:rsid w:val="00550534"/>
    <w:rsid w:val="00551032"/>
    <w:rsid w:val="00552E47"/>
    <w:rsid w:val="00552EA4"/>
    <w:rsid w:val="00552F48"/>
    <w:rsid w:val="00554A03"/>
    <w:rsid w:val="00554C0F"/>
    <w:rsid w:val="00555175"/>
    <w:rsid w:val="00556CF7"/>
    <w:rsid w:val="00556EDD"/>
    <w:rsid w:val="005577F2"/>
    <w:rsid w:val="005578D2"/>
    <w:rsid w:val="0056043B"/>
    <w:rsid w:val="00560D98"/>
    <w:rsid w:val="00561D5C"/>
    <w:rsid w:val="00562489"/>
    <w:rsid w:val="0056333D"/>
    <w:rsid w:val="00564810"/>
    <w:rsid w:val="00564CE7"/>
    <w:rsid w:val="0056515C"/>
    <w:rsid w:val="00565906"/>
    <w:rsid w:val="00565D07"/>
    <w:rsid w:val="005661DE"/>
    <w:rsid w:val="00566B47"/>
    <w:rsid w:val="00566C00"/>
    <w:rsid w:val="00567BC5"/>
    <w:rsid w:val="00567EE5"/>
    <w:rsid w:val="00567FCF"/>
    <w:rsid w:val="005703E7"/>
    <w:rsid w:val="00570538"/>
    <w:rsid w:val="00570C8E"/>
    <w:rsid w:val="0057216D"/>
    <w:rsid w:val="00572395"/>
    <w:rsid w:val="0057269C"/>
    <w:rsid w:val="00573A54"/>
    <w:rsid w:val="00573CAE"/>
    <w:rsid w:val="00573F05"/>
    <w:rsid w:val="00574010"/>
    <w:rsid w:val="00574CBB"/>
    <w:rsid w:val="005755A6"/>
    <w:rsid w:val="00575A6D"/>
    <w:rsid w:val="00576504"/>
    <w:rsid w:val="00576B53"/>
    <w:rsid w:val="0057771C"/>
    <w:rsid w:val="005804E3"/>
    <w:rsid w:val="005808B7"/>
    <w:rsid w:val="00580996"/>
    <w:rsid w:val="00581B47"/>
    <w:rsid w:val="00581C1F"/>
    <w:rsid w:val="00581C3E"/>
    <w:rsid w:val="00581E5F"/>
    <w:rsid w:val="00582188"/>
    <w:rsid w:val="0058379A"/>
    <w:rsid w:val="005837E9"/>
    <w:rsid w:val="00583EC5"/>
    <w:rsid w:val="005849C0"/>
    <w:rsid w:val="00585786"/>
    <w:rsid w:val="00585B79"/>
    <w:rsid w:val="00585BB3"/>
    <w:rsid w:val="00585E08"/>
    <w:rsid w:val="005862E9"/>
    <w:rsid w:val="0058673D"/>
    <w:rsid w:val="00586F06"/>
    <w:rsid w:val="00586FD0"/>
    <w:rsid w:val="00587305"/>
    <w:rsid w:val="0058741B"/>
    <w:rsid w:val="00587701"/>
    <w:rsid w:val="005900EB"/>
    <w:rsid w:val="00590517"/>
    <w:rsid w:val="00590979"/>
    <w:rsid w:val="005912FB"/>
    <w:rsid w:val="00591471"/>
    <w:rsid w:val="005921AF"/>
    <w:rsid w:val="00592591"/>
    <w:rsid w:val="00592DB3"/>
    <w:rsid w:val="00592E76"/>
    <w:rsid w:val="0059331F"/>
    <w:rsid w:val="0059377E"/>
    <w:rsid w:val="00593B26"/>
    <w:rsid w:val="00593BA1"/>
    <w:rsid w:val="00594111"/>
    <w:rsid w:val="0059429B"/>
    <w:rsid w:val="00594372"/>
    <w:rsid w:val="0059442B"/>
    <w:rsid w:val="005945A7"/>
    <w:rsid w:val="00595199"/>
    <w:rsid w:val="00595913"/>
    <w:rsid w:val="0059607E"/>
    <w:rsid w:val="005969B0"/>
    <w:rsid w:val="00596D24"/>
    <w:rsid w:val="005971FA"/>
    <w:rsid w:val="0059731A"/>
    <w:rsid w:val="005974BD"/>
    <w:rsid w:val="00597699"/>
    <w:rsid w:val="00597E0E"/>
    <w:rsid w:val="005A0742"/>
    <w:rsid w:val="005A09DF"/>
    <w:rsid w:val="005A0B8A"/>
    <w:rsid w:val="005A1974"/>
    <w:rsid w:val="005A29D0"/>
    <w:rsid w:val="005A3259"/>
    <w:rsid w:val="005A342F"/>
    <w:rsid w:val="005A398F"/>
    <w:rsid w:val="005A39A1"/>
    <w:rsid w:val="005A4865"/>
    <w:rsid w:val="005A4DAD"/>
    <w:rsid w:val="005A4F9B"/>
    <w:rsid w:val="005A52E9"/>
    <w:rsid w:val="005A52F9"/>
    <w:rsid w:val="005A60AE"/>
    <w:rsid w:val="005A6ACB"/>
    <w:rsid w:val="005A6FF5"/>
    <w:rsid w:val="005A710B"/>
    <w:rsid w:val="005A75DE"/>
    <w:rsid w:val="005A7881"/>
    <w:rsid w:val="005B0536"/>
    <w:rsid w:val="005B0A44"/>
    <w:rsid w:val="005B2E21"/>
    <w:rsid w:val="005B2FDC"/>
    <w:rsid w:val="005B3062"/>
    <w:rsid w:val="005B3321"/>
    <w:rsid w:val="005B334C"/>
    <w:rsid w:val="005B4547"/>
    <w:rsid w:val="005B4BB8"/>
    <w:rsid w:val="005B525D"/>
    <w:rsid w:val="005B5836"/>
    <w:rsid w:val="005B5AEC"/>
    <w:rsid w:val="005B70CB"/>
    <w:rsid w:val="005B74BB"/>
    <w:rsid w:val="005B76C9"/>
    <w:rsid w:val="005C026D"/>
    <w:rsid w:val="005C05FC"/>
    <w:rsid w:val="005C0A89"/>
    <w:rsid w:val="005C0E11"/>
    <w:rsid w:val="005C0E93"/>
    <w:rsid w:val="005C196B"/>
    <w:rsid w:val="005C1A8D"/>
    <w:rsid w:val="005C256A"/>
    <w:rsid w:val="005C2B2F"/>
    <w:rsid w:val="005C30F2"/>
    <w:rsid w:val="005C35F5"/>
    <w:rsid w:val="005C376C"/>
    <w:rsid w:val="005C3FC8"/>
    <w:rsid w:val="005C4185"/>
    <w:rsid w:val="005C4328"/>
    <w:rsid w:val="005C4AE3"/>
    <w:rsid w:val="005C5515"/>
    <w:rsid w:val="005C5D37"/>
    <w:rsid w:val="005C6423"/>
    <w:rsid w:val="005C6448"/>
    <w:rsid w:val="005C67EE"/>
    <w:rsid w:val="005C6B5C"/>
    <w:rsid w:val="005C6C3F"/>
    <w:rsid w:val="005C6FB9"/>
    <w:rsid w:val="005C7369"/>
    <w:rsid w:val="005C75EA"/>
    <w:rsid w:val="005C7CB0"/>
    <w:rsid w:val="005D06D5"/>
    <w:rsid w:val="005D06E8"/>
    <w:rsid w:val="005D0859"/>
    <w:rsid w:val="005D0BB0"/>
    <w:rsid w:val="005D0DE5"/>
    <w:rsid w:val="005D187E"/>
    <w:rsid w:val="005D1979"/>
    <w:rsid w:val="005D1D58"/>
    <w:rsid w:val="005D2369"/>
    <w:rsid w:val="005D2451"/>
    <w:rsid w:val="005D2B42"/>
    <w:rsid w:val="005D31C9"/>
    <w:rsid w:val="005D3452"/>
    <w:rsid w:val="005D3502"/>
    <w:rsid w:val="005D367B"/>
    <w:rsid w:val="005D36D3"/>
    <w:rsid w:val="005D3B8D"/>
    <w:rsid w:val="005D3B95"/>
    <w:rsid w:val="005D439B"/>
    <w:rsid w:val="005D4492"/>
    <w:rsid w:val="005D4A23"/>
    <w:rsid w:val="005D4E87"/>
    <w:rsid w:val="005D56C5"/>
    <w:rsid w:val="005D5D3E"/>
    <w:rsid w:val="005D5FDD"/>
    <w:rsid w:val="005D6215"/>
    <w:rsid w:val="005D6897"/>
    <w:rsid w:val="005E0BE9"/>
    <w:rsid w:val="005E0E63"/>
    <w:rsid w:val="005E121F"/>
    <w:rsid w:val="005E14F8"/>
    <w:rsid w:val="005E1814"/>
    <w:rsid w:val="005E3CE1"/>
    <w:rsid w:val="005E3EC3"/>
    <w:rsid w:val="005E3EC5"/>
    <w:rsid w:val="005E401A"/>
    <w:rsid w:val="005E4357"/>
    <w:rsid w:val="005E4C41"/>
    <w:rsid w:val="005E4CD2"/>
    <w:rsid w:val="005E52AC"/>
    <w:rsid w:val="005E5AE3"/>
    <w:rsid w:val="005E5C64"/>
    <w:rsid w:val="005E613F"/>
    <w:rsid w:val="005E68FB"/>
    <w:rsid w:val="005E6AC0"/>
    <w:rsid w:val="005E76CF"/>
    <w:rsid w:val="005E7981"/>
    <w:rsid w:val="005E7E62"/>
    <w:rsid w:val="005E7F4B"/>
    <w:rsid w:val="005F083E"/>
    <w:rsid w:val="005F0A2A"/>
    <w:rsid w:val="005F0F77"/>
    <w:rsid w:val="005F2519"/>
    <w:rsid w:val="005F25A1"/>
    <w:rsid w:val="005F311B"/>
    <w:rsid w:val="005F31C9"/>
    <w:rsid w:val="005F34FE"/>
    <w:rsid w:val="005F3E68"/>
    <w:rsid w:val="005F4627"/>
    <w:rsid w:val="005F4EC5"/>
    <w:rsid w:val="005F5226"/>
    <w:rsid w:val="005F53F3"/>
    <w:rsid w:val="005F542E"/>
    <w:rsid w:val="005F57C1"/>
    <w:rsid w:val="005F5B53"/>
    <w:rsid w:val="005F5DB1"/>
    <w:rsid w:val="005F6029"/>
    <w:rsid w:val="005F6B52"/>
    <w:rsid w:val="005F6CAF"/>
    <w:rsid w:val="005F74B5"/>
    <w:rsid w:val="00600371"/>
    <w:rsid w:val="00600379"/>
    <w:rsid w:val="00600BD3"/>
    <w:rsid w:val="00600C11"/>
    <w:rsid w:val="00601873"/>
    <w:rsid w:val="006019EE"/>
    <w:rsid w:val="00601B68"/>
    <w:rsid w:val="00601C5C"/>
    <w:rsid w:val="00601F3A"/>
    <w:rsid w:val="00602228"/>
    <w:rsid w:val="00602A79"/>
    <w:rsid w:val="00602BBA"/>
    <w:rsid w:val="00602D34"/>
    <w:rsid w:val="0060325A"/>
    <w:rsid w:val="00603744"/>
    <w:rsid w:val="00603F30"/>
    <w:rsid w:val="00604241"/>
    <w:rsid w:val="006043C0"/>
    <w:rsid w:val="00604761"/>
    <w:rsid w:val="00604918"/>
    <w:rsid w:val="00604DEB"/>
    <w:rsid w:val="00605184"/>
    <w:rsid w:val="006051E2"/>
    <w:rsid w:val="00605603"/>
    <w:rsid w:val="0060565F"/>
    <w:rsid w:val="00605BC7"/>
    <w:rsid w:val="00606021"/>
    <w:rsid w:val="006067E3"/>
    <w:rsid w:val="006067E9"/>
    <w:rsid w:val="00607557"/>
    <w:rsid w:val="00607A20"/>
    <w:rsid w:val="00610C9F"/>
    <w:rsid w:val="00610F9E"/>
    <w:rsid w:val="00611312"/>
    <w:rsid w:val="0061140B"/>
    <w:rsid w:val="006127E7"/>
    <w:rsid w:val="006128D9"/>
    <w:rsid w:val="00612DA4"/>
    <w:rsid w:val="0061346D"/>
    <w:rsid w:val="00613FD4"/>
    <w:rsid w:val="00614C33"/>
    <w:rsid w:val="00615037"/>
    <w:rsid w:val="00615095"/>
    <w:rsid w:val="006151EE"/>
    <w:rsid w:val="00615933"/>
    <w:rsid w:val="00615AA5"/>
    <w:rsid w:val="00615D1E"/>
    <w:rsid w:val="00615E04"/>
    <w:rsid w:val="0061653F"/>
    <w:rsid w:val="006169F9"/>
    <w:rsid w:val="00616A03"/>
    <w:rsid w:val="00616C9E"/>
    <w:rsid w:val="0061727B"/>
    <w:rsid w:val="00617D03"/>
    <w:rsid w:val="00620790"/>
    <w:rsid w:val="00620912"/>
    <w:rsid w:val="00620945"/>
    <w:rsid w:val="00620F33"/>
    <w:rsid w:val="00621EAC"/>
    <w:rsid w:val="0062218E"/>
    <w:rsid w:val="00622218"/>
    <w:rsid w:val="00622224"/>
    <w:rsid w:val="00624FA5"/>
    <w:rsid w:val="00625094"/>
    <w:rsid w:val="00625203"/>
    <w:rsid w:val="006254C3"/>
    <w:rsid w:val="00625510"/>
    <w:rsid w:val="006257A7"/>
    <w:rsid w:val="0062674F"/>
    <w:rsid w:val="00627C34"/>
    <w:rsid w:val="00627EBC"/>
    <w:rsid w:val="006301EA"/>
    <w:rsid w:val="006304E6"/>
    <w:rsid w:val="00630CA4"/>
    <w:rsid w:val="006317D9"/>
    <w:rsid w:val="00631A3E"/>
    <w:rsid w:val="00631A7F"/>
    <w:rsid w:val="00631E3D"/>
    <w:rsid w:val="006321E5"/>
    <w:rsid w:val="006322A9"/>
    <w:rsid w:val="0063248C"/>
    <w:rsid w:val="0063268A"/>
    <w:rsid w:val="00632983"/>
    <w:rsid w:val="00632C94"/>
    <w:rsid w:val="00632F60"/>
    <w:rsid w:val="006330E8"/>
    <w:rsid w:val="00633462"/>
    <w:rsid w:val="006346A5"/>
    <w:rsid w:val="00634920"/>
    <w:rsid w:val="00634952"/>
    <w:rsid w:val="00634A4D"/>
    <w:rsid w:val="00635C47"/>
    <w:rsid w:val="00636054"/>
    <w:rsid w:val="00636698"/>
    <w:rsid w:val="006367BF"/>
    <w:rsid w:val="00636FAB"/>
    <w:rsid w:val="00637010"/>
    <w:rsid w:val="006370E6"/>
    <w:rsid w:val="00637646"/>
    <w:rsid w:val="00637E00"/>
    <w:rsid w:val="006407B0"/>
    <w:rsid w:val="00640B00"/>
    <w:rsid w:val="00640F36"/>
    <w:rsid w:val="00641342"/>
    <w:rsid w:val="00641485"/>
    <w:rsid w:val="00641BA3"/>
    <w:rsid w:val="00641BBD"/>
    <w:rsid w:val="0064283E"/>
    <w:rsid w:val="0064313D"/>
    <w:rsid w:val="00643943"/>
    <w:rsid w:val="00643C41"/>
    <w:rsid w:val="00644159"/>
    <w:rsid w:val="006444B0"/>
    <w:rsid w:val="006446EF"/>
    <w:rsid w:val="006448D5"/>
    <w:rsid w:val="006449DF"/>
    <w:rsid w:val="00645D6E"/>
    <w:rsid w:val="00646834"/>
    <w:rsid w:val="00646DAC"/>
    <w:rsid w:val="006473AE"/>
    <w:rsid w:val="006478CE"/>
    <w:rsid w:val="00647FF8"/>
    <w:rsid w:val="006503E8"/>
    <w:rsid w:val="00650439"/>
    <w:rsid w:val="0065093E"/>
    <w:rsid w:val="00650A10"/>
    <w:rsid w:val="00650F39"/>
    <w:rsid w:val="00650F91"/>
    <w:rsid w:val="00651B83"/>
    <w:rsid w:val="00651ED4"/>
    <w:rsid w:val="0065213F"/>
    <w:rsid w:val="00652422"/>
    <w:rsid w:val="00652636"/>
    <w:rsid w:val="00652811"/>
    <w:rsid w:val="006530A5"/>
    <w:rsid w:val="0065433B"/>
    <w:rsid w:val="00654584"/>
    <w:rsid w:val="00654593"/>
    <w:rsid w:val="00654960"/>
    <w:rsid w:val="00654E01"/>
    <w:rsid w:val="006550A1"/>
    <w:rsid w:val="0065519B"/>
    <w:rsid w:val="006559D6"/>
    <w:rsid w:val="00655B3D"/>
    <w:rsid w:val="00655CF2"/>
    <w:rsid w:val="00656055"/>
    <w:rsid w:val="00656266"/>
    <w:rsid w:val="00656805"/>
    <w:rsid w:val="00656902"/>
    <w:rsid w:val="0065696F"/>
    <w:rsid w:val="00656AEF"/>
    <w:rsid w:val="00656B59"/>
    <w:rsid w:val="006572D2"/>
    <w:rsid w:val="006579D4"/>
    <w:rsid w:val="00657E7E"/>
    <w:rsid w:val="00660045"/>
    <w:rsid w:val="006600DF"/>
    <w:rsid w:val="006601A3"/>
    <w:rsid w:val="0066172A"/>
    <w:rsid w:val="006624A1"/>
    <w:rsid w:val="00663037"/>
    <w:rsid w:val="006632B4"/>
    <w:rsid w:val="00663B55"/>
    <w:rsid w:val="00664AE1"/>
    <w:rsid w:val="00664DA5"/>
    <w:rsid w:val="00665A5C"/>
    <w:rsid w:val="00665B3D"/>
    <w:rsid w:val="00665DD7"/>
    <w:rsid w:val="00666641"/>
    <w:rsid w:val="00666C26"/>
    <w:rsid w:val="006673ED"/>
    <w:rsid w:val="006678CE"/>
    <w:rsid w:val="00667925"/>
    <w:rsid w:val="006704B9"/>
    <w:rsid w:val="00670810"/>
    <w:rsid w:val="00670AE9"/>
    <w:rsid w:val="006712A4"/>
    <w:rsid w:val="006721A2"/>
    <w:rsid w:val="00673812"/>
    <w:rsid w:val="00675263"/>
    <w:rsid w:val="006757B4"/>
    <w:rsid w:val="006758AE"/>
    <w:rsid w:val="00677925"/>
    <w:rsid w:val="00677971"/>
    <w:rsid w:val="00680164"/>
    <w:rsid w:val="00680639"/>
    <w:rsid w:val="006808FD"/>
    <w:rsid w:val="00680A39"/>
    <w:rsid w:val="00680D0B"/>
    <w:rsid w:val="006821D0"/>
    <w:rsid w:val="006829A2"/>
    <w:rsid w:val="0068314A"/>
    <w:rsid w:val="00683EED"/>
    <w:rsid w:val="006840FD"/>
    <w:rsid w:val="00685534"/>
    <w:rsid w:val="006859F1"/>
    <w:rsid w:val="00685C77"/>
    <w:rsid w:val="00685F6E"/>
    <w:rsid w:val="0068646F"/>
    <w:rsid w:val="00687345"/>
    <w:rsid w:val="0068741E"/>
    <w:rsid w:val="006877E8"/>
    <w:rsid w:val="00687823"/>
    <w:rsid w:val="00687B6F"/>
    <w:rsid w:val="006901EC"/>
    <w:rsid w:val="00690323"/>
    <w:rsid w:val="006906E7"/>
    <w:rsid w:val="00690B32"/>
    <w:rsid w:val="00690C51"/>
    <w:rsid w:val="006915ED"/>
    <w:rsid w:val="00692C20"/>
    <w:rsid w:val="00692C93"/>
    <w:rsid w:val="00693B25"/>
    <w:rsid w:val="006944D0"/>
    <w:rsid w:val="006953A5"/>
    <w:rsid w:val="006956C4"/>
    <w:rsid w:val="0069579B"/>
    <w:rsid w:val="0069598A"/>
    <w:rsid w:val="00696A03"/>
    <w:rsid w:val="00696A55"/>
    <w:rsid w:val="00696B2A"/>
    <w:rsid w:val="00696B91"/>
    <w:rsid w:val="00697C70"/>
    <w:rsid w:val="006A0950"/>
    <w:rsid w:val="006A12D8"/>
    <w:rsid w:val="006A1745"/>
    <w:rsid w:val="006A1EA1"/>
    <w:rsid w:val="006A2278"/>
    <w:rsid w:val="006A263A"/>
    <w:rsid w:val="006A3163"/>
    <w:rsid w:val="006A3622"/>
    <w:rsid w:val="006A3983"/>
    <w:rsid w:val="006A4145"/>
    <w:rsid w:val="006A427D"/>
    <w:rsid w:val="006A553E"/>
    <w:rsid w:val="006A5672"/>
    <w:rsid w:val="006A5F5F"/>
    <w:rsid w:val="006A6286"/>
    <w:rsid w:val="006A6494"/>
    <w:rsid w:val="006A6873"/>
    <w:rsid w:val="006A6D71"/>
    <w:rsid w:val="006A7119"/>
    <w:rsid w:val="006A7407"/>
    <w:rsid w:val="006A7743"/>
    <w:rsid w:val="006A7AE5"/>
    <w:rsid w:val="006B06E8"/>
    <w:rsid w:val="006B0950"/>
    <w:rsid w:val="006B1D6B"/>
    <w:rsid w:val="006B1D6F"/>
    <w:rsid w:val="006B2530"/>
    <w:rsid w:val="006B2A4C"/>
    <w:rsid w:val="006B2C54"/>
    <w:rsid w:val="006B36EC"/>
    <w:rsid w:val="006B37F4"/>
    <w:rsid w:val="006B3FE6"/>
    <w:rsid w:val="006B4192"/>
    <w:rsid w:val="006B4486"/>
    <w:rsid w:val="006B46E3"/>
    <w:rsid w:val="006B576F"/>
    <w:rsid w:val="006B7333"/>
    <w:rsid w:val="006B7454"/>
    <w:rsid w:val="006B75F2"/>
    <w:rsid w:val="006C0595"/>
    <w:rsid w:val="006C0728"/>
    <w:rsid w:val="006C0A8C"/>
    <w:rsid w:val="006C10F7"/>
    <w:rsid w:val="006C2138"/>
    <w:rsid w:val="006C295D"/>
    <w:rsid w:val="006C31FE"/>
    <w:rsid w:val="006C3326"/>
    <w:rsid w:val="006C39FB"/>
    <w:rsid w:val="006C3D06"/>
    <w:rsid w:val="006C44A2"/>
    <w:rsid w:val="006C47CF"/>
    <w:rsid w:val="006C5466"/>
    <w:rsid w:val="006C5B84"/>
    <w:rsid w:val="006C5C36"/>
    <w:rsid w:val="006C5E1A"/>
    <w:rsid w:val="006C604E"/>
    <w:rsid w:val="006C72BD"/>
    <w:rsid w:val="006C7947"/>
    <w:rsid w:val="006C7ED9"/>
    <w:rsid w:val="006C7EFB"/>
    <w:rsid w:val="006D03FA"/>
    <w:rsid w:val="006D1268"/>
    <w:rsid w:val="006D1E2B"/>
    <w:rsid w:val="006D3105"/>
    <w:rsid w:val="006D3274"/>
    <w:rsid w:val="006D39CF"/>
    <w:rsid w:val="006D3C9F"/>
    <w:rsid w:val="006D429F"/>
    <w:rsid w:val="006D4636"/>
    <w:rsid w:val="006D4731"/>
    <w:rsid w:val="006D5126"/>
    <w:rsid w:val="006D5186"/>
    <w:rsid w:val="006D59CE"/>
    <w:rsid w:val="006D5C19"/>
    <w:rsid w:val="006D5FF2"/>
    <w:rsid w:val="006D646B"/>
    <w:rsid w:val="006D6770"/>
    <w:rsid w:val="006D6C5F"/>
    <w:rsid w:val="006D707A"/>
    <w:rsid w:val="006D7511"/>
    <w:rsid w:val="006D7B80"/>
    <w:rsid w:val="006D7D1B"/>
    <w:rsid w:val="006E005E"/>
    <w:rsid w:val="006E00A5"/>
    <w:rsid w:val="006E0686"/>
    <w:rsid w:val="006E0D05"/>
    <w:rsid w:val="006E0DCA"/>
    <w:rsid w:val="006E12EE"/>
    <w:rsid w:val="006E1824"/>
    <w:rsid w:val="006E1E52"/>
    <w:rsid w:val="006E2785"/>
    <w:rsid w:val="006E2A03"/>
    <w:rsid w:val="006E3E12"/>
    <w:rsid w:val="006E3E9E"/>
    <w:rsid w:val="006E3FE4"/>
    <w:rsid w:val="006E4526"/>
    <w:rsid w:val="006E4627"/>
    <w:rsid w:val="006E48B6"/>
    <w:rsid w:val="006E52AE"/>
    <w:rsid w:val="006E5747"/>
    <w:rsid w:val="006E5A1C"/>
    <w:rsid w:val="006E5F33"/>
    <w:rsid w:val="006E5F75"/>
    <w:rsid w:val="006E6390"/>
    <w:rsid w:val="006E64EB"/>
    <w:rsid w:val="006E6A57"/>
    <w:rsid w:val="006E7259"/>
    <w:rsid w:val="006E79D8"/>
    <w:rsid w:val="006F0784"/>
    <w:rsid w:val="006F0A44"/>
    <w:rsid w:val="006F1093"/>
    <w:rsid w:val="006F1A63"/>
    <w:rsid w:val="006F1F8D"/>
    <w:rsid w:val="006F28A9"/>
    <w:rsid w:val="006F2DB6"/>
    <w:rsid w:val="006F3243"/>
    <w:rsid w:val="006F398D"/>
    <w:rsid w:val="006F4293"/>
    <w:rsid w:val="006F42E2"/>
    <w:rsid w:val="006F4486"/>
    <w:rsid w:val="006F4496"/>
    <w:rsid w:val="006F45EE"/>
    <w:rsid w:val="006F4E7D"/>
    <w:rsid w:val="006F60C0"/>
    <w:rsid w:val="006F6472"/>
    <w:rsid w:val="006F6CB8"/>
    <w:rsid w:val="006F73A1"/>
    <w:rsid w:val="006F7AAB"/>
    <w:rsid w:val="00700D6C"/>
    <w:rsid w:val="007010A0"/>
    <w:rsid w:val="007011C8"/>
    <w:rsid w:val="00701494"/>
    <w:rsid w:val="007014E2"/>
    <w:rsid w:val="007015DF"/>
    <w:rsid w:val="00701A14"/>
    <w:rsid w:val="00701F84"/>
    <w:rsid w:val="00702175"/>
    <w:rsid w:val="00703105"/>
    <w:rsid w:val="0070394F"/>
    <w:rsid w:val="00703BD1"/>
    <w:rsid w:val="0070402D"/>
    <w:rsid w:val="0070454C"/>
    <w:rsid w:val="007053E6"/>
    <w:rsid w:val="00705767"/>
    <w:rsid w:val="00706916"/>
    <w:rsid w:val="007073DE"/>
    <w:rsid w:val="00707D30"/>
    <w:rsid w:val="00707DE0"/>
    <w:rsid w:val="00710326"/>
    <w:rsid w:val="007104AE"/>
    <w:rsid w:val="00710666"/>
    <w:rsid w:val="00710778"/>
    <w:rsid w:val="00711170"/>
    <w:rsid w:val="00711211"/>
    <w:rsid w:val="00712296"/>
    <w:rsid w:val="00712467"/>
    <w:rsid w:val="00712847"/>
    <w:rsid w:val="00712F84"/>
    <w:rsid w:val="00713624"/>
    <w:rsid w:val="00714CCE"/>
    <w:rsid w:val="00715237"/>
    <w:rsid w:val="007154C3"/>
    <w:rsid w:val="007158FD"/>
    <w:rsid w:val="007161EE"/>
    <w:rsid w:val="00716E21"/>
    <w:rsid w:val="00717AD2"/>
    <w:rsid w:val="00717F19"/>
    <w:rsid w:val="00720452"/>
    <w:rsid w:val="00720945"/>
    <w:rsid w:val="00721081"/>
    <w:rsid w:val="00721312"/>
    <w:rsid w:val="00721661"/>
    <w:rsid w:val="00722876"/>
    <w:rsid w:val="00722986"/>
    <w:rsid w:val="00722CAE"/>
    <w:rsid w:val="007234A3"/>
    <w:rsid w:val="00723BFF"/>
    <w:rsid w:val="00724B38"/>
    <w:rsid w:val="007255A2"/>
    <w:rsid w:val="00725A0C"/>
    <w:rsid w:val="00725A20"/>
    <w:rsid w:val="00726B3C"/>
    <w:rsid w:val="00726C54"/>
    <w:rsid w:val="007271FE"/>
    <w:rsid w:val="00727D3D"/>
    <w:rsid w:val="007301FA"/>
    <w:rsid w:val="0073051E"/>
    <w:rsid w:val="00730ADA"/>
    <w:rsid w:val="00730BAA"/>
    <w:rsid w:val="00730F9D"/>
    <w:rsid w:val="00731501"/>
    <w:rsid w:val="00731596"/>
    <w:rsid w:val="0073196F"/>
    <w:rsid w:val="00731E8B"/>
    <w:rsid w:val="00732040"/>
    <w:rsid w:val="0073228E"/>
    <w:rsid w:val="00732367"/>
    <w:rsid w:val="00732986"/>
    <w:rsid w:val="00732BB5"/>
    <w:rsid w:val="007332E0"/>
    <w:rsid w:val="00733315"/>
    <w:rsid w:val="0073384B"/>
    <w:rsid w:val="00733AA2"/>
    <w:rsid w:val="00733BC7"/>
    <w:rsid w:val="0073427E"/>
    <w:rsid w:val="00734C5C"/>
    <w:rsid w:val="00734EE3"/>
    <w:rsid w:val="0073541E"/>
    <w:rsid w:val="0073571A"/>
    <w:rsid w:val="00735B06"/>
    <w:rsid w:val="00735D92"/>
    <w:rsid w:val="00735E3D"/>
    <w:rsid w:val="00735EE0"/>
    <w:rsid w:val="007363E9"/>
    <w:rsid w:val="00736A3E"/>
    <w:rsid w:val="007400D5"/>
    <w:rsid w:val="007418BE"/>
    <w:rsid w:val="0074243D"/>
    <w:rsid w:val="0074297F"/>
    <w:rsid w:val="00742B37"/>
    <w:rsid w:val="00742F16"/>
    <w:rsid w:val="0074303D"/>
    <w:rsid w:val="007431E1"/>
    <w:rsid w:val="00743F81"/>
    <w:rsid w:val="007447DF"/>
    <w:rsid w:val="00745DE0"/>
    <w:rsid w:val="00745E73"/>
    <w:rsid w:val="00746272"/>
    <w:rsid w:val="00746291"/>
    <w:rsid w:val="0074652F"/>
    <w:rsid w:val="00746568"/>
    <w:rsid w:val="00746A33"/>
    <w:rsid w:val="00746AA7"/>
    <w:rsid w:val="00746DCC"/>
    <w:rsid w:val="00747456"/>
    <w:rsid w:val="00747836"/>
    <w:rsid w:val="00747E68"/>
    <w:rsid w:val="00747FC4"/>
    <w:rsid w:val="007503FF"/>
    <w:rsid w:val="007506BE"/>
    <w:rsid w:val="007507A8"/>
    <w:rsid w:val="00750916"/>
    <w:rsid w:val="0075110E"/>
    <w:rsid w:val="00751128"/>
    <w:rsid w:val="007511AA"/>
    <w:rsid w:val="007512C6"/>
    <w:rsid w:val="00751F28"/>
    <w:rsid w:val="00752049"/>
    <w:rsid w:val="007529B4"/>
    <w:rsid w:val="00752D72"/>
    <w:rsid w:val="0075371D"/>
    <w:rsid w:val="00753DD0"/>
    <w:rsid w:val="00754126"/>
    <w:rsid w:val="007541E4"/>
    <w:rsid w:val="00754819"/>
    <w:rsid w:val="0075485C"/>
    <w:rsid w:val="007549D2"/>
    <w:rsid w:val="00754C56"/>
    <w:rsid w:val="00754F2A"/>
    <w:rsid w:val="0075525C"/>
    <w:rsid w:val="00755929"/>
    <w:rsid w:val="00756FE3"/>
    <w:rsid w:val="007573F1"/>
    <w:rsid w:val="00757768"/>
    <w:rsid w:val="007578AF"/>
    <w:rsid w:val="00757C57"/>
    <w:rsid w:val="007602FD"/>
    <w:rsid w:val="007603F8"/>
    <w:rsid w:val="00760B1E"/>
    <w:rsid w:val="00760C4A"/>
    <w:rsid w:val="00760D09"/>
    <w:rsid w:val="00761717"/>
    <w:rsid w:val="0076229A"/>
    <w:rsid w:val="00762918"/>
    <w:rsid w:val="00762B7E"/>
    <w:rsid w:val="00762BD1"/>
    <w:rsid w:val="00762BF4"/>
    <w:rsid w:val="00762CB2"/>
    <w:rsid w:val="00762D20"/>
    <w:rsid w:val="00762E6A"/>
    <w:rsid w:val="00763528"/>
    <w:rsid w:val="00764D4C"/>
    <w:rsid w:val="00765582"/>
    <w:rsid w:val="00765CDE"/>
    <w:rsid w:val="00766310"/>
    <w:rsid w:val="00766E58"/>
    <w:rsid w:val="00767112"/>
    <w:rsid w:val="00767248"/>
    <w:rsid w:val="007673B5"/>
    <w:rsid w:val="00767524"/>
    <w:rsid w:val="00767D85"/>
    <w:rsid w:val="0077077A"/>
    <w:rsid w:val="00770C27"/>
    <w:rsid w:val="007719E5"/>
    <w:rsid w:val="007721CE"/>
    <w:rsid w:val="007721F8"/>
    <w:rsid w:val="0077247A"/>
    <w:rsid w:val="00772E29"/>
    <w:rsid w:val="00773A4A"/>
    <w:rsid w:val="00773D73"/>
    <w:rsid w:val="00774247"/>
    <w:rsid w:val="00774254"/>
    <w:rsid w:val="00774776"/>
    <w:rsid w:val="00775D71"/>
    <w:rsid w:val="00775EC3"/>
    <w:rsid w:val="007760C8"/>
    <w:rsid w:val="007765DB"/>
    <w:rsid w:val="007765E4"/>
    <w:rsid w:val="00776709"/>
    <w:rsid w:val="00776997"/>
    <w:rsid w:val="00776EA5"/>
    <w:rsid w:val="00777238"/>
    <w:rsid w:val="00777AB4"/>
    <w:rsid w:val="00777C35"/>
    <w:rsid w:val="00780557"/>
    <w:rsid w:val="00780B0C"/>
    <w:rsid w:val="00780EE4"/>
    <w:rsid w:val="00780FD7"/>
    <w:rsid w:val="007812AE"/>
    <w:rsid w:val="0078182B"/>
    <w:rsid w:val="00782512"/>
    <w:rsid w:val="00782AF7"/>
    <w:rsid w:val="00783BEA"/>
    <w:rsid w:val="0078425B"/>
    <w:rsid w:val="00784D52"/>
    <w:rsid w:val="007850E6"/>
    <w:rsid w:val="00785932"/>
    <w:rsid w:val="0078596C"/>
    <w:rsid w:val="00785B87"/>
    <w:rsid w:val="00785ED2"/>
    <w:rsid w:val="00786393"/>
    <w:rsid w:val="00786F5E"/>
    <w:rsid w:val="00787250"/>
    <w:rsid w:val="007872CB"/>
    <w:rsid w:val="00787D93"/>
    <w:rsid w:val="007902FE"/>
    <w:rsid w:val="0079046B"/>
    <w:rsid w:val="00790CDE"/>
    <w:rsid w:val="00791307"/>
    <w:rsid w:val="007917CE"/>
    <w:rsid w:val="007917D5"/>
    <w:rsid w:val="007923D8"/>
    <w:rsid w:val="00792444"/>
    <w:rsid w:val="0079261D"/>
    <w:rsid w:val="007929DE"/>
    <w:rsid w:val="00792D85"/>
    <w:rsid w:val="00793F17"/>
    <w:rsid w:val="00794A37"/>
    <w:rsid w:val="00794F67"/>
    <w:rsid w:val="007954A7"/>
    <w:rsid w:val="00795596"/>
    <w:rsid w:val="0079571E"/>
    <w:rsid w:val="0079586B"/>
    <w:rsid w:val="00795CA9"/>
    <w:rsid w:val="00795F27"/>
    <w:rsid w:val="00796467"/>
    <w:rsid w:val="00796CB3"/>
    <w:rsid w:val="00797195"/>
    <w:rsid w:val="007972D5"/>
    <w:rsid w:val="007978AE"/>
    <w:rsid w:val="007979CC"/>
    <w:rsid w:val="007A0301"/>
    <w:rsid w:val="007A0311"/>
    <w:rsid w:val="007A04FE"/>
    <w:rsid w:val="007A085A"/>
    <w:rsid w:val="007A1703"/>
    <w:rsid w:val="007A217C"/>
    <w:rsid w:val="007A27D5"/>
    <w:rsid w:val="007A2DE6"/>
    <w:rsid w:val="007A3173"/>
    <w:rsid w:val="007A3493"/>
    <w:rsid w:val="007A372B"/>
    <w:rsid w:val="007A46E6"/>
    <w:rsid w:val="007A5388"/>
    <w:rsid w:val="007A59E6"/>
    <w:rsid w:val="007A6224"/>
    <w:rsid w:val="007A7202"/>
    <w:rsid w:val="007A77C2"/>
    <w:rsid w:val="007A77F6"/>
    <w:rsid w:val="007A7D5A"/>
    <w:rsid w:val="007A7FCC"/>
    <w:rsid w:val="007B035D"/>
    <w:rsid w:val="007B06AF"/>
    <w:rsid w:val="007B0B58"/>
    <w:rsid w:val="007B15B3"/>
    <w:rsid w:val="007B1F57"/>
    <w:rsid w:val="007B26B3"/>
    <w:rsid w:val="007B2774"/>
    <w:rsid w:val="007B2BA8"/>
    <w:rsid w:val="007B340A"/>
    <w:rsid w:val="007B3AAC"/>
    <w:rsid w:val="007B3DE4"/>
    <w:rsid w:val="007B448B"/>
    <w:rsid w:val="007B502F"/>
    <w:rsid w:val="007B50FB"/>
    <w:rsid w:val="007B5CBD"/>
    <w:rsid w:val="007B6303"/>
    <w:rsid w:val="007B64FD"/>
    <w:rsid w:val="007B6777"/>
    <w:rsid w:val="007B692C"/>
    <w:rsid w:val="007B6C12"/>
    <w:rsid w:val="007B7A04"/>
    <w:rsid w:val="007C0F86"/>
    <w:rsid w:val="007C12D6"/>
    <w:rsid w:val="007C1319"/>
    <w:rsid w:val="007C1FEA"/>
    <w:rsid w:val="007C20CF"/>
    <w:rsid w:val="007C4AA7"/>
    <w:rsid w:val="007C527F"/>
    <w:rsid w:val="007C5BB5"/>
    <w:rsid w:val="007C624C"/>
    <w:rsid w:val="007C62E5"/>
    <w:rsid w:val="007C66D2"/>
    <w:rsid w:val="007C6F2D"/>
    <w:rsid w:val="007C78D0"/>
    <w:rsid w:val="007C7A80"/>
    <w:rsid w:val="007D0852"/>
    <w:rsid w:val="007D0F7D"/>
    <w:rsid w:val="007D1568"/>
    <w:rsid w:val="007D1A9F"/>
    <w:rsid w:val="007D208C"/>
    <w:rsid w:val="007D2AA0"/>
    <w:rsid w:val="007D2ADE"/>
    <w:rsid w:val="007D3332"/>
    <w:rsid w:val="007D3D01"/>
    <w:rsid w:val="007D40B6"/>
    <w:rsid w:val="007D457F"/>
    <w:rsid w:val="007D47BF"/>
    <w:rsid w:val="007D59CD"/>
    <w:rsid w:val="007D6956"/>
    <w:rsid w:val="007D6CA4"/>
    <w:rsid w:val="007D6F42"/>
    <w:rsid w:val="007D7031"/>
    <w:rsid w:val="007D7186"/>
    <w:rsid w:val="007D7382"/>
    <w:rsid w:val="007D765F"/>
    <w:rsid w:val="007D7C0B"/>
    <w:rsid w:val="007D7C88"/>
    <w:rsid w:val="007D7D86"/>
    <w:rsid w:val="007D7E15"/>
    <w:rsid w:val="007E1235"/>
    <w:rsid w:val="007E1BD9"/>
    <w:rsid w:val="007E1DCE"/>
    <w:rsid w:val="007E1F52"/>
    <w:rsid w:val="007E20D9"/>
    <w:rsid w:val="007E2851"/>
    <w:rsid w:val="007E2D4B"/>
    <w:rsid w:val="007E36B7"/>
    <w:rsid w:val="007E4660"/>
    <w:rsid w:val="007E4CB8"/>
    <w:rsid w:val="007E4E4B"/>
    <w:rsid w:val="007E56F3"/>
    <w:rsid w:val="007E6F66"/>
    <w:rsid w:val="007E767B"/>
    <w:rsid w:val="007E76D9"/>
    <w:rsid w:val="007E7A3E"/>
    <w:rsid w:val="007E7E0C"/>
    <w:rsid w:val="007F0047"/>
    <w:rsid w:val="007F0681"/>
    <w:rsid w:val="007F09E9"/>
    <w:rsid w:val="007F10C0"/>
    <w:rsid w:val="007F13C4"/>
    <w:rsid w:val="007F1708"/>
    <w:rsid w:val="007F194E"/>
    <w:rsid w:val="007F1A3B"/>
    <w:rsid w:val="007F1AD1"/>
    <w:rsid w:val="007F1D99"/>
    <w:rsid w:val="007F2512"/>
    <w:rsid w:val="007F2541"/>
    <w:rsid w:val="007F2B47"/>
    <w:rsid w:val="007F2FBA"/>
    <w:rsid w:val="007F326B"/>
    <w:rsid w:val="007F3637"/>
    <w:rsid w:val="007F376E"/>
    <w:rsid w:val="007F4422"/>
    <w:rsid w:val="007F46D7"/>
    <w:rsid w:val="007F4A69"/>
    <w:rsid w:val="007F59FB"/>
    <w:rsid w:val="007F5B54"/>
    <w:rsid w:val="007F5B95"/>
    <w:rsid w:val="007F5E22"/>
    <w:rsid w:val="007F6547"/>
    <w:rsid w:val="007F6A03"/>
    <w:rsid w:val="007F6DDF"/>
    <w:rsid w:val="007F7230"/>
    <w:rsid w:val="007F743B"/>
    <w:rsid w:val="007F75D3"/>
    <w:rsid w:val="007F7916"/>
    <w:rsid w:val="007F7EFB"/>
    <w:rsid w:val="008006BA"/>
    <w:rsid w:val="00800F1A"/>
    <w:rsid w:val="00801A5A"/>
    <w:rsid w:val="00802621"/>
    <w:rsid w:val="0080265A"/>
    <w:rsid w:val="00803587"/>
    <w:rsid w:val="00803714"/>
    <w:rsid w:val="008037E3"/>
    <w:rsid w:val="008038AD"/>
    <w:rsid w:val="008038B3"/>
    <w:rsid w:val="00803CC1"/>
    <w:rsid w:val="00803D2D"/>
    <w:rsid w:val="008043B6"/>
    <w:rsid w:val="008047DB"/>
    <w:rsid w:val="00805128"/>
    <w:rsid w:val="008057E6"/>
    <w:rsid w:val="008072E6"/>
    <w:rsid w:val="008074B4"/>
    <w:rsid w:val="00807545"/>
    <w:rsid w:val="008075F8"/>
    <w:rsid w:val="0080770F"/>
    <w:rsid w:val="00807A69"/>
    <w:rsid w:val="008105AC"/>
    <w:rsid w:val="00810F3D"/>
    <w:rsid w:val="0081125C"/>
    <w:rsid w:val="00811315"/>
    <w:rsid w:val="0081225B"/>
    <w:rsid w:val="00812342"/>
    <w:rsid w:val="00812F96"/>
    <w:rsid w:val="008135D8"/>
    <w:rsid w:val="008137A3"/>
    <w:rsid w:val="00813E04"/>
    <w:rsid w:val="0081417C"/>
    <w:rsid w:val="00814308"/>
    <w:rsid w:val="0081442B"/>
    <w:rsid w:val="0081477A"/>
    <w:rsid w:val="00815435"/>
    <w:rsid w:val="00815934"/>
    <w:rsid w:val="0081639C"/>
    <w:rsid w:val="008170CF"/>
    <w:rsid w:val="008173AB"/>
    <w:rsid w:val="008173F2"/>
    <w:rsid w:val="008174A7"/>
    <w:rsid w:val="008174F6"/>
    <w:rsid w:val="00817883"/>
    <w:rsid w:val="00817943"/>
    <w:rsid w:val="00817A6A"/>
    <w:rsid w:val="00817B65"/>
    <w:rsid w:val="00817D40"/>
    <w:rsid w:val="0082054B"/>
    <w:rsid w:val="00820F0C"/>
    <w:rsid w:val="00820F49"/>
    <w:rsid w:val="00821721"/>
    <w:rsid w:val="00821D99"/>
    <w:rsid w:val="0082266F"/>
    <w:rsid w:val="00822E1B"/>
    <w:rsid w:val="008233B0"/>
    <w:rsid w:val="0082355B"/>
    <w:rsid w:val="00823AEB"/>
    <w:rsid w:val="00823F43"/>
    <w:rsid w:val="008240FF"/>
    <w:rsid w:val="008243BD"/>
    <w:rsid w:val="0082591B"/>
    <w:rsid w:val="00825EC2"/>
    <w:rsid w:val="00826DF4"/>
    <w:rsid w:val="00827753"/>
    <w:rsid w:val="008301E0"/>
    <w:rsid w:val="008305DF"/>
    <w:rsid w:val="008307C1"/>
    <w:rsid w:val="00830BB2"/>
    <w:rsid w:val="00832055"/>
    <w:rsid w:val="0083225B"/>
    <w:rsid w:val="00832CAA"/>
    <w:rsid w:val="00832EF3"/>
    <w:rsid w:val="008338C6"/>
    <w:rsid w:val="00833BB7"/>
    <w:rsid w:val="008344B1"/>
    <w:rsid w:val="00834B7B"/>
    <w:rsid w:val="00834DDF"/>
    <w:rsid w:val="008352CA"/>
    <w:rsid w:val="00835700"/>
    <w:rsid w:val="00835C4B"/>
    <w:rsid w:val="00836BF4"/>
    <w:rsid w:val="00836D60"/>
    <w:rsid w:val="0083776F"/>
    <w:rsid w:val="00840E62"/>
    <w:rsid w:val="0084105F"/>
    <w:rsid w:val="00841118"/>
    <w:rsid w:val="00841BB7"/>
    <w:rsid w:val="00841C4F"/>
    <w:rsid w:val="008427DF"/>
    <w:rsid w:val="00842B7C"/>
    <w:rsid w:val="008433AC"/>
    <w:rsid w:val="00843418"/>
    <w:rsid w:val="00844355"/>
    <w:rsid w:val="00844BAD"/>
    <w:rsid w:val="008454B5"/>
    <w:rsid w:val="0084555C"/>
    <w:rsid w:val="0084573B"/>
    <w:rsid w:val="00845765"/>
    <w:rsid w:val="00845FF4"/>
    <w:rsid w:val="00846DB8"/>
    <w:rsid w:val="00847122"/>
    <w:rsid w:val="008477C4"/>
    <w:rsid w:val="00847C73"/>
    <w:rsid w:val="008508B8"/>
    <w:rsid w:val="00850C5D"/>
    <w:rsid w:val="008515B0"/>
    <w:rsid w:val="0085181D"/>
    <w:rsid w:val="00851917"/>
    <w:rsid w:val="00851D26"/>
    <w:rsid w:val="00852107"/>
    <w:rsid w:val="00852933"/>
    <w:rsid w:val="0085377D"/>
    <w:rsid w:val="00853880"/>
    <w:rsid w:val="008539C6"/>
    <w:rsid w:val="00854422"/>
    <w:rsid w:val="00855182"/>
    <w:rsid w:val="008552AE"/>
    <w:rsid w:val="0085692A"/>
    <w:rsid w:val="00857003"/>
    <w:rsid w:val="008570E3"/>
    <w:rsid w:val="0085747E"/>
    <w:rsid w:val="008602E7"/>
    <w:rsid w:val="008606DC"/>
    <w:rsid w:val="008607B7"/>
    <w:rsid w:val="00860E3F"/>
    <w:rsid w:val="00860F2F"/>
    <w:rsid w:val="00861817"/>
    <w:rsid w:val="008618B6"/>
    <w:rsid w:val="00861959"/>
    <w:rsid w:val="00861B19"/>
    <w:rsid w:val="00861B4A"/>
    <w:rsid w:val="00861D12"/>
    <w:rsid w:val="008620BF"/>
    <w:rsid w:val="008624CE"/>
    <w:rsid w:val="008624EA"/>
    <w:rsid w:val="00862910"/>
    <w:rsid w:val="00862D33"/>
    <w:rsid w:val="0086360F"/>
    <w:rsid w:val="00863D9D"/>
    <w:rsid w:val="00863FEF"/>
    <w:rsid w:val="00864720"/>
    <w:rsid w:val="00865178"/>
    <w:rsid w:val="00865433"/>
    <w:rsid w:val="00865AA6"/>
    <w:rsid w:val="00865FC2"/>
    <w:rsid w:val="0086611B"/>
    <w:rsid w:val="0086616D"/>
    <w:rsid w:val="008670BF"/>
    <w:rsid w:val="008676FE"/>
    <w:rsid w:val="00867A3B"/>
    <w:rsid w:val="00867ECF"/>
    <w:rsid w:val="00870382"/>
    <w:rsid w:val="00870CC6"/>
    <w:rsid w:val="008711FD"/>
    <w:rsid w:val="00871833"/>
    <w:rsid w:val="00872233"/>
    <w:rsid w:val="0087249A"/>
    <w:rsid w:val="0087267D"/>
    <w:rsid w:val="008726B7"/>
    <w:rsid w:val="0087293E"/>
    <w:rsid w:val="008729B5"/>
    <w:rsid w:val="008729C9"/>
    <w:rsid w:val="008735F6"/>
    <w:rsid w:val="00873D4F"/>
    <w:rsid w:val="00873F84"/>
    <w:rsid w:val="00874034"/>
    <w:rsid w:val="00874188"/>
    <w:rsid w:val="0087448B"/>
    <w:rsid w:val="008749D2"/>
    <w:rsid w:val="008758D4"/>
    <w:rsid w:val="00875EA2"/>
    <w:rsid w:val="00876028"/>
    <w:rsid w:val="00876105"/>
    <w:rsid w:val="008761ED"/>
    <w:rsid w:val="00876657"/>
    <w:rsid w:val="008767D4"/>
    <w:rsid w:val="00876985"/>
    <w:rsid w:val="00876BAA"/>
    <w:rsid w:val="00876EB1"/>
    <w:rsid w:val="00877445"/>
    <w:rsid w:val="00877761"/>
    <w:rsid w:val="008803A4"/>
    <w:rsid w:val="00881C1C"/>
    <w:rsid w:val="0088274C"/>
    <w:rsid w:val="00882E88"/>
    <w:rsid w:val="0088317C"/>
    <w:rsid w:val="00883973"/>
    <w:rsid w:val="00884201"/>
    <w:rsid w:val="0088489B"/>
    <w:rsid w:val="00886360"/>
    <w:rsid w:val="0088700E"/>
    <w:rsid w:val="008875A3"/>
    <w:rsid w:val="008909F6"/>
    <w:rsid w:val="00890B2A"/>
    <w:rsid w:val="00890C91"/>
    <w:rsid w:val="00890F2D"/>
    <w:rsid w:val="00891149"/>
    <w:rsid w:val="008913AD"/>
    <w:rsid w:val="008916E9"/>
    <w:rsid w:val="00892263"/>
    <w:rsid w:val="008926C3"/>
    <w:rsid w:val="008933FC"/>
    <w:rsid w:val="008934B2"/>
    <w:rsid w:val="0089404D"/>
    <w:rsid w:val="008945AD"/>
    <w:rsid w:val="00895006"/>
    <w:rsid w:val="00895030"/>
    <w:rsid w:val="0089505D"/>
    <w:rsid w:val="008960BC"/>
    <w:rsid w:val="00896B6A"/>
    <w:rsid w:val="00896C32"/>
    <w:rsid w:val="00897E6F"/>
    <w:rsid w:val="008A00E3"/>
    <w:rsid w:val="008A0609"/>
    <w:rsid w:val="008A0EE9"/>
    <w:rsid w:val="008A156A"/>
    <w:rsid w:val="008A1BCB"/>
    <w:rsid w:val="008A1D9E"/>
    <w:rsid w:val="008A1F4D"/>
    <w:rsid w:val="008A2170"/>
    <w:rsid w:val="008A223A"/>
    <w:rsid w:val="008A25C6"/>
    <w:rsid w:val="008A3C89"/>
    <w:rsid w:val="008A3CE4"/>
    <w:rsid w:val="008A408C"/>
    <w:rsid w:val="008A40DC"/>
    <w:rsid w:val="008A41F8"/>
    <w:rsid w:val="008A5259"/>
    <w:rsid w:val="008A571D"/>
    <w:rsid w:val="008A5A34"/>
    <w:rsid w:val="008A64E2"/>
    <w:rsid w:val="008A67A8"/>
    <w:rsid w:val="008A681E"/>
    <w:rsid w:val="008A76D1"/>
    <w:rsid w:val="008A7C76"/>
    <w:rsid w:val="008B0046"/>
    <w:rsid w:val="008B0DBC"/>
    <w:rsid w:val="008B0DFA"/>
    <w:rsid w:val="008B2294"/>
    <w:rsid w:val="008B22BB"/>
    <w:rsid w:val="008B26BB"/>
    <w:rsid w:val="008B2C93"/>
    <w:rsid w:val="008B319A"/>
    <w:rsid w:val="008B3282"/>
    <w:rsid w:val="008B34DF"/>
    <w:rsid w:val="008B378F"/>
    <w:rsid w:val="008B4CB3"/>
    <w:rsid w:val="008B4FA8"/>
    <w:rsid w:val="008B552F"/>
    <w:rsid w:val="008B5B9F"/>
    <w:rsid w:val="008B5EA3"/>
    <w:rsid w:val="008B5EBB"/>
    <w:rsid w:val="008B635E"/>
    <w:rsid w:val="008B65C6"/>
    <w:rsid w:val="008B684C"/>
    <w:rsid w:val="008B6B2C"/>
    <w:rsid w:val="008B7A95"/>
    <w:rsid w:val="008B7DE8"/>
    <w:rsid w:val="008C09C0"/>
    <w:rsid w:val="008C1311"/>
    <w:rsid w:val="008C1497"/>
    <w:rsid w:val="008C17CD"/>
    <w:rsid w:val="008C1F5D"/>
    <w:rsid w:val="008C1FD9"/>
    <w:rsid w:val="008C2793"/>
    <w:rsid w:val="008C3030"/>
    <w:rsid w:val="008C3AE5"/>
    <w:rsid w:val="008C3E24"/>
    <w:rsid w:val="008C4505"/>
    <w:rsid w:val="008C5070"/>
    <w:rsid w:val="008C5CFB"/>
    <w:rsid w:val="008C5F90"/>
    <w:rsid w:val="008C6145"/>
    <w:rsid w:val="008C6B77"/>
    <w:rsid w:val="008C6EF6"/>
    <w:rsid w:val="008C70BF"/>
    <w:rsid w:val="008C70C8"/>
    <w:rsid w:val="008C729F"/>
    <w:rsid w:val="008C73BD"/>
    <w:rsid w:val="008C7439"/>
    <w:rsid w:val="008D0112"/>
    <w:rsid w:val="008D02CB"/>
    <w:rsid w:val="008D03C3"/>
    <w:rsid w:val="008D04AD"/>
    <w:rsid w:val="008D0685"/>
    <w:rsid w:val="008D0BB2"/>
    <w:rsid w:val="008D0C2F"/>
    <w:rsid w:val="008D0F56"/>
    <w:rsid w:val="008D1436"/>
    <w:rsid w:val="008D1DEA"/>
    <w:rsid w:val="008D1F5D"/>
    <w:rsid w:val="008D1F92"/>
    <w:rsid w:val="008D220C"/>
    <w:rsid w:val="008D2A24"/>
    <w:rsid w:val="008D2E53"/>
    <w:rsid w:val="008D3451"/>
    <w:rsid w:val="008D43CB"/>
    <w:rsid w:val="008D47CE"/>
    <w:rsid w:val="008D4978"/>
    <w:rsid w:val="008D4A4B"/>
    <w:rsid w:val="008D5124"/>
    <w:rsid w:val="008D54FD"/>
    <w:rsid w:val="008D5B59"/>
    <w:rsid w:val="008D5C68"/>
    <w:rsid w:val="008D5E81"/>
    <w:rsid w:val="008D638D"/>
    <w:rsid w:val="008D646B"/>
    <w:rsid w:val="008D64ED"/>
    <w:rsid w:val="008D66D4"/>
    <w:rsid w:val="008D6DEA"/>
    <w:rsid w:val="008D7993"/>
    <w:rsid w:val="008E039D"/>
    <w:rsid w:val="008E0E5F"/>
    <w:rsid w:val="008E1996"/>
    <w:rsid w:val="008E19DD"/>
    <w:rsid w:val="008E1E75"/>
    <w:rsid w:val="008E1FE3"/>
    <w:rsid w:val="008E2033"/>
    <w:rsid w:val="008E20B5"/>
    <w:rsid w:val="008E336B"/>
    <w:rsid w:val="008E3702"/>
    <w:rsid w:val="008E4D04"/>
    <w:rsid w:val="008E4EAE"/>
    <w:rsid w:val="008E5092"/>
    <w:rsid w:val="008E548A"/>
    <w:rsid w:val="008E5712"/>
    <w:rsid w:val="008E59D3"/>
    <w:rsid w:val="008E6426"/>
    <w:rsid w:val="008E66E5"/>
    <w:rsid w:val="008E6726"/>
    <w:rsid w:val="008E776A"/>
    <w:rsid w:val="008F03FE"/>
    <w:rsid w:val="008F109D"/>
    <w:rsid w:val="008F132E"/>
    <w:rsid w:val="008F1C3F"/>
    <w:rsid w:val="008F22C7"/>
    <w:rsid w:val="008F2730"/>
    <w:rsid w:val="008F28B8"/>
    <w:rsid w:val="008F28CD"/>
    <w:rsid w:val="008F2D9B"/>
    <w:rsid w:val="008F3372"/>
    <w:rsid w:val="008F3398"/>
    <w:rsid w:val="008F3B4C"/>
    <w:rsid w:val="008F3E01"/>
    <w:rsid w:val="008F4093"/>
    <w:rsid w:val="008F40F4"/>
    <w:rsid w:val="008F440E"/>
    <w:rsid w:val="008F4D72"/>
    <w:rsid w:val="008F4E13"/>
    <w:rsid w:val="008F5167"/>
    <w:rsid w:val="008F55F3"/>
    <w:rsid w:val="008F5693"/>
    <w:rsid w:val="008F59FF"/>
    <w:rsid w:val="008F5AC4"/>
    <w:rsid w:val="008F5BAE"/>
    <w:rsid w:val="008F6255"/>
    <w:rsid w:val="008F6BCB"/>
    <w:rsid w:val="008F6CBB"/>
    <w:rsid w:val="008F7108"/>
    <w:rsid w:val="008F7396"/>
    <w:rsid w:val="008F7776"/>
    <w:rsid w:val="008F7D58"/>
    <w:rsid w:val="0090014A"/>
    <w:rsid w:val="00900411"/>
    <w:rsid w:val="00900E47"/>
    <w:rsid w:val="00901242"/>
    <w:rsid w:val="00901C90"/>
    <w:rsid w:val="00901DF6"/>
    <w:rsid w:val="0090240E"/>
    <w:rsid w:val="00902739"/>
    <w:rsid w:val="0090284B"/>
    <w:rsid w:val="009029DA"/>
    <w:rsid w:val="009033AB"/>
    <w:rsid w:val="009034B5"/>
    <w:rsid w:val="00903E9B"/>
    <w:rsid w:val="00904021"/>
    <w:rsid w:val="009040FE"/>
    <w:rsid w:val="0090449A"/>
    <w:rsid w:val="00904A79"/>
    <w:rsid w:val="00904AD4"/>
    <w:rsid w:val="00904F9D"/>
    <w:rsid w:val="0090548C"/>
    <w:rsid w:val="00905E6E"/>
    <w:rsid w:val="0090608B"/>
    <w:rsid w:val="00907010"/>
    <w:rsid w:val="00907528"/>
    <w:rsid w:val="00907F6D"/>
    <w:rsid w:val="009100A6"/>
    <w:rsid w:val="00910A8A"/>
    <w:rsid w:val="00910CA5"/>
    <w:rsid w:val="00910F94"/>
    <w:rsid w:val="00911052"/>
    <w:rsid w:val="0091133E"/>
    <w:rsid w:val="009115A5"/>
    <w:rsid w:val="00911809"/>
    <w:rsid w:val="00911B56"/>
    <w:rsid w:val="00912185"/>
    <w:rsid w:val="00912F07"/>
    <w:rsid w:val="00912FEB"/>
    <w:rsid w:val="00913150"/>
    <w:rsid w:val="00913707"/>
    <w:rsid w:val="00914DE5"/>
    <w:rsid w:val="00914E75"/>
    <w:rsid w:val="00915138"/>
    <w:rsid w:val="009153F3"/>
    <w:rsid w:val="0091569A"/>
    <w:rsid w:val="00915A65"/>
    <w:rsid w:val="009163AE"/>
    <w:rsid w:val="00916E58"/>
    <w:rsid w:val="00917227"/>
    <w:rsid w:val="00917558"/>
    <w:rsid w:val="00917A71"/>
    <w:rsid w:val="00917C8D"/>
    <w:rsid w:val="00917F97"/>
    <w:rsid w:val="00921365"/>
    <w:rsid w:val="00921900"/>
    <w:rsid w:val="00921942"/>
    <w:rsid w:val="00922A67"/>
    <w:rsid w:val="00922C8A"/>
    <w:rsid w:val="00922DE5"/>
    <w:rsid w:val="00923A6E"/>
    <w:rsid w:val="009242B0"/>
    <w:rsid w:val="009244AB"/>
    <w:rsid w:val="009246B2"/>
    <w:rsid w:val="00924917"/>
    <w:rsid w:val="00924F0C"/>
    <w:rsid w:val="0092504F"/>
    <w:rsid w:val="0092507C"/>
    <w:rsid w:val="0092547D"/>
    <w:rsid w:val="00925E93"/>
    <w:rsid w:val="00925EE7"/>
    <w:rsid w:val="00926A9A"/>
    <w:rsid w:val="00926B14"/>
    <w:rsid w:val="00926DE8"/>
    <w:rsid w:val="009275C8"/>
    <w:rsid w:val="009278FF"/>
    <w:rsid w:val="009301C2"/>
    <w:rsid w:val="0093042F"/>
    <w:rsid w:val="00930F69"/>
    <w:rsid w:val="00931113"/>
    <w:rsid w:val="00932381"/>
    <w:rsid w:val="00932AAD"/>
    <w:rsid w:val="0093309C"/>
    <w:rsid w:val="00933BBF"/>
    <w:rsid w:val="00933E2B"/>
    <w:rsid w:val="009340E3"/>
    <w:rsid w:val="00934D5A"/>
    <w:rsid w:val="00934DB5"/>
    <w:rsid w:val="00934F98"/>
    <w:rsid w:val="00935108"/>
    <w:rsid w:val="0093528C"/>
    <w:rsid w:val="00935433"/>
    <w:rsid w:val="00935936"/>
    <w:rsid w:val="00936054"/>
    <w:rsid w:val="0093616E"/>
    <w:rsid w:val="009362C1"/>
    <w:rsid w:val="00936460"/>
    <w:rsid w:val="009366BF"/>
    <w:rsid w:val="00936991"/>
    <w:rsid w:val="0093745E"/>
    <w:rsid w:val="009400DA"/>
    <w:rsid w:val="0094033A"/>
    <w:rsid w:val="00940387"/>
    <w:rsid w:val="0094052E"/>
    <w:rsid w:val="009405B0"/>
    <w:rsid w:val="009409C3"/>
    <w:rsid w:val="00940A3B"/>
    <w:rsid w:val="00940D3E"/>
    <w:rsid w:val="00941055"/>
    <w:rsid w:val="00941D5E"/>
    <w:rsid w:val="0094361C"/>
    <w:rsid w:val="0094463D"/>
    <w:rsid w:val="00944C03"/>
    <w:rsid w:val="00944CB4"/>
    <w:rsid w:val="00944D51"/>
    <w:rsid w:val="009465D4"/>
    <w:rsid w:val="00946E29"/>
    <w:rsid w:val="00946FFF"/>
    <w:rsid w:val="00947AD1"/>
    <w:rsid w:val="00950CAD"/>
    <w:rsid w:val="00951151"/>
    <w:rsid w:val="00951561"/>
    <w:rsid w:val="00951737"/>
    <w:rsid w:val="0095198F"/>
    <w:rsid w:val="00951B0A"/>
    <w:rsid w:val="00951E82"/>
    <w:rsid w:val="009528DF"/>
    <w:rsid w:val="00952C0B"/>
    <w:rsid w:val="009535C5"/>
    <w:rsid w:val="00953621"/>
    <w:rsid w:val="009536F3"/>
    <w:rsid w:val="00953948"/>
    <w:rsid w:val="009542E0"/>
    <w:rsid w:val="009547E5"/>
    <w:rsid w:val="009549FA"/>
    <w:rsid w:val="00954B0A"/>
    <w:rsid w:val="00954F57"/>
    <w:rsid w:val="009552FD"/>
    <w:rsid w:val="00955C29"/>
    <w:rsid w:val="009560C9"/>
    <w:rsid w:val="0095668A"/>
    <w:rsid w:val="00956751"/>
    <w:rsid w:val="00956828"/>
    <w:rsid w:val="00956C21"/>
    <w:rsid w:val="009576A0"/>
    <w:rsid w:val="0095779D"/>
    <w:rsid w:val="00957A78"/>
    <w:rsid w:val="00957D4D"/>
    <w:rsid w:val="00957E13"/>
    <w:rsid w:val="00957F67"/>
    <w:rsid w:val="0096038D"/>
    <w:rsid w:val="00960506"/>
    <w:rsid w:val="00961575"/>
    <w:rsid w:val="009617BE"/>
    <w:rsid w:val="00962382"/>
    <w:rsid w:val="00962CE2"/>
    <w:rsid w:val="00963538"/>
    <w:rsid w:val="009635EF"/>
    <w:rsid w:val="0096375D"/>
    <w:rsid w:val="00963A7B"/>
    <w:rsid w:val="009640BB"/>
    <w:rsid w:val="009647EE"/>
    <w:rsid w:val="00964DED"/>
    <w:rsid w:val="00964E73"/>
    <w:rsid w:val="009651D7"/>
    <w:rsid w:val="00965613"/>
    <w:rsid w:val="00966401"/>
    <w:rsid w:val="0096706F"/>
    <w:rsid w:val="00970151"/>
    <w:rsid w:val="00970B40"/>
    <w:rsid w:val="00971133"/>
    <w:rsid w:val="0097114E"/>
    <w:rsid w:val="00971288"/>
    <w:rsid w:val="009714E5"/>
    <w:rsid w:val="00971B6A"/>
    <w:rsid w:val="0097300B"/>
    <w:rsid w:val="009732D6"/>
    <w:rsid w:val="009735A9"/>
    <w:rsid w:val="009736D3"/>
    <w:rsid w:val="00973A57"/>
    <w:rsid w:val="00973C7C"/>
    <w:rsid w:val="00973D7B"/>
    <w:rsid w:val="00974546"/>
    <w:rsid w:val="00974710"/>
    <w:rsid w:val="00974E69"/>
    <w:rsid w:val="00974FA0"/>
    <w:rsid w:val="0097569F"/>
    <w:rsid w:val="00975798"/>
    <w:rsid w:val="0097597B"/>
    <w:rsid w:val="00975DAC"/>
    <w:rsid w:val="0098169A"/>
    <w:rsid w:val="009824A3"/>
    <w:rsid w:val="009827E2"/>
    <w:rsid w:val="009828CA"/>
    <w:rsid w:val="0098340F"/>
    <w:rsid w:val="009861EC"/>
    <w:rsid w:val="009862D8"/>
    <w:rsid w:val="0098674B"/>
    <w:rsid w:val="0098677E"/>
    <w:rsid w:val="00987317"/>
    <w:rsid w:val="00987FEE"/>
    <w:rsid w:val="0099012D"/>
    <w:rsid w:val="009909AE"/>
    <w:rsid w:val="00990CD1"/>
    <w:rsid w:val="009914DC"/>
    <w:rsid w:val="009924BD"/>
    <w:rsid w:val="00992511"/>
    <w:rsid w:val="00992689"/>
    <w:rsid w:val="009926B8"/>
    <w:rsid w:val="0099413C"/>
    <w:rsid w:val="00994607"/>
    <w:rsid w:val="00995140"/>
    <w:rsid w:val="009954FA"/>
    <w:rsid w:val="00995DF7"/>
    <w:rsid w:val="00995E19"/>
    <w:rsid w:val="00995E51"/>
    <w:rsid w:val="009960D8"/>
    <w:rsid w:val="00997768"/>
    <w:rsid w:val="00997993"/>
    <w:rsid w:val="009A0193"/>
    <w:rsid w:val="009A01FF"/>
    <w:rsid w:val="009A0E7F"/>
    <w:rsid w:val="009A1430"/>
    <w:rsid w:val="009A281D"/>
    <w:rsid w:val="009A286F"/>
    <w:rsid w:val="009A2CD6"/>
    <w:rsid w:val="009A2F06"/>
    <w:rsid w:val="009A3569"/>
    <w:rsid w:val="009A371B"/>
    <w:rsid w:val="009A3B62"/>
    <w:rsid w:val="009A3EB7"/>
    <w:rsid w:val="009A40A8"/>
    <w:rsid w:val="009A543B"/>
    <w:rsid w:val="009A5489"/>
    <w:rsid w:val="009A5E4C"/>
    <w:rsid w:val="009A5EAA"/>
    <w:rsid w:val="009A6486"/>
    <w:rsid w:val="009A6547"/>
    <w:rsid w:val="009A69C5"/>
    <w:rsid w:val="009A71DD"/>
    <w:rsid w:val="009A7787"/>
    <w:rsid w:val="009A7F4A"/>
    <w:rsid w:val="009B0602"/>
    <w:rsid w:val="009B0AE5"/>
    <w:rsid w:val="009B1492"/>
    <w:rsid w:val="009B15AD"/>
    <w:rsid w:val="009B1794"/>
    <w:rsid w:val="009B1973"/>
    <w:rsid w:val="009B2BC4"/>
    <w:rsid w:val="009B2C9D"/>
    <w:rsid w:val="009B2D84"/>
    <w:rsid w:val="009B2E4F"/>
    <w:rsid w:val="009B3448"/>
    <w:rsid w:val="009B3489"/>
    <w:rsid w:val="009B3610"/>
    <w:rsid w:val="009B573D"/>
    <w:rsid w:val="009B5B15"/>
    <w:rsid w:val="009B5C1C"/>
    <w:rsid w:val="009B6024"/>
    <w:rsid w:val="009B65DD"/>
    <w:rsid w:val="009B661E"/>
    <w:rsid w:val="009B6733"/>
    <w:rsid w:val="009B76C5"/>
    <w:rsid w:val="009B78D1"/>
    <w:rsid w:val="009B79A1"/>
    <w:rsid w:val="009B7A67"/>
    <w:rsid w:val="009C09AB"/>
    <w:rsid w:val="009C0AC5"/>
    <w:rsid w:val="009C0CEC"/>
    <w:rsid w:val="009C187E"/>
    <w:rsid w:val="009C1B1A"/>
    <w:rsid w:val="009C28A4"/>
    <w:rsid w:val="009C2CF4"/>
    <w:rsid w:val="009C3B91"/>
    <w:rsid w:val="009C3C1E"/>
    <w:rsid w:val="009C405A"/>
    <w:rsid w:val="009C473F"/>
    <w:rsid w:val="009C4A27"/>
    <w:rsid w:val="009C4F0F"/>
    <w:rsid w:val="009C5733"/>
    <w:rsid w:val="009C5B24"/>
    <w:rsid w:val="009C6A31"/>
    <w:rsid w:val="009C6B0F"/>
    <w:rsid w:val="009C79B7"/>
    <w:rsid w:val="009D0058"/>
    <w:rsid w:val="009D00E3"/>
    <w:rsid w:val="009D0B51"/>
    <w:rsid w:val="009D1323"/>
    <w:rsid w:val="009D1BA6"/>
    <w:rsid w:val="009D1CCC"/>
    <w:rsid w:val="009D235D"/>
    <w:rsid w:val="009D2673"/>
    <w:rsid w:val="009D304F"/>
    <w:rsid w:val="009D5258"/>
    <w:rsid w:val="009D5259"/>
    <w:rsid w:val="009D58ED"/>
    <w:rsid w:val="009D5A6E"/>
    <w:rsid w:val="009D5EC8"/>
    <w:rsid w:val="009D6707"/>
    <w:rsid w:val="009D697A"/>
    <w:rsid w:val="009D69B6"/>
    <w:rsid w:val="009D6B76"/>
    <w:rsid w:val="009D6ECD"/>
    <w:rsid w:val="009D72B5"/>
    <w:rsid w:val="009D7543"/>
    <w:rsid w:val="009E01B6"/>
    <w:rsid w:val="009E0322"/>
    <w:rsid w:val="009E0568"/>
    <w:rsid w:val="009E1201"/>
    <w:rsid w:val="009E160E"/>
    <w:rsid w:val="009E16E5"/>
    <w:rsid w:val="009E186F"/>
    <w:rsid w:val="009E1ECF"/>
    <w:rsid w:val="009E2892"/>
    <w:rsid w:val="009E29F9"/>
    <w:rsid w:val="009E30A4"/>
    <w:rsid w:val="009E399F"/>
    <w:rsid w:val="009E410B"/>
    <w:rsid w:val="009E4215"/>
    <w:rsid w:val="009E42B5"/>
    <w:rsid w:val="009E4459"/>
    <w:rsid w:val="009E5051"/>
    <w:rsid w:val="009E527E"/>
    <w:rsid w:val="009E5B18"/>
    <w:rsid w:val="009E5DBE"/>
    <w:rsid w:val="009E6E52"/>
    <w:rsid w:val="009E719D"/>
    <w:rsid w:val="009E745C"/>
    <w:rsid w:val="009E7B3C"/>
    <w:rsid w:val="009E7B52"/>
    <w:rsid w:val="009E7CC5"/>
    <w:rsid w:val="009F02A0"/>
    <w:rsid w:val="009F0933"/>
    <w:rsid w:val="009F1DF6"/>
    <w:rsid w:val="009F2182"/>
    <w:rsid w:val="009F2590"/>
    <w:rsid w:val="009F2A7D"/>
    <w:rsid w:val="009F2E98"/>
    <w:rsid w:val="009F33AC"/>
    <w:rsid w:val="009F3F07"/>
    <w:rsid w:val="009F405D"/>
    <w:rsid w:val="009F49B3"/>
    <w:rsid w:val="009F5678"/>
    <w:rsid w:val="009F58D8"/>
    <w:rsid w:val="009F5FB3"/>
    <w:rsid w:val="009F6064"/>
    <w:rsid w:val="009F625D"/>
    <w:rsid w:val="009F632B"/>
    <w:rsid w:val="009F661D"/>
    <w:rsid w:val="009F671F"/>
    <w:rsid w:val="009F6B6A"/>
    <w:rsid w:val="009F6F6B"/>
    <w:rsid w:val="009F78F1"/>
    <w:rsid w:val="009F7B80"/>
    <w:rsid w:val="00A00081"/>
    <w:rsid w:val="00A0011E"/>
    <w:rsid w:val="00A001C7"/>
    <w:rsid w:val="00A0050D"/>
    <w:rsid w:val="00A00831"/>
    <w:rsid w:val="00A00B7E"/>
    <w:rsid w:val="00A00BCB"/>
    <w:rsid w:val="00A0126F"/>
    <w:rsid w:val="00A01741"/>
    <w:rsid w:val="00A01DE3"/>
    <w:rsid w:val="00A01FA0"/>
    <w:rsid w:val="00A030D3"/>
    <w:rsid w:val="00A03212"/>
    <w:rsid w:val="00A03469"/>
    <w:rsid w:val="00A03C28"/>
    <w:rsid w:val="00A04679"/>
    <w:rsid w:val="00A04ACF"/>
    <w:rsid w:val="00A04B67"/>
    <w:rsid w:val="00A04DD7"/>
    <w:rsid w:val="00A05049"/>
    <w:rsid w:val="00A05086"/>
    <w:rsid w:val="00A06860"/>
    <w:rsid w:val="00A0712A"/>
    <w:rsid w:val="00A07FE5"/>
    <w:rsid w:val="00A10BA4"/>
    <w:rsid w:val="00A11952"/>
    <w:rsid w:val="00A11DED"/>
    <w:rsid w:val="00A11FE4"/>
    <w:rsid w:val="00A121E1"/>
    <w:rsid w:val="00A12EF3"/>
    <w:rsid w:val="00A130C6"/>
    <w:rsid w:val="00A13E29"/>
    <w:rsid w:val="00A1470B"/>
    <w:rsid w:val="00A14B47"/>
    <w:rsid w:val="00A15233"/>
    <w:rsid w:val="00A15F3C"/>
    <w:rsid w:val="00A16863"/>
    <w:rsid w:val="00A176D9"/>
    <w:rsid w:val="00A2060C"/>
    <w:rsid w:val="00A20A72"/>
    <w:rsid w:val="00A21630"/>
    <w:rsid w:val="00A21A2D"/>
    <w:rsid w:val="00A22032"/>
    <w:rsid w:val="00A22876"/>
    <w:rsid w:val="00A22938"/>
    <w:rsid w:val="00A23814"/>
    <w:rsid w:val="00A2398A"/>
    <w:rsid w:val="00A23B83"/>
    <w:rsid w:val="00A240C6"/>
    <w:rsid w:val="00A245AD"/>
    <w:rsid w:val="00A24892"/>
    <w:rsid w:val="00A24FCC"/>
    <w:rsid w:val="00A2513A"/>
    <w:rsid w:val="00A252C6"/>
    <w:rsid w:val="00A25395"/>
    <w:rsid w:val="00A2633D"/>
    <w:rsid w:val="00A266E3"/>
    <w:rsid w:val="00A26BC6"/>
    <w:rsid w:val="00A270EA"/>
    <w:rsid w:val="00A27680"/>
    <w:rsid w:val="00A30089"/>
    <w:rsid w:val="00A30354"/>
    <w:rsid w:val="00A30FCC"/>
    <w:rsid w:val="00A3129B"/>
    <w:rsid w:val="00A313D7"/>
    <w:rsid w:val="00A321F3"/>
    <w:rsid w:val="00A32C6A"/>
    <w:rsid w:val="00A32EA9"/>
    <w:rsid w:val="00A33844"/>
    <w:rsid w:val="00A33971"/>
    <w:rsid w:val="00A33A65"/>
    <w:rsid w:val="00A34254"/>
    <w:rsid w:val="00A348D8"/>
    <w:rsid w:val="00A34F79"/>
    <w:rsid w:val="00A355D7"/>
    <w:rsid w:val="00A35AD0"/>
    <w:rsid w:val="00A35CC9"/>
    <w:rsid w:val="00A3658D"/>
    <w:rsid w:val="00A36619"/>
    <w:rsid w:val="00A368EE"/>
    <w:rsid w:val="00A36C76"/>
    <w:rsid w:val="00A3749F"/>
    <w:rsid w:val="00A374F9"/>
    <w:rsid w:val="00A379C7"/>
    <w:rsid w:val="00A379E0"/>
    <w:rsid w:val="00A40280"/>
    <w:rsid w:val="00A408E9"/>
    <w:rsid w:val="00A4167A"/>
    <w:rsid w:val="00A418AC"/>
    <w:rsid w:val="00A41AF5"/>
    <w:rsid w:val="00A41B7E"/>
    <w:rsid w:val="00A41F99"/>
    <w:rsid w:val="00A42523"/>
    <w:rsid w:val="00A427B5"/>
    <w:rsid w:val="00A428EF"/>
    <w:rsid w:val="00A42D26"/>
    <w:rsid w:val="00A42F99"/>
    <w:rsid w:val="00A4344A"/>
    <w:rsid w:val="00A43CE3"/>
    <w:rsid w:val="00A43EC9"/>
    <w:rsid w:val="00A44210"/>
    <w:rsid w:val="00A44A3E"/>
    <w:rsid w:val="00A45451"/>
    <w:rsid w:val="00A45C3D"/>
    <w:rsid w:val="00A45D77"/>
    <w:rsid w:val="00A46192"/>
    <w:rsid w:val="00A46B83"/>
    <w:rsid w:val="00A46DB7"/>
    <w:rsid w:val="00A46F34"/>
    <w:rsid w:val="00A479E7"/>
    <w:rsid w:val="00A47A09"/>
    <w:rsid w:val="00A50725"/>
    <w:rsid w:val="00A507BE"/>
    <w:rsid w:val="00A50ADC"/>
    <w:rsid w:val="00A50B50"/>
    <w:rsid w:val="00A50BA0"/>
    <w:rsid w:val="00A50D5B"/>
    <w:rsid w:val="00A50D84"/>
    <w:rsid w:val="00A50E9A"/>
    <w:rsid w:val="00A51BB9"/>
    <w:rsid w:val="00A5263B"/>
    <w:rsid w:val="00A527F7"/>
    <w:rsid w:val="00A52AFD"/>
    <w:rsid w:val="00A52E44"/>
    <w:rsid w:val="00A52FA2"/>
    <w:rsid w:val="00A53341"/>
    <w:rsid w:val="00A53735"/>
    <w:rsid w:val="00A53E92"/>
    <w:rsid w:val="00A5515B"/>
    <w:rsid w:val="00A554B6"/>
    <w:rsid w:val="00A557D0"/>
    <w:rsid w:val="00A55936"/>
    <w:rsid w:val="00A5633F"/>
    <w:rsid w:val="00A5646E"/>
    <w:rsid w:val="00A565A9"/>
    <w:rsid w:val="00A56D66"/>
    <w:rsid w:val="00A57341"/>
    <w:rsid w:val="00A5738A"/>
    <w:rsid w:val="00A57430"/>
    <w:rsid w:val="00A574BF"/>
    <w:rsid w:val="00A603B8"/>
    <w:rsid w:val="00A605BE"/>
    <w:rsid w:val="00A6060E"/>
    <w:rsid w:val="00A61083"/>
    <w:rsid w:val="00A61611"/>
    <w:rsid w:val="00A61690"/>
    <w:rsid w:val="00A6170A"/>
    <w:rsid w:val="00A61DA3"/>
    <w:rsid w:val="00A62120"/>
    <w:rsid w:val="00A62132"/>
    <w:rsid w:val="00A62EE8"/>
    <w:rsid w:val="00A62FE8"/>
    <w:rsid w:val="00A6323F"/>
    <w:rsid w:val="00A6348A"/>
    <w:rsid w:val="00A6366E"/>
    <w:rsid w:val="00A63C35"/>
    <w:rsid w:val="00A63DEC"/>
    <w:rsid w:val="00A646CC"/>
    <w:rsid w:val="00A6490C"/>
    <w:rsid w:val="00A64AE9"/>
    <w:rsid w:val="00A65155"/>
    <w:rsid w:val="00A651F2"/>
    <w:rsid w:val="00A654B3"/>
    <w:rsid w:val="00A66451"/>
    <w:rsid w:val="00A66856"/>
    <w:rsid w:val="00A66AD8"/>
    <w:rsid w:val="00A66FB5"/>
    <w:rsid w:val="00A6711E"/>
    <w:rsid w:val="00A6727B"/>
    <w:rsid w:val="00A67E97"/>
    <w:rsid w:val="00A67F78"/>
    <w:rsid w:val="00A70319"/>
    <w:rsid w:val="00A7049A"/>
    <w:rsid w:val="00A7049C"/>
    <w:rsid w:val="00A70666"/>
    <w:rsid w:val="00A7091D"/>
    <w:rsid w:val="00A70AE8"/>
    <w:rsid w:val="00A70B57"/>
    <w:rsid w:val="00A70ECE"/>
    <w:rsid w:val="00A70F23"/>
    <w:rsid w:val="00A70FA9"/>
    <w:rsid w:val="00A7176B"/>
    <w:rsid w:val="00A71905"/>
    <w:rsid w:val="00A71A91"/>
    <w:rsid w:val="00A71F2E"/>
    <w:rsid w:val="00A721C0"/>
    <w:rsid w:val="00A72E10"/>
    <w:rsid w:val="00A733FE"/>
    <w:rsid w:val="00A734B5"/>
    <w:rsid w:val="00A73B33"/>
    <w:rsid w:val="00A73B69"/>
    <w:rsid w:val="00A74C75"/>
    <w:rsid w:val="00A76CC6"/>
    <w:rsid w:val="00A77376"/>
    <w:rsid w:val="00A7762B"/>
    <w:rsid w:val="00A8061A"/>
    <w:rsid w:val="00A8112F"/>
    <w:rsid w:val="00A8334D"/>
    <w:rsid w:val="00A83953"/>
    <w:rsid w:val="00A83AE8"/>
    <w:rsid w:val="00A84D04"/>
    <w:rsid w:val="00A85436"/>
    <w:rsid w:val="00A855C7"/>
    <w:rsid w:val="00A860FD"/>
    <w:rsid w:val="00A8620C"/>
    <w:rsid w:val="00A86935"/>
    <w:rsid w:val="00A87654"/>
    <w:rsid w:val="00A87C5A"/>
    <w:rsid w:val="00A87F27"/>
    <w:rsid w:val="00A90B9F"/>
    <w:rsid w:val="00A90D4B"/>
    <w:rsid w:val="00A90DA1"/>
    <w:rsid w:val="00A9133A"/>
    <w:rsid w:val="00A91BCB"/>
    <w:rsid w:val="00A91DF8"/>
    <w:rsid w:val="00A92BBE"/>
    <w:rsid w:val="00A941D3"/>
    <w:rsid w:val="00A9499F"/>
    <w:rsid w:val="00A94B7F"/>
    <w:rsid w:val="00A94DF2"/>
    <w:rsid w:val="00A9508D"/>
    <w:rsid w:val="00A955B9"/>
    <w:rsid w:val="00A95C34"/>
    <w:rsid w:val="00A95F9C"/>
    <w:rsid w:val="00A961BB"/>
    <w:rsid w:val="00A963D5"/>
    <w:rsid w:val="00A96527"/>
    <w:rsid w:val="00A968AD"/>
    <w:rsid w:val="00A96BFC"/>
    <w:rsid w:val="00A96E47"/>
    <w:rsid w:val="00A96F10"/>
    <w:rsid w:val="00A9708E"/>
    <w:rsid w:val="00A977D4"/>
    <w:rsid w:val="00AA03F4"/>
    <w:rsid w:val="00AA0E00"/>
    <w:rsid w:val="00AA1894"/>
    <w:rsid w:val="00AA1E82"/>
    <w:rsid w:val="00AA2019"/>
    <w:rsid w:val="00AA2401"/>
    <w:rsid w:val="00AA2654"/>
    <w:rsid w:val="00AA2881"/>
    <w:rsid w:val="00AA2D27"/>
    <w:rsid w:val="00AA2D97"/>
    <w:rsid w:val="00AA2E08"/>
    <w:rsid w:val="00AA375F"/>
    <w:rsid w:val="00AA38BB"/>
    <w:rsid w:val="00AA3ACA"/>
    <w:rsid w:val="00AA3D83"/>
    <w:rsid w:val="00AA494B"/>
    <w:rsid w:val="00AA4AD3"/>
    <w:rsid w:val="00AA4B35"/>
    <w:rsid w:val="00AA54E5"/>
    <w:rsid w:val="00AA57DC"/>
    <w:rsid w:val="00AA5EB5"/>
    <w:rsid w:val="00AA61C0"/>
    <w:rsid w:val="00AA646B"/>
    <w:rsid w:val="00AA647D"/>
    <w:rsid w:val="00AA677F"/>
    <w:rsid w:val="00AA71B0"/>
    <w:rsid w:val="00AA7485"/>
    <w:rsid w:val="00AB0205"/>
    <w:rsid w:val="00AB0719"/>
    <w:rsid w:val="00AB0770"/>
    <w:rsid w:val="00AB0A99"/>
    <w:rsid w:val="00AB13F6"/>
    <w:rsid w:val="00AB172C"/>
    <w:rsid w:val="00AB28E0"/>
    <w:rsid w:val="00AB2A3B"/>
    <w:rsid w:val="00AB2C32"/>
    <w:rsid w:val="00AB35F2"/>
    <w:rsid w:val="00AB387D"/>
    <w:rsid w:val="00AB3F23"/>
    <w:rsid w:val="00AB40D4"/>
    <w:rsid w:val="00AB441C"/>
    <w:rsid w:val="00AB46B7"/>
    <w:rsid w:val="00AB4844"/>
    <w:rsid w:val="00AB497E"/>
    <w:rsid w:val="00AB4BDB"/>
    <w:rsid w:val="00AB4C03"/>
    <w:rsid w:val="00AB4D42"/>
    <w:rsid w:val="00AB5237"/>
    <w:rsid w:val="00AB5851"/>
    <w:rsid w:val="00AB6455"/>
    <w:rsid w:val="00AB66A5"/>
    <w:rsid w:val="00AB6883"/>
    <w:rsid w:val="00AB6C9E"/>
    <w:rsid w:val="00AB7409"/>
    <w:rsid w:val="00AB76C5"/>
    <w:rsid w:val="00AC00D0"/>
    <w:rsid w:val="00AC01C3"/>
    <w:rsid w:val="00AC0251"/>
    <w:rsid w:val="00AC03BC"/>
    <w:rsid w:val="00AC056D"/>
    <w:rsid w:val="00AC0A1D"/>
    <w:rsid w:val="00AC0A27"/>
    <w:rsid w:val="00AC2A41"/>
    <w:rsid w:val="00AC301B"/>
    <w:rsid w:val="00AC3063"/>
    <w:rsid w:val="00AC34FF"/>
    <w:rsid w:val="00AC3A1F"/>
    <w:rsid w:val="00AC406D"/>
    <w:rsid w:val="00AC5366"/>
    <w:rsid w:val="00AC63AF"/>
    <w:rsid w:val="00AC65AF"/>
    <w:rsid w:val="00AC6B65"/>
    <w:rsid w:val="00AC6D88"/>
    <w:rsid w:val="00AC6E74"/>
    <w:rsid w:val="00AC7E37"/>
    <w:rsid w:val="00AD0224"/>
    <w:rsid w:val="00AD1124"/>
    <w:rsid w:val="00AD1485"/>
    <w:rsid w:val="00AD31FE"/>
    <w:rsid w:val="00AD3690"/>
    <w:rsid w:val="00AD3AAA"/>
    <w:rsid w:val="00AD486A"/>
    <w:rsid w:val="00AD4F26"/>
    <w:rsid w:val="00AD5B8E"/>
    <w:rsid w:val="00AD65E4"/>
    <w:rsid w:val="00AD6E41"/>
    <w:rsid w:val="00AD7351"/>
    <w:rsid w:val="00AD7725"/>
    <w:rsid w:val="00AD7B57"/>
    <w:rsid w:val="00AD7C4D"/>
    <w:rsid w:val="00AD7F0C"/>
    <w:rsid w:val="00AE0A55"/>
    <w:rsid w:val="00AE0A9E"/>
    <w:rsid w:val="00AE0E33"/>
    <w:rsid w:val="00AE250C"/>
    <w:rsid w:val="00AE2C4A"/>
    <w:rsid w:val="00AE3349"/>
    <w:rsid w:val="00AE4016"/>
    <w:rsid w:val="00AE408E"/>
    <w:rsid w:val="00AE44D7"/>
    <w:rsid w:val="00AE46E9"/>
    <w:rsid w:val="00AE4931"/>
    <w:rsid w:val="00AE51D7"/>
    <w:rsid w:val="00AE5734"/>
    <w:rsid w:val="00AE5BE3"/>
    <w:rsid w:val="00AE5DE0"/>
    <w:rsid w:val="00AE66D7"/>
    <w:rsid w:val="00AE6792"/>
    <w:rsid w:val="00AE6FA5"/>
    <w:rsid w:val="00AE78B6"/>
    <w:rsid w:val="00AE78E8"/>
    <w:rsid w:val="00AF0110"/>
    <w:rsid w:val="00AF0526"/>
    <w:rsid w:val="00AF05A5"/>
    <w:rsid w:val="00AF05A7"/>
    <w:rsid w:val="00AF06CD"/>
    <w:rsid w:val="00AF198F"/>
    <w:rsid w:val="00AF1A0C"/>
    <w:rsid w:val="00AF1D6E"/>
    <w:rsid w:val="00AF277F"/>
    <w:rsid w:val="00AF2F00"/>
    <w:rsid w:val="00AF4BA0"/>
    <w:rsid w:val="00AF596A"/>
    <w:rsid w:val="00AF5C50"/>
    <w:rsid w:val="00AF6AFF"/>
    <w:rsid w:val="00AF6D02"/>
    <w:rsid w:val="00AF6F6D"/>
    <w:rsid w:val="00AF726B"/>
    <w:rsid w:val="00AF7375"/>
    <w:rsid w:val="00AF7C93"/>
    <w:rsid w:val="00B00755"/>
    <w:rsid w:val="00B00A9C"/>
    <w:rsid w:val="00B00FAA"/>
    <w:rsid w:val="00B011FF"/>
    <w:rsid w:val="00B016F2"/>
    <w:rsid w:val="00B01F8F"/>
    <w:rsid w:val="00B02D8F"/>
    <w:rsid w:val="00B0306F"/>
    <w:rsid w:val="00B03530"/>
    <w:rsid w:val="00B04241"/>
    <w:rsid w:val="00B04300"/>
    <w:rsid w:val="00B047B2"/>
    <w:rsid w:val="00B047C0"/>
    <w:rsid w:val="00B051A7"/>
    <w:rsid w:val="00B05C5A"/>
    <w:rsid w:val="00B0602D"/>
    <w:rsid w:val="00B07690"/>
    <w:rsid w:val="00B07C8D"/>
    <w:rsid w:val="00B1036D"/>
    <w:rsid w:val="00B10780"/>
    <w:rsid w:val="00B109DD"/>
    <w:rsid w:val="00B10F42"/>
    <w:rsid w:val="00B11624"/>
    <w:rsid w:val="00B11862"/>
    <w:rsid w:val="00B11D6E"/>
    <w:rsid w:val="00B11E5E"/>
    <w:rsid w:val="00B123F6"/>
    <w:rsid w:val="00B124FA"/>
    <w:rsid w:val="00B12528"/>
    <w:rsid w:val="00B129AC"/>
    <w:rsid w:val="00B12A43"/>
    <w:rsid w:val="00B13463"/>
    <w:rsid w:val="00B13C56"/>
    <w:rsid w:val="00B142E6"/>
    <w:rsid w:val="00B15477"/>
    <w:rsid w:val="00B16326"/>
    <w:rsid w:val="00B1635F"/>
    <w:rsid w:val="00B16E40"/>
    <w:rsid w:val="00B16F86"/>
    <w:rsid w:val="00B17310"/>
    <w:rsid w:val="00B1750A"/>
    <w:rsid w:val="00B17670"/>
    <w:rsid w:val="00B17740"/>
    <w:rsid w:val="00B17BCB"/>
    <w:rsid w:val="00B20057"/>
    <w:rsid w:val="00B20872"/>
    <w:rsid w:val="00B20CDA"/>
    <w:rsid w:val="00B21662"/>
    <w:rsid w:val="00B21D11"/>
    <w:rsid w:val="00B21E6A"/>
    <w:rsid w:val="00B228A3"/>
    <w:rsid w:val="00B23647"/>
    <w:rsid w:val="00B2365E"/>
    <w:rsid w:val="00B2373D"/>
    <w:rsid w:val="00B23782"/>
    <w:rsid w:val="00B23862"/>
    <w:rsid w:val="00B23E04"/>
    <w:rsid w:val="00B241A7"/>
    <w:rsid w:val="00B24C33"/>
    <w:rsid w:val="00B25319"/>
    <w:rsid w:val="00B25516"/>
    <w:rsid w:val="00B25957"/>
    <w:rsid w:val="00B25F62"/>
    <w:rsid w:val="00B266EA"/>
    <w:rsid w:val="00B267B2"/>
    <w:rsid w:val="00B26954"/>
    <w:rsid w:val="00B26D44"/>
    <w:rsid w:val="00B2709D"/>
    <w:rsid w:val="00B27CBF"/>
    <w:rsid w:val="00B27D06"/>
    <w:rsid w:val="00B30493"/>
    <w:rsid w:val="00B309CA"/>
    <w:rsid w:val="00B30B1F"/>
    <w:rsid w:val="00B30CD6"/>
    <w:rsid w:val="00B30CE4"/>
    <w:rsid w:val="00B30DB0"/>
    <w:rsid w:val="00B31763"/>
    <w:rsid w:val="00B319E5"/>
    <w:rsid w:val="00B320C1"/>
    <w:rsid w:val="00B321AC"/>
    <w:rsid w:val="00B32335"/>
    <w:rsid w:val="00B3291A"/>
    <w:rsid w:val="00B33F98"/>
    <w:rsid w:val="00B343CA"/>
    <w:rsid w:val="00B344C9"/>
    <w:rsid w:val="00B353D8"/>
    <w:rsid w:val="00B3567F"/>
    <w:rsid w:val="00B359EF"/>
    <w:rsid w:val="00B35C37"/>
    <w:rsid w:val="00B35EBA"/>
    <w:rsid w:val="00B36747"/>
    <w:rsid w:val="00B36F30"/>
    <w:rsid w:val="00B371F9"/>
    <w:rsid w:val="00B37576"/>
    <w:rsid w:val="00B379BC"/>
    <w:rsid w:val="00B37E5A"/>
    <w:rsid w:val="00B37FAA"/>
    <w:rsid w:val="00B4122B"/>
    <w:rsid w:val="00B428B4"/>
    <w:rsid w:val="00B42D88"/>
    <w:rsid w:val="00B43335"/>
    <w:rsid w:val="00B438A3"/>
    <w:rsid w:val="00B447BB"/>
    <w:rsid w:val="00B447D7"/>
    <w:rsid w:val="00B4482E"/>
    <w:rsid w:val="00B4497E"/>
    <w:rsid w:val="00B44B9F"/>
    <w:rsid w:val="00B44F7B"/>
    <w:rsid w:val="00B45000"/>
    <w:rsid w:val="00B451BD"/>
    <w:rsid w:val="00B456E4"/>
    <w:rsid w:val="00B457BA"/>
    <w:rsid w:val="00B4599B"/>
    <w:rsid w:val="00B46167"/>
    <w:rsid w:val="00B46371"/>
    <w:rsid w:val="00B4639B"/>
    <w:rsid w:val="00B46442"/>
    <w:rsid w:val="00B473CB"/>
    <w:rsid w:val="00B47F2F"/>
    <w:rsid w:val="00B500DD"/>
    <w:rsid w:val="00B503EE"/>
    <w:rsid w:val="00B5129F"/>
    <w:rsid w:val="00B51B35"/>
    <w:rsid w:val="00B51CA4"/>
    <w:rsid w:val="00B51CF2"/>
    <w:rsid w:val="00B5205B"/>
    <w:rsid w:val="00B52150"/>
    <w:rsid w:val="00B53208"/>
    <w:rsid w:val="00B53AF2"/>
    <w:rsid w:val="00B54107"/>
    <w:rsid w:val="00B54963"/>
    <w:rsid w:val="00B54A45"/>
    <w:rsid w:val="00B54E70"/>
    <w:rsid w:val="00B55A5D"/>
    <w:rsid w:val="00B55E83"/>
    <w:rsid w:val="00B56614"/>
    <w:rsid w:val="00B56A66"/>
    <w:rsid w:val="00B56DE6"/>
    <w:rsid w:val="00B56E3C"/>
    <w:rsid w:val="00B56F5C"/>
    <w:rsid w:val="00B5752F"/>
    <w:rsid w:val="00B6022F"/>
    <w:rsid w:val="00B60A9E"/>
    <w:rsid w:val="00B6100F"/>
    <w:rsid w:val="00B61B68"/>
    <w:rsid w:val="00B61EF8"/>
    <w:rsid w:val="00B622DF"/>
    <w:rsid w:val="00B62521"/>
    <w:rsid w:val="00B62664"/>
    <w:rsid w:val="00B62D71"/>
    <w:rsid w:val="00B630E3"/>
    <w:rsid w:val="00B63794"/>
    <w:rsid w:val="00B63C09"/>
    <w:rsid w:val="00B63F13"/>
    <w:rsid w:val="00B64780"/>
    <w:rsid w:val="00B64952"/>
    <w:rsid w:val="00B649C9"/>
    <w:rsid w:val="00B64D23"/>
    <w:rsid w:val="00B657FD"/>
    <w:rsid w:val="00B6593A"/>
    <w:rsid w:val="00B65CA0"/>
    <w:rsid w:val="00B65CCC"/>
    <w:rsid w:val="00B65ED3"/>
    <w:rsid w:val="00B6624A"/>
    <w:rsid w:val="00B668F0"/>
    <w:rsid w:val="00B66F6E"/>
    <w:rsid w:val="00B67312"/>
    <w:rsid w:val="00B673CA"/>
    <w:rsid w:val="00B676FD"/>
    <w:rsid w:val="00B677F5"/>
    <w:rsid w:val="00B67813"/>
    <w:rsid w:val="00B703F0"/>
    <w:rsid w:val="00B70A21"/>
    <w:rsid w:val="00B7237C"/>
    <w:rsid w:val="00B72408"/>
    <w:rsid w:val="00B7276D"/>
    <w:rsid w:val="00B72BAF"/>
    <w:rsid w:val="00B72E9A"/>
    <w:rsid w:val="00B7380D"/>
    <w:rsid w:val="00B7408D"/>
    <w:rsid w:val="00B744A0"/>
    <w:rsid w:val="00B744BD"/>
    <w:rsid w:val="00B745B9"/>
    <w:rsid w:val="00B74855"/>
    <w:rsid w:val="00B75061"/>
    <w:rsid w:val="00B75382"/>
    <w:rsid w:val="00B75611"/>
    <w:rsid w:val="00B7562A"/>
    <w:rsid w:val="00B75A75"/>
    <w:rsid w:val="00B75B44"/>
    <w:rsid w:val="00B75E01"/>
    <w:rsid w:val="00B76076"/>
    <w:rsid w:val="00B76166"/>
    <w:rsid w:val="00B762FC"/>
    <w:rsid w:val="00B765B1"/>
    <w:rsid w:val="00B802DD"/>
    <w:rsid w:val="00B80788"/>
    <w:rsid w:val="00B80A5F"/>
    <w:rsid w:val="00B81142"/>
    <w:rsid w:val="00B81622"/>
    <w:rsid w:val="00B818F7"/>
    <w:rsid w:val="00B819D8"/>
    <w:rsid w:val="00B82281"/>
    <w:rsid w:val="00B822FD"/>
    <w:rsid w:val="00B82655"/>
    <w:rsid w:val="00B82D03"/>
    <w:rsid w:val="00B83A0B"/>
    <w:rsid w:val="00B8403B"/>
    <w:rsid w:val="00B8430B"/>
    <w:rsid w:val="00B844A6"/>
    <w:rsid w:val="00B85496"/>
    <w:rsid w:val="00B857CA"/>
    <w:rsid w:val="00B85E82"/>
    <w:rsid w:val="00B87AAC"/>
    <w:rsid w:val="00B90AB3"/>
    <w:rsid w:val="00B90E47"/>
    <w:rsid w:val="00B9127E"/>
    <w:rsid w:val="00B91610"/>
    <w:rsid w:val="00B919E4"/>
    <w:rsid w:val="00B924F0"/>
    <w:rsid w:val="00B92D56"/>
    <w:rsid w:val="00B92F6D"/>
    <w:rsid w:val="00B93BA2"/>
    <w:rsid w:val="00B93BAC"/>
    <w:rsid w:val="00B93D18"/>
    <w:rsid w:val="00B940DA"/>
    <w:rsid w:val="00B941E0"/>
    <w:rsid w:val="00B95FF8"/>
    <w:rsid w:val="00B96A5C"/>
    <w:rsid w:val="00B96D6C"/>
    <w:rsid w:val="00B96F46"/>
    <w:rsid w:val="00B972A1"/>
    <w:rsid w:val="00B97F68"/>
    <w:rsid w:val="00B97FC6"/>
    <w:rsid w:val="00BA05AA"/>
    <w:rsid w:val="00BA0772"/>
    <w:rsid w:val="00BA0E27"/>
    <w:rsid w:val="00BA1463"/>
    <w:rsid w:val="00BA249A"/>
    <w:rsid w:val="00BA2624"/>
    <w:rsid w:val="00BA2780"/>
    <w:rsid w:val="00BA31B0"/>
    <w:rsid w:val="00BA31BB"/>
    <w:rsid w:val="00BA362E"/>
    <w:rsid w:val="00BA4461"/>
    <w:rsid w:val="00BA478A"/>
    <w:rsid w:val="00BA4B60"/>
    <w:rsid w:val="00BA4C51"/>
    <w:rsid w:val="00BA5067"/>
    <w:rsid w:val="00BA52C4"/>
    <w:rsid w:val="00BA57FD"/>
    <w:rsid w:val="00BA5886"/>
    <w:rsid w:val="00BA5E7A"/>
    <w:rsid w:val="00BA61CF"/>
    <w:rsid w:val="00BA6E7F"/>
    <w:rsid w:val="00BA733F"/>
    <w:rsid w:val="00BA73F8"/>
    <w:rsid w:val="00BA7DF8"/>
    <w:rsid w:val="00BB087B"/>
    <w:rsid w:val="00BB103D"/>
    <w:rsid w:val="00BB176D"/>
    <w:rsid w:val="00BB1FB4"/>
    <w:rsid w:val="00BB2528"/>
    <w:rsid w:val="00BB2CDA"/>
    <w:rsid w:val="00BB2DF0"/>
    <w:rsid w:val="00BB2F0B"/>
    <w:rsid w:val="00BB394D"/>
    <w:rsid w:val="00BB3D0B"/>
    <w:rsid w:val="00BB4050"/>
    <w:rsid w:val="00BB40C6"/>
    <w:rsid w:val="00BB4380"/>
    <w:rsid w:val="00BB559A"/>
    <w:rsid w:val="00BB5717"/>
    <w:rsid w:val="00BB5E72"/>
    <w:rsid w:val="00BB6C68"/>
    <w:rsid w:val="00BB6E6F"/>
    <w:rsid w:val="00BB72E7"/>
    <w:rsid w:val="00BB7746"/>
    <w:rsid w:val="00BC0461"/>
    <w:rsid w:val="00BC05D4"/>
    <w:rsid w:val="00BC11A5"/>
    <w:rsid w:val="00BC1806"/>
    <w:rsid w:val="00BC1EBA"/>
    <w:rsid w:val="00BC262E"/>
    <w:rsid w:val="00BC29F4"/>
    <w:rsid w:val="00BC2B56"/>
    <w:rsid w:val="00BC2C75"/>
    <w:rsid w:val="00BC3324"/>
    <w:rsid w:val="00BC37E0"/>
    <w:rsid w:val="00BC412E"/>
    <w:rsid w:val="00BC42B5"/>
    <w:rsid w:val="00BC4EB5"/>
    <w:rsid w:val="00BC53F2"/>
    <w:rsid w:val="00BC58C4"/>
    <w:rsid w:val="00BC5DF7"/>
    <w:rsid w:val="00BC5F29"/>
    <w:rsid w:val="00BC6346"/>
    <w:rsid w:val="00BC668A"/>
    <w:rsid w:val="00BC6E29"/>
    <w:rsid w:val="00BC6E96"/>
    <w:rsid w:val="00BC7442"/>
    <w:rsid w:val="00BC7754"/>
    <w:rsid w:val="00BD10B3"/>
    <w:rsid w:val="00BD1143"/>
    <w:rsid w:val="00BD1765"/>
    <w:rsid w:val="00BD331F"/>
    <w:rsid w:val="00BD393C"/>
    <w:rsid w:val="00BD431A"/>
    <w:rsid w:val="00BD475D"/>
    <w:rsid w:val="00BD479B"/>
    <w:rsid w:val="00BD48C0"/>
    <w:rsid w:val="00BD5BC8"/>
    <w:rsid w:val="00BD5C8C"/>
    <w:rsid w:val="00BD6D16"/>
    <w:rsid w:val="00BD771A"/>
    <w:rsid w:val="00BD7D4B"/>
    <w:rsid w:val="00BD7D60"/>
    <w:rsid w:val="00BE0846"/>
    <w:rsid w:val="00BE1974"/>
    <w:rsid w:val="00BE1BE1"/>
    <w:rsid w:val="00BE22D7"/>
    <w:rsid w:val="00BE2A6B"/>
    <w:rsid w:val="00BE2A73"/>
    <w:rsid w:val="00BE33D1"/>
    <w:rsid w:val="00BE34D9"/>
    <w:rsid w:val="00BE37A8"/>
    <w:rsid w:val="00BE3D71"/>
    <w:rsid w:val="00BE43BD"/>
    <w:rsid w:val="00BE43F2"/>
    <w:rsid w:val="00BE4B93"/>
    <w:rsid w:val="00BE565D"/>
    <w:rsid w:val="00BE5E6D"/>
    <w:rsid w:val="00BE65D4"/>
    <w:rsid w:val="00BE6BED"/>
    <w:rsid w:val="00BE71FF"/>
    <w:rsid w:val="00BE745F"/>
    <w:rsid w:val="00BE77DC"/>
    <w:rsid w:val="00BE7B9B"/>
    <w:rsid w:val="00BE7DB0"/>
    <w:rsid w:val="00BE7FED"/>
    <w:rsid w:val="00BF050E"/>
    <w:rsid w:val="00BF0558"/>
    <w:rsid w:val="00BF0CC8"/>
    <w:rsid w:val="00BF1587"/>
    <w:rsid w:val="00BF178A"/>
    <w:rsid w:val="00BF1B9F"/>
    <w:rsid w:val="00BF1DC4"/>
    <w:rsid w:val="00BF2C2D"/>
    <w:rsid w:val="00BF3224"/>
    <w:rsid w:val="00BF3B99"/>
    <w:rsid w:val="00BF4F85"/>
    <w:rsid w:val="00BF5240"/>
    <w:rsid w:val="00BF5898"/>
    <w:rsid w:val="00BF60AF"/>
    <w:rsid w:val="00BF639F"/>
    <w:rsid w:val="00BF679D"/>
    <w:rsid w:val="00BF6B4D"/>
    <w:rsid w:val="00BF6F3C"/>
    <w:rsid w:val="00BF7420"/>
    <w:rsid w:val="00C0024E"/>
    <w:rsid w:val="00C003CB"/>
    <w:rsid w:val="00C00493"/>
    <w:rsid w:val="00C005AE"/>
    <w:rsid w:val="00C0070E"/>
    <w:rsid w:val="00C0176F"/>
    <w:rsid w:val="00C01DA1"/>
    <w:rsid w:val="00C026F4"/>
    <w:rsid w:val="00C02882"/>
    <w:rsid w:val="00C03151"/>
    <w:rsid w:val="00C03526"/>
    <w:rsid w:val="00C039F2"/>
    <w:rsid w:val="00C04603"/>
    <w:rsid w:val="00C0466A"/>
    <w:rsid w:val="00C04DB7"/>
    <w:rsid w:val="00C04FCF"/>
    <w:rsid w:val="00C05249"/>
    <w:rsid w:val="00C05491"/>
    <w:rsid w:val="00C057EC"/>
    <w:rsid w:val="00C05DA9"/>
    <w:rsid w:val="00C05F8A"/>
    <w:rsid w:val="00C05F99"/>
    <w:rsid w:val="00C067EC"/>
    <w:rsid w:val="00C06889"/>
    <w:rsid w:val="00C06C67"/>
    <w:rsid w:val="00C06EAB"/>
    <w:rsid w:val="00C070DD"/>
    <w:rsid w:val="00C07120"/>
    <w:rsid w:val="00C07142"/>
    <w:rsid w:val="00C07FE2"/>
    <w:rsid w:val="00C1020C"/>
    <w:rsid w:val="00C10890"/>
    <w:rsid w:val="00C1114A"/>
    <w:rsid w:val="00C1178B"/>
    <w:rsid w:val="00C11944"/>
    <w:rsid w:val="00C11D2C"/>
    <w:rsid w:val="00C12386"/>
    <w:rsid w:val="00C1282B"/>
    <w:rsid w:val="00C131A0"/>
    <w:rsid w:val="00C13C31"/>
    <w:rsid w:val="00C13E6F"/>
    <w:rsid w:val="00C140AA"/>
    <w:rsid w:val="00C14901"/>
    <w:rsid w:val="00C14A60"/>
    <w:rsid w:val="00C1516D"/>
    <w:rsid w:val="00C151E5"/>
    <w:rsid w:val="00C16C39"/>
    <w:rsid w:val="00C16EC7"/>
    <w:rsid w:val="00C17545"/>
    <w:rsid w:val="00C177E7"/>
    <w:rsid w:val="00C2008C"/>
    <w:rsid w:val="00C2009A"/>
    <w:rsid w:val="00C2054B"/>
    <w:rsid w:val="00C20561"/>
    <w:rsid w:val="00C2056A"/>
    <w:rsid w:val="00C20936"/>
    <w:rsid w:val="00C2098C"/>
    <w:rsid w:val="00C20DAE"/>
    <w:rsid w:val="00C211A7"/>
    <w:rsid w:val="00C21682"/>
    <w:rsid w:val="00C21AAD"/>
    <w:rsid w:val="00C21B20"/>
    <w:rsid w:val="00C21F2D"/>
    <w:rsid w:val="00C2262E"/>
    <w:rsid w:val="00C228A1"/>
    <w:rsid w:val="00C2436E"/>
    <w:rsid w:val="00C2494A"/>
    <w:rsid w:val="00C24A93"/>
    <w:rsid w:val="00C24EA7"/>
    <w:rsid w:val="00C2567C"/>
    <w:rsid w:val="00C258C2"/>
    <w:rsid w:val="00C266B7"/>
    <w:rsid w:val="00C268F9"/>
    <w:rsid w:val="00C26C13"/>
    <w:rsid w:val="00C26C71"/>
    <w:rsid w:val="00C27EB3"/>
    <w:rsid w:val="00C3014C"/>
    <w:rsid w:val="00C301C2"/>
    <w:rsid w:val="00C30316"/>
    <w:rsid w:val="00C30D40"/>
    <w:rsid w:val="00C30F3C"/>
    <w:rsid w:val="00C31572"/>
    <w:rsid w:val="00C317A1"/>
    <w:rsid w:val="00C3180B"/>
    <w:rsid w:val="00C32164"/>
    <w:rsid w:val="00C3219F"/>
    <w:rsid w:val="00C325FC"/>
    <w:rsid w:val="00C3286B"/>
    <w:rsid w:val="00C328C3"/>
    <w:rsid w:val="00C32945"/>
    <w:rsid w:val="00C336D0"/>
    <w:rsid w:val="00C33F1F"/>
    <w:rsid w:val="00C3409B"/>
    <w:rsid w:val="00C345C1"/>
    <w:rsid w:val="00C346C6"/>
    <w:rsid w:val="00C347B5"/>
    <w:rsid w:val="00C347CE"/>
    <w:rsid w:val="00C34AB5"/>
    <w:rsid w:val="00C34B82"/>
    <w:rsid w:val="00C34CF6"/>
    <w:rsid w:val="00C35158"/>
    <w:rsid w:val="00C36BBB"/>
    <w:rsid w:val="00C36BEB"/>
    <w:rsid w:val="00C36E29"/>
    <w:rsid w:val="00C37A8B"/>
    <w:rsid w:val="00C40A81"/>
    <w:rsid w:val="00C40DC7"/>
    <w:rsid w:val="00C40E42"/>
    <w:rsid w:val="00C410B3"/>
    <w:rsid w:val="00C422F3"/>
    <w:rsid w:val="00C4245B"/>
    <w:rsid w:val="00C433AE"/>
    <w:rsid w:val="00C43B5D"/>
    <w:rsid w:val="00C43CF9"/>
    <w:rsid w:val="00C44367"/>
    <w:rsid w:val="00C45819"/>
    <w:rsid w:val="00C45DB7"/>
    <w:rsid w:val="00C46285"/>
    <w:rsid w:val="00C46393"/>
    <w:rsid w:val="00C46E43"/>
    <w:rsid w:val="00C471D4"/>
    <w:rsid w:val="00C4771B"/>
    <w:rsid w:val="00C50571"/>
    <w:rsid w:val="00C50D71"/>
    <w:rsid w:val="00C51842"/>
    <w:rsid w:val="00C51D12"/>
    <w:rsid w:val="00C527E6"/>
    <w:rsid w:val="00C52942"/>
    <w:rsid w:val="00C52C59"/>
    <w:rsid w:val="00C536C8"/>
    <w:rsid w:val="00C5421A"/>
    <w:rsid w:val="00C544D7"/>
    <w:rsid w:val="00C54597"/>
    <w:rsid w:val="00C54947"/>
    <w:rsid w:val="00C54F3C"/>
    <w:rsid w:val="00C5533C"/>
    <w:rsid w:val="00C55C83"/>
    <w:rsid w:val="00C55D74"/>
    <w:rsid w:val="00C57069"/>
    <w:rsid w:val="00C5789F"/>
    <w:rsid w:val="00C5799B"/>
    <w:rsid w:val="00C5799E"/>
    <w:rsid w:val="00C57C80"/>
    <w:rsid w:val="00C57EF4"/>
    <w:rsid w:val="00C6027F"/>
    <w:rsid w:val="00C6081A"/>
    <w:rsid w:val="00C60C51"/>
    <w:rsid w:val="00C60ECB"/>
    <w:rsid w:val="00C60F33"/>
    <w:rsid w:val="00C611F1"/>
    <w:rsid w:val="00C61936"/>
    <w:rsid w:val="00C620F5"/>
    <w:rsid w:val="00C62A9F"/>
    <w:rsid w:val="00C62DC3"/>
    <w:rsid w:val="00C64239"/>
    <w:rsid w:val="00C64302"/>
    <w:rsid w:val="00C64378"/>
    <w:rsid w:val="00C64401"/>
    <w:rsid w:val="00C6458E"/>
    <w:rsid w:val="00C645FD"/>
    <w:rsid w:val="00C648E0"/>
    <w:rsid w:val="00C64EAC"/>
    <w:rsid w:val="00C65595"/>
    <w:rsid w:val="00C657DC"/>
    <w:rsid w:val="00C6586C"/>
    <w:rsid w:val="00C668A3"/>
    <w:rsid w:val="00C669E9"/>
    <w:rsid w:val="00C6784B"/>
    <w:rsid w:val="00C707AD"/>
    <w:rsid w:val="00C71316"/>
    <w:rsid w:val="00C7148C"/>
    <w:rsid w:val="00C71530"/>
    <w:rsid w:val="00C71A49"/>
    <w:rsid w:val="00C726CD"/>
    <w:rsid w:val="00C73580"/>
    <w:rsid w:val="00C74431"/>
    <w:rsid w:val="00C74E1F"/>
    <w:rsid w:val="00C74FC7"/>
    <w:rsid w:val="00C75405"/>
    <w:rsid w:val="00C75A94"/>
    <w:rsid w:val="00C75C00"/>
    <w:rsid w:val="00C75CBF"/>
    <w:rsid w:val="00C772EB"/>
    <w:rsid w:val="00C7793A"/>
    <w:rsid w:val="00C8039D"/>
    <w:rsid w:val="00C815CC"/>
    <w:rsid w:val="00C82363"/>
    <w:rsid w:val="00C8327D"/>
    <w:rsid w:val="00C834C2"/>
    <w:rsid w:val="00C83F69"/>
    <w:rsid w:val="00C84162"/>
    <w:rsid w:val="00C84DC3"/>
    <w:rsid w:val="00C85510"/>
    <w:rsid w:val="00C85AF1"/>
    <w:rsid w:val="00C85B66"/>
    <w:rsid w:val="00C8621D"/>
    <w:rsid w:val="00C86E33"/>
    <w:rsid w:val="00C87D51"/>
    <w:rsid w:val="00C9016E"/>
    <w:rsid w:val="00C90A33"/>
    <w:rsid w:val="00C917CA"/>
    <w:rsid w:val="00C91A89"/>
    <w:rsid w:val="00C91D31"/>
    <w:rsid w:val="00C92695"/>
    <w:rsid w:val="00C92929"/>
    <w:rsid w:val="00C92CB8"/>
    <w:rsid w:val="00C92F27"/>
    <w:rsid w:val="00C9326C"/>
    <w:rsid w:val="00C939F1"/>
    <w:rsid w:val="00C94B44"/>
    <w:rsid w:val="00C95145"/>
    <w:rsid w:val="00C95280"/>
    <w:rsid w:val="00C954C3"/>
    <w:rsid w:val="00C9568F"/>
    <w:rsid w:val="00C97679"/>
    <w:rsid w:val="00C97939"/>
    <w:rsid w:val="00C97FB6"/>
    <w:rsid w:val="00CA001F"/>
    <w:rsid w:val="00CA04DC"/>
    <w:rsid w:val="00CA0827"/>
    <w:rsid w:val="00CA086B"/>
    <w:rsid w:val="00CA08A2"/>
    <w:rsid w:val="00CA1197"/>
    <w:rsid w:val="00CA1216"/>
    <w:rsid w:val="00CA1717"/>
    <w:rsid w:val="00CA18C1"/>
    <w:rsid w:val="00CA1ECC"/>
    <w:rsid w:val="00CA2779"/>
    <w:rsid w:val="00CA2ABF"/>
    <w:rsid w:val="00CA2D31"/>
    <w:rsid w:val="00CA2FAF"/>
    <w:rsid w:val="00CA3ABD"/>
    <w:rsid w:val="00CA3EDF"/>
    <w:rsid w:val="00CA4414"/>
    <w:rsid w:val="00CA4464"/>
    <w:rsid w:val="00CA4AE9"/>
    <w:rsid w:val="00CA542A"/>
    <w:rsid w:val="00CA584D"/>
    <w:rsid w:val="00CA6214"/>
    <w:rsid w:val="00CA6638"/>
    <w:rsid w:val="00CA7FB9"/>
    <w:rsid w:val="00CB181B"/>
    <w:rsid w:val="00CB218F"/>
    <w:rsid w:val="00CB267B"/>
    <w:rsid w:val="00CB2956"/>
    <w:rsid w:val="00CB29A1"/>
    <w:rsid w:val="00CB4090"/>
    <w:rsid w:val="00CB448F"/>
    <w:rsid w:val="00CB4614"/>
    <w:rsid w:val="00CB4DDD"/>
    <w:rsid w:val="00CB5359"/>
    <w:rsid w:val="00CB593B"/>
    <w:rsid w:val="00CB65AB"/>
    <w:rsid w:val="00CC064A"/>
    <w:rsid w:val="00CC0B71"/>
    <w:rsid w:val="00CC0DB9"/>
    <w:rsid w:val="00CC10DA"/>
    <w:rsid w:val="00CC134D"/>
    <w:rsid w:val="00CC29C5"/>
    <w:rsid w:val="00CC2CAB"/>
    <w:rsid w:val="00CC3541"/>
    <w:rsid w:val="00CC38E3"/>
    <w:rsid w:val="00CC3D33"/>
    <w:rsid w:val="00CC4C7F"/>
    <w:rsid w:val="00CC4ED8"/>
    <w:rsid w:val="00CC5440"/>
    <w:rsid w:val="00CC5F53"/>
    <w:rsid w:val="00CC6181"/>
    <w:rsid w:val="00CC6C4B"/>
    <w:rsid w:val="00CC7ABB"/>
    <w:rsid w:val="00CC7D39"/>
    <w:rsid w:val="00CD00E3"/>
    <w:rsid w:val="00CD0877"/>
    <w:rsid w:val="00CD1774"/>
    <w:rsid w:val="00CD1D05"/>
    <w:rsid w:val="00CD24FF"/>
    <w:rsid w:val="00CD3989"/>
    <w:rsid w:val="00CD3AB2"/>
    <w:rsid w:val="00CD4535"/>
    <w:rsid w:val="00CD595F"/>
    <w:rsid w:val="00CD6433"/>
    <w:rsid w:val="00CD6568"/>
    <w:rsid w:val="00CD67BB"/>
    <w:rsid w:val="00CD7255"/>
    <w:rsid w:val="00CD7713"/>
    <w:rsid w:val="00CD795A"/>
    <w:rsid w:val="00CE10C7"/>
    <w:rsid w:val="00CE1106"/>
    <w:rsid w:val="00CE2659"/>
    <w:rsid w:val="00CE2B2F"/>
    <w:rsid w:val="00CE2BF7"/>
    <w:rsid w:val="00CE2C82"/>
    <w:rsid w:val="00CE4D4A"/>
    <w:rsid w:val="00CE5141"/>
    <w:rsid w:val="00CE5149"/>
    <w:rsid w:val="00CE51A0"/>
    <w:rsid w:val="00CE5507"/>
    <w:rsid w:val="00CE56B1"/>
    <w:rsid w:val="00CE6275"/>
    <w:rsid w:val="00CE64A7"/>
    <w:rsid w:val="00CE6561"/>
    <w:rsid w:val="00CE6D44"/>
    <w:rsid w:val="00CE71C5"/>
    <w:rsid w:val="00CE72EF"/>
    <w:rsid w:val="00CE73F5"/>
    <w:rsid w:val="00CE7997"/>
    <w:rsid w:val="00CE7E3C"/>
    <w:rsid w:val="00CF01F2"/>
    <w:rsid w:val="00CF02BA"/>
    <w:rsid w:val="00CF039B"/>
    <w:rsid w:val="00CF0853"/>
    <w:rsid w:val="00CF0D8C"/>
    <w:rsid w:val="00CF0FB2"/>
    <w:rsid w:val="00CF11E6"/>
    <w:rsid w:val="00CF1C3B"/>
    <w:rsid w:val="00CF30D8"/>
    <w:rsid w:val="00CF3358"/>
    <w:rsid w:val="00CF3526"/>
    <w:rsid w:val="00CF357C"/>
    <w:rsid w:val="00CF383D"/>
    <w:rsid w:val="00CF3EFD"/>
    <w:rsid w:val="00CF41DE"/>
    <w:rsid w:val="00CF4299"/>
    <w:rsid w:val="00CF4474"/>
    <w:rsid w:val="00CF4A30"/>
    <w:rsid w:val="00CF4D53"/>
    <w:rsid w:val="00CF4E5F"/>
    <w:rsid w:val="00CF52CC"/>
    <w:rsid w:val="00CF5B83"/>
    <w:rsid w:val="00CF5C79"/>
    <w:rsid w:val="00CF61D2"/>
    <w:rsid w:val="00CF6785"/>
    <w:rsid w:val="00CF7AE6"/>
    <w:rsid w:val="00D00075"/>
    <w:rsid w:val="00D006FC"/>
    <w:rsid w:val="00D00A58"/>
    <w:rsid w:val="00D010F6"/>
    <w:rsid w:val="00D012D1"/>
    <w:rsid w:val="00D01517"/>
    <w:rsid w:val="00D01C09"/>
    <w:rsid w:val="00D01C6D"/>
    <w:rsid w:val="00D01C8B"/>
    <w:rsid w:val="00D01D94"/>
    <w:rsid w:val="00D01FAB"/>
    <w:rsid w:val="00D02126"/>
    <w:rsid w:val="00D021C4"/>
    <w:rsid w:val="00D0288A"/>
    <w:rsid w:val="00D028D5"/>
    <w:rsid w:val="00D029A8"/>
    <w:rsid w:val="00D02F18"/>
    <w:rsid w:val="00D03244"/>
    <w:rsid w:val="00D04220"/>
    <w:rsid w:val="00D04B9C"/>
    <w:rsid w:val="00D051EF"/>
    <w:rsid w:val="00D05FDD"/>
    <w:rsid w:val="00D06413"/>
    <w:rsid w:val="00D06478"/>
    <w:rsid w:val="00D067AD"/>
    <w:rsid w:val="00D06CCA"/>
    <w:rsid w:val="00D06E89"/>
    <w:rsid w:val="00D078C6"/>
    <w:rsid w:val="00D07DC4"/>
    <w:rsid w:val="00D07EB0"/>
    <w:rsid w:val="00D10273"/>
    <w:rsid w:val="00D1030C"/>
    <w:rsid w:val="00D10461"/>
    <w:rsid w:val="00D10470"/>
    <w:rsid w:val="00D10ED0"/>
    <w:rsid w:val="00D110DD"/>
    <w:rsid w:val="00D11845"/>
    <w:rsid w:val="00D12B36"/>
    <w:rsid w:val="00D12CAD"/>
    <w:rsid w:val="00D1307B"/>
    <w:rsid w:val="00D1318B"/>
    <w:rsid w:val="00D13C55"/>
    <w:rsid w:val="00D13F82"/>
    <w:rsid w:val="00D14406"/>
    <w:rsid w:val="00D14639"/>
    <w:rsid w:val="00D14A73"/>
    <w:rsid w:val="00D14DC1"/>
    <w:rsid w:val="00D1580C"/>
    <w:rsid w:val="00D15F7F"/>
    <w:rsid w:val="00D1615F"/>
    <w:rsid w:val="00D162E4"/>
    <w:rsid w:val="00D165D2"/>
    <w:rsid w:val="00D1663A"/>
    <w:rsid w:val="00D16814"/>
    <w:rsid w:val="00D16DAF"/>
    <w:rsid w:val="00D16DBB"/>
    <w:rsid w:val="00D16F41"/>
    <w:rsid w:val="00D172FA"/>
    <w:rsid w:val="00D176AA"/>
    <w:rsid w:val="00D1786C"/>
    <w:rsid w:val="00D17BD4"/>
    <w:rsid w:val="00D17BE0"/>
    <w:rsid w:val="00D200A1"/>
    <w:rsid w:val="00D20AD0"/>
    <w:rsid w:val="00D21206"/>
    <w:rsid w:val="00D21469"/>
    <w:rsid w:val="00D21BEC"/>
    <w:rsid w:val="00D22150"/>
    <w:rsid w:val="00D223B1"/>
    <w:rsid w:val="00D2286F"/>
    <w:rsid w:val="00D22878"/>
    <w:rsid w:val="00D22AF5"/>
    <w:rsid w:val="00D22BD0"/>
    <w:rsid w:val="00D2382E"/>
    <w:rsid w:val="00D23949"/>
    <w:rsid w:val="00D2411E"/>
    <w:rsid w:val="00D24863"/>
    <w:rsid w:val="00D258C5"/>
    <w:rsid w:val="00D25D4E"/>
    <w:rsid w:val="00D25FEA"/>
    <w:rsid w:val="00D2666F"/>
    <w:rsid w:val="00D26854"/>
    <w:rsid w:val="00D26E8C"/>
    <w:rsid w:val="00D27712"/>
    <w:rsid w:val="00D30151"/>
    <w:rsid w:val="00D30438"/>
    <w:rsid w:val="00D30440"/>
    <w:rsid w:val="00D30916"/>
    <w:rsid w:val="00D31729"/>
    <w:rsid w:val="00D32083"/>
    <w:rsid w:val="00D32D72"/>
    <w:rsid w:val="00D32DA3"/>
    <w:rsid w:val="00D32DC0"/>
    <w:rsid w:val="00D32F48"/>
    <w:rsid w:val="00D33314"/>
    <w:rsid w:val="00D33852"/>
    <w:rsid w:val="00D338CE"/>
    <w:rsid w:val="00D34276"/>
    <w:rsid w:val="00D34345"/>
    <w:rsid w:val="00D34D5C"/>
    <w:rsid w:val="00D356D3"/>
    <w:rsid w:val="00D35712"/>
    <w:rsid w:val="00D35D6F"/>
    <w:rsid w:val="00D362D1"/>
    <w:rsid w:val="00D364E4"/>
    <w:rsid w:val="00D367B5"/>
    <w:rsid w:val="00D36B93"/>
    <w:rsid w:val="00D36C0D"/>
    <w:rsid w:val="00D37E46"/>
    <w:rsid w:val="00D417AD"/>
    <w:rsid w:val="00D4183A"/>
    <w:rsid w:val="00D4226C"/>
    <w:rsid w:val="00D42431"/>
    <w:rsid w:val="00D42541"/>
    <w:rsid w:val="00D42BAB"/>
    <w:rsid w:val="00D42D0E"/>
    <w:rsid w:val="00D42DD9"/>
    <w:rsid w:val="00D43764"/>
    <w:rsid w:val="00D437D7"/>
    <w:rsid w:val="00D440F8"/>
    <w:rsid w:val="00D448D0"/>
    <w:rsid w:val="00D44B9E"/>
    <w:rsid w:val="00D453A6"/>
    <w:rsid w:val="00D45864"/>
    <w:rsid w:val="00D45981"/>
    <w:rsid w:val="00D45F2A"/>
    <w:rsid w:val="00D46165"/>
    <w:rsid w:val="00D461C2"/>
    <w:rsid w:val="00D46C70"/>
    <w:rsid w:val="00D472D8"/>
    <w:rsid w:val="00D47F04"/>
    <w:rsid w:val="00D50059"/>
    <w:rsid w:val="00D50174"/>
    <w:rsid w:val="00D50EEB"/>
    <w:rsid w:val="00D5105D"/>
    <w:rsid w:val="00D5121F"/>
    <w:rsid w:val="00D5164B"/>
    <w:rsid w:val="00D519D2"/>
    <w:rsid w:val="00D5228D"/>
    <w:rsid w:val="00D5249B"/>
    <w:rsid w:val="00D53B4E"/>
    <w:rsid w:val="00D54C40"/>
    <w:rsid w:val="00D55853"/>
    <w:rsid w:val="00D558C6"/>
    <w:rsid w:val="00D55D1A"/>
    <w:rsid w:val="00D55D56"/>
    <w:rsid w:val="00D56EFB"/>
    <w:rsid w:val="00D56F7A"/>
    <w:rsid w:val="00D57164"/>
    <w:rsid w:val="00D574F4"/>
    <w:rsid w:val="00D601D7"/>
    <w:rsid w:val="00D60E6D"/>
    <w:rsid w:val="00D60FA9"/>
    <w:rsid w:val="00D61712"/>
    <w:rsid w:val="00D61CDE"/>
    <w:rsid w:val="00D61EF1"/>
    <w:rsid w:val="00D620AE"/>
    <w:rsid w:val="00D620B3"/>
    <w:rsid w:val="00D621E3"/>
    <w:rsid w:val="00D627FE"/>
    <w:rsid w:val="00D63411"/>
    <w:rsid w:val="00D64D9F"/>
    <w:rsid w:val="00D64DFC"/>
    <w:rsid w:val="00D64F0E"/>
    <w:rsid w:val="00D652AF"/>
    <w:rsid w:val="00D652BD"/>
    <w:rsid w:val="00D6601E"/>
    <w:rsid w:val="00D66078"/>
    <w:rsid w:val="00D66257"/>
    <w:rsid w:val="00D6644B"/>
    <w:rsid w:val="00D66B6D"/>
    <w:rsid w:val="00D672C7"/>
    <w:rsid w:val="00D67873"/>
    <w:rsid w:val="00D67AC9"/>
    <w:rsid w:val="00D705D7"/>
    <w:rsid w:val="00D70706"/>
    <w:rsid w:val="00D70AF6"/>
    <w:rsid w:val="00D70C61"/>
    <w:rsid w:val="00D7156A"/>
    <w:rsid w:val="00D71601"/>
    <w:rsid w:val="00D71780"/>
    <w:rsid w:val="00D71A31"/>
    <w:rsid w:val="00D71BBF"/>
    <w:rsid w:val="00D71F21"/>
    <w:rsid w:val="00D72EC2"/>
    <w:rsid w:val="00D74256"/>
    <w:rsid w:val="00D74AE9"/>
    <w:rsid w:val="00D74C11"/>
    <w:rsid w:val="00D753CE"/>
    <w:rsid w:val="00D75543"/>
    <w:rsid w:val="00D755C0"/>
    <w:rsid w:val="00D7562D"/>
    <w:rsid w:val="00D75C07"/>
    <w:rsid w:val="00D76E60"/>
    <w:rsid w:val="00D76F3F"/>
    <w:rsid w:val="00D77006"/>
    <w:rsid w:val="00D7706D"/>
    <w:rsid w:val="00D777C6"/>
    <w:rsid w:val="00D77CB0"/>
    <w:rsid w:val="00D77D5B"/>
    <w:rsid w:val="00D80024"/>
    <w:rsid w:val="00D80470"/>
    <w:rsid w:val="00D80B3F"/>
    <w:rsid w:val="00D80DB2"/>
    <w:rsid w:val="00D81685"/>
    <w:rsid w:val="00D818D0"/>
    <w:rsid w:val="00D81901"/>
    <w:rsid w:val="00D81934"/>
    <w:rsid w:val="00D81BB3"/>
    <w:rsid w:val="00D83D50"/>
    <w:rsid w:val="00D84868"/>
    <w:rsid w:val="00D84AAE"/>
    <w:rsid w:val="00D8534F"/>
    <w:rsid w:val="00D858AE"/>
    <w:rsid w:val="00D85F56"/>
    <w:rsid w:val="00D8632D"/>
    <w:rsid w:val="00D866B5"/>
    <w:rsid w:val="00D86837"/>
    <w:rsid w:val="00D86A43"/>
    <w:rsid w:val="00D874B6"/>
    <w:rsid w:val="00D87840"/>
    <w:rsid w:val="00D87E73"/>
    <w:rsid w:val="00D90319"/>
    <w:rsid w:val="00D90B90"/>
    <w:rsid w:val="00D91919"/>
    <w:rsid w:val="00D91D95"/>
    <w:rsid w:val="00D924A8"/>
    <w:rsid w:val="00D9288D"/>
    <w:rsid w:val="00D92ABC"/>
    <w:rsid w:val="00D92AEE"/>
    <w:rsid w:val="00D92E3C"/>
    <w:rsid w:val="00D930CC"/>
    <w:rsid w:val="00D9406A"/>
    <w:rsid w:val="00D95719"/>
    <w:rsid w:val="00D96258"/>
    <w:rsid w:val="00D962A3"/>
    <w:rsid w:val="00D9649E"/>
    <w:rsid w:val="00D96A17"/>
    <w:rsid w:val="00D97645"/>
    <w:rsid w:val="00D97898"/>
    <w:rsid w:val="00D97A52"/>
    <w:rsid w:val="00D97CB4"/>
    <w:rsid w:val="00D97DFA"/>
    <w:rsid w:val="00DA01DE"/>
    <w:rsid w:val="00DA0238"/>
    <w:rsid w:val="00DA046E"/>
    <w:rsid w:val="00DA04D0"/>
    <w:rsid w:val="00DA14E4"/>
    <w:rsid w:val="00DA1D0B"/>
    <w:rsid w:val="00DA2021"/>
    <w:rsid w:val="00DA25C2"/>
    <w:rsid w:val="00DA261B"/>
    <w:rsid w:val="00DA3025"/>
    <w:rsid w:val="00DA3585"/>
    <w:rsid w:val="00DA36E8"/>
    <w:rsid w:val="00DA3A1E"/>
    <w:rsid w:val="00DA651F"/>
    <w:rsid w:val="00DA707C"/>
    <w:rsid w:val="00DA721D"/>
    <w:rsid w:val="00DA7831"/>
    <w:rsid w:val="00DB00E7"/>
    <w:rsid w:val="00DB0191"/>
    <w:rsid w:val="00DB02B7"/>
    <w:rsid w:val="00DB04E4"/>
    <w:rsid w:val="00DB0769"/>
    <w:rsid w:val="00DB16CA"/>
    <w:rsid w:val="00DB173E"/>
    <w:rsid w:val="00DB2386"/>
    <w:rsid w:val="00DB2638"/>
    <w:rsid w:val="00DB2A15"/>
    <w:rsid w:val="00DB3707"/>
    <w:rsid w:val="00DB3724"/>
    <w:rsid w:val="00DB3AB7"/>
    <w:rsid w:val="00DB3FED"/>
    <w:rsid w:val="00DB4074"/>
    <w:rsid w:val="00DB463F"/>
    <w:rsid w:val="00DB4650"/>
    <w:rsid w:val="00DB47F3"/>
    <w:rsid w:val="00DB5384"/>
    <w:rsid w:val="00DB5745"/>
    <w:rsid w:val="00DB664F"/>
    <w:rsid w:val="00DB66B2"/>
    <w:rsid w:val="00DB66BA"/>
    <w:rsid w:val="00DB6D06"/>
    <w:rsid w:val="00DB71E9"/>
    <w:rsid w:val="00DB7384"/>
    <w:rsid w:val="00DB7EA8"/>
    <w:rsid w:val="00DC0706"/>
    <w:rsid w:val="00DC0C54"/>
    <w:rsid w:val="00DC0E9F"/>
    <w:rsid w:val="00DC12F5"/>
    <w:rsid w:val="00DC1D9F"/>
    <w:rsid w:val="00DC21BB"/>
    <w:rsid w:val="00DC232B"/>
    <w:rsid w:val="00DC2368"/>
    <w:rsid w:val="00DC2F56"/>
    <w:rsid w:val="00DC3244"/>
    <w:rsid w:val="00DC39A4"/>
    <w:rsid w:val="00DC3DCC"/>
    <w:rsid w:val="00DC44EF"/>
    <w:rsid w:val="00DC52C4"/>
    <w:rsid w:val="00DC54E3"/>
    <w:rsid w:val="00DC607C"/>
    <w:rsid w:val="00DC6110"/>
    <w:rsid w:val="00DC637E"/>
    <w:rsid w:val="00DC63F9"/>
    <w:rsid w:val="00DC6602"/>
    <w:rsid w:val="00DC674E"/>
    <w:rsid w:val="00DC6BE0"/>
    <w:rsid w:val="00DC6CEA"/>
    <w:rsid w:val="00DD0045"/>
    <w:rsid w:val="00DD0271"/>
    <w:rsid w:val="00DD1512"/>
    <w:rsid w:val="00DD1805"/>
    <w:rsid w:val="00DD2175"/>
    <w:rsid w:val="00DD2641"/>
    <w:rsid w:val="00DD270B"/>
    <w:rsid w:val="00DD2763"/>
    <w:rsid w:val="00DD29A3"/>
    <w:rsid w:val="00DD2B4B"/>
    <w:rsid w:val="00DD2B54"/>
    <w:rsid w:val="00DD3175"/>
    <w:rsid w:val="00DD3695"/>
    <w:rsid w:val="00DD3E3C"/>
    <w:rsid w:val="00DD3E8E"/>
    <w:rsid w:val="00DD43BB"/>
    <w:rsid w:val="00DD4A65"/>
    <w:rsid w:val="00DD4AAB"/>
    <w:rsid w:val="00DD50F8"/>
    <w:rsid w:val="00DD5B22"/>
    <w:rsid w:val="00DD5BD8"/>
    <w:rsid w:val="00DD6018"/>
    <w:rsid w:val="00DD60FD"/>
    <w:rsid w:val="00DD640B"/>
    <w:rsid w:val="00DD68FE"/>
    <w:rsid w:val="00DD73BF"/>
    <w:rsid w:val="00DD7B9E"/>
    <w:rsid w:val="00DD7C9B"/>
    <w:rsid w:val="00DD7DC6"/>
    <w:rsid w:val="00DE041D"/>
    <w:rsid w:val="00DE0682"/>
    <w:rsid w:val="00DE0713"/>
    <w:rsid w:val="00DE11B4"/>
    <w:rsid w:val="00DE1337"/>
    <w:rsid w:val="00DE13AB"/>
    <w:rsid w:val="00DE24A5"/>
    <w:rsid w:val="00DE24B9"/>
    <w:rsid w:val="00DE2714"/>
    <w:rsid w:val="00DE2BA0"/>
    <w:rsid w:val="00DE33F0"/>
    <w:rsid w:val="00DE389E"/>
    <w:rsid w:val="00DE4032"/>
    <w:rsid w:val="00DE40EE"/>
    <w:rsid w:val="00DE4703"/>
    <w:rsid w:val="00DE49E1"/>
    <w:rsid w:val="00DE4BE9"/>
    <w:rsid w:val="00DE54BB"/>
    <w:rsid w:val="00DE5622"/>
    <w:rsid w:val="00DE56BD"/>
    <w:rsid w:val="00DE5D04"/>
    <w:rsid w:val="00DE640F"/>
    <w:rsid w:val="00DE7491"/>
    <w:rsid w:val="00DE7755"/>
    <w:rsid w:val="00DE795F"/>
    <w:rsid w:val="00DF0978"/>
    <w:rsid w:val="00DF0C14"/>
    <w:rsid w:val="00DF1457"/>
    <w:rsid w:val="00DF1712"/>
    <w:rsid w:val="00DF1E20"/>
    <w:rsid w:val="00DF21B2"/>
    <w:rsid w:val="00DF234D"/>
    <w:rsid w:val="00DF2480"/>
    <w:rsid w:val="00DF266F"/>
    <w:rsid w:val="00DF26B1"/>
    <w:rsid w:val="00DF32EF"/>
    <w:rsid w:val="00DF3C27"/>
    <w:rsid w:val="00DF4B0D"/>
    <w:rsid w:val="00DF5A40"/>
    <w:rsid w:val="00DF5A7C"/>
    <w:rsid w:val="00DF5D61"/>
    <w:rsid w:val="00DF64BA"/>
    <w:rsid w:val="00DF6599"/>
    <w:rsid w:val="00DF66A3"/>
    <w:rsid w:val="00DF6932"/>
    <w:rsid w:val="00DF6D82"/>
    <w:rsid w:val="00DF7A80"/>
    <w:rsid w:val="00DF7BBA"/>
    <w:rsid w:val="00DF7D4B"/>
    <w:rsid w:val="00E00A10"/>
    <w:rsid w:val="00E00F40"/>
    <w:rsid w:val="00E019C3"/>
    <w:rsid w:val="00E01A27"/>
    <w:rsid w:val="00E01E05"/>
    <w:rsid w:val="00E0299B"/>
    <w:rsid w:val="00E03468"/>
    <w:rsid w:val="00E0354E"/>
    <w:rsid w:val="00E03895"/>
    <w:rsid w:val="00E03969"/>
    <w:rsid w:val="00E05650"/>
    <w:rsid w:val="00E05A74"/>
    <w:rsid w:val="00E05F88"/>
    <w:rsid w:val="00E0622D"/>
    <w:rsid w:val="00E067F0"/>
    <w:rsid w:val="00E077B8"/>
    <w:rsid w:val="00E1008E"/>
    <w:rsid w:val="00E10203"/>
    <w:rsid w:val="00E102B9"/>
    <w:rsid w:val="00E104E6"/>
    <w:rsid w:val="00E11042"/>
    <w:rsid w:val="00E1132E"/>
    <w:rsid w:val="00E11479"/>
    <w:rsid w:val="00E11506"/>
    <w:rsid w:val="00E118FE"/>
    <w:rsid w:val="00E12284"/>
    <w:rsid w:val="00E127D8"/>
    <w:rsid w:val="00E12B1D"/>
    <w:rsid w:val="00E142D2"/>
    <w:rsid w:val="00E142F8"/>
    <w:rsid w:val="00E157E0"/>
    <w:rsid w:val="00E1580D"/>
    <w:rsid w:val="00E16405"/>
    <w:rsid w:val="00E1658B"/>
    <w:rsid w:val="00E165D4"/>
    <w:rsid w:val="00E1762D"/>
    <w:rsid w:val="00E200DE"/>
    <w:rsid w:val="00E208A3"/>
    <w:rsid w:val="00E2097B"/>
    <w:rsid w:val="00E20B16"/>
    <w:rsid w:val="00E21433"/>
    <w:rsid w:val="00E218E1"/>
    <w:rsid w:val="00E21D4C"/>
    <w:rsid w:val="00E21DEF"/>
    <w:rsid w:val="00E2268E"/>
    <w:rsid w:val="00E22960"/>
    <w:rsid w:val="00E22FCE"/>
    <w:rsid w:val="00E234D7"/>
    <w:rsid w:val="00E23790"/>
    <w:rsid w:val="00E23C4D"/>
    <w:rsid w:val="00E24F1B"/>
    <w:rsid w:val="00E255C4"/>
    <w:rsid w:val="00E2593E"/>
    <w:rsid w:val="00E260D8"/>
    <w:rsid w:val="00E264A3"/>
    <w:rsid w:val="00E26777"/>
    <w:rsid w:val="00E26E73"/>
    <w:rsid w:val="00E27448"/>
    <w:rsid w:val="00E278C0"/>
    <w:rsid w:val="00E27919"/>
    <w:rsid w:val="00E27ACD"/>
    <w:rsid w:val="00E27DCD"/>
    <w:rsid w:val="00E27E04"/>
    <w:rsid w:val="00E31387"/>
    <w:rsid w:val="00E31AD6"/>
    <w:rsid w:val="00E31D3C"/>
    <w:rsid w:val="00E3216E"/>
    <w:rsid w:val="00E32874"/>
    <w:rsid w:val="00E32A2C"/>
    <w:rsid w:val="00E32A9C"/>
    <w:rsid w:val="00E32D2C"/>
    <w:rsid w:val="00E330D7"/>
    <w:rsid w:val="00E3314E"/>
    <w:rsid w:val="00E3417F"/>
    <w:rsid w:val="00E344CF"/>
    <w:rsid w:val="00E34739"/>
    <w:rsid w:val="00E34EA8"/>
    <w:rsid w:val="00E35185"/>
    <w:rsid w:val="00E35693"/>
    <w:rsid w:val="00E35850"/>
    <w:rsid w:val="00E359B6"/>
    <w:rsid w:val="00E35A9A"/>
    <w:rsid w:val="00E35D46"/>
    <w:rsid w:val="00E35ECE"/>
    <w:rsid w:val="00E361A5"/>
    <w:rsid w:val="00E3636F"/>
    <w:rsid w:val="00E368F5"/>
    <w:rsid w:val="00E37432"/>
    <w:rsid w:val="00E377AE"/>
    <w:rsid w:val="00E379D7"/>
    <w:rsid w:val="00E379FD"/>
    <w:rsid w:val="00E37C47"/>
    <w:rsid w:val="00E402A3"/>
    <w:rsid w:val="00E4055C"/>
    <w:rsid w:val="00E407A6"/>
    <w:rsid w:val="00E407DC"/>
    <w:rsid w:val="00E4080F"/>
    <w:rsid w:val="00E4081F"/>
    <w:rsid w:val="00E4118B"/>
    <w:rsid w:val="00E4145C"/>
    <w:rsid w:val="00E41792"/>
    <w:rsid w:val="00E41BEC"/>
    <w:rsid w:val="00E41E4F"/>
    <w:rsid w:val="00E42758"/>
    <w:rsid w:val="00E429B4"/>
    <w:rsid w:val="00E43061"/>
    <w:rsid w:val="00E441BB"/>
    <w:rsid w:val="00E44C85"/>
    <w:rsid w:val="00E45B28"/>
    <w:rsid w:val="00E45C78"/>
    <w:rsid w:val="00E45D8C"/>
    <w:rsid w:val="00E45F0B"/>
    <w:rsid w:val="00E46010"/>
    <w:rsid w:val="00E46A1C"/>
    <w:rsid w:val="00E501EA"/>
    <w:rsid w:val="00E50674"/>
    <w:rsid w:val="00E511C5"/>
    <w:rsid w:val="00E5191B"/>
    <w:rsid w:val="00E51EDF"/>
    <w:rsid w:val="00E526FD"/>
    <w:rsid w:val="00E52C9F"/>
    <w:rsid w:val="00E530CD"/>
    <w:rsid w:val="00E536B7"/>
    <w:rsid w:val="00E536D3"/>
    <w:rsid w:val="00E53AD1"/>
    <w:rsid w:val="00E54948"/>
    <w:rsid w:val="00E550E4"/>
    <w:rsid w:val="00E55B36"/>
    <w:rsid w:val="00E56DB7"/>
    <w:rsid w:val="00E5710C"/>
    <w:rsid w:val="00E5746C"/>
    <w:rsid w:val="00E5757D"/>
    <w:rsid w:val="00E57835"/>
    <w:rsid w:val="00E57E5C"/>
    <w:rsid w:val="00E601C3"/>
    <w:rsid w:val="00E606C1"/>
    <w:rsid w:val="00E609D5"/>
    <w:rsid w:val="00E60AE8"/>
    <w:rsid w:val="00E60AF7"/>
    <w:rsid w:val="00E614C0"/>
    <w:rsid w:val="00E61D77"/>
    <w:rsid w:val="00E62836"/>
    <w:rsid w:val="00E62E5E"/>
    <w:rsid w:val="00E62FDE"/>
    <w:rsid w:val="00E63077"/>
    <w:rsid w:val="00E6315E"/>
    <w:rsid w:val="00E637E9"/>
    <w:rsid w:val="00E6385A"/>
    <w:rsid w:val="00E63CE7"/>
    <w:rsid w:val="00E63ECE"/>
    <w:rsid w:val="00E640B4"/>
    <w:rsid w:val="00E644B6"/>
    <w:rsid w:val="00E64624"/>
    <w:rsid w:val="00E64794"/>
    <w:rsid w:val="00E649F0"/>
    <w:rsid w:val="00E64CD7"/>
    <w:rsid w:val="00E6510D"/>
    <w:rsid w:val="00E664BD"/>
    <w:rsid w:val="00E66DFD"/>
    <w:rsid w:val="00E67307"/>
    <w:rsid w:val="00E67319"/>
    <w:rsid w:val="00E674E8"/>
    <w:rsid w:val="00E67E35"/>
    <w:rsid w:val="00E702BF"/>
    <w:rsid w:val="00E7055D"/>
    <w:rsid w:val="00E70949"/>
    <w:rsid w:val="00E70C38"/>
    <w:rsid w:val="00E715B7"/>
    <w:rsid w:val="00E7172C"/>
    <w:rsid w:val="00E71F97"/>
    <w:rsid w:val="00E7329C"/>
    <w:rsid w:val="00E73FCE"/>
    <w:rsid w:val="00E75541"/>
    <w:rsid w:val="00E75C40"/>
    <w:rsid w:val="00E76BCE"/>
    <w:rsid w:val="00E76DB0"/>
    <w:rsid w:val="00E770CB"/>
    <w:rsid w:val="00E7727B"/>
    <w:rsid w:val="00E776DF"/>
    <w:rsid w:val="00E77B01"/>
    <w:rsid w:val="00E805B3"/>
    <w:rsid w:val="00E81047"/>
    <w:rsid w:val="00E81332"/>
    <w:rsid w:val="00E8157A"/>
    <w:rsid w:val="00E81746"/>
    <w:rsid w:val="00E8180B"/>
    <w:rsid w:val="00E81A73"/>
    <w:rsid w:val="00E81AB5"/>
    <w:rsid w:val="00E81C89"/>
    <w:rsid w:val="00E821FB"/>
    <w:rsid w:val="00E827BF"/>
    <w:rsid w:val="00E82990"/>
    <w:rsid w:val="00E82DBA"/>
    <w:rsid w:val="00E830C8"/>
    <w:rsid w:val="00E83525"/>
    <w:rsid w:val="00E83B16"/>
    <w:rsid w:val="00E845F8"/>
    <w:rsid w:val="00E84CD1"/>
    <w:rsid w:val="00E84DF0"/>
    <w:rsid w:val="00E84E55"/>
    <w:rsid w:val="00E8505A"/>
    <w:rsid w:val="00E852B9"/>
    <w:rsid w:val="00E852EA"/>
    <w:rsid w:val="00E85A86"/>
    <w:rsid w:val="00E85E3C"/>
    <w:rsid w:val="00E86065"/>
    <w:rsid w:val="00E86909"/>
    <w:rsid w:val="00E86949"/>
    <w:rsid w:val="00E871F3"/>
    <w:rsid w:val="00E87B05"/>
    <w:rsid w:val="00E90044"/>
    <w:rsid w:val="00E900AA"/>
    <w:rsid w:val="00E90C9F"/>
    <w:rsid w:val="00E91F6E"/>
    <w:rsid w:val="00E921E7"/>
    <w:rsid w:val="00E92DE0"/>
    <w:rsid w:val="00E9539B"/>
    <w:rsid w:val="00E953E5"/>
    <w:rsid w:val="00E9567E"/>
    <w:rsid w:val="00E9586F"/>
    <w:rsid w:val="00E95A88"/>
    <w:rsid w:val="00E95AB1"/>
    <w:rsid w:val="00E96663"/>
    <w:rsid w:val="00E97249"/>
    <w:rsid w:val="00E97F2C"/>
    <w:rsid w:val="00E97F76"/>
    <w:rsid w:val="00EA0199"/>
    <w:rsid w:val="00EA1C92"/>
    <w:rsid w:val="00EA2069"/>
    <w:rsid w:val="00EA2917"/>
    <w:rsid w:val="00EA2EA9"/>
    <w:rsid w:val="00EA2F3E"/>
    <w:rsid w:val="00EA33E3"/>
    <w:rsid w:val="00EA34B8"/>
    <w:rsid w:val="00EA3A21"/>
    <w:rsid w:val="00EA491A"/>
    <w:rsid w:val="00EA49DE"/>
    <w:rsid w:val="00EA4CCA"/>
    <w:rsid w:val="00EA56EA"/>
    <w:rsid w:val="00EA575B"/>
    <w:rsid w:val="00EA5AD3"/>
    <w:rsid w:val="00EA689B"/>
    <w:rsid w:val="00EB045D"/>
    <w:rsid w:val="00EB0883"/>
    <w:rsid w:val="00EB0A99"/>
    <w:rsid w:val="00EB16D9"/>
    <w:rsid w:val="00EB1781"/>
    <w:rsid w:val="00EB1C50"/>
    <w:rsid w:val="00EB23E2"/>
    <w:rsid w:val="00EB3168"/>
    <w:rsid w:val="00EB319E"/>
    <w:rsid w:val="00EB3244"/>
    <w:rsid w:val="00EB3602"/>
    <w:rsid w:val="00EB38F2"/>
    <w:rsid w:val="00EB3E88"/>
    <w:rsid w:val="00EB3F3F"/>
    <w:rsid w:val="00EB4E3E"/>
    <w:rsid w:val="00EB5CD2"/>
    <w:rsid w:val="00EB6005"/>
    <w:rsid w:val="00EB6050"/>
    <w:rsid w:val="00EB6142"/>
    <w:rsid w:val="00EB736A"/>
    <w:rsid w:val="00EC0098"/>
    <w:rsid w:val="00EC0548"/>
    <w:rsid w:val="00EC06C0"/>
    <w:rsid w:val="00EC099E"/>
    <w:rsid w:val="00EC0B52"/>
    <w:rsid w:val="00EC116B"/>
    <w:rsid w:val="00EC16B6"/>
    <w:rsid w:val="00EC1A7C"/>
    <w:rsid w:val="00EC1C4D"/>
    <w:rsid w:val="00EC1E05"/>
    <w:rsid w:val="00EC3441"/>
    <w:rsid w:val="00EC3D07"/>
    <w:rsid w:val="00EC42CF"/>
    <w:rsid w:val="00EC4504"/>
    <w:rsid w:val="00EC4744"/>
    <w:rsid w:val="00EC5210"/>
    <w:rsid w:val="00EC5512"/>
    <w:rsid w:val="00EC700F"/>
    <w:rsid w:val="00EC7105"/>
    <w:rsid w:val="00EC7756"/>
    <w:rsid w:val="00EC7A78"/>
    <w:rsid w:val="00EC7BD7"/>
    <w:rsid w:val="00EC7C74"/>
    <w:rsid w:val="00EC7D72"/>
    <w:rsid w:val="00EC7DA8"/>
    <w:rsid w:val="00EC7EC7"/>
    <w:rsid w:val="00ED0241"/>
    <w:rsid w:val="00ED0285"/>
    <w:rsid w:val="00ED06BB"/>
    <w:rsid w:val="00ED0E62"/>
    <w:rsid w:val="00ED1389"/>
    <w:rsid w:val="00ED15F7"/>
    <w:rsid w:val="00ED16FB"/>
    <w:rsid w:val="00ED198A"/>
    <w:rsid w:val="00ED21AE"/>
    <w:rsid w:val="00ED26CA"/>
    <w:rsid w:val="00ED2875"/>
    <w:rsid w:val="00ED2BC4"/>
    <w:rsid w:val="00ED2F4A"/>
    <w:rsid w:val="00ED2F5A"/>
    <w:rsid w:val="00ED3ED2"/>
    <w:rsid w:val="00ED544F"/>
    <w:rsid w:val="00ED619D"/>
    <w:rsid w:val="00ED623D"/>
    <w:rsid w:val="00ED6C10"/>
    <w:rsid w:val="00ED7303"/>
    <w:rsid w:val="00EE00AD"/>
    <w:rsid w:val="00EE0A7F"/>
    <w:rsid w:val="00EE0A8B"/>
    <w:rsid w:val="00EE0D9A"/>
    <w:rsid w:val="00EE1E40"/>
    <w:rsid w:val="00EE1FAC"/>
    <w:rsid w:val="00EE2056"/>
    <w:rsid w:val="00EE3B78"/>
    <w:rsid w:val="00EE4350"/>
    <w:rsid w:val="00EE5A2C"/>
    <w:rsid w:val="00EE60BA"/>
    <w:rsid w:val="00EE70E3"/>
    <w:rsid w:val="00EF054B"/>
    <w:rsid w:val="00EF06EF"/>
    <w:rsid w:val="00EF0A11"/>
    <w:rsid w:val="00EF190B"/>
    <w:rsid w:val="00EF1D5B"/>
    <w:rsid w:val="00EF20D8"/>
    <w:rsid w:val="00EF2409"/>
    <w:rsid w:val="00EF25F3"/>
    <w:rsid w:val="00EF26C1"/>
    <w:rsid w:val="00EF2801"/>
    <w:rsid w:val="00EF2BA1"/>
    <w:rsid w:val="00EF2DB0"/>
    <w:rsid w:val="00EF2E9C"/>
    <w:rsid w:val="00EF3569"/>
    <w:rsid w:val="00EF37CC"/>
    <w:rsid w:val="00EF3BF1"/>
    <w:rsid w:val="00EF4722"/>
    <w:rsid w:val="00EF4AC8"/>
    <w:rsid w:val="00EF4AFB"/>
    <w:rsid w:val="00EF518C"/>
    <w:rsid w:val="00EF626F"/>
    <w:rsid w:val="00EF69B4"/>
    <w:rsid w:val="00EF6AD3"/>
    <w:rsid w:val="00EF6FEB"/>
    <w:rsid w:val="00EF7160"/>
    <w:rsid w:val="00EF71A7"/>
    <w:rsid w:val="00EF7A17"/>
    <w:rsid w:val="00F0000C"/>
    <w:rsid w:val="00F009AB"/>
    <w:rsid w:val="00F0105D"/>
    <w:rsid w:val="00F01094"/>
    <w:rsid w:val="00F013CB"/>
    <w:rsid w:val="00F02849"/>
    <w:rsid w:val="00F02897"/>
    <w:rsid w:val="00F028D1"/>
    <w:rsid w:val="00F02B42"/>
    <w:rsid w:val="00F032C3"/>
    <w:rsid w:val="00F04158"/>
    <w:rsid w:val="00F04657"/>
    <w:rsid w:val="00F04A7B"/>
    <w:rsid w:val="00F04CC2"/>
    <w:rsid w:val="00F04E8C"/>
    <w:rsid w:val="00F0577B"/>
    <w:rsid w:val="00F057A8"/>
    <w:rsid w:val="00F05CBE"/>
    <w:rsid w:val="00F06B8F"/>
    <w:rsid w:val="00F07427"/>
    <w:rsid w:val="00F0762F"/>
    <w:rsid w:val="00F078C6"/>
    <w:rsid w:val="00F07DA3"/>
    <w:rsid w:val="00F10D35"/>
    <w:rsid w:val="00F1195C"/>
    <w:rsid w:val="00F11A42"/>
    <w:rsid w:val="00F11ADE"/>
    <w:rsid w:val="00F11B56"/>
    <w:rsid w:val="00F12AAF"/>
    <w:rsid w:val="00F1307B"/>
    <w:rsid w:val="00F13295"/>
    <w:rsid w:val="00F1451D"/>
    <w:rsid w:val="00F14881"/>
    <w:rsid w:val="00F14C69"/>
    <w:rsid w:val="00F14DC5"/>
    <w:rsid w:val="00F14EAB"/>
    <w:rsid w:val="00F15E04"/>
    <w:rsid w:val="00F169BB"/>
    <w:rsid w:val="00F16CFB"/>
    <w:rsid w:val="00F16EE6"/>
    <w:rsid w:val="00F16F0E"/>
    <w:rsid w:val="00F17117"/>
    <w:rsid w:val="00F177E8"/>
    <w:rsid w:val="00F1782E"/>
    <w:rsid w:val="00F2004A"/>
    <w:rsid w:val="00F200DA"/>
    <w:rsid w:val="00F205B0"/>
    <w:rsid w:val="00F206CA"/>
    <w:rsid w:val="00F20734"/>
    <w:rsid w:val="00F20A86"/>
    <w:rsid w:val="00F20B36"/>
    <w:rsid w:val="00F20DF3"/>
    <w:rsid w:val="00F21A3A"/>
    <w:rsid w:val="00F21B2C"/>
    <w:rsid w:val="00F21C24"/>
    <w:rsid w:val="00F22071"/>
    <w:rsid w:val="00F22385"/>
    <w:rsid w:val="00F2272C"/>
    <w:rsid w:val="00F228DB"/>
    <w:rsid w:val="00F22D30"/>
    <w:rsid w:val="00F23F41"/>
    <w:rsid w:val="00F244EA"/>
    <w:rsid w:val="00F25F06"/>
    <w:rsid w:val="00F26232"/>
    <w:rsid w:val="00F27390"/>
    <w:rsid w:val="00F3080F"/>
    <w:rsid w:val="00F31366"/>
    <w:rsid w:val="00F31706"/>
    <w:rsid w:val="00F317E0"/>
    <w:rsid w:val="00F3187D"/>
    <w:rsid w:val="00F321C8"/>
    <w:rsid w:val="00F32882"/>
    <w:rsid w:val="00F32A6C"/>
    <w:rsid w:val="00F337A5"/>
    <w:rsid w:val="00F339EE"/>
    <w:rsid w:val="00F33EB0"/>
    <w:rsid w:val="00F34BD2"/>
    <w:rsid w:val="00F36560"/>
    <w:rsid w:val="00F370FB"/>
    <w:rsid w:val="00F37625"/>
    <w:rsid w:val="00F40594"/>
    <w:rsid w:val="00F40F07"/>
    <w:rsid w:val="00F414CC"/>
    <w:rsid w:val="00F41D43"/>
    <w:rsid w:val="00F43793"/>
    <w:rsid w:val="00F43F28"/>
    <w:rsid w:val="00F44132"/>
    <w:rsid w:val="00F4491C"/>
    <w:rsid w:val="00F44A4D"/>
    <w:rsid w:val="00F4516F"/>
    <w:rsid w:val="00F45969"/>
    <w:rsid w:val="00F45F54"/>
    <w:rsid w:val="00F45F5A"/>
    <w:rsid w:val="00F46470"/>
    <w:rsid w:val="00F46D0D"/>
    <w:rsid w:val="00F46E0B"/>
    <w:rsid w:val="00F47202"/>
    <w:rsid w:val="00F474D1"/>
    <w:rsid w:val="00F47902"/>
    <w:rsid w:val="00F47A68"/>
    <w:rsid w:val="00F500ED"/>
    <w:rsid w:val="00F50851"/>
    <w:rsid w:val="00F509A8"/>
    <w:rsid w:val="00F50B11"/>
    <w:rsid w:val="00F50C18"/>
    <w:rsid w:val="00F50E9B"/>
    <w:rsid w:val="00F512B8"/>
    <w:rsid w:val="00F51AE4"/>
    <w:rsid w:val="00F52C2A"/>
    <w:rsid w:val="00F5301F"/>
    <w:rsid w:val="00F53A2F"/>
    <w:rsid w:val="00F53ABF"/>
    <w:rsid w:val="00F53EF5"/>
    <w:rsid w:val="00F53FA4"/>
    <w:rsid w:val="00F543FE"/>
    <w:rsid w:val="00F54CC4"/>
    <w:rsid w:val="00F550C0"/>
    <w:rsid w:val="00F558B0"/>
    <w:rsid w:val="00F55A25"/>
    <w:rsid w:val="00F55A42"/>
    <w:rsid w:val="00F55A4B"/>
    <w:rsid w:val="00F5642D"/>
    <w:rsid w:val="00F56506"/>
    <w:rsid w:val="00F56A1E"/>
    <w:rsid w:val="00F5710B"/>
    <w:rsid w:val="00F57992"/>
    <w:rsid w:val="00F579CF"/>
    <w:rsid w:val="00F57C81"/>
    <w:rsid w:val="00F57F5E"/>
    <w:rsid w:val="00F604E0"/>
    <w:rsid w:val="00F6055D"/>
    <w:rsid w:val="00F60A15"/>
    <w:rsid w:val="00F61297"/>
    <w:rsid w:val="00F618AB"/>
    <w:rsid w:val="00F61BCD"/>
    <w:rsid w:val="00F61ECB"/>
    <w:rsid w:val="00F62AA5"/>
    <w:rsid w:val="00F62CF2"/>
    <w:rsid w:val="00F62E1E"/>
    <w:rsid w:val="00F630B9"/>
    <w:rsid w:val="00F63C73"/>
    <w:rsid w:val="00F6463E"/>
    <w:rsid w:val="00F64BFD"/>
    <w:rsid w:val="00F64D02"/>
    <w:rsid w:val="00F64D79"/>
    <w:rsid w:val="00F6501B"/>
    <w:rsid w:val="00F656B1"/>
    <w:rsid w:val="00F65835"/>
    <w:rsid w:val="00F65D3D"/>
    <w:rsid w:val="00F6655F"/>
    <w:rsid w:val="00F67AD3"/>
    <w:rsid w:val="00F67D7A"/>
    <w:rsid w:val="00F702AE"/>
    <w:rsid w:val="00F7097D"/>
    <w:rsid w:val="00F70CF8"/>
    <w:rsid w:val="00F71E59"/>
    <w:rsid w:val="00F73067"/>
    <w:rsid w:val="00F732C2"/>
    <w:rsid w:val="00F73CF2"/>
    <w:rsid w:val="00F75595"/>
    <w:rsid w:val="00F757BA"/>
    <w:rsid w:val="00F758D5"/>
    <w:rsid w:val="00F76AC3"/>
    <w:rsid w:val="00F77E72"/>
    <w:rsid w:val="00F803FA"/>
    <w:rsid w:val="00F805FF"/>
    <w:rsid w:val="00F806DD"/>
    <w:rsid w:val="00F8176A"/>
    <w:rsid w:val="00F81877"/>
    <w:rsid w:val="00F818F2"/>
    <w:rsid w:val="00F82009"/>
    <w:rsid w:val="00F822BE"/>
    <w:rsid w:val="00F829F4"/>
    <w:rsid w:val="00F830A0"/>
    <w:rsid w:val="00F8339C"/>
    <w:rsid w:val="00F83BBD"/>
    <w:rsid w:val="00F84262"/>
    <w:rsid w:val="00F844CA"/>
    <w:rsid w:val="00F852D2"/>
    <w:rsid w:val="00F86146"/>
    <w:rsid w:val="00F8642C"/>
    <w:rsid w:val="00F864BE"/>
    <w:rsid w:val="00F8678A"/>
    <w:rsid w:val="00F8683A"/>
    <w:rsid w:val="00F8684C"/>
    <w:rsid w:val="00F86D3A"/>
    <w:rsid w:val="00F86FFE"/>
    <w:rsid w:val="00F8719A"/>
    <w:rsid w:val="00F872FC"/>
    <w:rsid w:val="00F87674"/>
    <w:rsid w:val="00F87BD3"/>
    <w:rsid w:val="00F90BE4"/>
    <w:rsid w:val="00F91569"/>
    <w:rsid w:val="00F92503"/>
    <w:rsid w:val="00F9288F"/>
    <w:rsid w:val="00F9324E"/>
    <w:rsid w:val="00F9326B"/>
    <w:rsid w:val="00F932E3"/>
    <w:rsid w:val="00F936F0"/>
    <w:rsid w:val="00F93759"/>
    <w:rsid w:val="00F93879"/>
    <w:rsid w:val="00F93BC3"/>
    <w:rsid w:val="00F93DA9"/>
    <w:rsid w:val="00F93F69"/>
    <w:rsid w:val="00F94061"/>
    <w:rsid w:val="00F941CB"/>
    <w:rsid w:val="00F945D7"/>
    <w:rsid w:val="00F946D3"/>
    <w:rsid w:val="00F95CA2"/>
    <w:rsid w:val="00F96309"/>
    <w:rsid w:val="00F96439"/>
    <w:rsid w:val="00F9651B"/>
    <w:rsid w:val="00F96B0D"/>
    <w:rsid w:val="00F96D99"/>
    <w:rsid w:val="00F970BC"/>
    <w:rsid w:val="00F972B5"/>
    <w:rsid w:val="00F973E9"/>
    <w:rsid w:val="00F9753B"/>
    <w:rsid w:val="00F976A0"/>
    <w:rsid w:val="00F979FB"/>
    <w:rsid w:val="00FA0674"/>
    <w:rsid w:val="00FA067D"/>
    <w:rsid w:val="00FA158B"/>
    <w:rsid w:val="00FA1C89"/>
    <w:rsid w:val="00FA1D42"/>
    <w:rsid w:val="00FA3686"/>
    <w:rsid w:val="00FA3DE7"/>
    <w:rsid w:val="00FA4A00"/>
    <w:rsid w:val="00FA4D0D"/>
    <w:rsid w:val="00FA52BF"/>
    <w:rsid w:val="00FA53D9"/>
    <w:rsid w:val="00FA64B8"/>
    <w:rsid w:val="00FA68FC"/>
    <w:rsid w:val="00FA6E47"/>
    <w:rsid w:val="00FA76A8"/>
    <w:rsid w:val="00FA7767"/>
    <w:rsid w:val="00FA7C2C"/>
    <w:rsid w:val="00FA7EDE"/>
    <w:rsid w:val="00FA7F97"/>
    <w:rsid w:val="00FB08C0"/>
    <w:rsid w:val="00FB0BB2"/>
    <w:rsid w:val="00FB1E85"/>
    <w:rsid w:val="00FB28D2"/>
    <w:rsid w:val="00FB2996"/>
    <w:rsid w:val="00FB2A9B"/>
    <w:rsid w:val="00FB2DFC"/>
    <w:rsid w:val="00FB3463"/>
    <w:rsid w:val="00FB34C9"/>
    <w:rsid w:val="00FB3794"/>
    <w:rsid w:val="00FB3DCF"/>
    <w:rsid w:val="00FB4528"/>
    <w:rsid w:val="00FB46DE"/>
    <w:rsid w:val="00FB4A5A"/>
    <w:rsid w:val="00FB4B44"/>
    <w:rsid w:val="00FB4B84"/>
    <w:rsid w:val="00FB61E1"/>
    <w:rsid w:val="00FB61FB"/>
    <w:rsid w:val="00FB642C"/>
    <w:rsid w:val="00FB6601"/>
    <w:rsid w:val="00FB6BB0"/>
    <w:rsid w:val="00FB6F63"/>
    <w:rsid w:val="00FB7CBF"/>
    <w:rsid w:val="00FC05A6"/>
    <w:rsid w:val="00FC05FB"/>
    <w:rsid w:val="00FC11CE"/>
    <w:rsid w:val="00FC20B8"/>
    <w:rsid w:val="00FC2216"/>
    <w:rsid w:val="00FC2305"/>
    <w:rsid w:val="00FC246A"/>
    <w:rsid w:val="00FC2CA2"/>
    <w:rsid w:val="00FC2D95"/>
    <w:rsid w:val="00FC2E10"/>
    <w:rsid w:val="00FC33ED"/>
    <w:rsid w:val="00FC3483"/>
    <w:rsid w:val="00FC4AB1"/>
    <w:rsid w:val="00FC4D5C"/>
    <w:rsid w:val="00FC562F"/>
    <w:rsid w:val="00FC5AD0"/>
    <w:rsid w:val="00FC5B4E"/>
    <w:rsid w:val="00FC5C58"/>
    <w:rsid w:val="00FC65B4"/>
    <w:rsid w:val="00FC68D5"/>
    <w:rsid w:val="00FC6946"/>
    <w:rsid w:val="00FC73AB"/>
    <w:rsid w:val="00FC7831"/>
    <w:rsid w:val="00FC7A8F"/>
    <w:rsid w:val="00FC7B10"/>
    <w:rsid w:val="00FC7B6E"/>
    <w:rsid w:val="00FC7E1C"/>
    <w:rsid w:val="00FC7E32"/>
    <w:rsid w:val="00FD0049"/>
    <w:rsid w:val="00FD04D5"/>
    <w:rsid w:val="00FD0B43"/>
    <w:rsid w:val="00FD0D3E"/>
    <w:rsid w:val="00FD13F9"/>
    <w:rsid w:val="00FD1F45"/>
    <w:rsid w:val="00FD2353"/>
    <w:rsid w:val="00FD3EBC"/>
    <w:rsid w:val="00FD4335"/>
    <w:rsid w:val="00FD4891"/>
    <w:rsid w:val="00FD51B0"/>
    <w:rsid w:val="00FD527A"/>
    <w:rsid w:val="00FD5445"/>
    <w:rsid w:val="00FD62ED"/>
    <w:rsid w:val="00FD6933"/>
    <w:rsid w:val="00FD6F22"/>
    <w:rsid w:val="00FD7386"/>
    <w:rsid w:val="00FE031A"/>
    <w:rsid w:val="00FE04E4"/>
    <w:rsid w:val="00FE0739"/>
    <w:rsid w:val="00FE08FC"/>
    <w:rsid w:val="00FE0A0D"/>
    <w:rsid w:val="00FE1315"/>
    <w:rsid w:val="00FE13F9"/>
    <w:rsid w:val="00FE1BA8"/>
    <w:rsid w:val="00FE2111"/>
    <w:rsid w:val="00FE2714"/>
    <w:rsid w:val="00FE27BD"/>
    <w:rsid w:val="00FE297D"/>
    <w:rsid w:val="00FE3290"/>
    <w:rsid w:val="00FE34D2"/>
    <w:rsid w:val="00FE34F2"/>
    <w:rsid w:val="00FE398C"/>
    <w:rsid w:val="00FE3EB8"/>
    <w:rsid w:val="00FE4835"/>
    <w:rsid w:val="00FE48B9"/>
    <w:rsid w:val="00FE49A7"/>
    <w:rsid w:val="00FE4A3C"/>
    <w:rsid w:val="00FE5926"/>
    <w:rsid w:val="00FE65D1"/>
    <w:rsid w:val="00FE66E1"/>
    <w:rsid w:val="00FE7005"/>
    <w:rsid w:val="00FE7759"/>
    <w:rsid w:val="00FE7B7D"/>
    <w:rsid w:val="00FF01BA"/>
    <w:rsid w:val="00FF05EB"/>
    <w:rsid w:val="00FF061B"/>
    <w:rsid w:val="00FF0809"/>
    <w:rsid w:val="00FF1AAA"/>
    <w:rsid w:val="00FF23CF"/>
    <w:rsid w:val="00FF25D6"/>
    <w:rsid w:val="00FF288C"/>
    <w:rsid w:val="00FF2B49"/>
    <w:rsid w:val="00FF2C8E"/>
    <w:rsid w:val="00FF36FD"/>
    <w:rsid w:val="00FF3F08"/>
    <w:rsid w:val="00FF42EF"/>
    <w:rsid w:val="00FF5426"/>
    <w:rsid w:val="00FF5545"/>
    <w:rsid w:val="00FF5DAB"/>
    <w:rsid w:val="00FF5F58"/>
    <w:rsid w:val="00FF64D3"/>
    <w:rsid w:val="00FF69AF"/>
    <w:rsid w:val="00FF6A19"/>
    <w:rsid w:val="00FF6C3E"/>
    <w:rsid w:val="00FF7D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627E8E11"/>
  <w15:docId w15:val="{93DB7943-6466-443F-A429-420434B6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Strong" w:uiPriority="22" w:qFormat="1"/>
    <w:lsdException w:name="Emphasis" w:uiPriority="20" w:qFormat="1"/>
    <w:lsdException w:name="Document Map" w:semiHidden="1" w:uiPriority="19" w:unhideWhenUsed="1"/>
    <w:lsdException w:name="Plain Text" w:semiHidden="1" w:uiPriority="99"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64BE"/>
    <w:pPr>
      <w:spacing w:after="180" w:line="270" w:lineRule="exact"/>
    </w:pPr>
  </w:style>
  <w:style w:type="paragraph" w:styleId="Heading1">
    <w:name w:val="heading 1"/>
    <w:basedOn w:val="Normal"/>
    <w:next w:val="BodyText"/>
    <w:link w:val="Heading1Char"/>
    <w:qFormat/>
    <w:rsid w:val="00124A85"/>
    <w:pPr>
      <w:keepNext/>
      <w:numPr>
        <w:numId w:val="31"/>
      </w:numPr>
      <w:spacing w:after="60" w:line="280" w:lineRule="atLeast"/>
      <w:outlineLvl w:val="0"/>
    </w:pPr>
    <w:rPr>
      <w:rFonts w:eastAsia="Times New Roman" w:cs="Arial"/>
      <w:b/>
      <w:bCs/>
      <w:color w:val="005CAF"/>
      <w:kern w:val="32"/>
      <w:sz w:val="32"/>
      <w:szCs w:val="32"/>
    </w:rPr>
  </w:style>
  <w:style w:type="paragraph" w:styleId="Heading2">
    <w:name w:val="heading 2"/>
    <w:basedOn w:val="Heading1"/>
    <w:next w:val="BodyText"/>
    <w:link w:val="Heading2Char"/>
    <w:qFormat/>
    <w:rsid w:val="00C43B5D"/>
    <w:pPr>
      <w:numPr>
        <w:ilvl w:val="1"/>
      </w:numPr>
      <w:outlineLvl w:val="1"/>
    </w:pPr>
    <w:rPr>
      <w:bCs w:val="0"/>
      <w:iCs/>
      <w:color w:val="097EB3"/>
      <w:sz w:val="24"/>
      <w:szCs w:val="28"/>
    </w:rPr>
  </w:style>
  <w:style w:type="paragraph" w:styleId="Heading3">
    <w:name w:val="heading 3"/>
    <w:basedOn w:val="BodyText"/>
    <w:next w:val="BodyText"/>
    <w:link w:val="Heading3Char"/>
    <w:qFormat/>
    <w:rsid w:val="00543855"/>
    <w:pPr>
      <w:keepNext/>
      <w:numPr>
        <w:ilvl w:val="2"/>
        <w:numId w:val="31"/>
      </w:numPr>
      <w:spacing w:before="200" w:after="60" w:line="280" w:lineRule="atLeast"/>
      <w:outlineLvl w:val="2"/>
    </w:pPr>
    <w:rPr>
      <w:rFonts w:eastAsia="Times New Roman" w:cs="Arial"/>
      <w:bCs/>
      <w:color w:val="005CAF"/>
    </w:rPr>
  </w:style>
  <w:style w:type="paragraph" w:styleId="Heading4">
    <w:name w:val="heading 4"/>
    <w:basedOn w:val="BodyText"/>
    <w:next w:val="BodyText"/>
    <w:link w:val="Heading4Char"/>
    <w:uiPriority w:val="9"/>
    <w:unhideWhenUsed/>
    <w:rsid w:val="00124A85"/>
    <w:pPr>
      <w:keepNext/>
      <w:keepLines/>
      <w:spacing w:before="200" w:after="0"/>
      <w:outlineLvl w:val="3"/>
    </w:pPr>
    <w:rPr>
      <w:rFonts w:eastAsiaTheme="majorEastAsia" w:cstheme="majorBidi"/>
      <w:b/>
      <w:bCs/>
      <w:i/>
      <w:iCs/>
      <w:color w:val="auto"/>
    </w:rPr>
  </w:style>
  <w:style w:type="paragraph" w:styleId="Heading6">
    <w:name w:val="heading 6"/>
    <w:basedOn w:val="Normal"/>
    <w:next w:val="BodyText"/>
    <w:link w:val="Heading6Char"/>
    <w:uiPriority w:val="1"/>
    <w:qFormat/>
    <w:rsid w:val="00124A85"/>
    <w:pPr>
      <w:keepNext/>
      <w:pageBreakBefore/>
      <w:numPr>
        <w:ilvl w:val="5"/>
        <w:numId w:val="31"/>
      </w:numPr>
      <w:spacing w:after="60" w:line="280" w:lineRule="atLeast"/>
      <w:outlineLvl w:val="5"/>
    </w:pPr>
    <w:rPr>
      <w:rFonts w:eastAsiaTheme="majorEastAsia" w:cstheme="majorBidi"/>
      <w:b/>
      <w:iCs/>
      <w:color w:val="005CAF"/>
      <w:sz w:val="32"/>
    </w:rPr>
  </w:style>
  <w:style w:type="paragraph" w:styleId="Heading7">
    <w:name w:val="heading 7"/>
    <w:basedOn w:val="Normal"/>
    <w:next w:val="BodyText"/>
    <w:link w:val="Heading7Char"/>
    <w:uiPriority w:val="1"/>
    <w:qFormat/>
    <w:rsid w:val="00CE7E3C"/>
    <w:pPr>
      <w:keepNext/>
      <w:keepLines/>
      <w:numPr>
        <w:ilvl w:val="6"/>
        <w:numId w:val="31"/>
      </w:numPr>
      <w:spacing w:after="60" w:line="280" w:lineRule="atLeast"/>
      <w:outlineLvl w:val="6"/>
    </w:pPr>
    <w:rPr>
      <w:rFonts w:eastAsiaTheme="majorEastAsia" w:cstheme="majorBidi"/>
      <w:b/>
      <w:iCs/>
      <w:color w:val="2590C2" w:themeColor="accent2" w:themeShade="BF"/>
    </w:rPr>
  </w:style>
  <w:style w:type="paragraph" w:styleId="Heading8">
    <w:name w:val="heading 8"/>
    <w:basedOn w:val="Normal"/>
    <w:next w:val="BodyText"/>
    <w:link w:val="Heading8Char"/>
    <w:uiPriority w:val="1"/>
    <w:qFormat/>
    <w:rsid w:val="00124A85"/>
    <w:pPr>
      <w:keepNext/>
      <w:keepLines/>
      <w:spacing w:after="60" w:line="280" w:lineRule="atLeast"/>
      <w:outlineLvl w:val="7"/>
    </w:pPr>
    <w:rPr>
      <w:rFonts w:eastAsiaTheme="majorEastAsia" w:cstheme="majorBidi"/>
      <w:color w:val="005CA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124A85"/>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124A85"/>
    <w:pPr>
      <w:numPr>
        <w:numId w:val="2"/>
      </w:numPr>
      <w:tabs>
        <w:tab w:val="clear" w:pos="1418"/>
        <w:tab w:val="num" w:pos="360"/>
      </w:tabs>
      <w:spacing w:before="100" w:line="312" w:lineRule="auto"/>
      <w:ind w:left="0" w:firstLine="0"/>
    </w:pPr>
    <w:rPr>
      <w:rFonts w:eastAsia="Times New Roman"/>
      <w:lang w:eastAsia="en-AU"/>
    </w:rPr>
  </w:style>
  <w:style w:type="character" w:customStyle="1" w:styleId="Heading1Char">
    <w:name w:val="Heading 1 Char"/>
    <w:basedOn w:val="DefaultParagraphFont"/>
    <w:link w:val="Heading1"/>
    <w:rsid w:val="00124A85"/>
    <w:rPr>
      <w:rFonts w:eastAsia="Times New Roman" w:cs="Arial"/>
      <w:b/>
      <w:bCs/>
      <w:color w:val="005CAF"/>
      <w:kern w:val="32"/>
      <w:sz w:val="32"/>
      <w:szCs w:val="32"/>
    </w:rPr>
  </w:style>
  <w:style w:type="character" w:customStyle="1" w:styleId="Heading2Char">
    <w:name w:val="Heading 2 Char"/>
    <w:basedOn w:val="DefaultParagraphFont"/>
    <w:link w:val="Heading2"/>
    <w:rsid w:val="00C43B5D"/>
    <w:rPr>
      <w:rFonts w:eastAsia="Times New Roman" w:cs="Arial"/>
      <w:b/>
      <w:iCs/>
      <w:color w:val="097EB3"/>
      <w:kern w:val="32"/>
      <w:sz w:val="24"/>
      <w:szCs w:val="28"/>
    </w:rPr>
  </w:style>
  <w:style w:type="character" w:customStyle="1" w:styleId="Heading3Char">
    <w:name w:val="Heading 3 Char"/>
    <w:basedOn w:val="DefaultParagraphFont"/>
    <w:link w:val="Heading3"/>
    <w:rsid w:val="00543855"/>
    <w:rPr>
      <w:rFonts w:eastAsia="Times New Roman" w:cs="Arial"/>
      <w:bCs/>
      <w:color w:val="005CAF"/>
      <w:sz w:val="20"/>
    </w:rPr>
  </w:style>
  <w:style w:type="paragraph" w:styleId="TOC1">
    <w:name w:val="toc 1"/>
    <w:basedOn w:val="Normal"/>
    <w:next w:val="Normal"/>
    <w:autoRedefine/>
    <w:uiPriority w:val="39"/>
    <w:rsid w:val="00135585"/>
    <w:pPr>
      <w:tabs>
        <w:tab w:val="right" w:pos="13892"/>
      </w:tabs>
      <w:spacing w:after="50"/>
      <w:ind w:left="567" w:right="454" w:hanging="567"/>
    </w:pPr>
    <w:rPr>
      <w:rFonts w:eastAsia="Times New Roman"/>
      <w:b/>
      <w:noProof/>
      <w:szCs w:val="24"/>
    </w:rPr>
  </w:style>
  <w:style w:type="paragraph" w:styleId="FootnoteText">
    <w:name w:val="footnote text"/>
    <w:basedOn w:val="Normal"/>
    <w:link w:val="FootnoteTextChar"/>
    <w:uiPriority w:val="19"/>
    <w:rsid w:val="00124A85"/>
    <w:pPr>
      <w:ind w:left="2268" w:hanging="108"/>
    </w:pPr>
    <w:rPr>
      <w:rFonts w:eastAsia="Times New Roman"/>
      <w:sz w:val="16"/>
    </w:rPr>
  </w:style>
  <w:style w:type="character" w:customStyle="1" w:styleId="FootnoteTextChar">
    <w:name w:val="Footnote Text Char"/>
    <w:basedOn w:val="DefaultParagraphFont"/>
    <w:link w:val="FootnoteText"/>
    <w:uiPriority w:val="19"/>
    <w:rsid w:val="00124A85"/>
    <w:rPr>
      <w:rFonts w:ascii="Arial" w:eastAsia="Times New Roman" w:hAnsi="Arial"/>
      <w:color w:val="373737"/>
      <w:sz w:val="16"/>
    </w:rPr>
  </w:style>
  <w:style w:type="paragraph" w:styleId="Footer">
    <w:name w:val="footer"/>
    <w:basedOn w:val="Normal"/>
    <w:link w:val="FooterChar"/>
    <w:uiPriority w:val="99"/>
    <w:rsid w:val="00124A85"/>
    <w:pPr>
      <w:tabs>
        <w:tab w:val="right" w:pos="9680"/>
      </w:tabs>
    </w:pPr>
    <w:rPr>
      <w:rFonts w:eastAsia="Times New Roman"/>
      <w:sz w:val="16"/>
      <w:szCs w:val="16"/>
    </w:rPr>
  </w:style>
  <w:style w:type="character" w:customStyle="1" w:styleId="FooterChar">
    <w:name w:val="Footer Char"/>
    <w:basedOn w:val="DefaultParagraphFont"/>
    <w:link w:val="Footer"/>
    <w:uiPriority w:val="99"/>
    <w:rsid w:val="00124A85"/>
    <w:rPr>
      <w:rFonts w:ascii="Arial" w:eastAsia="Times New Roman" w:hAnsi="Arial"/>
      <w:color w:val="373737"/>
      <w:sz w:val="16"/>
      <w:szCs w:val="16"/>
    </w:rPr>
  </w:style>
  <w:style w:type="paragraph" w:styleId="TableofFigures">
    <w:name w:val="table of figures"/>
    <w:basedOn w:val="Normal"/>
    <w:next w:val="Normal"/>
    <w:uiPriority w:val="99"/>
    <w:rsid w:val="00124A85"/>
    <w:pPr>
      <w:tabs>
        <w:tab w:val="right" w:pos="13892"/>
      </w:tabs>
      <w:spacing w:after="40"/>
      <w:ind w:left="442" w:right="805" w:hanging="442"/>
    </w:pPr>
    <w:rPr>
      <w:rFonts w:asciiTheme="minorHAnsi" w:eastAsia="Times New Roman" w:hAnsiTheme="minorHAnsi"/>
      <w:bCs/>
      <w:noProof/>
      <w:lang w:val="en-US"/>
    </w:rPr>
  </w:style>
  <w:style w:type="character" w:styleId="FootnoteReference">
    <w:name w:val="footnote reference"/>
    <w:basedOn w:val="DefaultParagraphFont"/>
    <w:uiPriority w:val="19"/>
    <w:rsid w:val="00124A85"/>
    <w:rPr>
      <w:vertAlign w:val="superscript"/>
    </w:rPr>
  </w:style>
  <w:style w:type="character" w:styleId="PageNumber">
    <w:name w:val="page number"/>
    <w:rsid w:val="00124A85"/>
    <w:rPr>
      <w:rFonts w:ascii="Arial" w:hAnsi="Arial"/>
      <w:sz w:val="18"/>
    </w:rPr>
  </w:style>
  <w:style w:type="paragraph" w:styleId="BodyText">
    <w:name w:val="Body Text"/>
    <w:link w:val="BodyTextChar"/>
    <w:qFormat/>
    <w:rsid w:val="00124A85"/>
    <w:pPr>
      <w:spacing w:after="120" w:line="270" w:lineRule="exact"/>
    </w:pPr>
    <w:rPr>
      <w:color w:val="373737"/>
      <w:sz w:val="20"/>
    </w:rPr>
  </w:style>
  <w:style w:type="character" w:customStyle="1" w:styleId="BodyTextChar">
    <w:name w:val="Body Text Char"/>
    <w:basedOn w:val="DefaultParagraphFont"/>
    <w:link w:val="BodyText"/>
    <w:rsid w:val="00124A85"/>
    <w:rPr>
      <w:color w:val="373737"/>
      <w:sz w:val="20"/>
    </w:rPr>
  </w:style>
  <w:style w:type="paragraph" w:styleId="Subtitle">
    <w:name w:val="Subtitle"/>
    <w:basedOn w:val="Normal"/>
    <w:next w:val="Normal"/>
    <w:link w:val="SubtitleChar"/>
    <w:rsid w:val="00124A85"/>
    <w:pPr>
      <w:numPr>
        <w:ilvl w:val="1"/>
      </w:numPr>
      <w:spacing w:line="240" w:lineRule="auto"/>
    </w:pPr>
    <w:rPr>
      <w:rFonts w:eastAsiaTheme="majorEastAsia" w:cstheme="majorBidi"/>
      <w:iCs/>
      <w:color w:val="005CAF" w:themeColor="accent1"/>
      <w:spacing w:val="15"/>
      <w:sz w:val="32"/>
      <w:szCs w:val="24"/>
    </w:rPr>
  </w:style>
  <w:style w:type="character" w:customStyle="1" w:styleId="SubtitleChar">
    <w:name w:val="Subtitle Char"/>
    <w:basedOn w:val="DefaultParagraphFont"/>
    <w:link w:val="Subtitle"/>
    <w:rsid w:val="00124A85"/>
    <w:rPr>
      <w:rFonts w:asciiTheme="majorHAnsi" w:eastAsiaTheme="majorEastAsia" w:hAnsiTheme="majorHAnsi" w:cstheme="majorBidi"/>
      <w:iCs/>
      <w:color w:val="005CAF" w:themeColor="accent1"/>
      <w:spacing w:val="15"/>
      <w:sz w:val="32"/>
      <w:szCs w:val="24"/>
    </w:rPr>
  </w:style>
  <w:style w:type="character" w:styleId="Hyperlink">
    <w:name w:val="Hyperlink"/>
    <w:uiPriority w:val="99"/>
    <w:rsid w:val="00124A85"/>
    <w:rPr>
      <w:color w:val="005CAF"/>
      <w:u w:val="none"/>
    </w:rPr>
  </w:style>
  <w:style w:type="table" w:styleId="Table3Deffects1">
    <w:name w:val="Table 3D effects 1"/>
    <w:basedOn w:val="TableNormal"/>
    <w:rsid w:val="00124A85"/>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124A85"/>
    <w:rPr>
      <w:rFonts w:ascii="Tahoma" w:eastAsia="Times New Roman" w:hAnsi="Tahoma" w:cs="Tahoma"/>
      <w:sz w:val="16"/>
      <w:szCs w:val="16"/>
    </w:rPr>
  </w:style>
  <w:style w:type="character" w:customStyle="1" w:styleId="BalloonTextChar">
    <w:name w:val="Balloon Text Char"/>
    <w:basedOn w:val="DefaultParagraphFont"/>
    <w:link w:val="BalloonText"/>
    <w:rsid w:val="00124A85"/>
    <w:rPr>
      <w:rFonts w:ascii="Tahoma" w:eastAsia="Times New Roman" w:hAnsi="Tahoma" w:cs="Tahoma"/>
      <w:color w:val="373737"/>
      <w:sz w:val="16"/>
      <w:szCs w:val="16"/>
    </w:rPr>
  </w:style>
  <w:style w:type="table" w:styleId="TableGrid">
    <w:name w:val="Table Grid"/>
    <w:basedOn w:val="TableNormal"/>
    <w:uiPriority w:val="59"/>
    <w:rsid w:val="00124A85"/>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4A85"/>
    <w:rPr>
      <w:color w:val="808080"/>
    </w:rPr>
  </w:style>
  <w:style w:type="table" w:styleId="MediumGrid3-Accent1">
    <w:name w:val="Medium Grid 3 Accent 1"/>
    <w:basedOn w:val="TableNormal"/>
    <w:uiPriority w:val="69"/>
    <w:rsid w:val="00124A85"/>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124A85"/>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124A85"/>
    <w:rPr>
      <w:b/>
      <w:bCs/>
      <w:i/>
      <w:iCs/>
      <w:color w:val="005CAF" w:themeColor="accent1"/>
    </w:rPr>
  </w:style>
  <w:style w:type="paragraph" w:styleId="Bibliography">
    <w:name w:val="Bibliography"/>
    <w:basedOn w:val="Normal"/>
    <w:next w:val="Normal"/>
    <w:uiPriority w:val="37"/>
    <w:unhideWhenUsed/>
    <w:rsid w:val="00124A85"/>
    <w:rPr>
      <w:rFonts w:eastAsia="Times New Roman"/>
    </w:rPr>
  </w:style>
  <w:style w:type="paragraph" w:styleId="TOCHeading">
    <w:name w:val="TOC Heading"/>
    <w:basedOn w:val="Heading1"/>
    <w:next w:val="Normal"/>
    <w:uiPriority w:val="39"/>
    <w:semiHidden/>
    <w:unhideWhenUsed/>
    <w:qFormat/>
    <w:rsid w:val="00124A85"/>
    <w:pPr>
      <w:keepLines/>
      <w:numPr>
        <w:numId w:val="0"/>
      </w:numPr>
      <w:spacing w:before="48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124A85"/>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124A85"/>
  </w:style>
  <w:style w:type="character" w:customStyle="1" w:styleId="Heading4Char">
    <w:name w:val="Heading 4 Char"/>
    <w:basedOn w:val="DefaultParagraphFont"/>
    <w:link w:val="Heading4"/>
    <w:uiPriority w:val="9"/>
    <w:rsid w:val="00124A85"/>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124A85"/>
    <w:rPr>
      <w:rFonts w:eastAsiaTheme="majorEastAsia" w:cstheme="majorBidi"/>
      <w:b/>
      <w:iCs/>
      <w:color w:val="005CAF"/>
      <w:sz w:val="32"/>
    </w:rPr>
  </w:style>
  <w:style w:type="paragraph" w:styleId="ListParagraph">
    <w:name w:val="List Paragraph"/>
    <w:aliases w:val="Recommendation,List Paragraph1,List Paragraph11,List Paragraph2,AR bullet 1,Bullet Point,L,Bullet points,Content descriptions,Bullet Points,NFP GP Bulleted List,FooterText,numbered,Paragraphe de liste1,Bulletr List Paragraph,列出段落,列出段落1,列"/>
    <w:basedOn w:val="ListBullet"/>
    <w:link w:val="ListParagraphChar"/>
    <w:uiPriority w:val="34"/>
    <w:qFormat/>
    <w:rsid w:val="00124A85"/>
    <w:pPr>
      <w:numPr>
        <w:numId w:val="0"/>
      </w:numPr>
    </w:pPr>
    <w:rPr>
      <w:lang w:val="en"/>
    </w:rPr>
  </w:style>
  <w:style w:type="character" w:customStyle="1" w:styleId="ListParagraphChar">
    <w:name w:val="List Paragraph Char"/>
    <w:aliases w:val="Recommendation Char,List Paragraph1 Char,List Paragraph11 Char,List Paragraph2 Char,AR bullet 1 Char,Bullet Point Char,L Char,Bullet points Char,Content descriptions Char,Bullet Points Char,NFP GP Bulleted List Char,FooterText Char"/>
    <w:basedOn w:val="DefaultParagraphFont"/>
    <w:link w:val="ListParagraph"/>
    <w:uiPriority w:val="34"/>
    <w:qFormat/>
    <w:rsid w:val="00124A85"/>
    <w:rPr>
      <w:color w:val="373737"/>
      <w:sz w:val="20"/>
      <w:lang w:val="en"/>
    </w:rPr>
  </w:style>
  <w:style w:type="numbering" w:customStyle="1" w:styleId="OCEBulletedList">
    <w:name w:val="OCE Bulleted List"/>
    <w:uiPriority w:val="99"/>
    <w:rsid w:val="00124A85"/>
  </w:style>
  <w:style w:type="paragraph" w:styleId="ListBullet">
    <w:name w:val="List Bullet"/>
    <w:basedOn w:val="BodyText"/>
    <w:uiPriority w:val="4"/>
    <w:qFormat/>
    <w:rsid w:val="00060CC5"/>
    <w:pPr>
      <w:numPr>
        <w:numId w:val="11"/>
      </w:numPr>
      <w:spacing w:after="40"/>
      <w:ind w:left="284" w:hanging="284"/>
      <w:jc w:val="both"/>
    </w:pPr>
  </w:style>
  <w:style w:type="paragraph" w:styleId="ListContinue2">
    <w:name w:val="List Continue 2"/>
    <w:basedOn w:val="Normal"/>
    <w:rsid w:val="00124A85"/>
    <w:pPr>
      <w:spacing w:after="120"/>
      <w:ind w:left="566"/>
      <w:contextualSpacing/>
    </w:pPr>
  </w:style>
  <w:style w:type="paragraph" w:styleId="ListBullet2">
    <w:name w:val="List Bullet 2"/>
    <w:basedOn w:val="ListBullet"/>
    <w:uiPriority w:val="4"/>
    <w:qFormat/>
    <w:rsid w:val="00060CC5"/>
    <w:pPr>
      <w:numPr>
        <w:ilvl w:val="1"/>
      </w:numPr>
    </w:pPr>
  </w:style>
  <w:style w:type="paragraph" w:styleId="ListBullet4">
    <w:name w:val="List Bullet 4"/>
    <w:basedOn w:val="ListBullet3"/>
    <w:rsid w:val="00124A85"/>
    <w:pPr>
      <w:numPr>
        <w:ilvl w:val="3"/>
      </w:numPr>
    </w:pPr>
  </w:style>
  <w:style w:type="paragraph" w:styleId="ListBullet3">
    <w:name w:val="List Bullet 3"/>
    <w:basedOn w:val="ListBullet2"/>
    <w:uiPriority w:val="4"/>
    <w:qFormat/>
    <w:rsid w:val="00FD1F45"/>
    <w:pPr>
      <w:numPr>
        <w:ilvl w:val="2"/>
      </w:numPr>
      <w:ind w:left="851" w:hanging="284"/>
    </w:pPr>
  </w:style>
  <w:style w:type="paragraph" w:styleId="ListNumber">
    <w:name w:val="List Number"/>
    <w:basedOn w:val="Normal"/>
    <w:uiPriority w:val="4"/>
    <w:qFormat/>
    <w:rsid w:val="00FD1F45"/>
    <w:pPr>
      <w:numPr>
        <w:numId w:val="12"/>
      </w:numPr>
      <w:spacing w:after="60"/>
      <w:ind w:left="284" w:hanging="284"/>
      <w:jc w:val="both"/>
    </w:pPr>
  </w:style>
  <w:style w:type="paragraph" w:styleId="ListNumber2">
    <w:name w:val="List Number 2"/>
    <w:basedOn w:val="ListNumber"/>
    <w:uiPriority w:val="4"/>
    <w:qFormat/>
    <w:rsid w:val="00FD1F45"/>
    <w:pPr>
      <w:numPr>
        <w:ilvl w:val="1"/>
      </w:numPr>
      <w:ind w:left="709" w:hanging="425"/>
    </w:pPr>
  </w:style>
  <w:style w:type="paragraph" w:styleId="ListNumber3">
    <w:name w:val="List Number 3"/>
    <w:basedOn w:val="ListNumber2"/>
    <w:uiPriority w:val="4"/>
    <w:qFormat/>
    <w:rsid w:val="00FD1F45"/>
    <w:pPr>
      <w:numPr>
        <w:ilvl w:val="2"/>
      </w:numPr>
      <w:ind w:left="1418" w:hanging="567"/>
    </w:pPr>
  </w:style>
  <w:style w:type="character" w:customStyle="1" w:styleId="Heading7Char">
    <w:name w:val="Heading 7 Char"/>
    <w:basedOn w:val="DefaultParagraphFont"/>
    <w:link w:val="Heading7"/>
    <w:uiPriority w:val="1"/>
    <w:rsid w:val="00CE7E3C"/>
    <w:rPr>
      <w:rFonts w:eastAsiaTheme="majorEastAsia" w:cstheme="majorBidi"/>
      <w:b/>
      <w:iCs/>
      <w:color w:val="2590C2" w:themeColor="accent2" w:themeShade="BF"/>
    </w:rPr>
  </w:style>
  <w:style w:type="paragraph" w:styleId="BodyTextFirstIndent">
    <w:name w:val="Body Text First Indent"/>
    <w:basedOn w:val="BodyText"/>
    <w:link w:val="BodyTextFirstIndentChar"/>
    <w:semiHidden/>
    <w:rsid w:val="00124A85"/>
    <w:pPr>
      <w:ind w:firstLine="360"/>
    </w:pPr>
    <w:rPr>
      <w:rFonts w:ascii="Arial" w:hAnsi="Arial"/>
    </w:rPr>
  </w:style>
  <w:style w:type="character" w:customStyle="1" w:styleId="BodyTextFirstIndentChar">
    <w:name w:val="Body Text First Indent Char"/>
    <w:basedOn w:val="BodyTextChar"/>
    <w:link w:val="BodyTextFirstIndent"/>
    <w:semiHidden/>
    <w:rsid w:val="00124A85"/>
    <w:rPr>
      <w:rFonts w:ascii="Arial" w:hAnsi="Arial"/>
      <w:color w:val="373737"/>
      <w:sz w:val="20"/>
    </w:rPr>
  </w:style>
  <w:style w:type="paragraph" w:styleId="BodyTextIndent">
    <w:name w:val="Body Text Indent"/>
    <w:basedOn w:val="Normal"/>
    <w:link w:val="BodyTextIndentChar"/>
    <w:semiHidden/>
    <w:unhideWhenUsed/>
    <w:rsid w:val="00124A85"/>
    <w:pPr>
      <w:spacing w:after="120"/>
      <w:ind w:left="283"/>
    </w:pPr>
  </w:style>
  <w:style w:type="character" w:customStyle="1" w:styleId="BodyTextIndentChar">
    <w:name w:val="Body Text Indent Char"/>
    <w:basedOn w:val="DefaultParagraphFont"/>
    <w:link w:val="BodyTextIndent"/>
    <w:semiHidden/>
    <w:rsid w:val="00124A85"/>
    <w:rPr>
      <w:rFonts w:ascii="Arial" w:hAnsi="Arial"/>
      <w:color w:val="373737"/>
      <w:sz w:val="20"/>
    </w:rPr>
  </w:style>
  <w:style w:type="paragraph" w:styleId="BodyTextFirstIndent2">
    <w:name w:val="Body Text First Indent 2"/>
    <w:basedOn w:val="BodyTextIndent"/>
    <w:link w:val="BodyTextFirstIndent2Char"/>
    <w:semiHidden/>
    <w:rsid w:val="00124A85"/>
    <w:pPr>
      <w:spacing w:after="180"/>
      <w:ind w:left="360" w:firstLine="360"/>
    </w:pPr>
  </w:style>
  <w:style w:type="character" w:customStyle="1" w:styleId="BodyTextFirstIndent2Char">
    <w:name w:val="Body Text First Indent 2 Char"/>
    <w:basedOn w:val="BodyTextIndentChar"/>
    <w:link w:val="BodyTextFirstIndent2"/>
    <w:semiHidden/>
    <w:rsid w:val="00124A85"/>
    <w:rPr>
      <w:rFonts w:ascii="Arial" w:hAnsi="Arial"/>
      <w:color w:val="373737"/>
      <w:sz w:val="20"/>
    </w:rPr>
  </w:style>
  <w:style w:type="character" w:customStyle="1" w:styleId="Heading8Char">
    <w:name w:val="Heading 8 Char"/>
    <w:basedOn w:val="DefaultParagraphFont"/>
    <w:link w:val="Heading8"/>
    <w:uiPriority w:val="1"/>
    <w:rsid w:val="00124A85"/>
    <w:rPr>
      <w:rFonts w:eastAsiaTheme="majorEastAsia" w:cstheme="majorBidi"/>
      <w:color w:val="005CAF"/>
      <w:szCs w:val="20"/>
    </w:rPr>
  </w:style>
  <w:style w:type="paragraph" w:customStyle="1" w:styleId="Source">
    <w:name w:val="Source"/>
    <w:basedOn w:val="Normal"/>
    <w:next w:val="BodyText"/>
    <w:link w:val="SourceChar"/>
    <w:qFormat/>
    <w:rsid w:val="00124A85"/>
    <w:pPr>
      <w:spacing w:after="60" w:line="240" w:lineRule="auto"/>
    </w:pPr>
    <w:rPr>
      <w:rFonts w:eastAsia="Times New Roman" w:cs="Arial"/>
      <w:color w:val="005CAF"/>
      <w:sz w:val="16"/>
      <w:szCs w:val="20"/>
      <w:lang w:val="en"/>
    </w:rPr>
  </w:style>
  <w:style w:type="character" w:customStyle="1" w:styleId="SourceChar">
    <w:name w:val="Source Char"/>
    <w:basedOn w:val="DefaultParagraphFont"/>
    <w:link w:val="Source"/>
    <w:rsid w:val="00124A85"/>
    <w:rPr>
      <w:rFonts w:ascii="Arial" w:eastAsia="Times New Roman" w:hAnsi="Arial" w:cs="Arial"/>
      <w:color w:val="005CAF"/>
      <w:sz w:val="16"/>
      <w:szCs w:val="20"/>
      <w:lang w:val="en"/>
    </w:rPr>
  </w:style>
  <w:style w:type="paragraph" w:customStyle="1" w:styleId="Tabletext">
    <w:name w:val="Table text"/>
    <w:basedOn w:val="Normal"/>
    <w:link w:val="TabletextChar"/>
    <w:qFormat/>
    <w:rsid w:val="00124A85"/>
    <w:pPr>
      <w:keepNext/>
      <w:keepLines/>
      <w:spacing w:before="60" w:after="60" w:line="240" w:lineRule="auto"/>
    </w:pPr>
    <w:rPr>
      <w:rFonts w:cs="Arial"/>
      <w:sz w:val="18"/>
      <w:szCs w:val="18"/>
    </w:rPr>
  </w:style>
  <w:style w:type="character" w:customStyle="1" w:styleId="TabletextChar">
    <w:name w:val="Table text Char"/>
    <w:basedOn w:val="DefaultParagraphFont"/>
    <w:link w:val="Tabletext"/>
    <w:rsid w:val="00124A85"/>
    <w:rPr>
      <w:rFonts w:ascii="Arial" w:hAnsi="Arial" w:cs="Arial"/>
      <w:color w:val="373737"/>
      <w:sz w:val="18"/>
      <w:szCs w:val="18"/>
    </w:rPr>
  </w:style>
  <w:style w:type="paragraph" w:customStyle="1" w:styleId="Tableheader">
    <w:name w:val="Table header"/>
    <w:basedOn w:val="Normal"/>
    <w:link w:val="TableheaderChar"/>
    <w:qFormat/>
    <w:rsid w:val="00124A85"/>
    <w:pPr>
      <w:keepNext/>
      <w:spacing w:before="120" w:after="120" w:line="240" w:lineRule="auto"/>
    </w:pPr>
    <w:rPr>
      <w:rFonts w:cs="Arial"/>
      <w:b/>
      <w:color w:val="FFFFFF"/>
      <w:sz w:val="18"/>
      <w:szCs w:val="18"/>
    </w:rPr>
  </w:style>
  <w:style w:type="character" w:customStyle="1" w:styleId="TableheaderChar">
    <w:name w:val="Table header Char"/>
    <w:basedOn w:val="DefaultParagraphFont"/>
    <w:link w:val="Tableheader"/>
    <w:rsid w:val="00124A85"/>
    <w:rPr>
      <w:rFonts w:ascii="Arial" w:hAnsi="Arial" w:cs="Arial"/>
      <w:b/>
      <w:color w:val="FFFFFF"/>
      <w:sz w:val="18"/>
      <w:szCs w:val="18"/>
    </w:rPr>
  </w:style>
  <w:style w:type="paragraph" w:styleId="Caption">
    <w:name w:val="caption"/>
    <w:basedOn w:val="Normal"/>
    <w:next w:val="BodyText"/>
    <w:autoRedefine/>
    <w:qFormat/>
    <w:rsid w:val="00C97679"/>
    <w:pPr>
      <w:keepNext/>
      <w:keepLines/>
      <w:spacing w:before="180" w:after="60" w:line="240" w:lineRule="auto"/>
    </w:pPr>
    <w:rPr>
      <w:b/>
      <w:bCs/>
      <w:color w:val="005CAF"/>
      <w:sz w:val="20"/>
      <w:szCs w:val="18"/>
    </w:rPr>
  </w:style>
  <w:style w:type="paragraph" w:customStyle="1" w:styleId="Note">
    <w:name w:val="Note"/>
    <w:basedOn w:val="Source"/>
    <w:rsid w:val="00124A85"/>
    <w:pPr>
      <w:keepNext/>
    </w:pPr>
  </w:style>
  <w:style w:type="table" w:customStyle="1" w:styleId="OCETable">
    <w:name w:val="OCE Table"/>
    <w:basedOn w:val="TableNormal"/>
    <w:uiPriority w:val="99"/>
    <w:rsid w:val="00124A85"/>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124A85"/>
    <w:pPr>
      <w:ind w:left="-1985"/>
    </w:pPr>
  </w:style>
  <w:style w:type="paragraph" w:customStyle="1" w:styleId="NoteWide">
    <w:name w:val="Note Wide"/>
    <w:basedOn w:val="Note"/>
    <w:rsid w:val="00124A85"/>
    <w:pPr>
      <w:ind w:left="-1985"/>
    </w:pPr>
  </w:style>
  <w:style w:type="paragraph" w:customStyle="1" w:styleId="SourceWide">
    <w:name w:val="Source Wide"/>
    <w:basedOn w:val="Source"/>
    <w:next w:val="BodyText"/>
    <w:rsid w:val="00124A85"/>
    <w:pPr>
      <w:ind w:left="-1985"/>
    </w:pPr>
  </w:style>
  <w:style w:type="paragraph" w:customStyle="1" w:styleId="Placeholder">
    <w:name w:val="Placeholder"/>
    <w:basedOn w:val="Normal"/>
    <w:rsid w:val="00124A85"/>
    <w:pPr>
      <w:widowControl w:val="0"/>
      <w:spacing w:after="0" w:line="240" w:lineRule="auto"/>
    </w:pPr>
    <w:rPr>
      <w:sz w:val="18"/>
    </w:rPr>
  </w:style>
  <w:style w:type="paragraph" w:customStyle="1" w:styleId="PlaceholderWide">
    <w:name w:val="Placeholder Wide"/>
    <w:basedOn w:val="Placeholder"/>
    <w:rsid w:val="00124A85"/>
  </w:style>
  <w:style w:type="paragraph" w:customStyle="1" w:styleId="Boxtext">
    <w:name w:val="Box text"/>
    <w:basedOn w:val="Placeholder"/>
    <w:rsid w:val="00124A85"/>
    <w:pPr>
      <w:spacing w:after="180" w:line="270" w:lineRule="exact"/>
    </w:pPr>
    <w:rPr>
      <w:rFonts w:eastAsia="Times New Roman" w:cs="Arial"/>
      <w:sz w:val="20"/>
      <w:szCs w:val="18"/>
      <w:lang w:val="en"/>
    </w:rPr>
  </w:style>
  <w:style w:type="numbering" w:customStyle="1" w:styleId="OCENumberedList">
    <w:name w:val="OCE Numbered List"/>
    <w:uiPriority w:val="99"/>
    <w:rsid w:val="00124A85"/>
  </w:style>
  <w:style w:type="paragraph" w:customStyle="1" w:styleId="UnnumberedHeading">
    <w:name w:val="Unnumbered Heading"/>
    <w:next w:val="BodyText"/>
    <w:link w:val="UnnumberedHeadingChar"/>
    <w:autoRedefine/>
    <w:qFormat/>
    <w:rsid w:val="009F49B3"/>
    <w:pPr>
      <w:keepNext/>
      <w:spacing w:before="300" w:after="180" w:line="280" w:lineRule="exact"/>
      <w:outlineLvl w:val="0"/>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9F49B3"/>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124A85"/>
    <w:pPr>
      <w:spacing w:before="600" w:after="600" w:line="240" w:lineRule="auto"/>
    </w:pPr>
    <w:rPr>
      <w:b w:val="0"/>
      <w:color w:val="22789A"/>
      <w:sz w:val="72"/>
    </w:rPr>
  </w:style>
  <w:style w:type="character" w:customStyle="1" w:styleId="TitleChar">
    <w:name w:val="Title Char"/>
    <w:basedOn w:val="DefaultParagraphFont"/>
    <w:link w:val="Title"/>
    <w:rsid w:val="00124A85"/>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124A85"/>
    <w:pPr>
      <w:spacing w:before="240" w:line="270" w:lineRule="exact"/>
    </w:pPr>
    <w:rPr>
      <w:rFonts w:eastAsia="Times New Roman" w:cs="Arial"/>
      <w:b/>
      <w:caps/>
      <w:sz w:val="21"/>
      <w:szCs w:val="20"/>
    </w:rPr>
  </w:style>
  <w:style w:type="character" w:customStyle="1" w:styleId="ResearchPaperChar">
    <w:name w:val="Research Paper # Char"/>
    <w:link w:val="ResearchPaper"/>
    <w:rsid w:val="00124A85"/>
    <w:rPr>
      <w:rFonts w:ascii="Arial" w:eastAsia="Times New Roman" w:hAnsi="Arial" w:cs="Arial"/>
      <w:b/>
      <w:caps/>
      <w:color w:val="373737"/>
      <w:sz w:val="21"/>
      <w:szCs w:val="20"/>
    </w:rPr>
  </w:style>
  <w:style w:type="paragraph" w:customStyle="1" w:styleId="Author">
    <w:name w:val="Author"/>
    <w:basedOn w:val="Normal"/>
    <w:link w:val="AuthorChar"/>
    <w:rsid w:val="00124A85"/>
    <w:pPr>
      <w:spacing w:before="180"/>
    </w:pPr>
    <w:rPr>
      <w:rFonts w:eastAsia="Times New Roman" w:cs="Arial"/>
      <w:b/>
      <w:color w:val="005CAF"/>
      <w:sz w:val="32"/>
      <w:szCs w:val="20"/>
    </w:rPr>
  </w:style>
  <w:style w:type="character" w:customStyle="1" w:styleId="AuthorChar">
    <w:name w:val="Author Char"/>
    <w:basedOn w:val="DefaultParagraphFont"/>
    <w:link w:val="Author"/>
    <w:rsid w:val="00124A85"/>
    <w:rPr>
      <w:rFonts w:ascii="Arial" w:eastAsia="Times New Roman" w:hAnsi="Arial" w:cs="Arial"/>
      <w:b/>
      <w:color w:val="005CAF"/>
      <w:sz w:val="32"/>
      <w:szCs w:val="20"/>
    </w:rPr>
  </w:style>
  <w:style w:type="paragraph" w:customStyle="1" w:styleId="MonthYear">
    <w:name w:val="Month Year"/>
    <w:basedOn w:val="Normal"/>
    <w:link w:val="MonthYearChar"/>
    <w:qFormat/>
    <w:rsid w:val="00124A85"/>
    <w:pPr>
      <w:spacing w:before="720"/>
    </w:pPr>
    <w:rPr>
      <w:rFonts w:asciiTheme="minorHAnsi" w:eastAsia="Times New Roman" w:hAnsiTheme="minorHAnsi" w:cs="Arial"/>
      <w:b/>
      <w:color w:val="56B4DF"/>
      <w:sz w:val="32"/>
      <w:szCs w:val="20"/>
    </w:rPr>
  </w:style>
  <w:style w:type="character" w:customStyle="1" w:styleId="MonthYearChar">
    <w:name w:val="Month Year Char"/>
    <w:basedOn w:val="DefaultParagraphFont"/>
    <w:link w:val="MonthYear"/>
    <w:rsid w:val="00124A85"/>
    <w:rPr>
      <w:rFonts w:eastAsia="Times New Roman" w:cs="Arial"/>
      <w:b/>
      <w:color w:val="56B4DF"/>
      <w:sz w:val="32"/>
      <w:szCs w:val="20"/>
    </w:rPr>
  </w:style>
  <w:style w:type="paragraph" w:customStyle="1" w:styleId="AbstractHeader">
    <w:name w:val="Abstract Header"/>
    <w:basedOn w:val="Normal"/>
    <w:link w:val="AbstractHeaderChar"/>
    <w:qFormat/>
    <w:rsid w:val="00124A85"/>
    <w:pPr>
      <w:spacing w:before="360"/>
    </w:pPr>
    <w:rPr>
      <w:rFonts w:eastAsia="Times New Roman" w:cs="Arial"/>
      <w:color w:val="005CAF"/>
      <w:sz w:val="32"/>
      <w:szCs w:val="20"/>
    </w:rPr>
  </w:style>
  <w:style w:type="character" w:customStyle="1" w:styleId="AbstractHeaderChar">
    <w:name w:val="Abstract Header Char"/>
    <w:basedOn w:val="DefaultParagraphFont"/>
    <w:link w:val="AbstractHeader"/>
    <w:rsid w:val="00124A85"/>
    <w:rPr>
      <w:rFonts w:ascii="Arial" w:eastAsia="Times New Roman" w:hAnsi="Arial" w:cs="Arial"/>
      <w:color w:val="005CAF"/>
      <w:sz w:val="32"/>
      <w:szCs w:val="20"/>
    </w:rPr>
  </w:style>
  <w:style w:type="numbering" w:customStyle="1" w:styleId="EASDMultilevelList">
    <w:name w:val="EASD Multilevel List"/>
    <w:uiPriority w:val="99"/>
    <w:rsid w:val="00124A85"/>
  </w:style>
  <w:style w:type="numbering" w:styleId="111111">
    <w:name w:val="Outline List 2"/>
    <w:basedOn w:val="NoList"/>
    <w:rsid w:val="00124A85"/>
    <w:pPr>
      <w:numPr>
        <w:numId w:val="1"/>
      </w:numPr>
    </w:pPr>
  </w:style>
  <w:style w:type="paragraph" w:customStyle="1" w:styleId="Abstractbodytext">
    <w:name w:val="Abstract body text"/>
    <w:basedOn w:val="CoverNormal"/>
    <w:link w:val="AbstractbodytextChar"/>
    <w:uiPriority w:val="9"/>
    <w:semiHidden/>
    <w:rsid w:val="00124A85"/>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124A85"/>
    <w:rPr>
      <w:rFonts w:ascii="Arial" w:eastAsia="Times New Roman" w:hAnsi="Arial" w:cs="Arial"/>
      <w:color w:val="373737"/>
      <w:sz w:val="20"/>
      <w:szCs w:val="20"/>
      <w:lang w:val="en"/>
    </w:rPr>
  </w:style>
  <w:style w:type="paragraph" w:customStyle="1" w:styleId="CoverNormal">
    <w:name w:val="Cover Normal"/>
    <w:basedOn w:val="Normal"/>
    <w:rsid w:val="00124A85"/>
    <w:pPr>
      <w:spacing w:line="240" w:lineRule="auto"/>
    </w:pPr>
  </w:style>
  <w:style w:type="paragraph" w:customStyle="1" w:styleId="TitleHeading">
    <w:name w:val="Title Heading"/>
    <w:link w:val="TitleHeadingChar"/>
    <w:qFormat/>
    <w:rsid w:val="00124A85"/>
    <w:pPr>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124A85"/>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450026"/>
    <w:pPr>
      <w:numPr>
        <w:numId w:val="13"/>
      </w:numPr>
      <w:ind w:right="153"/>
      <w:jc w:val="both"/>
    </w:pPr>
    <w:rPr>
      <w:rFonts w:eastAsia="Times New Roman" w:cs="Arial"/>
      <w:b/>
      <w:szCs w:val="20"/>
      <w:lang w:val="en"/>
    </w:rPr>
  </w:style>
  <w:style w:type="character" w:customStyle="1" w:styleId="KeypointsbulletChar">
    <w:name w:val="Key points bullet Char"/>
    <w:basedOn w:val="ListParagraphChar"/>
    <w:link w:val="Keypointsbullet"/>
    <w:rsid w:val="00450026"/>
    <w:rPr>
      <w:rFonts w:eastAsia="Times New Roman" w:cs="Arial"/>
      <w:b/>
      <w:color w:val="373737"/>
      <w:sz w:val="20"/>
      <w:szCs w:val="20"/>
      <w:lang w:val="en"/>
    </w:rPr>
  </w:style>
  <w:style w:type="paragraph" w:styleId="Header">
    <w:name w:val="header"/>
    <w:aliases w:val="HeaderPort"/>
    <w:basedOn w:val="Normal"/>
    <w:link w:val="HeaderChar"/>
    <w:unhideWhenUsed/>
    <w:rsid w:val="00124A85"/>
    <w:pPr>
      <w:spacing w:after="0" w:line="240" w:lineRule="auto"/>
    </w:pPr>
  </w:style>
  <w:style w:type="character" w:customStyle="1" w:styleId="HeaderChar">
    <w:name w:val="Header Char"/>
    <w:aliases w:val="HeaderPort Char"/>
    <w:basedOn w:val="DefaultParagraphFont"/>
    <w:link w:val="Header"/>
    <w:rsid w:val="00124A85"/>
    <w:rPr>
      <w:rFonts w:ascii="Arial" w:hAnsi="Arial"/>
      <w:color w:val="373737"/>
      <w:sz w:val="20"/>
    </w:rPr>
  </w:style>
  <w:style w:type="paragraph" w:customStyle="1" w:styleId="CoverAbstract">
    <w:name w:val="Cover Abstract"/>
    <w:basedOn w:val="Normal"/>
    <w:uiPriority w:val="10"/>
    <w:rsid w:val="00124A85"/>
    <w:rPr>
      <w:lang w:val="en"/>
    </w:rPr>
  </w:style>
  <w:style w:type="paragraph" w:customStyle="1" w:styleId="ReportCoverContact">
    <w:name w:val="Report Cover Contact"/>
    <w:basedOn w:val="Normal"/>
    <w:rsid w:val="00124A85"/>
    <w:pPr>
      <w:spacing w:after="60"/>
    </w:pPr>
    <w:rPr>
      <w:rFonts w:eastAsia="Calibri" w:cs="Arial"/>
      <w:sz w:val="16"/>
      <w:szCs w:val="18"/>
      <w:lang w:val="en"/>
    </w:rPr>
  </w:style>
  <w:style w:type="paragraph" w:customStyle="1" w:styleId="ReportCoverInformation">
    <w:name w:val="Report Cover Information"/>
    <w:basedOn w:val="Normal"/>
    <w:rsid w:val="00124A85"/>
    <w:pPr>
      <w:keepNext/>
      <w:pBdr>
        <w:top w:val="single" w:sz="4" w:space="1" w:color="595A5B"/>
      </w:pBdr>
      <w:spacing w:before="600" w:after="120" w:line="240" w:lineRule="atLeast"/>
      <w:ind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6579D4"/>
    <w:pPr>
      <w:tabs>
        <w:tab w:val="left" w:pos="1134"/>
        <w:tab w:val="right" w:pos="13892"/>
      </w:tabs>
      <w:spacing w:after="50"/>
      <w:ind w:left="1134" w:right="454" w:hanging="567"/>
    </w:pPr>
    <w:rPr>
      <w:noProof/>
    </w:rPr>
  </w:style>
  <w:style w:type="paragraph" w:styleId="TOC3">
    <w:name w:val="toc 3"/>
    <w:basedOn w:val="Normal"/>
    <w:next w:val="Normal"/>
    <w:autoRedefine/>
    <w:uiPriority w:val="39"/>
    <w:rsid w:val="00124A85"/>
    <w:pPr>
      <w:tabs>
        <w:tab w:val="right" w:pos="13892"/>
      </w:tabs>
      <w:spacing w:after="60"/>
      <w:ind w:left="1843" w:right="805"/>
    </w:pPr>
    <w:rPr>
      <w:noProof/>
    </w:rPr>
  </w:style>
  <w:style w:type="paragraph" w:styleId="TOC6">
    <w:name w:val="toc 6"/>
    <w:basedOn w:val="Normal"/>
    <w:next w:val="Normal"/>
    <w:autoRedefine/>
    <w:uiPriority w:val="39"/>
    <w:rsid w:val="00124A85"/>
    <w:pPr>
      <w:tabs>
        <w:tab w:val="right" w:pos="13892"/>
      </w:tabs>
      <w:spacing w:before="120" w:after="60"/>
      <w:ind w:left="1559" w:right="805" w:hanging="1559"/>
    </w:pPr>
    <w:rPr>
      <w:b/>
      <w:noProof/>
    </w:rPr>
  </w:style>
  <w:style w:type="paragraph" w:customStyle="1" w:styleId="Contents">
    <w:name w:val="Contents"/>
    <w:basedOn w:val="CoverNormal"/>
    <w:rsid w:val="00124A85"/>
    <w:pPr>
      <w:pageBreakBefore/>
      <w:jc w:val="center"/>
    </w:pPr>
    <w:rPr>
      <w:rFonts w:cstheme="majorHAnsi"/>
      <w:b/>
      <w:color w:val="005CAF"/>
      <w:sz w:val="52"/>
      <w:szCs w:val="52"/>
    </w:rPr>
  </w:style>
  <w:style w:type="paragraph" w:customStyle="1" w:styleId="CreativeCommonsLicence">
    <w:name w:val="Creative Commons Licence"/>
    <w:basedOn w:val="CoverHeadings"/>
    <w:next w:val="DisclaimerandAcknowledgement"/>
    <w:rsid w:val="00124A85"/>
    <w:pPr>
      <w:keepNext/>
      <w:outlineLvl w:val="7"/>
    </w:pPr>
  </w:style>
  <w:style w:type="paragraph" w:customStyle="1" w:styleId="Keypointsheader">
    <w:name w:val="Key points header"/>
    <w:basedOn w:val="BodyText"/>
    <w:link w:val="KeypointsheaderChar"/>
    <w:qFormat/>
    <w:rsid w:val="00124A85"/>
    <w:pPr>
      <w:keepNext/>
      <w:spacing w:before="300" w:line="280" w:lineRule="atLeast"/>
      <w:ind w:left="34" w:right="57"/>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24A85"/>
    <w:rPr>
      <w:rFonts w:eastAsia="Times New Roman" w:cs="Times New Roman"/>
      <w:b/>
      <w:color w:val="005CAF"/>
      <w:sz w:val="32"/>
      <w:szCs w:val="20"/>
    </w:rPr>
  </w:style>
  <w:style w:type="paragraph" w:customStyle="1" w:styleId="AbstractText">
    <w:name w:val="Abstract Text"/>
    <w:basedOn w:val="CoverNormal"/>
    <w:rsid w:val="00124A85"/>
    <w:pPr>
      <w:spacing w:before="60" w:after="60" w:line="260" w:lineRule="exact"/>
    </w:pPr>
  </w:style>
  <w:style w:type="paragraph" w:customStyle="1" w:styleId="JELCodeheader">
    <w:name w:val="JEL Code header"/>
    <w:link w:val="JELCodeheaderChar"/>
    <w:qFormat/>
    <w:rsid w:val="00124A85"/>
    <w:pPr>
      <w:spacing w:after="0" w:line="270" w:lineRule="exact"/>
      <w:jc w:val="both"/>
    </w:pPr>
    <w:rPr>
      <w:rFonts w:ascii="Arial" w:eastAsia="Times New Roman" w:hAnsi="Arial" w:cs="Arial"/>
      <w:b/>
      <w:color w:val="005CAF"/>
      <w:sz w:val="20"/>
      <w:szCs w:val="20"/>
      <w:lang w:val="en"/>
    </w:rPr>
  </w:style>
  <w:style w:type="character" w:customStyle="1" w:styleId="JELCodeheaderChar">
    <w:name w:val="JEL Code header Char"/>
    <w:basedOn w:val="DefaultParagraphFont"/>
    <w:link w:val="JELCodeheader"/>
    <w:rsid w:val="00124A85"/>
    <w:rPr>
      <w:rFonts w:ascii="Arial" w:eastAsia="Times New Roman" w:hAnsi="Arial" w:cs="Arial"/>
      <w:b/>
      <w:color w:val="005CAF"/>
      <w:sz w:val="20"/>
      <w:szCs w:val="20"/>
      <w:lang w:val="en"/>
    </w:rPr>
  </w:style>
  <w:style w:type="paragraph" w:customStyle="1" w:styleId="DisclaimerandAcknowledgement">
    <w:name w:val="Disclaimer and Acknowledgement"/>
    <w:basedOn w:val="Normal"/>
    <w:link w:val="DisclaimerandAcknowledgementChar"/>
    <w:qFormat/>
    <w:rsid w:val="00124A85"/>
    <w:pPr>
      <w:spacing w:after="140"/>
    </w:pPr>
    <w:rPr>
      <w:rFonts w:eastAsia="Calibri" w:cs="Arial"/>
      <w:sz w:val="16"/>
      <w:szCs w:val="18"/>
      <w:lang w:val="en"/>
    </w:rPr>
  </w:style>
  <w:style w:type="character" w:customStyle="1" w:styleId="DisclaimerandAcknowledgementChar">
    <w:name w:val="Disclaimer and Acknowledgement Char"/>
    <w:link w:val="DisclaimerandAcknowledgement"/>
    <w:rsid w:val="00124A85"/>
    <w:rPr>
      <w:rFonts w:ascii="Arial" w:eastAsia="Calibri" w:hAnsi="Arial" w:cs="Arial"/>
      <w:color w:val="373737"/>
      <w:sz w:val="16"/>
      <w:szCs w:val="18"/>
      <w:lang w:val="en"/>
    </w:rPr>
  </w:style>
  <w:style w:type="paragraph" w:customStyle="1" w:styleId="HyperlinkStyle">
    <w:name w:val="Hyperlink Style"/>
    <w:basedOn w:val="Normal"/>
    <w:link w:val="HyperlinkStyleChar"/>
    <w:qFormat/>
    <w:rsid w:val="00124A85"/>
    <w:rPr>
      <w:rFonts w:eastAsia="Calibri" w:cs="Times New Roman"/>
      <w:color w:val="005CAF"/>
      <w:szCs w:val="20"/>
    </w:rPr>
  </w:style>
  <w:style w:type="character" w:customStyle="1" w:styleId="HyperlinkStyleChar">
    <w:name w:val="Hyperlink Style Char"/>
    <w:link w:val="HyperlinkStyle"/>
    <w:rsid w:val="00124A85"/>
    <w:rPr>
      <w:rFonts w:ascii="Arial" w:eastAsia="Calibri" w:hAnsi="Arial" w:cs="Times New Roman"/>
      <w:color w:val="005CAF"/>
      <w:sz w:val="20"/>
      <w:szCs w:val="20"/>
    </w:rPr>
  </w:style>
  <w:style w:type="paragraph" w:customStyle="1" w:styleId="CoverHeadings">
    <w:name w:val="Cover Headings"/>
    <w:basedOn w:val="Normal"/>
    <w:next w:val="Normal"/>
    <w:link w:val="CoverHeadingsChar"/>
    <w:qFormat/>
    <w:rsid w:val="00124A85"/>
    <w:pPr>
      <w:spacing w:before="340" w:after="120" w:line="240" w:lineRule="atLeast"/>
      <w:ind w:right="57"/>
    </w:pPr>
    <w:rPr>
      <w:rFonts w:eastAsia="Times New Roman" w:cs="Times New Roman"/>
      <w:b/>
      <w:color w:val="005CAF"/>
      <w:szCs w:val="20"/>
      <w:lang w:val="en"/>
    </w:rPr>
  </w:style>
  <w:style w:type="character" w:customStyle="1" w:styleId="CoverHeadingsChar">
    <w:name w:val="Cover Headings Char"/>
    <w:basedOn w:val="DefaultParagraphFont"/>
    <w:link w:val="CoverHeadings"/>
    <w:rsid w:val="00124A85"/>
    <w:rPr>
      <w:rFonts w:ascii="Arial" w:eastAsia="Times New Roman" w:hAnsi="Arial" w:cs="Times New Roman"/>
      <w:b/>
      <w:color w:val="005CAF"/>
      <w:sz w:val="20"/>
      <w:szCs w:val="20"/>
      <w:lang w:val="en"/>
    </w:rPr>
  </w:style>
  <w:style w:type="paragraph" w:styleId="Quote">
    <w:name w:val="Quote"/>
    <w:basedOn w:val="Normal"/>
    <w:next w:val="Normal"/>
    <w:link w:val="QuoteChar"/>
    <w:uiPriority w:val="29"/>
    <w:rsid w:val="00124A85"/>
    <w:pPr>
      <w:spacing w:after="120"/>
      <w:ind w:left="284" w:right="522"/>
    </w:pPr>
    <w:rPr>
      <w:rFonts w:asciiTheme="minorHAnsi" w:hAnsiTheme="minorHAnsi"/>
      <w:iCs/>
      <w:sz w:val="18"/>
    </w:rPr>
  </w:style>
  <w:style w:type="character" w:customStyle="1" w:styleId="QuoteChar">
    <w:name w:val="Quote Char"/>
    <w:basedOn w:val="DefaultParagraphFont"/>
    <w:link w:val="Quote"/>
    <w:uiPriority w:val="29"/>
    <w:rsid w:val="00124A85"/>
    <w:rPr>
      <w:iCs/>
      <w:color w:val="373737"/>
      <w:sz w:val="18"/>
    </w:rPr>
  </w:style>
  <w:style w:type="paragraph" w:customStyle="1" w:styleId="TableListBullet">
    <w:name w:val="Table List Bullet"/>
    <w:basedOn w:val="Tabletext"/>
    <w:rsid w:val="00124A85"/>
    <w:pPr>
      <w:numPr>
        <w:numId w:val="14"/>
      </w:numPr>
    </w:pPr>
    <w:rPr>
      <w:rFonts w:eastAsia="Times New Roman"/>
      <w:lang w:eastAsia="en-AU"/>
    </w:rPr>
  </w:style>
  <w:style w:type="numbering" w:customStyle="1" w:styleId="OCETableBullets">
    <w:name w:val="OCE Table Bullets"/>
    <w:uiPriority w:val="99"/>
    <w:rsid w:val="00124A85"/>
  </w:style>
  <w:style w:type="paragraph" w:customStyle="1" w:styleId="Logo">
    <w:name w:val="Logo"/>
    <w:basedOn w:val="Normal"/>
    <w:next w:val="CoverHeadings"/>
    <w:rsid w:val="00124A85"/>
    <w:pPr>
      <w:spacing w:before="600"/>
    </w:pPr>
    <w:rPr>
      <w:noProof/>
      <w:lang w:eastAsia="en-AU"/>
    </w:rPr>
  </w:style>
  <w:style w:type="paragraph" w:customStyle="1" w:styleId="SideQuote">
    <w:name w:val="Side Quote"/>
    <w:basedOn w:val="Normal"/>
    <w:next w:val="SideQuoteSource"/>
    <w:link w:val="SideQuoteChar"/>
    <w:rsid w:val="00124A85"/>
    <w:pPr>
      <w:keepNext/>
      <w:framePr w:w="1701" w:hSpace="113" w:vSpace="113" w:wrap="around" w:vAnchor="text" w:hAnchor="margin" w:x="-1984" w:y="1"/>
      <w:pBdr>
        <w:top w:val="single" w:sz="12" w:space="3" w:color="005CAF"/>
        <w:bottom w:val="single" w:sz="12" w:space="3" w:color="005CAF"/>
      </w:pBdr>
      <w:spacing w:before="60" w:after="40" w:line="220" w:lineRule="exact"/>
    </w:pPr>
    <w:rPr>
      <w:rFonts w:eastAsia="Times New Roman" w:cs="Times New Roman"/>
      <w:sz w:val="16"/>
      <w:lang w:eastAsia="en-AU"/>
    </w:rPr>
  </w:style>
  <w:style w:type="character" w:customStyle="1" w:styleId="SideQuoteChar">
    <w:name w:val="Side Quote Char"/>
    <w:basedOn w:val="DefaultParagraphFont"/>
    <w:link w:val="SideQuote"/>
    <w:rsid w:val="00124A85"/>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124A85"/>
    <w:pPr>
      <w:framePr w:wrap="around"/>
      <w:jc w:val="right"/>
    </w:pPr>
    <w:rPr>
      <w:i/>
      <w:color w:val="005CAF"/>
    </w:rPr>
  </w:style>
  <w:style w:type="paragraph" w:customStyle="1" w:styleId="LetterBody">
    <w:name w:val="Letter Body"/>
    <w:qFormat/>
    <w:rsid w:val="00124A85"/>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124A85"/>
    <w:pPr>
      <w:spacing w:after="80"/>
      <w:ind w:left="1701"/>
    </w:pPr>
    <w:rPr>
      <w:sz w:val="16"/>
      <w:szCs w:val="16"/>
    </w:rPr>
  </w:style>
  <w:style w:type="paragraph" w:customStyle="1" w:styleId="Addressee">
    <w:name w:val="Addressee"/>
    <w:qFormat/>
    <w:rsid w:val="00124A85"/>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124A85"/>
    <w:rPr>
      <w:color w:val="373737"/>
    </w:rPr>
  </w:style>
  <w:style w:type="paragraph" w:customStyle="1" w:styleId="LetterSalutation">
    <w:name w:val="Letter Salutation"/>
    <w:basedOn w:val="LetterBody"/>
    <w:qFormat/>
    <w:rsid w:val="00124A85"/>
  </w:style>
  <w:style w:type="paragraph" w:customStyle="1" w:styleId="LetterSignature">
    <w:name w:val="Letter Signature"/>
    <w:basedOn w:val="LetterNormal"/>
    <w:qFormat/>
    <w:rsid w:val="00124A85"/>
    <w:pPr>
      <w:tabs>
        <w:tab w:val="left" w:pos="6200"/>
      </w:tabs>
    </w:pPr>
    <w:rPr>
      <w:color w:val="373737"/>
    </w:rPr>
  </w:style>
  <w:style w:type="paragraph" w:customStyle="1" w:styleId="LetterNormal">
    <w:name w:val="Letter Normal"/>
    <w:basedOn w:val="Normal"/>
    <w:qFormat/>
    <w:rsid w:val="00124A85"/>
    <w:pPr>
      <w:suppressAutoHyphens/>
      <w:spacing w:after="0" w:line="240" w:lineRule="auto"/>
    </w:pPr>
    <w:rPr>
      <w:rFonts w:eastAsia="Times New Roman" w:cs="Times New Roman"/>
      <w:szCs w:val="20"/>
      <w:lang w:eastAsia="en-AU"/>
    </w:rPr>
  </w:style>
  <w:style w:type="paragraph" w:customStyle="1" w:styleId="LetterAddressBlock">
    <w:name w:val="Letter Address Block"/>
    <w:basedOn w:val="LetterNormal"/>
    <w:qFormat/>
    <w:rsid w:val="00124A85"/>
    <w:pPr>
      <w:spacing w:after="80"/>
      <w:ind w:left="1701"/>
    </w:pPr>
    <w:rPr>
      <w:sz w:val="16"/>
      <w:szCs w:val="16"/>
    </w:rPr>
  </w:style>
  <w:style w:type="paragraph" w:customStyle="1" w:styleId="AgendaBodyText">
    <w:name w:val="Agenda Body Text"/>
    <w:qFormat/>
    <w:rsid w:val="00124A85"/>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rsid w:val="00124A85"/>
    <w:pPr>
      <w:spacing w:before="200" w:after="0" w:line="240" w:lineRule="auto"/>
    </w:pPr>
    <w:rPr>
      <w:rFonts w:ascii="Arial" w:hAnsi="Arial"/>
      <w:b/>
      <w:color w:val="22789A"/>
    </w:rPr>
  </w:style>
  <w:style w:type="paragraph" w:customStyle="1" w:styleId="AgendaTableSubHeading">
    <w:name w:val="Agenda Table Sub Heading"/>
    <w:qFormat/>
    <w:rsid w:val="00124A85"/>
    <w:pPr>
      <w:spacing w:after="120" w:line="240" w:lineRule="auto"/>
    </w:pPr>
    <w:rPr>
      <w:rFonts w:ascii="Arial" w:hAnsi="Arial"/>
      <w:b/>
      <w:color w:val="595A5B"/>
      <w:sz w:val="18"/>
      <w:lang w:eastAsia="en-AU"/>
    </w:rPr>
  </w:style>
  <w:style w:type="paragraph" w:customStyle="1" w:styleId="AgendaTableColHeading0">
    <w:name w:val="Agenda Table Col Heading"/>
    <w:next w:val="AgendaBodyText"/>
    <w:qFormat/>
    <w:rsid w:val="00124A85"/>
    <w:pPr>
      <w:spacing w:before="200" w:after="0" w:line="240" w:lineRule="auto"/>
    </w:pPr>
    <w:rPr>
      <w:rFonts w:ascii="Arial" w:eastAsia="Times New Roman" w:hAnsi="Arial"/>
      <w:b/>
      <w:color w:val="005CAF"/>
      <w:lang w:eastAsia="en-AU"/>
    </w:rPr>
  </w:style>
  <w:style w:type="paragraph" w:customStyle="1" w:styleId="address">
    <w:name w:val="address"/>
    <w:basedOn w:val="Normal"/>
    <w:rsid w:val="00124A85"/>
    <w:pPr>
      <w:suppressAutoHyphens/>
      <w:spacing w:after="240" w:line="240" w:lineRule="auto"/>
      <w:jc w:val="right"/>
    </w:pPr>
    <w:rPr>
      <w:rFonts w:eastAsia="Times New Roman" w:cs="Times New Roman"/>
      <w:szCs w:val="20"/>
      <w:lang w:val="en-GB" w:eastAsia="en-AU"/>
    </w:rPr>
  </w:style>
  <w:style w:type="paragraph" w:styleId="ListNumber4">
    <w:name w:val="List Number 4"/>
    <w:basedOn w:val="Normal"/>
    <w:rsid w:val="00124A85"/>
    <w:pPr>
      <w:numPr>
        <w:ilvl w:val="3"/>
        <w:numId w:val="12"/>
      </w:numPr>
      <w:spacing w:after="60"/>
      <w:contextualSpacing/>
    </w:pPr>
  </w:style>
  <w:style w:type="numbering" w:customStyle="1" w:styleId="DataHubHeadings">
    <w:name w:val="DataHub Headings"/>
    <w:uiPriority w:val="99"/>
    <w:rsid w:val="00124A85"/>
    <w:pPr>
      <w:numPr>
        <w:numId w:val="9"/>
      </w:numPr>
    </w:pPr>
  </w:style>
  <w:style w:type="paragraph" w:customStyle="1" w:styleId="Heading1NoNumber">
    <w:name w:val="Heading 1 No Number"/>
    <w:next w:val="BodyText"/>
    <w:rsid w:val="003A02A9"/>
    <w:pPr>
      <w:keepNext/>
      <w:spacing w:after="60" w:line="280" w:lineRule="atLeast"/>
      <w:outlineLvl w:val="0"/>
    </w:pPr>
    <w:rPr>
      <w:rFonts w:eastAsia="Times New Roman" w:cs="Arial"/>
      <w:b/>
      <w:bCs/>
      <w:color w:val="005CAF"/>
      <w:kern w:val="32"/>
      <w:sz w:val="32"/>
      <w:szCs w:val="32"/>
    </w:rPr>
  </w:style>
  <w:style w:type="numbering" w:customStyle="1" w:styleId="DataHubUnnumberedHeadings">
    <w:name w:val="DataHub Unnumbered Headings"/>
    <w:uiPriority w:val="99"/>
    <w:rsid w:val="00124A85"/>
    <w:pPr>
      <w:numPr>
        <w:numId w:val="10"/>
      </w:numPr>
    </w:pPr>
  </w:style>
  <w:style w:type="paragraph" w:customStyle="1" w:styleId="FooterStyle">
    <w:name w:val="Footer Style"/>
    <w:basedOn w:val="Footer"/>
    <w:link w:val="FooterStyleChar"/>
    <w:qFormat/>
    <w:rsid w:val="00124A85"/>
    <w:pPr>
      <w:tabs>
        <w:tab w:val="clear" w:pos="9680"/>
        <w:tab w:val="center" w:pos="4513"/>
        <w:tab w:val="right" w:pos="9026"/>
      </w:tabs>
      <w:spacing w:before="80" w:after="80" w:line="240" w:lineRule="auto"/>
      <w:jc w:val="right"/>
    </w:pPr>
    <w:rPr>
      <w:rFonts w:cs="Arial"/>
      <w:color w:val="FFFFFF" w:themeColor="background1"/>
      <w:sz w:val="18"/>
      <w:szCs w:val="18"/>
    </w:rPr>
  </w:style>
  <w:style w:type="character" w:customStyle="1" w:styleId="FooterStyleChar">
    <w:name w:val="Footer Style Char"/>
    <w:basedOn w:val="FooterChar"/>
    <w:link w:val="FooterStyle"/>
    <w:rsid w:val="00124A85"/>
    <w:rPr>
      <w:rFonts w:ascii="Arial" w:eastAsia="Times New Roman" w:hAnsi="Arial" w:cs="Arial"/>
      <w:color w:val="FFFFFF" w:themeColor="background1"/>
      <w:sz w:val="18"/>
      <w:szCs w:val="18"/>
    </w:rPr>
  </w:style>
  <w:style w:type="paragraph" w:customStyle="1" w:styleId="CoverNoteTitle">
    <w:name w:val="Cover Note Title"/>
    <w:rsid w:val="00124A85"/>
    <w:pPr>
      <w:jc w:val="center"/>
    </w:pPr>
    <w:rPr>
      <w:rFonts w:ascii="Arial" w:eastAsia="Times New Roman" w:hAnsi="Arial" w:cs="Times New Roman"/>
      <w:b/>
      <w:color w:val="005CAF"/>
      <w:kern w:val="32"/>
      <w:sz w:val="32"/>
      <w:szCs w:val="20"/>
    </w:rPr>
  </w:style>
  <w:style w:type="paragraph" w:customStyle="1" w:styleId="CoverNoteHeading">
    <w:name w:val="Cover Note Heading"/>
    <w:next w:val="CoverNoteText"/>
    <w:rsid w:val="00124A85"/>
    <w:pPr>
      <w:spacing w:before="120" w:after="0" w:line="240" w:lineRule="auto"/>
    </w:pPr>
    <w:rPr>
      <w:rFonts w:ascii="Arial" w:hAnsi="Arial"/>
      <w:b/>
      <w:color w:val="373737"/>
      <w:sz w:val="20"/>
    </w:rPr>
  </w:style>
  <w:style w:type="paragraph" w:customStyle="1" w:styleId="CoverNoteText">
    <w:name w:val="Cover Note Text"/>
    <w:basedOn w:val="CoverNoteHeading"/>
    <w:rsid w:val="00124A85"/>
    <w:pPr>
      <w:tabs>
        <w:tab w:val="left" w:pos="1860"/>
      </w:tabs>
    </w:pPr>
    <w:rPr>
      <w:b w:val="0"/>
    </w:rPr>
  </w:style>
  <w:style w:type="paragraph" w:customStyle="1" w:styleId="CoverText">
    <w:name w:val="Cover Text"/>
    <w:basedOn w:val="Normal"/>
    <w:rsid w:val="00124A85"/>
    <w:pPr>
      <w:spacing w:after="140" w:line="254" w:lineRule="auto"/>
    </w:pPr>
  </w:style>
  <w:style w:type="paragraph" w:customStyle="1" w:styleId="FirstCoverHeading">
    <w:name w:val="First Cover Heading"/>
    <w:basedOn w:val="CoverHeadings"/>
    <w:next w:val="Normal"/>
    <w:rsid w:val="00124A85"/>
    <w:pPr>
      <w:spacing w:before="0"/>
    </w:pPr>
  </w:style>
  <w:style w:type="paragraph" w:customStyle="1" w:styleId="BoxCaption">
    <w:name w:val="Box Caption"/>
    <w:basedOn w:val="Caption"/>
    <w:next w:val="Boxtext"/>
    <w:rsid w:val="00124A85"/>
    <w:pPr>
      <w:keepNext w:val="0"/>
      <w:keepLines w:val="0"/>
      <w:spacing w:before="20"/>
    </w:pPr>
  </w:style>
  <w:style w:type="paragraph" w:customStyle="1" w:styleId="Numberboxbody">
    <w:name w:val="Number box body"/>
    <w:basedOn w:val="Normal"/>
    <w:rsid w:val="00124A85"/>
    <w:pPr>
      <w:shd w:val="clear" w:color="auto" w:fill="DDF0FF"/>
      <w:spacing w:before="20" w:after="60" w:line="240" w:lineRule="auto"/>
    </w:pPr>
    <w:rPr>
      <w:bCs/>
      <w:szCs w:val="18"/>
    </w:rPr>
  </w:style>
  <w:style w:type="paragraph" w:customStyle="1" w:styleId="UnnumberedHeading2">
    <w:name w:val="Unnumbered Heading 2"/>
    <w:basedOn w:val="Heading2"/>
    <w:link w:val="UnnumberedHeading2Char"/>
    <w:autoRedefine/>
    <w:qFormat/>
    <w:rsid w:val="00124A85"/>
    <w:pPr>
      <w:numPr>
        <w:ilvl w:val="0"/>
        <w:numId w:val="0"/>
      </w:numPr>
      <w:ind w:left="709" w:hanging="709"/>
    </w:pPr>
  </w:style>
  <w:style w:type="character" w:customStyle="1" w:styleId="UnnumberedHeading2Char">
    <w:name w:val="Unnumbered Heading 2 Char"/>
    <w:basedOn w:val="Heading2Char"/>
    <w:link w:val="UnnumberedHeading2"/>
    <w:rsid w:val="00124A85"/>
    <w:rPr>
      <w:rFonts w:asciiTheme="majorHAnsi" w:eastAsia="Times New Roman" w:hAnsiTheme="majorHAnsi" w:cs="Arial"/>
      <w:b/>
      <w:iCs/>
      <w:color w:val="56B4DF"/>
      <w:kern w:val="32"/>
      <w:sz w:val="24"/>
      <w:szCs w:val="28"/>
    </w:rPr>
  </w:style>
  <w:style w:type="character" w:styleId="CommentReference">
    <w:name w:val="annotation reference"/>
    <w:basedOn w:val="DefaultParagraphFont"/>
    <w:uiPriority w:val="99"/>
    <w:semiHidden/>
    <w:unhideWhenUsed/>
    <w:rsid w:val="00CA6638"/>
    <w:rPr>
      <w:sz w:val="16"/>
      <w:szCs w:val="16"/>
    </w:rPr>
  </w:style>
  <w:style w:type="paragraph" w:styleId="CommentText">
    <w:name w:val="annotation text"/>
    <w:basedOn w:val="Normal"/>
    <w:link w:val="CommentTextChar"/>
    <w:uiPriority w:val="99"/>
    <w:unhideWhenUsed/>
    <w:rsid w:val="00CA6638"/>
    <w:pPr>
      <w:spacing w:line="240" w:lineRule="auto"/>
    </w:pPr>
    <w:rPr>
      <w:sz w:val="20"/>
      <w:szCs w:val="20"/>
    </w:rPr>
  </w:style>
  <w:style w:type="character" w:customStyle="1" w:styleId="CommentTextChar">
    <w:name w:val="Comment Text Char"/>
    <w:basedOn w:val="DefaultParagraphFont"/>
    <w:link w:val="CommentText"/>
    <w:uiPriority w:val="99"/>
    <w:rsid w:val="00CA6638"/>
    <w:rPr>
      <w:sz w:val="20"/>
      <w:szCs w:val="20"/>
    </w:rPr>
  </w:style>
  <w:style w:type="numbering" w:customStyle="1" w:styleId="OCEHeadings1">
    <w:name w:val="OCE Headings1"/>
    <w:uiPriority w:val="99"/>
    <w:rsid w:val="00AF7375"/>
  </w:style>
  <w:style w:type="numbering" w:customStyle="1" w:styleId="OCEBulletedList1">
    <w:name w:val="OCE Bulleted List1"/>
    <w:uiPriority w:val="99"/>
    <w:rsid w:val="00AF7375"/>
  </w:style>
  <w:style w:type="numbering" w:customStyle="1" w:styleId="OCENumberedList1">
    <w:name w:val="OCE Numbered List1"/>
    <w:uiPriority w:val="99"/>
    <w:rsid w:val="00AF7375"/>
  </w:style>
  <w:style w:type="numbering" w:customStyle="1" w:styleId="EASDMultilevelList1">
    <w:name w:val="EASD Multilevel List1"/>
    <w:uiPriority w:val="99"/>
    <w:rsid w:val="00AF7375"/>
  </w:style>
  <w:style w:type="numbering" w:customStyle="1" w:styleId="OCETableBullets1">
    <w:name w:val="OCE Table Bullets1"/>
    <w:uiPriority w:val="99"/>
    <w:rsid w:val="00AF7375"/>
  </w:style>
  <w:style w:type="numbering" w:customStyle="1" w:styleId="DataHubHeadings1">
    <w:name w:val="DataHub Headings1"/>
    <w:uiPriority w:val="99"/>
    <w:rsid w:val="00AF7375"/>
  </w:style>
  <w:style w:type="numbering" w:customStyle="1" w:styleId="DataHubUnnumberedHeadings1">
    <w:name w:val="DataHub Unnumbered Headings1"/>
    <w:uiPriority w:val="99"/>
    <w:rsid w:val="00AF7375"/>
  </w:style>
  <w:style w:type="paragraph" w:styleId="CommentSubject">
    <w:name w:val="annotation subject"/>
    <w:basedOn w:val="CommentText"/>
    <w:next w:val="CommentText"/>
    <w:link w:val="CommentSubjectChar"/>
    <w:semiHidden/>
    <w:unhideWhenUsed/>
    <w:rsid w:val="00AF7375"/>
    <w:rPr>
      <w:b/>
      <w:bCs/>
    </w:rPr>
  </w:style>
  <w:style w:type="character" w:customStyle="1" w:styleId="CommentSubjectChar">
    <w:name w:val="Comment Subject Char"/>
    <w:basedOn w:val="CommentTextChar"/>
    <w:link w:val="CommentSubject"/>
    <w:semiHidden/>
    <w:rsid w:val="00AF7375"/>
    <w:rPr>
      <w:b/>
      <w:bCs/>
      <w:sz w:val="20"/>
      <w:szCs w:val="20"/>
    </w:rPr>
  </w:style>
  <w:style w:type="paragraph" w:styleId="Revision">
    <w:name w:val="Revision"/>
    <w:hidden/>
    <w:uiPriority w:val="99"/>
    <w:semiHidden/>
    <w:rsid w:val="00AF7375"/>
    <w:pPr>
      <w:spacing w:after="0" w:line="240" w:lineRule="auto"/>
    </w:pPr>
  </w:style>
  <w:style w:type="paragraph" w:styleId="PlainText">
    <w:name w:val="Plain Text"/>
    <w:basedOn w:val="Normal"/>
    <w:link w:val="PlainTextChar"/>
    <w:uiPriority w:val="99"/>
    <w:unhideWhenUsed/>
    <w:rsid w:val="00AF737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F7375"/>
    <w:rPr>
      <w:rFonts w:ascii="Calibri" w:hAnsi="Calibri"/>
      <w:szCs w:val="21"/>
    </w:rPr>
  </w:style>
  <w:style w:type="character" w:styleId="FollowedHyperlink">
    <w:name w:val="FollowedHyperlink"/>
    <w:basedOn w:val="DefaultParagraphFont"/>
    <w:uiPriority w:val="19"/>
    <w:semiHidden/>
    <w:unhideWhenUsed/>
    <w:rsid w:val="00AF7375"/>
    <w:rPr>
      <w:color w:val="56B4E9" w:themeColor="followedHyperlink"/>
      <w:u w:val="single"/>
    </w:rPr>
  </w:style>
  <w:style w:type="character" w:styleId="Strong">
    <w:name w:val="Strong"/>
    <w:basedOn w:val="DefaultParagraphFont"/>
    <w:uiPriority w:val="22"/>
    <w:qFormat/>
    <w:rsid w:val="00AF7375"/>
    <w:rPr>
      <w:b/>
      <w:bCs/>
    </w:rPr>
  </w:style>
  <w:style w:type="character" w:styleId="Emphasis">
    <w:name w:val="Emphasis"/>
    <w:basedOn w:val="DefaultParagraphFont"/>
    <w:uiPriority w:val="20"/>
    <w:qFormat/>
    <w:rsid w:val="00AF7375"/>
    <w:rPr>
      <w:i/>
      <w:iCs/>
    </w:rPr>
  </w:style>
  <w:style w:type="paragraph" w:styleId="NormalWeb">
    <w:name w:val="Normal (Web)"/>
    <w:basedOn w:val="Normal"/>
    <w:uiPriority w:val="99"/>
    <w:unhideWhenUsed/>
    <w:rsid w:val="00AF7375"/>
    <w:pPr>
      <w:spacing w:before="100" w:beforeAutospacing="1" w:after="100" w:afterAutospacing="1" w:line="240" w:lineRule="auto"/>
    </w:pPr>
    <w:rPr>
      <w:rFonts w:ascii="Times New Roman" w:eastAsiaTheme="minorEastAsia" w:hAnsi="Times New Roman" w:cs="Times New Roman"/>
      <w:sz w:val="24"/>
      <w:szCs w:val="24"/>
      <w:lang w:eastAsia="en-AU"/>
    </w:rPr>
  </w:style>
  <w:style w:type="numbering" w:customStyle="1" w:styleId="OnePagerNumberedList">
    <w:name w:val="One Pager Numbered List"/>
    <w:uiPriority w:val="99"/>
    <w:rsid w:val="00AF7375"/>
    <w:pPr>
      <w:numPr>
        <w:numId w:val="15"/>
      </w:numPr>
    </w:pPr>
  </w:style>
  <w:style w:type="character" w:styleId="UnresolvedMention">
    <w:name w:val="Unresolved Mention"/>
    <w:basedOn w:val="DefaultParagraphFont"/>
    <w:uiPriority w:val="99"/>
    <w:semiHidden/>
    <w:unhideWhenUsed/>
    <w:rsid w:val="00AF7375"/>
    <w:rPr>
      <w:color w:val="605E5C"/>
      <w:shd w:val="clear" w:color="auto" w:fill="E1DFDD"/>
    </w:rPr>
  </w:style>
  <w:style w:type="character" w:customStyle="1" w:styleId="normaltextrun">
    <w:name w:val="normaltextrun"/>
    <w:basedOn w:val="DefaultParagraphFont"/>
    <w:rsid w:val="00AF7375"/>
  </w:style>
  <w:style w:type="character" w:customStyle="1" w:styleId="eop">
    <w:name w:val="eop"/>
    <w:basedOn w:val="DefaultParagraphFont"/>
    <w:rsid w:val="00AF7375"/>
  </w:style>
  <w:style w:type="character" w:customStyle="1" w:styleId="ui-provider">
    <w:name w:val="ui-provider"/>
    <w:basedOn w:val="DefaultParagraphFont"/>
    <w:rsid w:val="00AF7375"/>
  </w:style>
  <w:style w:type="paragraph" w:customStyle="1" w:styleId="pf0">
    <w:name w:val="pf0"/>
    <w:basedOn w:val="Normal"/>
    <w:rsid w:val="00AF737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AF7375"/>
    <w:rPr>
      <w:rFonts w:ascii="Segoe UI" w:hAnsi="Segoe UI" w:cs="Segoe UI" w:hint="default"/>
      <w:sz w:val="18"/>
      <w:szCs w:val="18"/>
    </w:rPr>
  </w:style>
  <w:style w:type="character" w:styleId="Mention">
    <w:name w:val="Mention"/>
    <w:basedOn w:val="DefaultParagraphFont"/>
    <w:uiPriority w:val="99"/>
    <w:unhideWhenUsed/>
    <w:rsid w:val="00AF7375"/>
    <w:rPr>
      <w:color w:val="2B579A"/>
      <w:shd w:val="clear" w:color="auto" w:fill="E1DFDD"/>
    </w:rPr>
  </w:style>
  <w:style w:type="numbering" w:customStyle="1" w:styleId="OCEHeadings2">
    <w:name w:val="OCE Headings2"/>
    <w:uiPriority w:val="99"/>
    <w:rsid w:val="00AF7375"/>
  </w:style>
  <w:style w:type="numbering" w:customStyle="1" w:styleId="OCEBulletedList2">
    <w:name w:val="OCE Bulleted List2"/>
    <w:uiPriority w:val="99"/>
    <w:rsid w:val="00AF7375"/>
  </w:style>
  <w:style w:type="numbering" w:customStyle="1" w:styleId="OCENumberedList2">
    <w:name w:val="OCE Numbered List2"/>
    <w:uiPriority w:val="99"/>
    <w:rsid w:val="00AF7375"/>
  </w:style>
  <w:style w:type="numbering" w:customStyle="1" w:styleId="EASDMultilevelList2">
    <w:name w:val="EASD Multilevel List2"/>
    <w:uiPriority w:val="99"/>
    <w:rsid w:val="00AF7375"/>
  </w:style>
  <w:style w:type="numbering" w:customStyle="1" w:styleId="OCETableBullets2">
    <w:name w:val="OCE Table Bullets2"/>
    <w:uiPriority w:val="99"/>
    <w:rsid w:val="00AF7375"/>
  </w:style>
  <w:style w:type="numbering" w:customStyle="1" w:styleId="DataHubHeadings2">
    <w:name w:val="DataHub Headings2"/>
    <w:uiPriority w:val="99"/>
    <w:rsid w:val="00AF7375"/>
  </w:style>
  <w:style w:type="numbering" w:customStyle="1" w:styleId="DataHubUnnumberedHeadings2">
    <w:name w:val="DataHub Unnumbered Headings2"/>
    <w:uiPriority w:val="99"/>
    <w:rsid w:val="00AF7375"/>
  </w:style>
  <w:style w:type="numbering" w:customStyle="1" w:styleId="OnePagerNumberedList1">
    <w:name w:val="One Pager Numbered List1"/>
    <w:uiPriority w:val="99"/>
    <w:rsid w:val="00AF7375"/>
  </w:style>
  <w:style w:type="table" w:customStyle="1" w:styleId="Tablestyling">
    <w:name w:val="Table styling"/>
    <w:basedOn w:val="TableNormal"/>
    <w:uiPriority w:val="99"/>
    <w:rsid w:val="00AF7375"/>
    <w:pPr>
      <w:spacing w:after="0" w:line="240" w:lineRule="auto"/>
    </w:pPr>
    <w:rPr>
      <w:rFonts w:asciiTheme="minorHAnsi" w:hAnsiTheme="minorHAnsi"/>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jc w:val="left"/>
      </w:pPr>
      <w:rPr>
        <w:rFonts w:asciiTheme="majorHAnsi" w:hAnsiTheme="majorHAnsi"/>
        <w:b/>
        <w:sz w:val="24"/>
      </w:rPr>
      <w:tblPr/>
      <w:tcPr>
        <w:shd w:val="clear" w:color="auto" w:fill="005CAF" w:themeFill="accent1"/>
        <w:vAlign w:val="center"/>
      </w:tcPr>
    </w:tblStylePr>
    <w:tblStylePr w:type="firstCol">
      <w:pPr>
        <w:jc w:val="left"/>
      </w:pPr>
      <w:rPr>
        <w:rFonts w:asciiTheme="minorHAnsi" w:hAnsiTheme="minorHAnsi"/>
        <w:sz w:val="22"/>
      </w:rPr>
      <w:tblPr/>
      <w:tcPr>
        <w:vAlign w:val="center"/>
      </w:tcPr>
    </w:tblStylePr>
    <w:tblStylePr w:type="band1Horz">
      <w:rPr>
        <w:rFonts w:asciiTheme="minorHAnsi" w:hAnsiTheme="minorHAnsi"/>
        <w:sz w:val="22"/>
      </w:rPr>
      <w:tblPr/>
      <w:tcPr>
        <w:shd w:val="clear" w:color="auto" w:fill="F2F2F2" w:themeFill="background1" w:themeFillShade="F2"/>
      </w:tcPr>
    </w:tblStylePr>
  </w:style>
  <w:style w:type="paragraph" w:customStyle="1" w:styleId="Default">
    <w:name w:val="Default"/>
    <w:rsid w:val="00AF7375"/>
    <w:pPr>
      <w:autoSpaceDE w:val="0"/>
      <w:autoSpaceDN w:val="0"/>
      <w:adjustRightInd w:val="0"/>
      <w:spacing w:after="0" w:line="240" w:lineRule="auto"/>
    </w:pPr>
    <w:rPr>
      <w:rFonts w:ascii="Arial" w:hAnsi="Arial" w:cs="Arial"/>
      <w:color w:val="000000"/>
      <w:sz w:val="24"/>
      <w:szCs w:val="24"/>
    </w:rPr>
  </w:style>
  <w:style w:type="numbering" w:customStyle="1" w:styleId="OCEHeadings3">
    <w:name w:val="OCE Headings3"/>
    <w:uiPriority w:val="99"/>
    <w:rsid w:val="00A62FE8"/>
  </w:style>
  <w:style w:type="numbering" w:customStyle="1" w:styleId="OCEBulletedList3">
    <w:name w:val="OCE Bulleted List3"/>
    <w:uiPriority w:val="99"/>
    <w:rsid w:val="00A62FE8"/>
  </w:style>
  <w:style w:type="numbering" w:customStyle="1" w:styleId="OCENumberedList3">
    <w:name w:val="OCE Numbered List3"/>
    <w:uiPriority w:val="99"/>
    <w:rsid w:val="00A62FE8"/>
  </w:style>
  <w:style w:type="numbering" w:customStyle="1" w:styleId="EASDMultilevelList3">
    <w:name w:val="EASD Multilevel List3"/>
    <w:uiPriority w:val="99"/>
    <w:rsid w:val="00A62FE8"/>
  </w:style>
  <w:style w:type="numbering" w:customStyle="1" w:styleId="OCETableBullets3">
    <w:name w:val="OCE Table Bullets3"/>
    <w:uiPriority w:val="99"/>
    <w:rsid w:val="00A62FE8"/>
  </w:style>
  <w:style w:type="numbering" w:customStyle="1" w:styleId="DataHubHeadings3">
    <w:name w:val="DataHub Headings3"/>
    <w:uiPriority w:val="99"/>
    <w:rsid w:val="00A62FE8"/>
  </w:style>
  <w:style w:type="numbering" w:customStyle="1" w:styleId="DataHubUnnumberedHeadings3">
    <w:name w:val="DataHub Unnumbered Headings3"/>
    <w:uiPriority w:val="99"/>
    <w:rsid w:val="00A62FE8"/>
  </w:style>
  <w:style w:type="numbering" w:customStyle="1" w:styleId="OnePagerNumberedList2">
    <w:name w:val="One Pager Numbered List2"/>
    <w:uiPriority w:val="99"/>
    <w:rsid w:val="00A62FE8"/>
  </w:style>
  <w:style w:type="paragraph" w:customStyle="1" w:styleId="Tableheadertext">
    <w:name w:val="Table header text"/>
    <w:basedOn w:val="Normal"/>
    <w:link w:val="TableheadertextChar"/>
    <w:qFormat/>
    <w:rsid w:val="00A62FE8"/>
    <w:pPr>
      <w:keepNext/>
      <w:spacing w:before="120" w:after="120" w:line="240" w:lineRule="auto"/>
    </w:pPr>
    <w:rPr>
      <w:rFonts w:ascii="Arial" w:hAnsi="Arial" w:cs="Arial"/>
      <w:b/>
      <w:color w:val="FFFFFF"/>
      <w:sz w:val="18"/>
      <w:szCs w:val="18"/>
    </w:rPr>
  </w:style>
  <w:style w:type="character" w:customStyle="1" w:styleId="TableheadertextChar">
    <w:name w:val="Table header text Char"/>
    <w:basedOn w:val="DefaultParagraphFont"/>
    <w:link w:val="Tableheadertext"/>
    <w:rsid w:val="00A62FE8"/>
    <w:rPr>
      <w:rFonts w:ascii="Arial" w:hAnsi="Arial" w:cs="Arial"/>
      <w:b/>
      <w:color w:val="FFFFFF"/>
      <w:sz w:val="18"/>
      <w:szCs w:val="18"/>
    </w:rPr>
  </w:style>
  <w:style w:type="paragraph" w:customStyle="1" w:styleId="Tablebodytext">
    <w:name w:val="Table body text"/>
    <w:basedOn w:val="Normal"/>
    <w:link w:val="TablebodytextChar"/>
    <w:qFormat/>
    <w:rsid w:val="00A62FE8"/>
    <w:pPr>
      <w:keepNext/>
      <w:keepLines/>
      <w:spacing w:before="60" w:after="60" w:line="240" w:lineRule="auto"/>
    </w:pPr>
    <w:rPr>
      <w:rFonts w:ascii="Arial" w:hAnsi="Arial" w:cs="Arial"/>
      <w:color w:val="373737"/>
      <w:sz w:val="18"/>
      <w:szCs w:val="18"/>
    </w:rPr>
  </w:style>
  <w:style w:type="character" w:customStyle="1" w:styleId="TablebodytextChar">
    <w:name w:val="Table body text Char"/>
    <w:basedOn w:val="DefaultParagraphFont"/>
    <w:link w:val="Tablebodytext"/>
    <w:rsid w:val="00A62FE8"/>
    <w:rPr>
      <w:rFonts w:ascii="Arial" w:hAnsi="Arial" w:cs="Arial"/>
      <w:color w:val="373737"/>
      <w:sz w:val="18"/>
      <w:szCs w:val="18"/>
    </w:rPr>
  </w:style>
  <w:style w:type="numbering" w:customStyle="1" w:styleId="OCEBulletedList4">
    <w:name w:val="OCE Bulleted List4"/>
    <w:uiPriority w:val="99"/>
    <w:rsid w:val="00A62FE8"/>
  </w:style>
  <w:style w:type="numbering" w:customStyle="1" w:styleId="OCENumberedList4">
    <w:name w:val="OCE Numbered List4"/>
    <w:uiPriority w:val="99"/>
    <w:rsid w:val="00A62FE8"/>
  </w:style>
  <w:style w:type="numbering" w:customStyle="1" w:styleId="DataHubHeadings4">
    <w:name w:val="DataHub Headings4"/>
    <w:uiPriority w:val="99"/>
    <w:rsid w:val="00A62FE8"/>
  </w:style>
  <w:style w:type="numbering" w:customStyle="1" w:styleId="DataHubUnnumberedHeadings4">
    <w:name w:val="DataHub Unnumbered Headings4"/>
    <w:uiPriority w:val="99"/>
    <w:rsid w:val="00A62FE8"/>
  </w:style>
  <w:style w:type="numbering" w:customStyle="1" w:styleId="OCEHeadings4">
    <w:name w:val="OCE Headings4"/>
    <w:uiPriority w:val="99"/>
    <w:rsid w:val="00FC5C58"/>
    <w:pPr>
      <w:numPr>
        <w:numId w:val="2"/>
      </w:numPr>
    </w:pPr>
  </w:style>
  <w:style w:type="numbering" w:customStyle="1" w:styleId="OCEBulletedList5">
    <w:name w:val="OCE Bulleted List5"/>
    <w:uiPriority w:val="99"/>
    <w:rsid w:val="00FC5C58"/>
    <w:pPr>
      <w:numPr>
        <w:numId w:val="3"/>
      </w:numPr>
    </w:pPr>
  </w:style>
  <w:style w:type="numbering" w:customStyle="1" w:styleId="OCENumberedList5">
    <w:name w:val="OCE Numbered List5"/>
    <w:uiPriority w:val="99"/>
    <w:rsid w:val="00FC5C58"/>
    <w:pPr>
      <w:numPr>
        <w:numId w:val="4"/>
      </w:numPr>
    </w:pPr>
  </w:style>
  <w:style w:type="numbering" w:customStyle="1" w:styleId="EASDMultilevelList4">
    <w:name w:val="EASD Multilevel List4"/>
    <w:uiPriority w:val="99"/>
    <w:rsid w:val="00FC5C58"/>
    <w:pPr>
      <w:numPr>
        <w:numId w:val="5"/>
      </w:numPr>
    </w:pPr>
  </w:style>
  <w:style w:type="numbering" w:customStyle="1" w:styleId="OCETableBullets4">
    <w:name w:val="OCE Table Bullets4"/>
    <w:uiPriority w:val="99"/>
    <w:rsid w:val="00FC5C58"/>
    <w:pPr>
      <w:numPr>
        <w:numId w:val="6"/>
      </w:numPr>
    </w:pPr>
  </w:style>
  <w:style w:type="numbering" w:customStyle="1" w:styleId="DataHubHeadings5">
    <w:name w:val="DataHub Headings5"/>
    <w:uiPriority w:val="99"/>
    <w:rsid w:val="00FC5C58"/>
  </w:style>
  <w:style w:type="numbering" w:customStyle="1" w:styleId="DataHubUnnumberedHeadings5">
    <w:name w:val="DataHub Unnumbered Headings5"/>
    <w:uiPriority w:val="99"/>
    <w:rsid w:val="00FC5C58"/>
    <w:pPr>
      <w:numPr>
        <w:numId w:val="8"/>
      </w:numPr>
    </w:pPr>
  </w:style>
  <w:style w:type="numbering" w:customStyle="1" w:styleId="OnePagerNumberedList3">
    <w:name w:val="One Pager Numbered List3"/>
    <w:uiPriority w:val="99"/>
    <w:rsid w:val="00FC5C58"/>
    <w:pPr>
      <w:numPr>
        <w:numId w:val="7"/>
      </w:numPr>
    </w:pPr>
  </w:style>
  <w:style w:type="paragraph" w:styleId="EndnoteText">
    <w:name w:val="endnote text"/>
    <w:basedOn w:val="Normal"/>
    <w:link w:val="EndnoteTextChar"/>
    <w:uiPriority w:val="19"/>
    <w:semiHidden/>
    <w:unhideWhenUsed/>
    <w:rsid w:val="00FC5C58"/>
    <w:pPr>
      <w:spacing w:after="0" w:line="240" w:lineRule="auto"/>
    </w:pPr>
    <w:rPr>
      <w:sz w:val="20"/>
      <w:szCs w:val="20"/>
    </w:rPr>
  </w:style>
  <w:style w:type="character" w:customStyle="1" w:styleId="EndnoteTextChar">
    <w:name w:val="Endnote Text Char"/>
    <w:basedOn w:val="DefaultParagraphFont"/>
    <w:link w:val="EndnoteText"/>
    <w:uiPriority w:val="19"/>
    <w:semiHidden/>
    <w:rsid w:val="00FC5C58"/>
    <w:rPr>
      <w:sz w:val="20"/>
      <w:szCs w:val="20"/>
    </w:rPr>
  </w:style>
  <w:style w:type="character" w:styleId="EndnoteReference">
    <w:name w:val="endnote reference"/>
    <w:basedOn w:val="DefaultParagraphFont"/>
    <w:uiPriority w:val="19"/>
    <w:semiHidden/>
    <w:unhideWhenUsed/>
    <w:rsid w:val="00FC5C58"/>
    <w:rPr>
      <w:vertAlign w:val="superscript"/>
    </w:rPr>
  </w:style>
  <w:style w:type="character" w:styleId="LineNumber">
    <w:name w:val="line number"/>
    <w:basedOn w:val="DefaultParagraphFont"/>
    <w:semiHidden/>
    <w:unhideWhenUsed/>
    <w:rsid w:val="00C71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9200">
      <w:bodyDiv w:val="1"/>
      <w:marLeft w:val="0"/>
      <w:marRight w:val="0"/>
      <w:marTop w:val="0"/>
      <w:marBottom w:val="0"/>
      <w:divBdr>
        <w:top w:val="none" w:sz="0" w:space="0" w:color="auto"/>
        <w:left w:val="none" w:sz="0" w:space="0" w:color="auto"/>
        <w:bottom w:val="none" w:sz="0" w:space="0" w:color="auto"/>
        <w:right w:val="none" w:sz="0" w:space="0" w:color="auto"/>
      </w:divBdr>
    </w:div>
    <w:div w:id="164706260">
      <w:bodyDiv w:val="1"/>
      <w:marLeft w:val="0"/>
      <w:marRight w:val="0"/>
      <w:marTop w:val="0"/>
      <w:marBottom w:val="0"/>
      <w:divBdr>
        <w:top w:val="none" w:sz="0" w:space="0" w:color="auto"/>
        <w:left w:val="none" w:sz="0" w:space="0" w:color="auto"/>
        <w:bottom w:val="none" w:sz="0" w:space="0" w:color="auto"/>
        <w:right w:val="none" w:sz="0" w:space="0" w:color="auto"/>
      </w:divBdr>
    </w:div>
    <w:div w:id="222067575">
      <w:bodyDiv w:val="1"/>
      <w:marLeft w:val="0"/>
      <w:marRight w:val="0"/>
      <w:marTop w:val="0"/>
      <w:marBottom w:val="0"/>
      <w:divBdr>
        <w:top w:val="none" w:sz="0" w:space="0" w:color="auto"/>
        <w:left w:val="none" w:sz="0" w:space="0" w:color="auto"/>
        <w:bottom w:val="none" w:sz="0" w:space="0" w:color="auto"/>
        <w:right w:val="none" w:sz="0" w:space="0" w:color="auto"/>
      </w:divBdr>
    </w:div>
    <w:div w:id="383606707">
      <w:bodyDiv w:val="1"/>
      <w:marLeft w:val="0"/>
      <w:marRight w:val="0"/>
      <w:marTop w:val="0"/>
      <w:marBottom w:val="0"/>
      <w:divBdr>
        <w:top w:val="none" w:sz="0" w:space="0" w:color="auto"/>
        <w:left w:val="none" w:sz="0" w:space="0" w:color="auto"/>
        <w:bottom w:val="none" w:sz="0" w:space="0" w:color="auto"/>
        <w:right w:val="none" w:sz="0" w:space="0" w:color="auto"/>
      </w:divBdr>
    </w:div>
    <w:div w:id="472067044">
      <w:bodyDiv w:val="1"/>
      <w:marLeft w:val="0"/>
      <w:marRight w:val="0"/>
      <w:marTop w:val="0"/>
      <w:marBottom w:val="0"/>
      <w:divBdr>
        <w:top w:val="none" w:sz="0" w:space="0" w:color="auto"/>
        <w:left w:val="none" w:sz="0" w:space="0" w:color="auto"/>
        <w:bottom w:val="none" w:sz="0" w:space="0" w:color="auto"/>
        <w:right w:val="none" w:sz="0" w:space="0" w:color="auto"/>
      </w:divBdr>
    </w:div>
    <w:div w:id="609582653">
      <w:bodyDiv w:val="1"/>
      <w:marLeft w:val="0"/>
      <w:marRight w:val="0"/>
      <w:marTop w:val="0"/>
      <w:marBottom w:val="0"/>
      <w:divBdr>
        <w:top w:val="none" w:sz="0" w:space="0" w:color="auto"/>
        <w:left w:val="none" w:sz="0" w:space="0" w:color="auto"/>
        <w:bottom w:val="none" w:sz="0" w:space="0" w:color="auto"/>
        <w:right w:val="none" w:sz="0" w:space="0" w:color="auto"/>
      </w:divBdr>
    </w:div>
    <w:div w:id="623005334">
      <w:bodyDiv w:val="1"/>
      <w:marLeft w:val="0"/>
      <w:marRight w:val="0"/>
      <w:marTop w:val="0"/>
      <w:marBottom w:val="0"/>
      <w:divBdr>
        <w:top w:val="none" w:sz="0" w:space="0" w:color="auto"/>
        <w:left w:val="none" w:sz="0" w:space="0" w:color="auto"/>
        <w:bottom w:val="none" w:sz="0" w:space="0" w:color="auto"/>
        <w:right w:val="none" w:sz="0" w:space="0" w:color="auto"/>
      </w:divBdr>
    </w:div>
    <w:div w:id="640771824">
      <w:bodyDiv w:val="1"/>
      <w:marLeft w:val="0"/>
      <w:marRight w:val="0"/>
      <w:marTop w:val="0"/>
      <w:marBottom w:val="0"/>
      <w:divBdr>
        <w:top w:val="none" w:sz="0" w:space="0" w:color="auto"/>
        <w:left w:val="none" w:sz="0" w:space="0" w:color="auto"/>
        <w:bottom w:val="none" w:sz="0" w:space="0" w:color="auto"/>
        <w:right w:val="none" w:sz="0" w:space="0" w:color="auto"/>
      </w:divBdr>
    </w:div>
    <w:div w:id="648244029">
      <w:bodyDiv w:val="1"/>
      <w:marLeft w:val="0"/>
      <w:marRight w:val="0"/>
      <w:marTop w:val="0"/>
      <w:marBottom w:val="0"/>
      <w:divBdr>
        <w:top w:val="none" w:sz="0" w:space="0" w:color="auto"/>
        <w:left w:val="none" w:sz="0" w:space="0" w:color="auto"/>
        <w:bottom w:val="none" w:sz="0" w:space="0" w:color="auto"/>
        <w:right w:val="none" w:sz="0" w:space="0" w:color="auto"/>
      </w:divBdr>
    </w:div>
    <w:div w:id="662122211">
      <w:bodyDiv w:val="1"/>
      <w:marLeft w:val="0"/>
      <w:marRight w:val="0"/>
      <w:marTop w:val="0"/>
      <w:marBottom w:val="0"/>
      <w:divBdr>
        <w:top w:val="none" w:sz="0" w:space="0" w:color="auto"/>
        <w:left w:val="none" w:sz="0" w:space="0" w:color="auto"/>
        <w:bottom w:val="none" w:sz="0" w:space="0" w:color="auto"/>
        <w:right w:val="none" w:sz="0" w:space="0" w:color="auto"/>
      </w:divBdr>
    </w:div>
    <w:div w:id="700284357">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773017810">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819005289">
      <w:bodyDiv w:val="1"/>
      <w:marLeft w:val="0"/>
      <w:marRight w:val="0"/>
      <w:marTop w:val="0"/>
      <w:marBottom w:val="0"/>
      <w:divBdr>
        <w:top w:val="none" w:sz="0" w:space="0" w:color="auto"/>
        <w:left w:val="none" w:sz="0" w:space="0" w:color="auto"/>
        <w:bottom w:val="none" w:sz="0" w:space="0" w:color="auto"/>
        <w:right w:val="none" w:sz="0" w:space="0" w:color="auto"/>
      </w:divBdr>
    </w:div>
    <w:div w:id="865364312">
      <w:bodyDiv w:val="1"/>
      <w:marLeft w:val="0"/>
      <w:marRight w:val="0"/>
      <w:marTop w:val="0"/>
      <w:marBottom w:val="0"/>
      <w:divBdr>
        <w:top w:val="none" w:sz="0" w:space="0" w:color="auto"/>
        <w:left w:val="none" w:sz="0" w:space="0" w:color="auto"/>
        <w:bottom w:val="none" w:sz="0" w:space="0" w:color="auto"/>
        <w:right w:val="none" w:sz="0" w:space="0" w:color="auto"/>
      </w:divBdr>
    </w:div>
    <w:div w:id="867791994">
      <w:bodyDiv w:val="1"/>
      <w:marLeft w:val="0"/>
      <w:marRight w:val="0"/>
      <w:marTop w:val="0"/>
      <w:marBottom w:val="0"/>
      <w:divBdr>
        <w:top w:val="none" w:sz="0" w:space="0" w:color="auto"/>
        <w:left w:val="none" w:sz="0" w:space="0" w:color="auto"/>
        <w:bottom w:val="none" w:sz="0" w:space="0" w:color="auto"/>
        <w:right w:val="none" w:sz="0" w:space="0" w:color="auto"/>
      </w:divBdr>
    </w:div>
    <w:div w:id="915633163">
      <w:bodyDiv w:val="1"/>
      <w:marLeft w:val="0"/>
      <w:marRight w:val="0"/>
      <w:marTop w:val="0"/>
      <w:marBottom w:val="0"/>
      <w:divBdr>
        <w:top w:val="none" w:sz="0" w:space="0" w:color="auto"/>
        <w:left w:val="none" w:sz="0" w:space="0" w:color="auto"/>
        <w:bottom w:val="none" w:sz="0" w:space="0" w:color="auto"/>
        <w:right w:val="none" w:sz="0" w:space="0" w:color="auto"/>
      </w:divBdr>
    </w:div>
    <w:div w:id="921645664">
      <w:bodyDiv w:val="1"/>
      <w:marLeft w:val="0"/>
      <w:marRight w:val="0"/>
      <w:marTop w:val="0"/>
      <w:marBottom w:val="0"/>
      <w:divBdr>
        <w:top w:val="none" w:sz="0" w:space="0" w:color="auto"/>
        <w:left w:val="none" w:sz="0" w:space="0" w:color="auto"/>
        <w:bottom w:val="none" w:sz="0" w:space="0" w:color="auto"/>
        <w:right w:val="none" w:sz="0" w:space="0" w:color="auto"/>
      </w:divBdr>
    </w:div>
    <w:div w:id="974020661">
      <w:bodyDiv w:val="1"/>
      <w:marLeft w:val="0"/>
      <w:marRight w:val="0"/>
      <w:marTop w:val="0"/>
      <w:marBottom w:val="0"/>
      <w:divBdr>
        <w:top w:val="none" w:sz="0" w:space="0" w:color="auto"/>
        <w:left w:val="none" w:sz="0" w:space="0" w:color="auto"/>
        <w:bottom w:val="none" w:sz="0" w:space="0" w:color="auto"/>
        <w:right w:val="none" w:sz="0" w:space="0" w:color="auto"/>
      </w:divBdr>
    </w:div>
    <w:div w:id="975456363">
      <w:bodyDiv w:val="1"/>
      <w:marLeft w:val="0"/>
      <w:marRight w:val="0"/>
      <w:marTop w:val="0"/>
      <w:marBottom w:val="0"/>
      <w:divBdr>
        <w:top w:val="none" w:sz="0" w:space="0" w:color="auto"/>
        <w:left w:val="none" w:sz="0" w:space="0" w:color="auto"/>
        <w:bottom w:val="none" w:sz="0" w:space="0" w:color="auto"/>
        <w:right w:val="none" w:sz="0" w:space="0" w:color="auto"/>
      </w:divBdr>
    </w:div>
    <w:div w:id="987973335">
      <w:bodyDiv w:val="1"/>
      <w:marLeft w:val="0"/>
      <w:marRight w:val="0"/>
      <w:marTop w:val="0"/>
      <w:marBottom w:val="0"/>
      <w:divBdr>
        <w:top w:val="none" w:sz="0" w:space="0" w:color="auto"/>
        <w:left w:val="none" w:sz="0" w:space="0" w:color="auto"/>
        <w:bottom w:val="none" w:sz="0" w:space="0" w:color="auto"/>
        <w:right w:val="none" w:sz="0" w:space="0" w:color="auto"/>
      </w:divBdr>
    </w:div>
    <w:div w:id="1024016852">
      <w:bodyDiv w:val="1"/>
      <w:marLeft w:val="0"/>
      <w:marRight w:val="0"/>
      <w:marTop w:val="0"/>
      <w:marBottom w:val="0"/>
      <w:divBdr>
        <w:top w:val="none" w:sz="0" w:space="0" w:color="auto"/>
        <w:left w:val="none" w:sz="0" w:space="0" w:color="auto"/>
        <w:bottom w:val="none" w:sz="0" w:space="0" w:color="auto"/>
        <w:right w:val="none" w:sz="0" w:space="0" w:color="auto"/>
      </w:divBdr>
    </w:div>
    <w:div w:id="1060252455">
      <w:bodyDiv w:val="1"/>
      <w:marLeft w:val="0"/>
      <w:marRight w:val="0"/>
      <w:marTop w:val="0"/>
      <w:marBottom w:val="0"/>
      <w:divBdr>
        <w:top w:val="none" w:sz="0" w:space="0" w:color="auto"/>
        <w:left w:val="none" w:sz="0" w:space="0" w:color="auto"/>
        <w:bottom w:val="none" w:sz="0" w:space="0" w:color="auto"/>
        <w:right w:val="none" w:sz="0" w:space="0" w:color="auto"/>
      </w:divBdr>
    </w:div>
    <w:div w:id="1071586512">
      <w:bodyDiv w:val="1"/>
      <w:marLeft w:val="0"/>
      <w:marRight w:val="0"/>
      <w:marTop w:val="0"/>
      <w:marBottom w:val="0"/>
      <w:divBdr>
        <w:top w:val="none" w:sz="0" w:space="0" w:color="auto"/>
        <w:left w:val="none" w:sz="0" w:space="0" w:color="auto"/>
        <w:bottom w:val="none" w:sz="0" w:space="0" w:color="auto"/>
        <w:right w:val="none" w:sz="0" w:space="0" w:color="auto"/>
      </w:divBdr>
    </w:div>
    <w:div w:id="1112020635">
      <w:bodyDiv w:val="1"/>
      <w:marLeft w:val="0"/>
      <w:marRight w:val="0"/>
      <w:marTop w:val="0"/>
      <w:marBottom w:val="0"/>
      <w:divBdr>
        <w:top w:val="none" w:sz="0" w:space="0" w:color="auto"/>
        <w:left w:val="none" w:sz="0" w:space="0" w:color="auto"/>
        <w:bottom w:val="none" w:sz="0" w:space="0" w:color="auto"/>
        <w:right w:val="none" w:sz="0" w:space="0" w:color="auto"/>
      </w:divBdr>
    </w:div>
    <w:div w:id="1199776271">
      <w:bodyDiv w:val="1"/>
      <w:marLeft w:val="0"/>
      <w:marRight w:val="0"/>
      <w:marTop w:val="0"/>
      <w:marBottom w:val="0"/>
      <w:divBdr>
        <w:top w:val="none" w:sz="0" w:space="0" w:color="auto"/>
        <w:left w:val="none" w:sz="0" w:space="0" w:color="auto"/>
        <w:bottom w:val="none" w:sz="0" w:space="0" w:color="auto"/>
        <w:right w:val="none" w:sz="0" w:space="0" w:color="auto"/>
      </w:divBdr>
    </w:div>
    <w:div w:id="1348168321">
      <w:bodyDiv w:val="1"/>
      <w:marLeft w:val="0"/>
      <w:marRight w:val="0"/>
      <w:marTop w:val="0"/>
      <w:marBottom w:val="0"/>
      <w:divBdr>
        <w:top w:val="none" w:sz="0" w:space="0" w:color="auto"/>
        <w:left w:val="none" w:sz="0" w:space="0" w:color="auto"/>
        <w:bottom w:val="none" w:sz="0" w:space="0" w:color="auto"/>
        <w:right w:val="none" w:sz="0" w:space="0" w:color="auto"/>
      </w:divBdr>
    </w:div>
    <w:div w:id="1352143434">
      <w:bodyDiv w:val="1"/>
      <w:marLeft w:val="0"/>
      <w:marRight w:val="0"/>
      <w:marTop w:val="0"/>
      <w:marBottom w:val="0"/>
      <w:divBdr>
        <w:top w:val="none" w:sz="0" w:space="0" w:color="auto"/>
        <w:left w:val="none" w:sz="0" w:space="0" w:color="auto"/>
        <w:bottom w:val="none" w:sz="0" w:space="0" w:color="auto"/>
        <w:right w:val="none" w:sz="0" w:space="0" w:color="auto"/>
      </w:divBdr>
    </w:div>
    <w:div w:id="1374382220">
      <w:bodyDiv w:val="1"/>
      <w:marLeft w:val="0"/>
      <w:marRight w:val="0"/>
      <w:marTop w:val="0"/>
      <w:marBottom w:val="0"/>
      <w:divBdr>
        <w:top w:val="none" w:sz="0" w:space="0" w:color="auto"/>
        <w:left w:val="none" w:sz="0" w:space="0" w:color="auto"/>
        <w:bottom w:val="none" w:sz="0" w:space="0" w:color="auto"/>
        <w:right w:val="none" w:sz="0" w:space="0" w:color="auto"/>
      </w:divBdr>
    </w:div>
    <w:div w:id="1377007977">
      <w:bodyDiv w:val="1"/>
      <w:marLeft w:val="0"/>
      <w:marRight w:val="0"/>
      <w:marTop w:val="0"/>
      <w:marBottom w:val="0"/>
      <w:divBdr>
        <w:top w:val="none" w:sz="0" w:space="0" w:color="auto"/>
        <w:left w:val="none" w:sz="0" w:space="0" w:color="auto"/>
        <w:bottom w:val="none" w:sz="0" w:space="0" w:color="auto"/>
        <w:right w:val="none" w:sz="0" w:space="0" w:color="auto"/>
      </w:divBdr>
    </w:div>
    <w:div w:id="1391921349">
      <w:bodyDiv w:val="1"/>
      <w:marLeft w:val="0"/>
      <w:marRight w:val="0"/>
      <w:marTop w:val="0"/>
      <w:marBottom w:val="0"/>
      <w:divBdr>
        <w:top w:val="none" w:sz="0" w:space="0" w:color="auto"/>
        <w:left w:val="none" w:sz="0" w:space="0" w:color="auto"/>
        <w:bottom w:val="none" w:sz="0" w:space="0" w:color="auto"/>
        <w:right w:val="none" w:sz="0" w:space="0" w:color="auto"/>
      </w:divBdr>
    </w:div>
    <w:div w:id="1513376002">
      <w:bodyDiv w:val="1"/>
      <w:marLeft w:val="0"/>
      <w:marRight w:val="0"/>
      <w:marTop w:val="0"/>
      <w:marBottom w:val="0"/>
      <w:divBdr>
        <w:top w:val="none" w:sz="0" w:space="0" w:color="auto"/>
        <w:left w:val="none" w:sz="0" w:space="0" w:color="auto"/>
        <w:bottom w:val="none" w:sz="0" w:space="0" w:color="auto"/>
        <w:right w:val="none" w:sz="0" w:space="0" w:color="auto"/>
      </w:divBdr>
    </w:div>
    <w:div w:id="1536189861">
      <w:bodyDiv w:val="1"/>
      <w:marLeft w:val="0"/>
      <w:marRight w:val="0"/>
      <w:marTop w:val="0"/>
      <w:marBottom w:val="0"/>
      <w:divBdr>
        <w:top w:val="none" w:sz="0" w:space="0" w:color="auto"/>
        <w:left w:val="none" w:sz="0" w:space="0" w:color="auto"/>
        <w:bottom w:val="none" w:sz="0" w:space="0" w:color="auto"/>
        <w:right w:val="none" w:sz="0" w:space="0" w:color="auto"/>
      </w:divBdr>
    </w:div>
    <w:div w:id="1547336009">
      <w:bodyDiv w:val="1"/>
      <w:marLeft w:val="0"/>
      <w:marRight w:val="0"/>
      <w:marTop w:val="0"/>
      <w:marBottom w:val="0"/>
      <w:divBdr>
        <w:top w:val="none" w:sz="0" w:space="0" w:color="auto"/>
        <w:left w:val="none" w:sz="0" w:space="0" w:color="auto"/>
        <w:bottom w:val="none" w:sz="0" w:space="0" w:color="auto"/>
        <w:right w:val="none" w:sz="0" w:space="0" w:color="auto"/>
      </w:divBdr>
    </w:div>
    <w:div w:id="1578248198">
      <w:bodyDiv w:val="1"/>
      <w:marLeft w:val="0"/>
      <w:marRight w:val="0"/>
      <w:marTop w:val="0"/>
      <w:marBottom w:val="0"/>
      <w:divBdr>
        <w:top w:val="none" w:sz="0" w:space="0" w:color="auto"/>
        <w:left w:val="none" w:sz="0" w:space="0" w:color="auto"/>
        <w:bottom w:val="none" w:sz="0" w:space="0" w:color="auto"/>
        <w:right w:val="none" w:sz="0" w:space="0" w:color="auto"/>
      </w:divBdr>
    </w:div>
    <w:div w:id="1780880267">
      <w:bodyDiv w:val="1"/>
      <w:marLeft w:val="0"/>
      <w:marRight w:val="0"/>
      <w:marTop w:val="0"/>
      <w:marBottom w:val="0"/>
      <w:divBdr>
        <w:top w:val="none" w:sz="0" w:space="0" w:color="auto"/>
        <w:left w:val="none" w:sz="0" w:space="0" w:color="auto"/>
        <w:bottom w:val="none" w:sz="0" w:space="0" w:color="auto"/>
        <w:right w:val="none" w:sz="0" w:space="0" w:color="auto"/>
      </w:divBdr>
    </w:div>
    <w:div w:id="1787577942">
      <w:bodyDiv w:val="1"/>
      <w:marLeft w:val="0"/>
      <w:marRight w:val="0"/>
      <w:marTop w:val="0"/>
      <w:marBottom w:val="0"/>
      <w:divBdr>
        <w:top w:val="none" w:sz="0" w:space="0" w:color="auto"/>
        <w:left w:val="none" w:sz="0" w:space="0" w:color="auto"/>
        <w:bottom w:val="none" w:sz="0" w:space="0" w:color="auto"/>
        <w:right w:val="none" w:sz="0" w:space="0" w:color="auto"/>
      </w:divBdr>
    </w:div>
    <w:div w:id="1827744179">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 w:id="1969504734">
      <w:bodyDiv w:val="1"/>
      <w:marLeft w:val="0"/>
      <w:marRight w:val="0"/>
      <w:marTop w:val="0"/>
      <w:marBottom w:val="0"/>
      <w:divBdr>
        <w:top w:val="none" w:sz="0" w:space="0" w:color="auto"/>
        <w:left w:val="none" w:sz="0" w:space="0" w:color="auto"/>
        <w:bottom w:val="none" w:sz="0" w:space="0" w:color="auto"/>
        <w:right w:val="none" w:sz="0" w:space="0" w:color="auto"/>
      </w:divBdr>
    </w:div>
    <w:div w:id="1990791891">
      <w:bodyDiv w:val="1"/>
      <w:marLeft w:val="0"/>
      <w:marRight w:val="0"/>
      <w:marTop w:val="0"/>
      <w:marBottom w:val="0"/>
      <w:divBdr>
        <w:top w:val="none" w:sz="0" w:space="0" w:color="auto"/>
        <w:left w:val="none" w:sz="0" w:space="0" w:color="auto"/>
        <w:bottom w:val="none" w:sz="0" w:space="0" w:color="auto"/>
        <w:right w:val="none" w:sz="0" w:space="0" w:color="auto"/>
      </w:divBdr>
    </w:div>
    <w:div w:id="2112162246">
      <w:bodyDiv w:val="1"/>
      <w:marLeft w:val="0"/>
      <w:marRight w:val="0"/>
      <w:marTop w:val="0"/>
      <w:marBottom w:val="0"/>
      <w:divBdr>
        <w:top w:val="none" w:sz="0" w:space="0" w:color="auto"/>
        <w:left w:val="none" w:sz="0" w:space="0" w:color="auto"/>
        <w:bottom w:val="none" w:sz="0" w:space="0" w:color="auto"/>
        <w:right w:val="none" w:sz="0" w:space="0" w:color="auto"/>
      </w:divBdr>
    </w:div>
    <w:div w:id="2128771859">
      <w:bodyDiv w:val="1"/>
      <w:marLeft w:val="0"/>
      <w:marRight w:val="0"/>
      <w:marTop w:val="0"/>
      <w:marBottom w:val="0"/>
      <w:divBdr>
        <w:top w:val="none" w:sz="0" w:space="0" w:color="auto"/>
        <w:left w:val="none" w:sz="0" w:space="0" w:color="auto"/>
        <w:bottom w:val="none" w:sz="0" w:space="0" w:color="auto"/>
        <w:right w:val="none" w:sz="0" w:space="0" w:color="auto"/>
      </w:divBdr>
    </w:div>
    <w:div w:id="2131778231">
      <w:bodyDiv w:val="1"/>
      <w:marLeft w:val="0"/>
      <w:marRight w:val="0"/>
      <w:marTop w:val="0"/>
      <w:marBottom w:val="0"/>
      <w:divBdr>
        <w:top w:val="none" w:sz="0" w:space="0" w:color="auto"/>
        <w:left w:val="none" w:sz="0" w:space="0" w:color="auto"/>
        <w:bottom w:val="none" w:sz="0" w:space="0" w:color="auto"/>
        <w:right w:val="none" w:sz="0" w:space="0" w:color="auto"/>
      </w:divBdr>
    </w:div>
    <w:div w:id="2139715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aemo.com.au/en/energy-systems/major-publications/integrated-system-plan-isp/2024-integrated-system-plan-isp/current-inputs-assumptions-and-scenarios" TargetMode="External"/><Relationship Id="rId21" Type="http://schemas.openxmlformats.org/officeDocument/2006/relationships/footer" Target="footer4.xml"/><Relationship Id="rId42" Type="http://schemas.openxmlformats.org/officeDocument/2006/relationships/chart" Target="charts/chart20.xml"/><Relationship Id="rId63" Type="http://schemas.openxmlformats.org/officeDocument/2006/relationships/chart" Target="charts/chart33.xml"/><Relationship Id="rId84" Type="http://schemas.openxmlformats.org/officeDocument/2006/relationships/chart" Target="charts/chart53.xml"/><Relationship Id="rId138" Type="http://schemas.openxmlformats.org/officeDocument/2006/relationships/hyperlink" Target="https://www.dcceew.gov.au/climate-change/publications/national-inventory-report-2022" TargetMode="External"/><Relationship Id="rId159" Type="http://schemas.openxmlformats.org/officeDocument/2006/relationships/hyperlink" Target="https://northmoregordon.com/articles/northmore-gordon-improves-energy-stability-victoria/" TargetMode="External"/><Relationship Id="rId170" Type="http://schemas.openxmlformats.org/officeDocument/2006/relationships/hyperlink" Target="https://lng.kpler.com/login" TargetMode="External"/><Relationship Id="rId107" Type="http://schemas.openxmlformats.org/officeDocument/2006/relationships/hyperlink" Target="https://www.abs.gov.au/statistics/economy/business-indicators/private-new-capital-expenditure-and-expected-expenditure-australia/latest-release" TargetMode="External"/><Relationship Id="rId11" Type="http://schemas.openxmlformats.org/officeDocument/2006/relationships/endnotes" Target="endnotes.xml"/><Relationship Id="rId32" Type="http://schemas.openxmlformats.org/officeDocument/2006/relationships/chart" Target="charts/chart10.xml"/><Relationship Id="rId53" Type="http://schemas.openxmlformats.org/officeDocument/2006/relationships/footer" Target="footer7.xml"/><Relationship Id="rId74" Type="http://schemas.openxmlformats.org/officeDocument/2006/relationships/chart" Target="charts/chart43.xml"/><Relationship Id="rId128" Type="http://schemas.openxmlformats.org/officeDocument/2006/relationships/hyperlink" Target="https://arena.gov.au/knowledge-bank/australian-industry-eti-delivery-stage-pathways-to-industrial-decarbonisation-phase-3/" TargetMode="External"/><Relationship Id="rId149" Type="http://schemas.openxmlformats.org/officeDocument/2006/relationships/hyperlink" Target="https://corporate.exxonmobil.com/what-we-do/energy-supply/global-outlook" TargetMode="External"/><Relationship Id="rId5" Type="http://schemas.openxmlformats.org/officeDocument/2006/relationships/customXml" Target="../customXml/item5.xml"/><Relationship Id="rId95" Type="http://schemas.openxmlformats.org/officeDocument/2006/relationships/chart" Target="charts/chart62.xml"/><Relationship Id="rId160" Type="http://schemas.openxmlformats.org/officeDocument/2006/relationships/hyperlink" Target="https://www.iea.org/reports/the-oil-and-gas-industry-in-energy-transitions" TargetMode="External"/><Relationship Id="rId181" Type="http://schemas.openxmlformats.org/officeDocument/2006/relationships/footer" Target="footer8.xml"/><Relationship Id="rId22" Type="http://schemas.openxmlformats.org/officeDocument/2006/relationships/footer" Target="footer5.xml"/><Relationship Id="rId43" Type="http://schemas.openxmlformats.org/officeDocument/2006/relationships/chart" Target="charts/chart21.xml"/><Relationship Id="rId64" Type="http://schemas.openxmlformats.org/officeDocument/2006/relationships/chart" Target="charts/chart34.xml"/><Relationship Id="rId118" Type="http://schemas.openxmlformats.org/officeDocument/2006/relationships/hyperlink" Target="https://aemo.com.au/en/energy-systems/gas/gas-forecasting-and-planning/gas-statement-of-opportunities-gsoo" TargetMode="External"/><Relationship Id="rId139" Type="http://schemas.openxmlformats.org/officeDocument/2006/relationships/hyperlink" Target="https://oakleygreenwood.com.au/gas-price-trends-review-2017" TargetMode="External"/><Relationship Id="rId85" Type="http://schemas.openxmlformats.org/officeDocument/2006/relationships/chart" Target="charts/chart54.xml"/><Relationship Id="rId150" Type="http://schemas.openxmlformats.org/officeDocument/2006/relationships/hyperlink" Target="https://www.futurefuelscrc.com/biomethane-viability-research-report-and-webinar-recording-out-now/" TargetMode="External"/><Relationship Id="rId171" Type="http://schemas.openxmlformats.org/officeDocument/2006/relationships/hyperlink" Target="https://iopscience.iop.org/article/10.1088/1748-9326/abbd02/meta" TargetMode="External"/><Relationship Id="rId12" Type="http://schemas.openxmlformats.org/officeDocument/2006/relationships/image" Target="media/image1.jpg"/><Relationship Id="rId33" Type="http://schemas.openxmlformats.org/officeDocument/2006/relationships/chart" Target="charts/chart11.xml"/><Relationship Id="rId108" Type="http://schemas.openxmlformats.org/officeDocument/2006/relationships/hyperlink" Target="https://www.accc.gov.au/inquiries-and-consultations/gas-inquiry-2017-30/review-of-upstream-competition-and-the-timeliness-of-supply" TargetMode="External"/><Relationship Id="rId129" Type="http://schemas.openxmlformats.org/officeDocument/2006/relationships/hyperlink" Target="https://gisera.csiro.au/wp-content/uploads/2019/07/GISERA_G2_Final_Report-whole-of-life-GHG-assessment.pdf" TargetMode="External"/><Relationship Id="rId54" Type="http://schemas.openxmlformats.org/officeDocument/2006/relationships/image" Target="media/image4.png"/><Relationship Id="rId75" Type="http://schemas.openxmlformats.org/officeDocument/2006/relationships/chart" Target="charts/chart44.xml"/><Relationship Id="rId96" Type="http://schemas.openxmlformats.org/officeDocument/2006/relationships/chart" Target="charts/chart63.xml"/><Relationship Id="rId140" Type="http://schemas.openxmlformats.org/officeDocument/2006/relationships/hyperlink" Target="https://treasury.gov.au/consultation/c2019-t364690" TargetMode="External"/><Relationship Id="rId161" Type="http://schemas.openxmlformats.org/officeDocument/2006/relationships/hyperlink" Target="https://www.iea.org/data-and-statistics/data-tools/climate-pledges-explorer" TargetMode="External"/><Relationship Id="rId182" Type="http://schemas.openxmlformats.org/officeDocument/2006/relationships/footer" Target="footer9.xml"/><Relationship Id="rId6" Type="http://schemas.openxmlformats.org/officeDocument/2006/relationships/numbering" Target="numbering.xml"/><Relationship Id="rId23" Type="http://schemas.openxmlformats.org/officeDocument/2006/relationships/chart" Target="charts/chart1.xml"/><Relationship Id="rId119" Type="http://schemas.openxmlformats.org/officeDocument/2006/relationships/hyperlink" Target="https://aemo.com.au/en/energy-systems/gas/gas-forecasting-and-planning/gas-statement-of-opportunities-gsoo" TargetMode="External"/><Relationship Id="rId44" Type="http://schemas.openxmlformats.org/officeDocument/2006/relationships/chart" Target="charts/chart22.xml"/><Relationship Id="rId65" Type="http://schemas.openxmlformats.org/officeDocument/2006/relationships/chart" Target="charts/chart35.xml"/><Relationship Id="rId86" Type="http://schemas.openxmlformats.org/officeDocument/2006/relationships/chart" Target="charts/chart55.xml"/><Relationship Id="rId130" Type="http://schemas.openxmlformats.org/officeDocument/2006/relationships/hyperlink" Target="https://agit.org.au/wp-content/uploads/2023/05/Greenhouse-gas-emissions-from-LNG-CSIRO-final.pdf" TargetMode="External"/><Relationship Id="rId151" Type="http://schemas.openxmlformats.org/officeDocument/2006/relationships/hyperlink" Target="https://www.gecf.org/insights/global-gas-outlook.aspx?d=2024&amp;p=1" TargetMode="External"/><Relationship Id="rId172" Type="http://schemas.openxmlformats.org/officeDocument/2006/relationships/hyperlink" Target="https://www.nexanteca.com/program/world-gas-model" TargetMode="External"/><Relationship Id="rId13" Type="http://schemas.openxmlformats.org/officeDocument/2006/relationships/footer" Target="footer1.xml"/><Relationship Id="rId18" Type="http://schemas.openxmlformats.org/officeDocument/2006/relationships/hyperlink" Target="mailto:gasanalytics@industry.gov.au" TargetMode="External"/><Relationship Id="rId39" Type="http://schemas.openxmlformats.org/officeDocument/2006/relationships/chart" Target="charts/chart17.xml"/><Relationship Id="rId109" Type="http://schemas.openxmlformats.org/officeDocument/2006/relationships/hyperlink" Target="https://www.accc.gov.au/inquiries-and-consultations/gas-inquiry-2017-30/december-2023-interim-report" TargetMode="External"/><Relationship Id="rId34" Type="http://schemas.openxmlformats.org/officeDocument/2006/relationships/chart" Target="charts/chart12.xml"/><Relationship Id="rId50" Type="http://schemas.microsoft.com/office/2007/relationships/diagramDrawing" Target="diagrams/drawing1.xml"/><Relationship Id="rId55" Type="http://schemas.openxmlformats.org/officeDocument/2006/relationships/chart" Target="charts/chart25.xml"/><Relationship Id="rId76" Type="http://schemas.openxmlformats.org/officeDocument/2006/relationships/chart" Target="charts/chart45.xml"/><Relationship Id="rId97" Type="http://schemas.openxmlformats.org/officeDocument/2006/relationships/chart" Target="charts/chart64.xml"/><Relationship Id="rId104" Type="http://schemas.openxmlformats.org/officeDocument/2006/relationships/image" Target="media/image9.png"/><Relationship Id="rId120" Type="http://schemas.openxmlformats.org/officeDocument/2006/relationships/hyperlink" Target="https://www.industry.gov.au/publications/resources-and-energy-quarterly-march-2023" TargetMode="External"/><Relationship Id="rId125" Type="http://schemas.openxmlformats.org/officeDocument/2006/relationships/hyperlink" Target="https://www.bp.com/content/dam/bp/business-sites/en/global/corporate/pdfs/energy-economics/statistical-review/bp-stats-review-2022-full-report.pdf" TargetMode="External"/><Relationship Id="rId141" Type="http://schemas.openxmlformats.org/officeDocument/2006/relationships/hyperlink" Target="https://www.industry.gov.au/publications/resources-and-energy-major-projects" TargetMode="External"/><Relationship Id="rId146" Type="http://schemas.openxmlformats.org/officeDocument/2006/relationships/hyperlink" Target="https://www.energyquest.com.au/new-east-coast-gas-outlook-2023/" TargetMode="External"/><Relationship Id="rId167" Type="http://schemas.openxmlformats.org/officeDocument/2006/relationships/hyperlink" Target="https://www.iea.org/countries" TargetMode="External"/><Relationship Id="rId7" Type="http://schemas.openxmlformats.org/officeDocument/2006/relationships/styles" Target="styles.xml"/><Relationship Id="rId71" Type="http://schemas.openxmlformats.org/officeDocument/2006/relationships/chart" Target="charts/chart40.xml"/><Relationship Id="rId92" Type="http://schemas.openxmlformats.org/officeDocument/2006/relationships/image" Target="media/image6.png"/><Relationship Id="rId162" Type="http://schemas.openxmlformats.org/officeDocument/2006/relationships/hyperlink" Target="https://www.iea.org/data-and-statistics/charts/comparison-of-the-emissions-intensity-of-different-hydrogen-production-routes-2021" TargetMode="External"/><Relationship Id="rId183"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36.xml"/><Relationship Id="rId87" Type="http://schemas.openxmlformats.org/officeDocument/2006/relationships/chart" Target="charts/chart56.xml"/><Relationship Id="rId110" Type="http://schemas.openxmlformats.org/officeDocument/2006/relationships/hyperlink" Target="https://acilallen.com.au/uploads/projects/767/ACILAllen_GEAEconomicContribution2023.pdf" TargetMode="External"/><Relationship Id="rId115" Type="http://schemas.openxmlformats.org/officeDocument/2006/relationships/hyperlink" Target="https://aemo.com.au/en/energy-systems/gas/gas-forecasting-and-planning/wa-gas-statement-of-opportunities-wa-gsoo" TargetMode="External"/><Relationship Id="rId131" Type="http://schemas.openxmlformats.org/officeDocument/2006/relationships/hyperlink" Target="https://www.csiro.au/en/research/environmental-impacts/emissions/carbon-sequestration-potential" TargetMode="External"/><Relationship Id="rId136" Type="http://schemas.openxmlformats.org/officeDocument/2006/relationships/hyperlink" Target="https://www.energy.gov.au/publications/australian-energy-update-2023" TargetMode="External"/><Relationship Id="rId157" Type="http://schemas.openxmlformats.org/officeDocument/2006/relationships/hyperlink" Target="https://giignl.org/resources2/" TargetMode="External"/><Relationship Id="rId178" Type="http://schemas.openxmlformats.org/officeDocument/2006/relationships/hyperlink" Target="https://www.google.com/url?sa=t&amp;rct=j&amp;q=&amp;esrc=s&amp;source=web&amp;cd=&amp;cad=rja&amp;uact=8&amp;ved=2ahUKEwi4qpG-xvCFAxVKlFYBHXYPDIkQFnoECB0QAQ&amp;url=https%3A%2F%2Fwww.wa.gov.au%2Fsystem%2Ffiles%2F2024-04%2Fwalngprofilefeapril2024.docx&amp;usg=AOvVaw0HLqUhSgYoausfDKOIVj4J&amp;cshid=1714707306302406&amp;opi=89978449" TargetMode="External"/><Relationship Id="rId61" Type="http://schemas.openxmlformats.org/officeDocument/2006/relationships/chart" Target="charts/chart31.xml"/><Relationship Id="rId82" Type="http://schemas.openxmlformats.org/officeDocument/2006/relationships/chart" Target="charts/chart51.xml"/><Relationship Id="rId152" Type="http://schemas.openxmlformats.org/officeDocument/2006/relationships/hyperlink" Target="https://www.ga.gov.au/digital-publication/aecr2023/gas" TargetMode="External"/><Relationship Id="rId173" Type="http://schemas.openxmlformats.org/officeDocument/2006/relationships/hyperlink" Target="https://www.nexanteca.com/program/world-gas-model" TargetMode="External"/><Relationship Id="rId19" Type="http://schemas.openxmlformats.org/officeDocument/2006/relationships/footer" Target="footer2.xml"/><Relationship Id="rId14" Type="http://schemas.openxmlformats.org/officeDocument/2006/relationships/hyperlink" Target="http://www.industry.gov.au/mining-oil-and-gas/oil-and-gas/planning-gas-2050" TargetMode="Externa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chart" Target="charts/chart26.xml"/><Relationship Id="rId77" Type="http://schemas.openxmlformats.org/officeDocument/2006/relationships/chart" Target="charts/chart46.xml"/><Relationship Id="rId100" Type="http://schemas.openxmlformats.org/officeDocument/2006/relationships/chart" Target="charts/chart67.xml"/><Relationship Id="rId105" Type="http://schemas.openxmlformats.org/officeDocument/2006/relationships/chart" Target="charts/chart70.xml"/><Relationship Id="rId126" Type="http://schemas.openxmlformats.org/officeDocument/2006/relationships/hyperlink" Target="https://www.sciencedirect.com/science/article/abs/pii/S0360544222004662" TargetMode="External"/><Relationship Id="rId147" Type="http://schemas.openxmlformats.org/officeDocument/2006/relationships/hyperlink" Target="https://www.energyquest.com.au/new-west-coast-gas-outlook-2023/" TargetMode="External"/><Relationship Id="rId168" Type="http://schemas.openxmlformats.org/officeDocument/2006/relationships/hyperlink" Target="https://eneken.ieej.or.jp/data/11456.pdf" TargetMode="External"/><Relationship Id="rId8" Type="http://schemas.openxmlformats.org/officeDocument/2006/relationships/settings" Target="settings.xml"/><Relationship Id="rId51" Type="http://schemas.openxmlformats.org/officeDocument/2006/relationships/chart" Target="charts/chart24.xml"/><Relationship Id="rId72" Type="http://schemas.openxmlformats.org/officeDocument/2006/relationships/chart" Target="charts/chart41.xml"/><Relationship Id="rId93" Type="http://schemas.openxmlformats.org/officeDocument/2006/relationships/image" Target="media/image7.png"/><Relationship Id="rId98" Type="http://schemas.openxmlformats.org/officeDocument/2006/relationships/chart" Target="charts/chart65.xml"/><Relationship Id="rId121" Type="http://schemas.openxmlformats.org/officeDocument/2006/relationships/hyperlink" Target="https://www.aer.gov.au/publications/reports/performance/wholesale-markets-quarterly-q4-2023" TargetMode="External"/><Relationship Id="rId142" Type="http://schemas.openxmlformats.org/officeDocument/2006/relationships/hyperlink" Target="https://www.industry.gov.au/publications/resources-and-energy-quarterly-september-2023https:/www.industry.gov.au/publications/resources-and-energy-quarterly-september-2023" TargetMode="External"/><Relationship Id="rId163" Type="http://schemas.openxmlformats.org/officeDocument/2006/relationships/hyperlink" Target="https://www.iea.org/data-and-statistics/data-tools/greenhouse-gas-emissions-from-energy-data-explorer" TargetMode="External"/><Relationship Id="rId184" Type="http://schemas.openxmlformats.org/officeDocument/2006/relationships/footer" Target="footer11.xml"/><Relationship Id="rId3" Type="http://schemas.openxmlformats.org/officeDocument/2006/relationships/customXml" Target="../customXml/item3.xml"/><Relationship Id="rId25" Type="http://schemas.openxmlformats.org/officeDocument/2006/relationships/chart" Target="charts/chart3.xml"/><Relationship Id="rId46" Type="http://schemas.openxmlformats.org/officeDocument/2006/relationships/diagramData" Target="diagrams/data1.xml"/><Relationship Id="rId67" Type="http://schemas.openxmlformats.org/officeDocument/2006/relationships/chart" Target="charts/chart37.xml"/><Relationship Id="rId116" Type="http://schemas.openxmlformats.org/officeDocument/2006/relationships/hyperlink" Target="https://aemo.com.au/consultations/current-and-closed-consultations/draft-2024-isp-consultation" TargetMode="External"/><Relationship Id="rId137" Type="http://schemas.openxmlformats.org/officeDocument/2006/relationships/hyperlink" Target="https://www.energy.gov.au/publications/australian-energy-update-2023" TargetMode="External"/><Relationship Id="rId158" Type="http://schemas.openxmlformats.org/officeDocument/2006/relationships/hyperlink" Target="https://grattan.edu.au/report/getting-off-gas/" TargetMode="External"/><Relationship Id="rId20" Type="http://schemas.openxmlformats.org/officeDocument/2006/relationships/footer" Target="footer3.xml"/><Relationship Id="rId41" Type="http://schemas.openxmlformats.org/officeDocument/2006/relationships/chart" Target="charts/chart19.xml"/><Relationship Id="rId62" Type="http://schemas.openxmlformats.org/officeDocument/2006/relationships/chart" Target="charts/chart32.xml"/><Relationship Id="rId83" Type="http://schemas.openxmlformats.org/officeDocument/2006/relationships/chart" Target="charts/chart52.xml"/><Relationship Id="rId88" Type="http://schemas.openxmlformats.org/officeDocument/2006/relationships/chart" Target="charts/chart57.xml"/><Relationship Id="rId111" Type="http://schemas.openxmlformats.org/officeDocument/2006/relationships/hyperlink" Target="https://aemo.com.au/en/energy-systems/gas/gas-forecasting-and-planning/wa-gas-statement-of-opportunities-wa-gsoo" TargetMode="External"/><Relationship Id="rId132" Type="http://schemas.openxmlformats.org/officeDocument/2006/relationships/hyperlink" Target="https://www.dcceew.gov.au/climate-change/publications/national-inventory-report-2022" TargetMode="External"/><Relationship Id="rId153" Type="http://schemas.openxmlformats.org/officeDocument/2006/relationships/hyperlink" Target="https://giignl.org/resources2/" TargetMode="External"/><Relationship Id="rId174" Type="http://schemas.openxmlformats.org/officeDocument/2006/relationships/hyperlink" Target="https://www.ogci.com/wp-content/uploads/2023/12/CSRC_Cycle_3_Appendix_E_Oceania.pdf" TargetMode="External"/><Relationship Id="rId179" Type="http://schemas.openxmlformats.org/officeDocument/2006/relationships/hyperlink" Target="https://www.woodmac.com/products/consulting/case-studies/LNG-Carbon-Emissions-Tool/" TargetMode="External"/><Relationship Id="rId15" Type="http://schemas.openxmlformats.org/officeDocument/2006/relationships/image" Target="media/image2.png"/><Relationship Id="rId36" Type="http://schemas.openxmlformats.org/officeDocument/2006/relationships/chart" Target="charts/chart14.xml"/><Relationship Id="rId57" Type="http://schemas.openxmlformats.org/officeDocument/2006/relationships/chart" Target="charts/chart27.xml"/><Relationship Id="rId106" Type="http://schemas.openxmlformats.org/officeDocument/2006/relationships/hyperlink" Target="https://www.abs.gov.au/statistics/industry/mining/mineral-and-petroleum-exploration-australia/latest-release" TargetMode="External"/><Relationship Id="rId127" Type="http://schemas.openxmlformats.org/officeDocument/2006/relationships/hyperlink" Target="https://www.publish.csiro.au/aj/AJ22080" TargetMode="External"/><Relationship Id="rId10" Type="http://schemas.openxmlformats.org/officeDocument/2006/relationships/footnotes" Target="footnotes.xml"/><Relationship Id="rId31" Type="http://schemas.openxmlformats.org/officeDocument/2006/relationships/chart" Target="charts/chart9.xml"/><Relationship Id="rId52" Type="http://schemas.openxmlformats.org/officeDocument/2006/relationships/footer" Target="footer6.xml"/><Relationship Id="rId73" Type="http://schemas.openxmlformats.org/officeDocument/2006/relationships/chart" Target="charts/chart42.xml"/><Relationship Id="rId78" Type="http://schemas.openxmlformats.org/officeDocument/2006/relationships/chart" Target="charts/chart47.xml"/><Relationship Id="rId94" Type="http://schemas.openxmlformats.org/officeDocument/2006/relationships/chart" Target="charts/chart61.xml"/><Relationship Id="rId99" Type="http://schemas.openxmlformats.org/officeDocument/2006/relationships/chart" Target="charts/chart66.xml"/><Relationship Id="rId101" Type="http://schemas.openxmlformats.org/officeDocument/2006/relationships/chart" Target="charts/chart68.xml"/><Relationship Id="rId122" Type="http://schemas.openxmlformats.org/officeDocument/2006/relationships/hyperlink" Target="https://www.aer.gov.au/system/files/2023-12/Wholesale%20gas%20short%20term%20transaction%20reporting%20December%202023.pdf" TargetMode="External"/><Relationship Id="rId143" Type="http://schemas.openxmlformats.org/officeDocument/2006/relationships/hyperlink" Target="https://www.industry.gov.au/publications/resources-and-energy-quarterly-march-2024" TargetMode="External"/><Relationship Id="rId148" Type="http://schemas.openxmlformats.org/officeDocument/2006/relationships/hyperlink" Target="https://www.energyquest.com.au/energyquarterly-report-march-2024/" TargetMode="External"/><Relationship Id="rId164" Type="http://schemas.openxmlformats.org/officeDocument/2006/relationships/hyperlink" Target="https://www.iea.org/reports/medium-term-gas-report-2023" TargetMode="External"/><Relationship Id="rId169" Type="http://schemas.openxmlformats.org/officeDocument/2006/relationships/hyperlink" Target="https://lng.kpler.com/login"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woodmac.com/lens/" TargetMode="External"/><Relationship Id="rId26" Type="http://schemas.openxmlformats.org/officeDocument/2006/relationships/chart" Target="charts/chart4.xml"/><Relationship Id="rId47" Type="http://schemas.openxmlformats.org/officeDocument/2006/relationships/diagramLayout" Target="diagrams/layout1.xml"/><Relationship Id="rId68" Type="http://schemas.openxmlformats.org/officeDocument/2006/relationships/chart" Target="charts/chart38.xml"/><Relationship Id="rId89" Type="http://schemas.openxmlformats.org/officeDocument/2006/relationships/chart" Target="charts/chart58.xml"/><Relationship Id="rId112" Type="http://schemas.openxmlformats.org/officeDocument/2006/relationships/hyperlink" Target="https://aemo.com.au/en/energy-systems/gas/gas-supply-hub-gsh/data-gsh/daily-gsh-reports" TargetMode="External"/><Relationship Id="rId133" Type="http://schemas.openxmlformats.org/officeDocument/2006/relationships/hyperlink" Target="https://www.dcceew.gov.au/sites/default/files/documents/stationary-energy-excluding-electricity-mining-energy-technology-efficiency-opportunities-advisian.pdf" TargetMode="External"/><Relationship Id="rId154" Type="http://schemas.openxmlformats.org/officeDocument/2006/relationships/hyperlink" Target="https://giignl.org/resources2/" TargetMode="External"/><Relationship Id="rId175" Type="http://schemas.openxmlformats.org/officeDocument/2006/relationships/hyperlink" Target="https://www.sgs.com/en-au/services/lithium-and-cobalt" TargetMode="External"/><Relationship Id="rId16" Type="http://schemas.openxmlformats.org/officeDocument/2006/relationships/image" Target="media/image3.png"/><Relationship Id="rId37" Type="http://schemas.openxmlformats.org/officeDocument/2006/relationships/chart" Target="charts/chart15.xml"/><Relationship Id="rId58" Type="http://schemas.openxmlformats.org/officeDocument/2006/relationships/chart" Target="charts/chart28.xml"/><Relationship Id="rId79" Type="http://schemas.openxmlformats.org/officeDocument/2006/relationships/chart" Target="charts/chart48.xml"/><Relationship Id="rId102" Type="http://schemas.openxmlformats.org/officeDocument/2006/relationships/chart" Target="charts/chart69.xml"/><Relationship Id="rId123" Type="http://schemas.openxmlformats.org/officeDocument/2006/relationships/hyperlink" Target="https://arena.gov.au/knowledge-bank/australias-bioenergy-roadmap-report/" TargetMode="External"/><Relationship Id="rId144" Type="http://schemas.openxmlformats.org/officeDocument/2006/relationships/hyperlink" Target="https://static1.squarespace.com/static/5b03b4bb506fbee0fac22788/t/65559a5f04469e2a39fdad07/1700108912648/20231113+Future+Gas+Strategy_DomGas+Alliance+Submission.pdf" TargetMode="External"/><Relationship Id="rId90" Type="http://schemas.openxmlformats.org/officeDocument/2006/relationships/chart" Target="charts/chart59.xml"/><Relationship Id="rId165" Type="http://schemas.openxmlformats.org/officeDocument/2006/relationships/hyperlink" Target="https://www.iea.org/data-and-statistics/data-product/world-energy-outlook-2023-extended-dataset" TargetMode="External"/><Relationship Id="rId186" Type="http://schemas.openxmlformats.org/officeDocument/2006/relationships/theme" Target="theme/theme1.xml"/><Relationship Id="rId27" Type="http://schemas.openxmlformats.org/officeDocument/2006/relationships/chart" Target="charts/chart5.xml"/><Relationship Id="rId48" Type="http://schemas.openxmlformats.org/officeDocument/2006/relationships/diagramQuickStyle" Target="diagrams/quickStyle1.xml"/><Relationship Id="rId69" Type="http://schemas.openxmlformats.org/officeDocument/2006/relationships/image" Target="media/image5.png"/><Relationship Id="rId113" Type="http://schemas.openxmlformats.org/officeDocument/2006/relationships/hyperlink" Target="https://aemo.com.au/energy-systems/gas/gas-forecasting-and-planning/gas-statement-of-opportunities-gsoo/2023-gas-statement-of-opportunities" TargetMode="External"/><Relationship Id="rId134" Type="http://schemas.openxmlformats.org/officeDocument/2006/relationships/hyperlink" Target="https://www.dcceew.gov.au/climate-change/publications/australias-emissions-projections-2023" TargetMode="External"/><Relationship Id="rId80" Type="http://schemas.openxmlformats.org/officeDocument/2006/relationships/chart" Target="charts/chart49.xml"/><Relationship Id="rId155" Type="http://schemas.openxmlformats.org/officeDocument/2006/relationships/hyperlink" Target="https://giignl.org/resources2/" TargetMode="External"/><Relationship Id="rId176" Type="http://schemas.openxmlformats.org/officeDocument/2006/relationships/hyperlink" Target="https://www.shell.com/news-and-insights/scenarios/what-are-the-previous-shell-scenarios.html" TargetMode="External"/><Relationship Id="rId17" Type="http://schemas.openxmlformats.org/officeDocument/2006/relationships/hyperlink" Target="https://creativecommons.org/licenses/by/4.0/" TargetMode="External"/><Relationship Id="rId38" Type="http://schemas.openxmlformats.org/officeDocument/2006/relationships/chart" Target="charts/chart16.xml"/><Relationship Id="rId59" Type="http://schemas.openxmlformats.org/officeDocument/2006/relationships/chart" Target="charts/chart29.xml"/><Relationship Id="rId103" Type="http://schemas.openxmlformats.org/officeDocument/2006/relationships/image" Target="media/image8.png"/><Relationship Id="rId124" Type="http://schemas.openxmlformats.org/officeDocument/2006/relationships/hyperlink" Target="https://www.bloomberg.com/professional/products/bloomberg-terminal/" TargetMode="External"/><Relationship Id="rId70" Type="http://schemas.openxmlformats.org/officeDocument/2006/relationships/chart" Target="charts/chart39.xml"/><Relationship Id="rId91" Type="http://schemas.openxmlformats.org/officeDocument/2006/relationships/chart" Target="charts/chart60.xml"/><Relationship Id="rId145" Type="http://schemas.openxmlformats.org/officeDocument/2006/relationships/hyperlink" Target="https://www.energyinst.org/statistical-review/resources-and-data-downloads" TargetMode="External"/><Relationship Id="rId166" Type="http://schemas.openxmlformats.org/officeDocument/2006/relationships/hyperlink" Target="https://www.iea.org/reports/world-energy-outlook-2023" TargetMode="External"/><Relationship Id="rId1" Type="http://schemas.openxmlformats.org/officeDocument/2006/relationships/customXml" Target="../customXml/item1.xml"/><Relationship Id="rId28" Type="http://schemas.openxmlformats.org/officeDocument/2006/relationships/chart" Target="charts/chart6.xml"/><Relationship Id="rId49" Type="http://schemas.openxmlformats.org/officeDocument/2006/relationships/diagramColors" Target="diagrams/colors1.xml"/><Relationship Id="rId114" Type="http://schemas.openxmlformats.org/officeDocument/2006/relationships/hyperlink" Target="https://aemo.com.au/en/energy-systems/gas/gas-forecasting-and-planning/wa-gas-statement-of-opportunities-wa-gsoo" TargetMode="External"/><Relationship Id="rId60" Type="http://schemas.openxmlformats.org/officeDocument/2006/relationships/chart" Target="charts/chart30.xml"/><Relationship Id="rId81" Type="http://schemas.openxmlformats.org/officeDocument/2006/relationships/chart" Target="charts/chart50.xml"/><Relationship Id="rId135" Type="http://schemas.openxmlformats.org/officeDocument/2006/relationships/hyperlink" Target="https://www.energy.gov.au/publications/australian-energy-update-2023" TargetMode="External"/><Relationship Id="rId156" Type="http://schemas.openxmlformats.org/officeDocument/2006/relationships/hyperlink" Target="https://giignl.org/resources2/" TargetMode="External"/><Relationship Id="rId177" Type="http://schemas.openxmlformats.org/officeDocument/2006/relationships/hyperlink" Target="https://www.energy.vic.gov.au/renewable-energy/victorias-gas-substitution-roadma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nergy.gov.au/sites/default/files/2016-australian-energy-statistics-info3.pdf" TargetMode="External"/><Relationship Id="rId2" Type="http://schemas.openxmlformats.org/officeDocument/2006/relationships/hyperlink" Target="https://www.spe.org/industry/docs/PRMS-Guide-for-Non-Technical-Users-2007.pdf" TargetMode="External"/><Relationship Id="rId1" Type="http://schemas.openxmlformats.org/officeDocument/2006/relationships/hyperlink" Target="https://www.ieabioenergy.com/wp-content/uploads/2022/02/Role-of-biomass-in-industrial-hea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report%20figures%20and%20da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Workbook.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Workbook.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Workbook.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Workbook.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report%20figures%20and%20dat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Workbook.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Workbook.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Workbook.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Workbook.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20(Correction%202024-07).xlsx"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6.xml"/><Relationship Id="rId1" Type="http://schemas.microsoft.com/office/2011/relationships/chartStyle" Target="style56.xml"/></Relationships>
</file>

<file path=word/charts/_rels/chart58.xml.rels><?xml version="1.0" encoding="UTF-8" standalone="yes"?>
<Relationships xmlns="http://schemas.openxmlformats.org/package/2006/relationships"><Relationship Id="rId3" Type="http://schemas.openxmlformats.org/officeDocument/2006/relationships/oleObject" Target="file:///\\prod.protected.ind\User\user07\rh7558\desktop\Updated%20GSOO.xlsx" TargetMode="External"/><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qtrly/docs/Gas%20Workbook%20REQ%20September%202023.xlsx" TargetMode="External"/><Relationship Id="rId2" Type="http://schemas.microsoft.com/office/2011/relationships/chartColorStyle" Target="colors60.xml"/><Relationship Id="rId1" Type="http://schemas.microsoft.com/office/2011/relationships/chartStyle" Target="style60.xml"/></Relationships>
</file>

<file path=word/charts/_rels/chart62.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report%20figures%20and%20data.xlsx" TargetMode="External"/><Relationship Id="rId2" Type="http://schemas.microsoft.com/office/2011/relationships/chartColorStyle" Target="colors61.xml"/><Relationship Id="rId1" Type="http://schemas.microsoft.com/office/2011/relationships/chartStyle" Target="style61.xml"/></Relationships>
</file>

<file path=word/charts/_rels/chart63.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62.xml"/><Relationship Id="rId1" Type="http://schemas.microsoft.com/office/2011/relationships/chartStyle" Target="style62.xml"/></Relationships>
</file>

<file path=word/charts/_rels/chart64.xml.rels><?xml version="1.0" encoding="UTF-8" standalone="yes"?>
<Relationships xmlns="http://schemas.openxmlformats.org/package/2006/relationships"><Relationship Id="rId3" Type="http://schemas.openxmlformats.org/officeDocument/2006/relationships/oleObject" Target="file:///\\prod.protected.ind\USER\User04\gm5348\Projects\Graphs%20with%20no%20data\Chart%202.1.xlsx" TargetMode="Externa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chartUserShapes" Target="../drawings/drawing1.xml"/></Relationships>
</file>

<file path=word/charts/_rels/chart65.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20(Correction%202024-07).xlsx" TargetMode="External"/><Relationship Id="rId2" Type="http://schemas.microsoft.com/office/2011/relationships/chartColorStyle" Target="colors64.xml"/><Relationship Id="rId1" Type="http://schemas.microsoft.com/office/2011/relationships/chartStyle" Target="style64.xm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5.xml"/><Relationship Id="rId1" Type="http://schemas.microsoft.com/office/2011/relationships/chartStyle" Target="style65.xml"/><Relationship Id="rId5" Type="http://schemas.openxmlformats.org/officeDocument/2006/relationships/chartUserShapes" Target="../drawings/drawing2.xml"/><Relationship Id="rId4" Type="http://schemas.openxmlformats.org/officeDocument/2006/relationships/oleObject" Target="https://dochub/div/economicanalyticalservices/businessfunctions/dataanalyticalservices/gaseconomicsreforms/docs/Future%20Gas%20Strategy%20Workbook.xlsx" TargetMode="External"/></Relationships>
</file>

<file path=word/charts/_rels/chart67.xml.rels><?xml version="1.0" encoding="UTF-8" standalone="yes"?>
<Relationships xmlns="http://schemas.openxmlformats.org/package/2006/relationships"><Relationship Id="rId3" Type="http://schemas.openxmlformats.org/officeDocument/2006/relationships/oleObject" Target="file:///\\prod.protected.ind\User\user07\rh7558\desktop\6.4.xlsx" TargetMode="External"/><Relationship Id="rId2" Type="http://schemas.microsoft.com/office/2011/relationships/chartColorStyle" Target="colors66.xml"/><Relationship Id="rId1" Type="http://schemas.microsoft.com/office/2011/relationships/chartStyle" Target="style66.xml"/></Relationships>
</file>

<file path=word/charts/_rels/chart68.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67.xml"/><Relationship Id="rId1" Type="http://schemas.microsoft.com/office/2011/relationships/chartStyle" Target="style67.xml"/></Relationships>
</file>

<file path=word/charts/_rels/chart69.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68.xml"/><Relationship Id="rId1" Type="http://schemas.microsoft.com/office/2011/relationships/chartStyle" Target="style68.xml"/></Relationships>
</file>

<file path=word/charts/_rels/chart7.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69.xml"/><Relationship Id="rId1" Type="http://schemas.microsoft.com/office/2011/relationships/chartStyle" Target="style69.xml"/></Relationships>
</file>

<file path=word/charts/_rels/chart8.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gaseconomicsreforms/docs/Future%20Gas%20Strategy%20Analytical%20Report%20-%20figures%20and%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'[1]1.1'!$B$6</c:f>
              <c:strCache>
                <c:ptCount val="1"/>
                <c:pt idx="0">
                  <c:v>World</c:v>
                </c:pt>
              </c:strCache>
            </c:strRef>
          </c:tx>
          <c:dPt>
            <c:idx val="0"/>
            <c:bubble3D val="0"/>
            <c:spPr>
              <a:solidFill>
                <a:srgbClr val="005CAF"/>
              </a:solidFill>
              <a:ln w="19050">
                <a:solidFill>
                  <a:schemeClr val="lt1"/>
                </a:solidFill>
              </a:ln>
              <a:effectLst/>
            </c:spPr>
            <c:extLst>
              <c:ext xmlns:c16="http://schemas.microsoft.com/office/drawing/2014/chart" uri="{C3380CC4-5D6E-409C-BE32-E72D297353CC}">
                <c16:uniqueId val="{00000001-DEE1-4E48-B658-30F3C37494AD}"/>
              </c:ext>
            </c:extLst>
          </c:dPt>
          <c:dPt>
            <c:idx val="1"/>
            <c:bubble3D val="0"/>
            <c:spPr>
              <a:solidFill>
                <a:srgbClr val="56B4DF"/>
              </a:solidFill>
              <a:ln w="19050">
                <a:solidFill>
                  <a:schemeClr val="lt1"/>
                </a:solidFill>
              </a:ln>
              <a:effectLst/>
            </c:spPr>
            <c:extLst>
              <c:ext xmlns:c16="http://schemas.microsoft.com/office/drawing/2014/chart" uri="{C3380CC4-5D6E-409C-BE32-E72D297353CC}">
                <c16:uniqueId val="{00000003-DEE1-4E48-B658-30F3C37494AD}"/>
              </c:ext>
            </c:extLst>
          </c:dPt>
          <c:dPt>
            <c:idx val="2"/>
            <c:bubble3D val="0"/>
            <c:spPr>
              <a:solidFill>
                <a:srgbClr val="9ED9DF"/>
              </a:solidFill>
              <a:ln w="19050">
                <a:solidFill>
                  <a:schemeClr val="lt1"/>
                </a:solidFill>
              </a:ln>
              <a:effectLst/>
            </c:spPr>
            <c:extLst>
              <c:ext xmlns:c16="http://schemas.microsoft.com/office/drawing/2014/chart" uri="{C3380CC4-5D6E-409C-BE32-E72D297353CC}">
                <c16:uniqueId val="{00000005-DEE1-4E48-B658-30F3C37494AD}"/>
              </c:ext>
            </c:extLst>
          </c:dPt>
          <c:dPt>
            <c:idx val="3"/>
            <c:bubble3D val="0"/>
            <c:spPr>
              <a:solidFill>
                <a:srgbClr val="C0C0C0"/>
              </a:solidFill>
              <a:ln w="19050">
                <a:solidFill>
                  <a:schemeClr val="lt1"/>
                </a:solidFill>
              </a:ln>
              <a:effectLst/>
            </c:spPr>
            <c:extLst>
              <c:ext xmlns:c16="http://schemas.microsoft.com/office/drawing/2014/chart" uri="{C3380CC4-5D6E-409C-BE32-E72D297353CC}">
                <c16:uniqueId val="{00000007-DEE1-4E48-B658-30F3C37494AD}"/>
              </c:ext>
            </c:extLst>
          </c:dPt>
          <c:dPt>
            <c:idx val="4"/>
            <c:bubble3D val="0"/>
            <c:spPr>
              <a:solidFill>
                <a:srgbClr val="51B7A4"/>
              </a:solidFill>
              <a:ln w="19050">
                <a:solidFill>
                  <a:schemeClr val="lt1"/>
                </a:solidFill>
              </a:ln>
              <a:effectLst/>
            </c:spPr>
            <c:extLst>
              <c:ext xmlns:c16="http://schemas.microsoft.com/office/drawing/2014/chart" uri="{C3380CC4-5D6E-409C-BE32-E72D297353CC}">
                <c16:uniqueId val="{00000009-DEE1-4E48-B658-30F3C37494AD}"/>
              </c:ext>
            </c:extLst>
          </c:dPt>
          <c:dPt>
            <c:idx val="5"/>
            <c:bubble3D val="0"/>
            <c:spPr>
              <a:solidFill>
                <a:srgbClr val="0A7568"/>
              </a:solidFill>
              <a:ln w="19050">
                <a:solidFill>
                  <a:schemeClr val="lt1"/>
                </a:solidFill>
              </a:ln>
              <a:effectLst/>
            </c:spPr>
            <c:extLst>
              <c:ext xmlns:c16="http://schemas.microsoft.com/office/drawing/2014/chart" uri="{C3380CC4-5D6E-409C-BE32-E72D297353CC}">
                <c16:uniqueId val="{0000000B-DEE1-4E48-B658-30F3C37494AD}"/>
              </c:ext>
            </c:extLst>
          </c:dPt>
          <c:dLbls>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DEE1-4E48-B658-30F3C37494AD}"/>
                </c:ext>
              </c:extLst>
            </c:dLbl>
            <c:dLbl>
              <c:idx val="3"/>
              <c:tx>
                <c:rich>
                  <a:bodyPr/>
                  <a:lstStyle/>
                  <a:p>
                    <a:fld id="{5633AB7D-F4F8-4543-996A-938858E9B362}"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EE1-4E48-B658-30F3C37494AD}"/>
                </c:ext>
              </c:extLst>
            </c:dLbl>
            <c:dLbl>
              <c:idx val="4"/>
              <c:tx>
                <c:rich>
                  <a:bodyPr/>
                  <a:lstStyle/>
                  <a:p>
                    <a:fld id="{8CDD8160-6E30-4EB2-96A0-682C921AAD0D}"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EE1-4E48-B658-30F3C37494A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'[1]1.1'!$C$5:$H$5</c:f>
              <c:strCache>
                <c:ptCount val="6"/>
                <c:pt idx="0">
                  <c:v>Oil</c:v>
                </c:pt>
                <c:pt idx="1">
                  <c:v>Natural Gas</c:v>
                </c:pt>
                <c:pt idx="2">
                  <c:v>Coal</c:v>
                </c:pt>
                <c:pt idx="3">
                  <c:v>Nuclear energy</c:v>
                </c:pt>
                <c:pt idx="4">
                  <c:v>Hydro electric</c:v>
                </c:pt>
                <c:pt idx="5">
                  <c:v>Renewables</c:v>
                </c:pt>
              </c:strCache>
            </c:strRef>
          </c:cat>
          <c:val>
            <c:numRef>
              <c:f>'[1]1.1'!$C$6:$H$6</c:f>
              <c:numCache>
                <c:formatCode>General</c:formatCode>
                <c:ptCount val="6"/>
                <c:pt idx="0">
                  <c:v>190.69</c:v>
                </c:pt>
                <c:pt idx="1">
                  <c:v>141.88999999999999</c:v>
                </c:pt>
                <c:pt idx="2">
                  <c:v>161.47</c:v>
                </c:pt>
                <c:pt idx="3">
                  <c:v>24.13</c:v>
                </c:pt>
                <c:pt idx="4">
                  <c:v>40.68</c:v>
                </c:pt>
                <c:pt idx="5">
                  <c:v>45.18</c:v>
                </c:pt>
              </c:numCache>
            </c:numRef>
          </c:val>
          <c:extLst>
            <c:ext xmlns:c16="http://schemas.microsoft.com/office/drawing/2014/chart" uri="{C3380CC4-5D6E-409C-BE32-E72D297353CC}">
              <c16:uniqueId val="{0000000C-DEE1-4E48-B658-30F3C37494AD}"/>
            </c:ext>
          </c:extLst>
        </c:ser>
        <c:dLbls>
          <c:showLegendKey val="0"/>
          <c:showVal val="0"/>
          <c:showCatName val="0"/>
          <c:showSerName val="0"/>
          <c:showPercent val="0"/>
          <c:showBubbleSize val="0"/>
          <c:showLeaderLines val="1"/>
        </c:dLbls>
        <c:firstSliceAng val="0"/>
        <c:holeSize val="50"/>
      </c:doughnutChart>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05CAF"/>
              </a:solidFill>
              <a:ln w="19050">
                <a:solidFill>
                  <a:schemeClr val="lt1"/>
                </a:solidFill>
              </a:ln>
              <a:effectLst/>
            </c:spPr>
            <c:extLst>
              <c:ext xmlns:c16="http://schemas.microsoft.com/office/drawing/2014/chart" uri="{C3380CC4-5D6E-409C-BE32-E72D297353CC}">
                <c16:uniqueId val="{00000001-6B87-4226-951C-F1C9E34E23D8}"/>
              </c:ext>
            </c:extLst>
          </c:dPt>
          <c:dPt>
            <c:idx val="1"/>
            <c:bubble3D val="0"/>
            <c:spPr>
              <a:solidFill>
                <a:srgbClr val="56B4DF"/>
              </a:solidFill>
              <a:ln w="19050">
                <a:solidFill>
                  <a:schemeClr val="lt1"/>
                </a:solidFill>
              </a:ln>
              <a:effectLst/>
            </c:spPr>
            <c:extLst>
              <c:ext xmlns:c16="http://schemas.microsoft.com/office/drawing/2014/chart" uri="{C3380CC4-5D6E-409C-BE32-E72D297353CC}">
                <c16:uniqueId val="{00000003-6B87-4226-951C-F1C9E34E23D8}"/>
              </c:ext>
            </c:extLst>
          </c:dPt>
          <c:dPt>
            <c:idx val="2"/>
            <c:bubble3D val="0"/>
            <c:spPr>
              <a:solidFill>
                <a:srgbClr val="9ED9DF"/>
              </a:solidFill>
              <a:ln w="19050">
                <a:solidFill>
                  <a:schemeClr val="lt1"/>
                </a:solidFill>
              </a:ln>
              <a:effectLst/>
            </c:spPr>
            <c:extLst>
              <c:ext xmlns:c16="http://schemas.microsoft.com/office/drawing/2014/chart" uri="{C3380CC4-5D6E-409C-BE32-E72D297353CC}">
                <c16:uniqueId val="{00000005-6B87-4226-951C-F1C9E34E23D8}"/>
              </c:ext>
            </c:extLst>
          </c:dPt>
          <c:dPt>
            <c:idx val="3"/>
            <c:bubble3D val="0"/>
            <c:spPr>
              <a:solidFill>
                <a:srgbClr val="BCBFC1"/>
              </a:solidFill>
              <a:ln w="19050">
                <a:solidFill>
                  <a:schemeClr val="lt1"/>
                </a:solidFill>
              </a:ln>
              <a:effectLst/>
            </c:spPr>
            <c:extLst>
              <c:ext xmlns:c16="http://schemas.microsoft.com/office/drawing/2014/chart" uri="{C3380CC4-5D6E-409C-BE32-E72D297353CC}">
                <c16:uniqueId val="{00000007-6B87-4226-951C-F1C9E34E23D8}"/>
              </c:ext>
            </c:extLst>
          </c:dPt>
          <c:dPt>
            <c:idx val="4"/>
            <c:bubble3D val="0"/>
            <c:spPr>
              <a:solidFill>
                <a:srgbClr val="51B7A4"/>
              </a:solidFill>
              <a:ln w="19050">
                <a:solidFill>
                  <a:schemeClr val="lt1"/>
                </a:solidFill>
              </a:ln>
              <a:effectLst/>
            </c:spPr>
            <c:extLst>
              <c:ext xmlns:c16="http://schemas.microsoft.com/office/drawing/2014/chart" uri="{C3380CC4-5D6E-409C-BE32-E72D297353CC}">
                <c16:uniqueId val="{00000009-6B87-4226-951C-F1C9E34E23D8}"/>
              </c:ext>
            </c:extLst>
          </c:dPt>
          <c:dPt>
            <c:idx val="5"/>
            <c:bubble3D val="0"/>
            <c:spPr>
              <a:solidFill>
                <a:srgbClr val="0A7568"/>
              </a:solidFill>
              <a:ln w="19050">
                <a:solidFill>
                  <a:schemeClr val="lt1"/>
                </a:solidFill>
              </a:ln>
              <a:effectLst/>
            </c:spPr>
            <c:extLst>
              <c:ext xmlns:c16="http://schemas.microsoft.com/office/drawing/2014/chart" uri="{C3380CC4-5D6E-409C-BE32-E72D297353CC}">
                <c16:uniqueId val="{0000000B-6B87-4226-951C-F1C9E34E23D8}"/>
              </c:ext>
            </c:extLst>
          </c:dPt>
          <c:dPt>
            <c:idx val="6"/>
            <c:bubble3D val="0"/>
            <c:spPr>
              <a:solidFill>
                <a:srgbClr val="D1AAF7"/>
              </a:solidFill>
              <a:ln w="19050">
                <a:solidFill>
                  <a:schemeClr val="lt1"/>
                </a:solidFill>
              </a:ln>
              <a:effectLst/>
            </c:spPr>
            <c:extLst>
              <c:ext xmlns:c16="http://schemas.microsoft.com/office/drawing/2014/chart" uri="{C3380CC4-5D6E-409C-BE32-E72D297353CC}">
                <c16:uniqueId val="{0000000D-6B87-4226-951C-F1C9E34E23D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6B87-4226-951C-F1C9E34E23D8}"/>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6B87-4226-951C-F1C9E34E23D8}"/>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6B87-4226-951C-F1C9E34E23D8}"/>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6B87-4226-951C-F1C9E34E23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'1.10'!$B$6:$B$12</c:f>
              <c:strCache>
                <c:ptCount val="7"/>
                <c:pt idx="0">
                  <c:v>Japan</c:v>
                </c:pt>
                <c:pt idx="1">
                  <c:v>China</c:v>
                </c:pt>
                <c:pt idx="2">
                  <c:v>FOB</c:v>
                </c:pt>
                <c:pt idx="3">
                  <c:v>ROK</c:v>
                </c:pt>
                <c:pt idx="4">
                  <c:v>Malaysia</c:v>
                </c:pt>
                <c:pt idx="5">
                  <c:v>Mexico</c:v>
                </c:pt>
                <c:pt idx="6">
                  <c:v>Taiwan</c:v>
                </c:pt>
              </c:strCache>
            </c:strRef>
          </c:cat>
          <c:val>
            <c:numRef>
              <c:f>'1.10'!$C$6:$C$12</c:f>
              <c:numCache>
                <c:formatCode>0</c:formatCode>
                <c:ptCount val="7"/>
                <c:pt idx="0">
                  <c:v>28</c:v>
                </c:pt>
                <c:pt idx="1">
                  <c:v>15.055</c:v>
                </c:pt>
                <c:pt idx="2">
                  <c:v>13.46</c:v>
                </c:pt>
                <c:pt idx="3">
                  <c:v>3.86</c:v>
                </c:pt>
                <c:pt idx="4">
                  <c:v>3.5</c:v>
                </c:pt>
                <c:pt idx="5">
                  <c:v>2.5</c:v>
                </c:pt>
                <c:pt idx="6">
                  <c:v>1.75</c:v>
                </c:pt>
              </c:numCache>
            </c:numRef>
          </c:val>
          <c:extLst>
            <c:ext xmlns:c16="http://schemas.microsoft.com/office/drawing/2014/chart" uri="{C3380CC4-5D6E-409C-BE32-E72D297353CC}">
              <c16:uniqueId val="{0000000E-6B87-4226-951C-F1C9E34E23D8}"/>
            </c:ext>
          </c:extLst>
        </c:ser>
        <c:dLbls>
          <c:showLegendKey val="0"/>
          <c:showVal val="0"/>
          <c:showCatName val="0"/>
          <c:showSerName val="0"/>
          <c:showPercent val="0"/>
          <c:showBubbleSize val="0"/>
          <c:showLeaderLines val="1"/>
        </c:dLbls>
        <c:firstSliceAng val="0"/>
        <c:holeSize val="50"/>
      </c:doughnutChart>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noFill/>
            </a:ln>
            <a:effectLst/>
          </c:spPr>
          <c:invertIfNegative val="0"/>
          <c:dPt>
            <c:idx val="0"/>
            <c:invertIfNegative val="0"/>
            <c:bubble3D val="0"/>
            <c:spPr>
              <a:solidFill>
                <a:srgbClr val="005CAF"/>
              </a:solidFill>
              <a:ln w="19050">
                <a:noFill/>
              </a:ln>
              <a:effectLst/>
            </c:spPr>
            <c:extLst>
              <c:ext xmlns:c16="http://schemas.microsoft.com/office/drawing/2014/chart" uri="{C3380CC4-5D6E-409C-BE32-E72D297353CC}">
                <c16:uniqueId val="{00000001-0AED-40FB-8257-D946C02986B3}"/>
              </c:ext>
            </c:extLst>
          </c:dPt>
          <c:dPt>
            <c:idx val="1"/>
            <c:invertIfNegative val="0"/>
            <c:bubble3D val="0"/>
            <c:spPr>
              <a:solidFill>
                <a:srgbClr val="56B4DF"/>
              </a:solidFill>
              <a:ln w="19050">
                <a:noFill/>
              </a:ln>
              <a:effectLst/>
            </c:spPr>
            <c:extLst>
              <c:ext xmlns:c16="http://schemas.microsoft.com/office/drawing/2014/chart" uri="{C3380CC4-5D6E-409C-BE32-E72D297353CC}">
                <c16:uniqueId val="{00000003-0AED-40FB-8257-D946C02986B3}"/>
              </c:ext>
            </c:extLst>
          </c:dPt>
          <c:dPt>
            <c:idx val="2"/>
            <c:invertIfNegative val="0"/>
            <c:bubble3D val="0"/>
            <c:spPr>
              <a:solidFill>
                <a:srgbClr val="9ED9DF"/>
              </a:solidFill>
              <a:ln w="19050">
                <a:noFill/>
              </a:ln>
              <a:effectLst/>
            </c:spPr>
            <c:extLst>
              <c:ext xmlns:c16="http://schemas.microsoft.com/office/drawing/2014/chart" uri="{C3380CC4-5D6E-409C-BE32-E72D297353CC}">
                <c16:uniqueId val="{00000005-0AED-40FB-8257-D946C02986B3}"/>
              </c:ext>
            </c:extLst>
          </c:dPt>
          <c:dPt>
            <c:idx val="3"/>
            <c:invertIfNegative val="0"/>
            <c:bubble3D val="0"/>
            <c:spPr>
              <a:solidFill>
                <a:srgbClr val="BCBFC1"/>
              </a:solidFill>
              <a:ln w="19050">
                <a:noFill/>
              </a:ln>
              <a:effectLst/>
            </c:spPr>
            <c:extLst>
              <c:ext xmlns:c16="http://schemas.microsoft.com/office/drawing/2014/chart" uri="{C3380CC4-5D6E-409C-BE32-E72D297353CC}">
                <c16:uniqueId val="{00000007-0AED-40FB-8257-D946C02986B3}"/>
              </c:ext>
            </c:extLst>
          </c:dPt>
          <c:dPt>
            <c:idx val="4"/>
            <c:invertIfNegative val="0"/>
            <c:bubble3D val="0"/>
            <c:spPr>
              <a:solidFill>
                <a:srgbClr val="51B7A4"/>
              </a:solidFill>
              <a:ln w="19050">
                <a:noFill/>
              </a:ln>
              <a:effectLst/>
            </c:spPr>
            <c:extLst>
              <c:ext xmlns:c16="http://schemas.microsoft.com/office/drawing/2014/chart" uri="{C3380CC4-5D6E-409C-BE32-E72D297353CC}">
                <c16:uniqueId val="{00000009-0AED-40FB-8257-D946C02986B3}"/>
              </c:ext>
            </c:extLst>
          </c:dPt>
          <c:dPt>
            <c:idx val="5"/>
            <c:invertIfNegative val="0"/>
            <c:bubble3D val="0"/>
            <c:spPr>
              <a:solidFill>
                <a:srgbClr val="0A7568"/>
              </a:solidFill>
              <a:ln w="19050">
                <a:noFill/>
              </a:ln>
              <a:effectLst/>
            </c:spPr>
            <c:extLst>
              <c:ext xmlns:c16="http://schemas.microsoft.com/office/drawing/2014/chart" uri="{C3380CC4-5D6E-409C-BE32-E72D297353CC}">
                <c16:uniqueId val="{0000000B-0AED-40FB-8257-D946C02986B3}"/>
              </c:ext>
            </c:extLst>
          </c:dPt>
          <c:dPt>
            <c:idx val="6"/>
            <c:invertIfNegative val="0"/>
            <c:bubble3D val="0"/>
            <c:spPr>
              <a:solidFill>
                <a:srgbClr val="D1AAF7"/>
              </a:solidFill>
              <a:ln w="19050">
                <a:noFill/>
              </a:ln>
              <a:effectLst/>
            </c:spPr>
            <c:extLst>
              <c:ext xmlns:c16="http://schemas.microsoft.com/office/drawing/2014/chart" uri="{C3380CC4-5D6E-409C-BE32-E72D297353CC}">
                <c16:uniqueId val="{0000000D-0AED-40FB-8257-D946C02986B3}"/>
              </c:ext>
            </c:extLst>
          </c:dPt>
          <c:cat>
            <c:strRef>
              <c:f>'1.11'!$B$6:$B$12</c:f>
              <c:strCache>
                <c:ptCount val="7"/>
                <c:pt idx="0">
                  <c:v>Japan</c:v>
                </c:pt>
                <c:pt idx="1">
                  <c:v>China</c:v>
                </c:pt>
                <c:pt idx="2">
                  <c:v>FOB</c:v>
                </c:pt>
                <c:pt idx="3">
                  <c:v>ROK</c:v>
                </c:pt>
                <c:pt idx="4">
                  <c:v>Malaysia</c:v>
                </c:pt>
                <c:pt idx="5">
                  <c:v>Mexico</c:v>
                </c:pt>
                <c:pt idx="6">
                  <c:v>Taiwan</c:v>
                </c:pt>
              </c:strCache>
            </c:strRef>
          </c:cat>
          <c:val>
            <c:numRef>
              <c:f>'1.11'!$C$6:$C$12</c:f>
              <c:numCache>
                <c:formatCode>0</c:formatCode>
                <c:ptCount val="7"/>
                <c:pt idx="0">
                  <c:v>2032</c:v>
                </c:pt>
                <c:pt idx="1">
                  <c:v>2030</c:v>
                </c:pt>
                <c:pt idx="2">
                  <c:v>2035</c:v>
                </c:pt>
                <c:pt idx="3">
                  <c:v>2036</c:v>
                </c:pt>
                <c:pt idx="4">
                  <c:v>2034</c:v>
                </c:pt>
                <c:pt idx="5">
                  <c:v>2035.5</c:v>
                </c:pt>
                <c:pt idx="6">
                  <c:v>2031.3225806451612</c:v>
                </c:pt>
              </c:numCache>
            </c:numRef>
          </c:val>
          <c:extLst>
            <c:ext xmlns:c16="http://schemas.microsoft.com/office/drawing/2014/chart" uri="{C3380CC4-5D6E-409C-BE32-E72D297353CC}">
              <c16:uniqueId val="{0000000E-0AED-40FB-8257-D946C02986B3}"/>
            </c:ext>
          </c:extLst>
        </c:ser>
        <c:dLbls>
          <c:showLegendKey val="0"/>
          <c:showVal val="0"/>
          <c:showCatName val="0"/>
          <c:showSerName val="0"/>
          <c:showPercent val="0"/>
          <c:showBubbleSize val="0"/>
        </c:dLbls>
        <c:gapWidth val="100"/>
        <c:axId val="783752095"/>
        <c:axId val="1146857087"/>
      </c:barChart>
      <c:valAx>
        <c:axId val="114685708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high"/>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b" anchorCtr="0"/>
          <a:lstStyle/>
          <a:p>
            <a:pPr>
              <a:defRPr sz="900" b="0" i="0" u="none" strike="noStrike" kern="1200" baseline="0">
                <a:solidFill>
                  <a:srgbClr val="595A5B"/>
                </a:solidFill>
                <a:latin typeface="Arial"/>
                <a:ea typeface="Arial"/>
                <a:cs typeface="Arial"/>
              </a:defRPr>
            </a:pPr>
            <a:endParaRPr lang="en-US"/>
          </a:p>
        </c:txPr>
        <c:crossAx val="783752095"/>
        <c:crosses val="autoZero"/>
        <c:crossBetween val="between"/>
      </c:valAx>
      <c:catAx>
        <c:axId val="783752095"/>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46857087"/>
        <c:crosses val="autoZero"/>
        <c:auto val="1"/>
        <c:lblAlgn val="ctr"/>
        <c:lblOffset val="100"/>
        <c:noMultiLvlLbl val="0"/>
      </c:cat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'1.12'!$C$5</c:f>
              <c:strCache>
                <c:ptCount val="1"/>
                <c:pt idx="0">
                  <c:v>Japan Korea Marker</c:v>
                </c:pt>
              </c:strCache>
            </c:strRef>
          </c:tx>
          <c:spPr>
            <a:ln w="28575" cap="rnd">
              <a:solidFill>
                <a:srgbClr val="005CAF"/>
              </a:solidFill>
              <a:prstDash val="solid"/>
              <a:round/>
            </a:ln>
            <a:effectLst/>
          </c:spPr>
          <c:marker>
            <c:symbol val="none"/>
          </c:marker>
          <c:cat>
            <c:strRef>
              <c:f>'1.12'!$B$6:$B$29</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 YTD</c:v>
                </c:pt>
              </c:strCache>
            </c:strRef>
          </c:cat>
          <c:val>
            <c:numRef>
              <c:f>'1.12'!$C$6:$C$29</c:f>
              <c:numCache>
                <c:formatCode>General</c:formatCode>
                <c:ptCount val="24"/>
                <c:pt idx="9" formatCode="0">
                  <c:v>5.3</c:v>
                </c:pt>
                <c:pt idx="10" formatCode="0">
                  <c:v>7.7</c:v>
                </c:pt>
                <c:pt idx="11" formatCode="0">
                  <c:v>14</c:v>
                </c:pt>
                <c:pt idx="12" formatCode="0">
                  <c:v>15.1</c:v>
                </c:pt>
                <c:pt idx="13" formatCode="0">
                  <c:v>16.600000000000001</c:v>
                </c:pt>
                <c:pt idx="14" formatCode="0">
                  <c:v>13.9</c:v>
                </c:pt>
                <c:pt idx="15" formatCode="0">
                  <c:v>7.4</c:v>
                </c:pt>
                <c:pt idx="16" formatCode="0">
                  <c:v>5.7</c:v>
                </c:pt>
                <c:pt idx="17" formatCode="0">
                  <c:v>7.1</c:v>
                </c:pt>
                <c:pt idx="18" formatCode="0">
                  <c:v>9.8000000000000007</c:v>
                </c:pt>
                <c:pt idx="19" formatCode="0">
                  <c:v>5.5</c:v>
                </c:pt>
                <c:pt idx="20" formatCode="0">
                  <c:v>4.4000000000000004</c:v>
                </c:pt>
                <c:pt idx="21" formatCode="0">
                  <c:v>18.600000000000001</c:v>
                </c:pt>
                <c:pt idx="22" formatCode="0">
                  <c:v>34</c:v>
                </c:pt>
                <c:pt idx="23" formatCode="0">
                  <c:v>13.3</c:v>
                </c:pt>
              </c:numCache>
            </c:numRef>
          </c:val>
          <c:smooth val="1"/>
          <c:extLst>
            <c:ext xmlns:c16="http://schemas.microsoft.com/office/drawing/2014/chart" uri="{C3380CC4-5D6E-409C-BE32-E72D297353CC}">
              <c16:uniqueId val="{00000000-D226-4247-9F22-2733E3EDC8D0}"/>
            </c:ext>
          </c:extLst>
        </c:ser>
        <c:ser>
          <c:idx val="1"/>
          <c:order val="1"/>
          <c:tx>
            <c:strRef>
              <c:f>'1.12'!$D$5</c:f>
              <c:strCache>
                <c:ptCount val="1"/>
                <c:pt idx="0">
                  <c:v>UK NBP</c:v>
                </c:pt>
              </c:strCache>
            </c:strRef>
          </c:tx>
          <c:spPr>
            <a:ln w="28575" cap="rnd">
              <a:solidFill>
                <a:srgbClr val="56B4DF"/>
              </a:solidFill>
              <a:prstDash val="solid"/>
              <a:round/>
            </a:ln>
            <a:effectLst/>
          </c:spPr>
          <c:marker>
            <c:symbol val="none"/>
          </c:marker>
          <c:cat>
            <c:strRef>
              <c:f>'1.12'!$B$6:$B$29</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 YTD</c:v>
                </c:pt>
              </c:strCache>
            </c:strRef>
          </c:cat>
          <c:val>
            <c:numRef>
              <c:f>'1.12'!$D$6:$D$29</c:f>
              <c:numCache>
                <c:formatCode>0</c:formatCode>
                <c:ptCount val="24"/>
                <c:pt idx="0">
                  <c:v>2.7</c:v>
                </c:pt>
                <c:pt idx="1">
                  <c:v>3.2</c:v>
                </c:pt>
                <c:pt idx="2">
                  <c:v>2.4</c:v>
                </c:pt>
                <c:pt idx="3">
                  <c:v>3.3</c:v>
                </c:pt>
                <c:pt idx="4">
                  <c:v>4.5</c:v>
                </c:pt>
                <c:pt idx="5">
                  <c:v>7.4</c:v>
                </c:pt>
                <c:pt idx="6">
                  <c:v>7.9</c:v>
                </c:pt>
                <c:pt idx="7">
                  <c:v>6</c:v>
                </c:pt>
                <c:pt idx="8">
                  <c:v>10.8</c:v>
                </c:pt>
                <c:pt idx="9">
                  <c:v>4.9000000000000004</c:v>
                </c:pt>
                <c:pt idx="10">
                  <c:v>6.6</c:v>
                </c:pt>
                <c:pt idx="11">
                  <c:v>9</c:v>
                </c:pt>
                <c:pt idx="12">
                  <c:v>9.5</c:v>
                </c:pt>
                <c:pt idx="13">
                  <c:v>10.6</c:v>
                </c:pt>
                <c:pt idx="14">
                  <c:v>8.3000000000000007</c:v>
                </c:pt>
                <c:pt idx="15">
                  <c:v>6.5</c:v>
                </c:pt>
                <c:pt idx="16">
                  <c:v>4.7</c:v>
                </c:pt>
                <c:pt idx="17">
                  <c:v>5.8</c:v>
                </c:pt>
                <c:pt idx="18">
                  <c:v>8.1</c:v>
                </c:pt>
                <c:pt idx="19">
                  <c:v>4.5</c:v>
                </c:pt>
                <c:pt idx="20">
                  <c:v>3.4</c:v>
                </c:pt>
                <c:pt idx="21">
                  <c:v>15.8</c:v>
                </c:pt>
                <c:pt idx="22">
                  <c:v>25.1</c:v>
                </c:pt>
                <c:pt idx="23">
                  <c:v>13.4</c:v>
                </c:pt>
              </c:numCache>
            </c:numRef>
          </c:val>
          <c:smooth val="1"/>
          <c:extLst>
            <c:ext xmlns:c16="http://schemas.microsoft.com/office/drawing/2014/chart" uri="{C3380CC4-5D6E-409C-BE32-E72D297353CC}">
              <c16:uniqueId val="{00000001-D226-4247-9F22-2733E3EDC8D0}"/>
            </c:ext>
          </c:extLst>
        </c:ser>
        <c:ser>
          <c:idx val="2"/>
          <c:order val="2"/>
          <c:tx>
            <c:strRef>
              <c:f>'1.12'!$E$5</c:f>
              <c:strCache>
                <c:ptCount val="1"/>
                <c:pt idx="0">
                  <c:v>US Henry Hub</c:v>
                </c:pt>
              </c:strCache>
            </c:strRef>
          </c:tx>
          <c:spPr>
            <a:ln w="28575" cap="rnd">
              <a:solidFill>
                <a:srgbClr val="9ED9DF"/>
              </a:solidFill>
              <a:prstDash val="solid"/>
              <a:round/>
            </a:ln>
            <a:effectLst/>
          </c:spPr>
          <c:marker>
            <c:symbol val="none"/>
          </c:marker>
          <c:cat>
            <c:strRef>
              <c:f>'1.12'!$B$6:$B$29</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 YTD</c:v>
                </c:pt>
              </c:strCache>
            </c:strRef>
          </c:cat>
          <c:val>
            <c:numRef>
              <c:f>'1.12'!$E$6:$E$29</c:f>
              <c:numCache>
                <c:formatCode>0</c:formatCode>
                <c:ptCount val="24"/>
                <c:pt idx="0">
                  <c:v>4.2</c:v>
                </c:pt>
                <c:pt idx="1">
                  <c:v>4.0999999999999996</c:v>
                </c:pt>
                <c:pt idx="2">
                  <c:v>3.3</c:v>
                </c:pt>
                <c:pt idx="3">
                  <c:v>5.6</c:v>
                </c:pt>
                <c:pt idx="4">
                  <c:v>5.8</c:v>
                </c:pt>
                <c:pt idx="5">
                  <c:v>8.8000000000000007</c:v>
                </c:pt>
                <c:pt idx="6">
                  <c:v>6.8</c:v>
                </c:pt>
                <c:pt idx="7">
                  <c:v>7</c:v>
                </c:pt>
                <c:pt idx="8">
                  <c:v>8.8000000000000007</c:v>
                </c:pt>
                <c:pt idx="9">
                  <c:v>3.9</c:v>
                </c:pt>
                <c:pt idx="10">
                  <c:v>4.4000000000000004</c:v>
                </c:pt>
                <c:pt idx="11">
                  <c:v>4</c:v>
                </c:pt>
                <c:pt idx="12">
                  <c:v>2.8</c:v>
                </c:pt>
                <c:pt idx="13">
                  <c:v>3.7</c:v>
                </c:pt>
                <c:pt idx="14">
                  <c:v>4.3</c:v>
                </c:pt>
                <c:pt idx="15">
                  <c:v>2.6</c:v>
                </c:pt>
                <c:pt idx="16">
                  <c:v>2.5</c:v>
                </c:pt>
                <c:pt idx="17">
                  <c:v>3</c:v>
                </c:pt>
                <c:pt idx="18">
                  <c:v>3.1</c:v>
                </c:pt>
                <c:pt idx="19">
                  <c:v>2.5</c:v>
                </c:pt>
                <c:pt idx="20">
                  <c:v>2</c:v>
                </c:pt>
                <c:pt idx="21">
                  <c:v>3.8</c:v>
                </c:pt>
                <c:pt idx="22">
                  <c:v>6.4</c:v>
                </c:pt>
                <c:pt idx="23">
                  <c:v>2.4</c:v>
                </c:pt>
              </c:numCache>
            </c:numRef>
          </c:val>
          <c:smooth val="1"/>
          <c:extLst>
            <c:ext xmlns:c16="http://schemas.microsoft.com/office/drawing/2014/chart" uri="{C3380CC4-5D6E-409C-BE32-E72D297353CC}">
              <c16:uniqueId val="{00000002-D226-4247-9F22-2733E3EDC8D0}"/>
            </c:ext>
          </c:extLst>
        </c:ser>
        <c:ser>
          <c:idx val="3"/>
          <c:order val="3"/>
          <c:tx>
            <c:strRef>
              <c:f>'1.12'!$F$5</c:f>
              <c:strCache>
                <c:ptCount val="1"/>
                <c:pt idx="0">
                  <c:v>Dutch TTF</c:v>
                </c:pt>
              </c:strCache>
            </c:strRef>
          </c:tx>
          <c:spPr>
            <a:ln w="28575" cap="rnd">
              <a:solidFill>
                <a:srgbClr val="BCBFC1"/>
              </a:solidFill>
              <a:prstDash val="solid"/>
              <a:round/>
            </a:ln>
            <a:effectLst/>
          </c:spPr>
          <c:marker>
            <c:symbol val="none"/>
          </c:marker>
          <c:cat>
            <c:strRef>
              <c:f>'1.12'!$B$6:$B$29</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 YTD</c:v>
                </c:pt>
              </c:strCache>
            </c:strRef>
          </c:cat>
          <c:val>
            <c:numRef>
              <c:f>'1.12'!$F$6:$F$29</c:f>
              <c:numCache>
                <c:formatCode>General</c:formatCode>
                <c:ptCount val="24"/>
                <c:pt idx="5" formatCode="0">
                  <c:v>6.1</c:v>
                </c:pt>
                <c:pt idx="6" formatCode="0">
                  <c:v>7.5</c:v>
                </c:pt>
                <c:pt idx="7" formatCode="0">
                  <c:v>5.9</c:v>
                </c:pt>
                <c:pt idx="8" formatCode="0">
                  <c:v>10.7</c:v>
                </c:pt>
                <c:pt idx="9" formatCode="0">
                  <c:v>5</c:v>
                </c:pt>
                <c:pt idx="10" formatCode="0">
                  <c:v>6.8</c:v>
                </c:pt>
                <c:pt idx="11" formatCode="0">
                  <c:v>9.3000000000000007</c:v>
                </c:pt>
                <c:pt idx="12" formatCode="0">
                  <c:v>9.4</c:v>
                </c:pt>
                <c:pt idx="13" formatCode="0">
                  <c:v>9.8000000000000007</c:v>
                </c:pt>
                <c:pt idx="14" formatCode="0">
                  <c:v>8.1</c:v>
                </c:pt>
                <c:pt idx="15" formatCode="0">
                  <c:v>6.4</c:v>
                </c:pt>
                <c:pt idx="16" formatCode="0">
                  <c:v>4.5</c:v>
                </c:pt>
                <c:pt idx="17" formatCode="0">
                  <c:v>5.7</c:v>
                </c:pt>
                <c:pt idx="18" formatCode="0">
                  <c:v>7.9</c:v>
                </c:pt>
                <c:pt idx="19" formatCode="0">
                  <c:v>4.4000000000000004</c:v>
                </c:pt>
                <c:pt idx="20" formatCode="0">
                  <c:v>3.1</c:v>
                </c:pt>
                <c:pt idx="21" formatCode="0">
                  <c:v>16</c:v>
                </c:pt>
                <c:pt idx="22" formatCode="0">
                  <c:v>37.5</c:v>
                </c:pt>
                <c:pt idx="23" formatCode="0">
                  <c:v>13.4</c:v>
                </c:pt>
              </c:numCache>
            </c:numRef>
          </c:val>
          <c:smooth val="1"/>
          <c:extLst>
            <c:ext xmlns:c16="http://schemas.microsoft.com/office/drawing/2014/chart" uri="{C3380CC4-5D6E-409C-BE32-E72D297353CC}">
              <c16:uniqueId val="{00000003-D226-4247-9F22-2733E3EDC8D0}"/>
            </c:ext>
          </c:extLst>
        </c:ser>
        <c:ser>
          <c:idx val="4"/>
          <c:order val="4"/>
          <c:tx>
            <c:strRef>
              <c:f>'1.12'!$G$5</c:f>
              <c:strCache>
                <c:ptCount val="1"/>
                <c:pt idx="0">
                  <c:v>Australian benchmark</c:v>
                </c:pt>
              </c:strCache>
            </c:strRef>
          </c:tx>
          <c:spPr>
            <a:ln w="28575" cap="rnd">
              <a:solidFill>
                <a:srgbClr val="F36A5A"/>
              </a:solidFill>
              <a:prstDash val="sysDash"/>
              <a:round/>
            </a:ln>
            <a:effectLst/>
          </c:spPr>
          <c:marker>
            <c:symbol val="none"/>
          </c:marker>
          <c:cat>
            <c:strRef>
              <c:f>'1.12'!$B$6:$B$29</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 YTD</c:v>
                </c:pt>
              </c:strCache>
            </c:strRef>
          </c:cat>
          <c:val>
            <c:numRef>
              <c:f>'1.12'!$G$6:$G$29</c:f>
              <c:numCache>
                <c:formatCode>General</c:formatCode>
                <c:ptCount val="24"/>
                <c:pt idx="14" formatCode="0">
                  <c:v>1.8</c:v>
                </c:pt>
                <c:pt idx="15" formatCode="0">
                  <c:v>2.2999999999999998</c:v>
                </c:pt>
                <c:pt idx="16" formatCode="0">
                  <c:v>4.3</c:v>
                </c:pt>
                <c:pt idx="17" formatCode="0">
                  <c:v>6.1</c:v>
                </c:pt>
                <c:pt idx="18" formatCode="0">
                  <c:v>6.3</c:v>
                </c:pt>
                <c:pt idx="19" formatCode="0">
                  <c:v>5.4</c:v>
                </c:pt>
                <c:pt idx="20" formatCode="0">
                  <c:v>3.2</c:v>
                </c:pt>
                <c:pt idx="21" formatCode="0">
                  <c:v>6.3</c:v>
                </c:pt>
                <c:pt idx="22" formatCode="0">
                  <c:v>13.1</c:v>
                </c:pt>
                <c:pt idx="23" formatCode="0">
                  <c:v>7.6</c:v>
                </c:pt>
              </c:numCache>
            </c:numRef>
          </c:val>
          <c:smooth val="1"/>
          <c:extLst>
            <c:ext xmlns:c16="http://schemas.microsoft.com/office/drawing/2014/chart" uri="{C3380CC4-5D6E-409C-BE32-E72D297353CC}">
              <c16:uniqueId val="{00000004-D226-4247-9F22-2733E3EDC8D0}"/>
            </c:ext>
          </c:extLst>
        </c:ser>
        <c:dLbls>
          <c:showLegendKey val="0"/>
          <c:showVal val="0"/>
          <c:showCatName val="0"/>
          <c:showSerName val="0"/>
          <c:showPercent val="0"/>
          <c:showBubbleSize val="0"/>
        </c:dLbls>
        <c:smooth val="0"/>
        <c:axId val="1196545167"/>
        <c:axId val="1146908447"/>
      </c:lineChart>
      <c:catAx>
        <c:axId val="1196545167"/>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46908447"/>
        <c:crosses val="autoZero"/>
        <c:auto val="1"/>
        <c:lblAlgn val="ctr"/>
        <c:lblOffset val="100"/>
        <c:tickLblSkip val="5"/>
        <c:noMultiLvlLbl val="0"/>
      </c:catAx>
      <c:valAx>
        <c:axId val="1146908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US$/MMBtu</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965451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'1.13'!$C$5</c:f>
              <c:strCache>
                <c:ptCount val="1"/>
                <c:pt idx="0">
                  <c:v>STEPS</c:v>
                </c:pt>
              </c:strCache>
            </c:strRef>
          </c:tx>
          <c:spPr>
            <a:ln w="28575" cap="rnd">
              <a:solidFill>
                <a:srgbClr val="005CAF"/>
              </a:solidFill>
              <a:prstDash val="solid"/>
              <a:round/>
            </a:ln>
            <a:effectLst/>
          </c:spPr>
          <c:marker>
            <c:symbol val="none"/>
          </c:marker>
          <c:cat>
            <c:numRef>
              <c:f>'1.13'!$B$6:$B$20</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2050</c:v>
                </c:pt>
              </c:numCache>
            </c:numRef>
          </c:cat>
          <c:val>
            <c:numRef>
              <c:f>'1.13'!$C$6:$C$20</c:f>
              <c:numCache>
                <c:formatCode>General</c:formatCode>
                <c:ptCount val="15"/>
                <c:pt idx="12" formatCode="0">
                  <c:v>15.9</c:v>
                </c:pt>
                <c:pt idx="13" formatCode="0">
                  <c:v>9.4</c:v>
                </c:pt>
                <c:pt idx="14" formatCode="0">
                  <c:v>7.8</c:v>
                </c:pt>
              </c:numCache>
            </c:numRef>
          </c:val>
          <c:smooth val="0"/>
          <c:extLst>
            <c:ext xmlns:c16="http://schemas.microsoft.com/office/drawing/2014/chart" uri="{C3380CC4-5D6E-409C-BE32-E72D297353CC}">
              <c16:uniqueId val="{00000000-86C4-4F32-B341-6EAB57A54991}"/>
            </c:ext>
          </c:extLst>
        </c:ser>
        <c:ser>
          <c:idx val="1"/>
          <c:order val="1"/>
          <c:tx>
            <c:strRef>
              <c:f>'1.13'!$D$5</c:f>
              <c:strCache>
                <c:ptCount val="1"/>
                <c:pt idx="0">
                  <c:v>APS</c:v>
                </c:pt>
              </c:strCache>
            </c:strRef>
          </c:tx>
          <c:spPr>
            <a:ln w="28575" cap="rnd">
              <a:solidFill>
                <a:srgbClr val="56B4DF"/>
              </a:solidFill>
              <a:prstDash val="solid"/>
              <a:round/>
            </a:ln>
            <a:effectLst/>
          </c:spPr>
          <c:marker>
            <c:symbol val="none"/>
          </c:marker>
          <c:cat>
            <c:numRef>
              <c:f>'1.13'!$B$6:$B$20</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2050</c:v>
                </c:pt>
              </c:numCache>
            </c:numRef>
          </c:cat>
          <c:val>
            <c:numRef>
              <c:f>'1.13'!$D$6:$D$20</c:f>
              <c:numCache>
                <c:formatCode>General</c:formatCode>
                <c:ptCount val="15"/>
                <c:pt idx="12" formatCode="0">
                  <c:v>15.9</c:v>
                </c:pt>
                <c:pt idx="13" formatCode="0">
                  <c:v>8.3000000000000007</c:v>
                </c:pt>
                <c:pt idx="14" formatCode="0">
                  <c:v>6.3</c:v>
                </c:pt>
              </c:numCache>
            </c:numRef>
          </c:val>
          <c:smooth val="0"/>
          <c:extLst>
            <c:ext xmlns:c16="http://schemas.microsoft.com/office/drawing/2014/chart" uri="{C3380CC4-5D6E-409C-BE32-E72D297353CC}">
              <c16:uniqueId val="{00000001-86C4-4F32-B341-6EAB57A54991}"/>
            </c:ext>
          </c:extLst>
        </c:ser>
        <c:ser>
          <c:idx val="2"/>
          <c:order val="2"/>
          <c:tx>
            <c:strRef>
              <c:f>'1.13'!$E$5</c:f>
              <c:strCache>
                <c:ptCount val="1"/>
                <c:pt idx="0">
                  <c:v>NZE</c:v>
                </c:pt>
              </c:strCache>
            </c:strRef>
          </c:tx>
          <c:spPr>
            <a:ln w="28575" cap="rnd">
              <a:solidFill>
                <a:srgbClr val="9ED9DF"/>
              </a:solidFill>
              <a:prstDash val="solid"/>
              <a:round/>
            </a:ln>
            <a:effectLst/>
          </c:spPr>
          <c:marker>
            <c:symbol val="none"/>
          </c:marker>
          <c:cat>
            <c:numRef>
              <c:f>'1.13'!$B$6:$B$20</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2050</c:v>
                </c:pt>
              </c:numCache>
            </c:numRef>
          </c:cat>
          <c:val>
            <c:numRef>
              <c:f>'1.13'!$E$6:$E$20</c:f>
              <c:numCache>
                <c:formatCode>General</c:formatCode>
                <c:ptCount val="15"/>
                <c:pt idx="12" formatCode="0">
                  <c:v>15.9</c:v>
                </c:pt>
                <c:pt idx="13" formatCode="0">
                  <c:v>5.5</c:v>
                </c:pt>
                <c:pt idx="14" formatCode="0">
                  <c:v>5.3</c:v>
                </c:pt>
              </c:numCache>
            </c:numRef>
          </c:val>
          <c:smooth val="0"/>
          <c:extLst>
            <c:ext xmlns:c16="http://schemas.microsoft.com/office/drawing/2014/chart" uri="{C3380CC4-5D6E-409C-BE32-E72D297353CC}">
              <c16:uniqueId val="{00000002-86C4-4F32-B341-6EAB57A54991}"/>
            </c:ext>
          </c:extLst>
        </c:ser>
        <c:ser>
          <c:idx val="3"/>
          <c:order val="3"/>
          <c:tx>
            <c:strRef>
              <c:f>'1.13'!$F$5</c:f>
              <c:strCache>
                <c:ptCount val="1"/>
                <c:pt idx="0">
                  <c:v>Historical</c:v>
                </c:pt>
              </c:strCache>
            </c:strRef>
          </c:tx>
          <c:spPr>
            <a:ln w="28575" cap="rnd">
              <a:solidFill>
                <a:srgbClr val="BCBFC1"/>
              </a:solidFill>
              <a:prstDash val="solid"/>
              <a:round/>
            </a:ln>
            <a:effectLst/>
          </c:spPr>
          <c:marker>
            <c:symbol val="none"/>
          </c:marker>
          <c:cat>
            <c:numRef>
              <c:f>'1.13'!$B$6:$B$20</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2050</c:v>
                </c:pt>
              </c:numCache>
            </c:numRef>
          </c:cat>
          <c:val>
            <c:numRef>
              <c:f>'1.13'!$F$6:$F$20</c:f>
              <c:numCache>
                <c:formatCode>0</c:formatCode>
                <c:ptCount val="15"/>
                <c:pt idx="0">
                  <c:v>11.7</c:v>
                </c:pt>
                <c:pt idx="1">
                  <c:v>14</c:v>
                </c:pt>
                <c:pt idx="2">
                  <c:v>15.1</c:v>
                </c:pt>
                <c:pt idx="3">
                  <c:v>16.600000000000001</c:v>
                </c:pt>
                <c:pt idx="4">
                  <c:v>13.9</c:v>
                </c:pt>
                <c:pt idx="5">
                  <c:v>7.4</c:v>
                </c:pt>
                <c:pt idx="6">
                  <c:v>5.7</c:v>
                </c:pt>
                <c:pt idx="7">
                  <c:v>7.1</c:v>
                </c:pt>
                <c:pt idx="8">
                  <c:v>9.8000000000000007</c:v>
                </c:pt>
                <c:pt idx="9">
                  <c:v>5.5</c:v>
                </c:pt>
                <c:pt idx="10">
                  <c:v>4.4000000000000004</c:v>
                </c:pt>
                <c:pt idx="11">
                  <c:v>14.6</c:v>
                </c:pt>
                <c:pt idx="12">
                  <c:v>15.9</c:v>
                </c:pt>
              </c:numCache>
            </c:numRef>
          </c:val>
          <c:smooth val="1"/>
          <c:extLst>
            <c:ext xmlns:c16="http://schemas.microsoft.com/office/drawing/2014/chart" uri="{C3380CC4-5D6E-409C-BE32-E72D297353CC}">
              <c16:uniqueId val="{00000003-86C4-4F32-B341-6EAB57A54991}"/>
            </c:ext>
          </c:extLst>
        </c:ser>
        <c:dLbls>
          <c:showLegendKey val="0"/>
          <c:showVal val="0"/>
          <c:showCatName val="0"/>
          <c:showSerName val="0"/>
          <c:showPercent val="0"/>
          <c:showBubbleSize val="0"/>
        </c:dLbls>
        <c:smooth val="0"/>
        <c:axId val="414097183"/>
        <c:axId val="1146858527"/>
      </c:lineChart>
      <c:dateAx>
        <c:axId val="414097183"/>
        <c:scaling>
          <c:orientation val="minMax"/>
        </c:scaling>
        <c:delete val="0"/>
        <c:axPos val="b"/>
        <c:numFmt formatCode="General"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46858527"/>
        <c:crosses val="autoZero"/>
        <c:auto val="0"/>
        <c:lblOffset val="100"/>
        <c:baseTimeUnit val="days"/>
        <c:majorUnit val="5"/>
        <c:majorTimeUnit val="days"/>
      </c:dateAx>
      <c:valAx>
        <c:axId val="1146858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US$/MMBtu</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41409718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9393237610004"/>
          <c:y val="7.556675062972292E-3"/>
          <c:w val="0.72777095877721165"/>
          <c:h val="0.8154293024455066"/>
        </c:manualLayout>
      </c:layout>
      <c:barChart>
        <c:barDir val="bar"/>
        <c:grouping val="percentStacked"/>
        <c:varyColors val="0"/>
        <c:ser>
          <c:idx val="0"/>
          <c:order val="0"/>
          <c:tx>
            <c:strRef>
              <c:f>'1.14'!$C$5</c:f>
              <c:strCache>
                <c:ptCount val="1"/>
                <c:pt idx="0">
                  <c:v>Oil</c:v>
                </c:pt>
              </c:strCache>
            </c:strRef>
          </c:tx>
          <c:spPr>
            <a:solidFill>
              <a:srgbClr val="005CA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685-4AB3-86AC-9B983539CFEE}"/>
                </c:ext>
              </c:extLst>
            </c:dLbl>
            <c:dLbl>
              <c:idx val="1"/>
              <c:delete val="1"/>
              <c:extLst>
                <c:ext xmlns:c15="http://schemas.microsoft.com/office/drawing/2012/chart" uri="{CE6537A1-D6FC-4f65-9D91-7224C49458BB}"/>
                <c:ext xmlns:c16="http://schemas.microsoft.com/office/drawing/2014/chart" uri="{C3380CC4-5D6E-409C-BE32-E72D297353CC}">
                  <c16:uniqueId val="{00000001-A685-4AB3-86AC-9B983539CFEE}"/>
                </c:ext>
              </c:extLst>
            </c:dLbl>
            <c:dLbl>
              <c:idx val="2"/>
              <c:delete val="1"/>
              <c:extLst>
                <c:ext xmlns:c15="http://schemas.microsoft.com/office/drawing/2012/chart" uri="{CE6537A1-D6FC-4f65-9D91-7224C49458BB}"/>
                <c:ext xmlns:c16="http://schemas.microsoft.com/office/drawing/2014/chart" uri="{C3380CC4-5D6E-409C-BE32-E72D297353CC}">
                  <c16:uniqueId val="{00000002-A685-4AB3-86AC-9B983539CFEE}"/>
                </c:ext>
              </c:extLst>
            </c:dLbl>
            <c:dLbl>
              <c:idx val="3"/>
              <c:delete val="1"/>
              <c:extLst>
                <c:ext xmlns:c15="http://schemas.microsoft.com/office/drawing/2012/chart" uri="{CE6537A1-D6FC-4f65-9D91-7224C49458BB}"/>
                <c:ext xmlns:c16="http://schemas.microsoft.com/office/drawing/2014/chart" uri="{C3380CC4-5D6E-409C-BE32-E72D297353CC}">
                  <c16:uniqueId val="{00000003-A685-4AB3-86AC-9B983539CFEE}"/>
                </c:ext>
              </c:extLst>
            </c:dLbl>
            <c:dLbl>
              <c:idx val="5"/>
              <c:delete val="1"/>
              <c:extLst>
                <c:ext xmlns:c15="http://schemas.microsoft.com/office/drawing/2012/chart" uri="{CE6537A1-D6FC-4f65-9D91-7224C49458BB}"/>
                <c:ext xmlns:c16="http://schemas.microsoft.com/office/drawing/2014/chart" uri="{C3380CC4-5D6E-409C-BE32-E72D297353CC}">
                  <c16:uniqueId val="{00000004-A685-4AB3-86AC-9B983539CFEE}"/>
                </c:ext>
              </c:extLst>
            </c:dLbl>
            <c:dLbl>
              <c:idx val="7"/>
              <c:delete val="1"/>
              <c:extLst>
                <c:ext xmlns:c15="http://schemas.microsoft.com/office/drawing/2012/chart" uri="{CE6537A1-D6FC-4f65-9D91-7224C49458BB}"/>
                <c:ext xmlns:c16="http://schemas.microsoft.com/office/drawing/2014/chart" uri="{C3380CC4-5D6E-409C-BE32-E72D297353CC}">
                  <c16:uniqueId val="{00000005-A685-4AB3-86AC-9B983539CFEE}"/>
                </c:ext>
              </c:extLst>
            </c:dLbl>
            <c:dLbl>
              <c:idx val="8"/>
              <c:delete val="1"/>
              <c:extLst>
                <c:ext xmlns:c15="http://schemas.microsoft.com/office/drawing/2012/chart" uri="{CE6537A1-D6FC-4f65-9D91-7224C49458BB}"/>
                <c:ext xmlns:c16="http://schemas.microsoft.com/office/drawing/2014/chart" uri="{C3380CC4-5D6E-409C-BE32-E72D297353CC}">
                  <c16:uniqueId val="{00000006-A685-4AB3-86AC-9B983539CFEE}"/>
                </c:ext>
              </c:extLst>
            </c:dLbl>
            <c:dLbl>
              <c:idx val="9"/>
              <c:delete val="1"/>
              <c:extLst>
                <c:ext xmlns:c15="http://schemas.microsoft.com/office/drawing/2012/chart" uri="{CE6537A1-D6FC-4f65-9D91-7224C49458BB}"/>
                <c:ext xmlns:c16="http://schemas.microsoft.com/office/drawing/2014/chart" uri="{C3380CC4-5D6E-409C-BE32-E72D297353CC}">
                  <c16:uniqueId val="{00000007-A685-4AB3-86AC-9B983539CFEE}"/>
                </c:ext>
              </c:extLst>
            </c:dLbl>
            <c:dLbl>
              <c:idx val="10"/>
              <c:delete val="1"/>
              <c:extLst>
                <c:ext xmlns:c15="http://schemas.microsoft.com/office/drawing/2012/chart" uri="{CE6537A1-D6FC-4f65-9D91-7224C49458BB}"/>
                <c:ext xmlns:c16="http://schemas.microsoft.com/office/drawing/2014/chart" uri="{C3380CC4-5D6E-409C-BE32-E72D297353CC}">
                  <c16:uniqueId val="{00000008-A685-4AB3-86AC-9B983539CFEE}"/>
                </c:ext>
              </c:extLst>
            </c:dLbl>
            <c:dLbl>
              <c:idx val="12"/>
              <c:delete val="1"/>
              <c:extLst>
                <c:ext xmlns:c15="http://schemas.microsoft.com/office/drawing/2012/chart" uri="{CE6537A1-D6FC-4f65-9D91-7224C49458BB}"/>
                <c:ext xmlns:c16="http://schemas.microsoft.com/office/drawing/2014/chart" uri="{C3380CC4-5D6E-409C-BE32-E72D297353CC}">
                  <c16:uniqueId val="{00000009-A685-4AB3-86AC-9B983539CFE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'1.14'!$B$6:$B$18</c:f>
              <c:strCache>
                <c:ptCount val="13"/>
                <c:pt idx="0">
                  <c:v>Taiwan</c:v>
                </c:pt>
                <c:pt idx="1">
                  <c:v>India</c:v>
                </c:pt>
                <c:pt idx="2">
                  <c:v>China</c:v>
                </c:pt>
                <c:pt idx="3">
                  <c:v>Non-OECD</c:v>
                </c:pt>
                <c:pt idx="5">
                  <c:v>ROK</c:v>
                </c:pt>
                <c:pt idx="6">
                  <c:v>Japan</c:v>
                </c:pt>
                <c:pt idx="7">
                  <c:v>North America</c:v>
                </c:pt>
                <c:pt idx="8">
                  <c:v>Europe</c:v>
                </c:pt>
                <c:pt idx="9">
                  <c:v>Australia</c:v>
                </c:pt>
                <c:pt idx="10">
                  <c:v>OECD</c:v>
                </c:pt>
                <c:pt idx="12">
                  <c:v>World</c:v>
                </c:pt>
              </c:strCache>
            </c:strRef>
          </c:cat>
          <c:val>
            <c:numRef>
              <c:f>'1.14'!$C$6:$C$18</c:f>
              <c:numCache>
                <c:formatCode>#,##0</c:formatCode>
                <c:ptCount val="13"/>
                <c:pt idx="0">
                  <c:v>4</c:v>
                </c:pt>
                <c:pt idx="1">
                  <c:v>3</c:v>
                </c:pt>
                <c:pt idx="2">
                  <c:v>12</c:v>
                </c:pt>
                <c:pt idx="3">
                  <c:v>566</c:v>
                </c:pt>
                <c:pt idx="5">
                  <c:v>7</c:v>
                </c:pt>
                <c:pt idx="6">
                  <c:v>41</c:v>
                </c:pt>
                <c:pt idx="7">
                  <c:v>62</c:v>
                </c:pt>
                <c:pt idx="8">
                  <c:v>53</c:v>
                </c:pt>
                <c:pt idx="9">
                  <c:v>5</c:v>
                </c:pt>
                <c:pt idx="10">
                  <c:v>163</c:v>
                </c:pt>
                <c:pt idx="12">
                  <c:v>729</c:v>
                </c:pt>
              </c:numCache>
            </c:numRef>
          </c:val>
          <c:extLst>
            <c:ext xmlns:c16="http://schemas.microsoft.com/office/drawing/2014/chart" uri="{C3380CC4-5D6E-409C-BE32-E72D297353CC}">
              <c16:uniqueId val="{0000000A-A685-4AB3-86AC-9B983539CFEE}"/>
            </c:ext>
          </c:extLst>
        </c:ser>
        <c:ser>
          <c:idx val="1"/>
          <c:order val="1"/>
          <c:tx>
            <c:strRef>
              <c:f>'1.14'!$D$5</c:f>
              <c:strCache>
                <c:ptCount val="1"/>
                <c:pt idx="0">
                  <c:v>Natural Gas</c:v>
                </c:pt>
              </c:strCache>
            </c:strRef>
          </c:tx>
          <c:spPr>
            <a:solidFill>
              <a:srgbClr val="56B4D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B-A685-4AB3-86AC-9B983539CFEE}"/>
                </c:ext>
              </c:extLst>
            </c:dLbl>
            <c:dLbl>
              <c:idx val="2"/>
              <c:delete val="1"/>
              <c:extLst>
                <c:ext xmlns:c15="http://schemas.microsoft.com/office/drawing/2012/chart" uri="{CE6537A1-D6FC-4f65-9D91-7224C49458BB}"/>
                <c:ext xmlns:c16="http://schemas.microsoft.com/office/drawing/2014/chart" uri="{C3380CC4-5D6E-409C-BE32-E72D297353CC}">
                  <c16:uniqueId val="{0000000C-A685-4AB3-86AC-9B983539CFE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'1.14'!$B$6:$B$18</c:f>
              <c:strCache>
                <c:ptCount val="13"/>
                <c:pt idx="0">
                  <c:v>Taiwan</c:v>
                </c:pt>
                <c:pt idx="1">
                  <c:v>India</c:v>
                </c:pt>
                <c:pt idx="2">
                  <c:v>China</c:v>
                </c:pt>
                <c:pt idx="3">
                  <c:v>Non-OECD</c:v>
                </c:pt>
                <c:pt idx="5">
                  <c:v>ROK</c:v>
                </c:pt>
                <c:pt idx="6">
                  <c:v>Japan</c:v>
                </c:pt>
                <c:pt idx="7">
                  <c:v>North America</c:v>
                </c:pt>
                <c:pt idx="8">
                  <c:v>Europe</c:v>
                </c:pt>
                <c:pt idx="9">
                  <c:v>Australia</c:v>
                </c:pt>
                <c:pt idx="10">
                  <c:v>OECD</c:v>
                </c:pt>
                <c:pt idx="12">
                  <c:v>World</c:v>
                </c:pt>
              </c:strCache>
            </c:strRef>
          </c:cat>
          <c:val>
            <c:numRef>
              <c:f>'1.14'!$D$6:$D$18</c:f>
              <c:numCache>
                <c:formatCode>#,##0</c:formatCode>
                <c:ptCount val="13"/>
                <c:pt idx="0">
                  <c:v>112</c:v>
                </c:pt>
                <c:pt idx="1">
                  <c:v>47</c:v>
                </c:pt>
                <c:pt idx="2">
                  <c:v>291</c:v>
                </c:pt>
                <c:pt idx="3">
                  <c:v>3177</c:v>
                </c:pt>
                <c:pt idx="5">
                  <c:v>173</c:v>
                </c:pt>
                <c:pt idx="6">
                  <c:v>320</c:v>
                </c:pt>
                <c:pt idx="7">
                  <c:v>2089</c:v>
                </c:pt>
                <c:pt idx="8">
                  <c:v>768</c:v>
                </c:pt>
                <c:pt idx="9">
                  <c:v>46</c:v>
                </c:pt>
                <c:pt idx="10">
                  <c:v>3454</c:v>
                </c:pt>
                <c:pt idx="12">
                  <c:v>6631</c:v>
                </c:pt>
              </c:numCache>
            </c:numRef>
          </c:val>
          <c:extLst>
            <c:ext xmlns:c16="http://schemas.microsoft.com/office/drawing/2014/chart" uri="{C3380CC4-5D6E-409C-BE32-E72D297353CC}">
              <c16:uniqueId val="{0000000D-A685-4AB3-86AC-9B983539CFEE}"/>
            </c:ext>
          </c:extLst>
        </c:ser>
        <c:ser>
          <c:idx val="2"/>
          <c:order val="2"/>
          <c:tx>
            <c:strRef>
              <c:f>'1.14'!$E$5</c:f>
              <c:strCache>
                <c:ptCount val="1"/>
                <c:pt idx="0">
                  <c:v>Coal</c:v>
                </c:pt>
              </c:strCache>
            </c:strRef>
          </c:tx>
          <c:spPr>
            <a:solidFill>
              <a:srgbClr val="9ED9DF"/>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E-A685-4AB3-86AC-9B983539CFE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'1.14'!$B$6:$B$18</c:f>
              <c:strCache>
                <c:ptCount val="13"/>
                <c:pt idx="0">
                  <c:v>Taiwan</c:v>
                </c:pt>
                <c:pt idx="1">
                  <c:v>India</c:v>
                </c:pt>
                <c:pt idx="2">
                  <c:v>China</c:v>
                </c:pt>
                <c:pt idx="3">
                  <c:v>Non-OECD</c:v>
                </c:pt>
                <c:pt idx="5">
                  <c:v>ROK</c:v>
                </c:pt>
                <c:pt idx="6">
                  <c:v>Japan</c:v>
                </c:pt>
                <c:pt idx="7">
                  <c:v>North America</c:v>
                </c:pt>
                <c:pt idx="8">
                  <c:v>Europe</c:v>
                </c:pt>
                <c:pt idx="9">
                  <c:v>Australia</c:v>
                </c:pt>
                <c:pt idx="10">
                  <c:v>OECD</c:v>
                </c:pt>
                <c:pt idx="12">
                  <c:v>World</c:v>
                </c:pt>
              </c:strCache>
            </c:strRef>
          </c:cat>
          <c:val>
            <c:numRef>
              <c:f>'1.14'!$E$6:$E$18</c:f>
              <c:numCache>
                <c:formatCode>#,##0</c:formatCode>
                <c:ptCount val="13"/>
                <c:pt idx="0">
                  <c:v>121</c:v>
                </c:pt>
                <c:pt idx="1">
                  <c:v>1380</c:v>
                </c:pt>
                <c:pt idx="2">
                  <c:v>5398</c:v>
                </c:pt>
                <c:pt idx="3">
                  <c:v>8120</c:v>
                </c:pt>
                <c:pt idx="5">
                  <c:v>209</c:v>
                </c:pt>
                <c:pt idx="6">
                  <c:v>309</c:v>
                </c:pt>
                <c:pt idx="7">
                  <c:v>960</c:v>
                </c:pt>
                <c:pt idx="8">
                  <c:v>650</c:v>
                </c:pt>
                <c:pt idx="9">
                  <c:v>131</c:v>
                </c:pt>
                <c:pt idx="10">
                  <c:v>2197</c:v>
                </c:pt>
                <c:pt idx="12">
                  <c:v>10317</c:v>
                </c:pt>
              </c:numCache>
            </c:numRef>
          </c:val>
          <c:extLst>
            <c:ext xmlns:c16="http://schemas.microsoft.com/office/drawing/2014/chart" uri="{C3380CC4-5D6E-409C-BE32-E72D297353CC}">
              <c16:uniqueId val="{0000000F-A685-4AB3-86AC-9B983539CFEE}"/>
            </c:ext>
          </c:extLst>
        </c:ser>
        <c:ser>
          <c:idx val="3"/>
          <c:order val="3"/>
          <c:tx>
            <c:strRef>
              <c:f>'1.14'!$F$5</c:f>
              <c:strCache>
                <c:ptCount val="1"/>
                <c:pt idx="0">
                  <c:v>Nuclear energy</c:v>
                </c:pt>
              </c:strCache>
            </c:strRef>
          </c:tx>
          <c:spPr>
            <a:solidFill>
              <a:srgbClr val="BCBFC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0-A685-4AB3-86AC-9B983539CFEE}"/>
                </c:ext>
              </c:extLst>
            </c:dLbl>
            <c:dLbl>
              <c:idx val="2"/>
              <c:delete val="1"/>
              <c:extLst>
                <c:ext xmlns:c15="http://schemas.microsoft.com/office/drawing/2012/chart" uri="{CE6537A1-D6FC-4f65-9D91-7224C49458BB}"/>
                <c:ext xmlns:c16="http://schemas.microsoft.com/office/drawing/2014/chart" uri="{C3380CC4-5D6E-409C-BE32-E72D297353CC}">
                  <c16:uniqueId val="{00000011-A685-4AB3-86AC-9B983539CFEE}"/>
                </c:ext>
              </c:extLst>
            </c:dLbl>
            <c:dLbl>
              <c:idx val="9"/>
              <c:delete val="1"/>
              <c:extLst>
                <c:ext xmlns:c15="http://schemas.microsoft.com/office/drawing/2012/chart" uri="{CE6537A1-D6FC-4f65-9D91-7224C49458BB}"/>
                <c:ext xmlns:c16="http://schemas.microsoft.com/office/drawing/2014/chart" uri="{C3380CC4-5D6E-409C-BE32-E72D297353CC}">
                  <c16:uniqueId val="{00000012-A685-4AB3-86AC-9B983539CFE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'1.14'!$B$6:$B$18</c:f>
              <c:strCache>
                <c:ptCount val="13"/>
                <c:pt idx="0">
                  <c:v>Taiwan</c:v>
                </c:pt>
                <c:pt idx="1">
                  <c:v>India</c:v>
                </c:pt>
                <c:pt idx="2">
                  <c:v>China</c:v>
                </c:pt>
                <c:pt idx="3">
                  <c:v>Non-OECD</c:v>
                </c:pt>
                <c:pt idx="5">
                  <c:v>ROK</c:v>
                </c:pt>
                <c:pt idx="6">
                  <c:v>Japan</c:v>
                </c:pt>
                <c:pt idx="7">
                  <c:v>North America</c:v>
                </c:pt>
                <c:pt idx="8">
                  <c:v>Europe</c:v>
                </c:pt>
                <c:pt idx="9">
                  <c:v>Australia</c:v>
                </c:pt>
                <c:pt idx="10">
                  <c:v>OECD</c:v>
                </c:pt>
                <c:pt idx="12">
                  <c:v>World</c:v>
                </c:pt>
              </c:strCache>
            </c:strRef>
          </c:cat>
          <c:val>
            <c:numRef>
              <c:f>'1.14'!$F$6:$F$18</c:f>
              <c:numCache>
                <c:formatCode>#,##0</c:formatCode>
                <c:ptCount val="13"/>
                <c:pt idx="0">
                  <c:v>24</c:v>
                </c:pt>
                <c:pt idx="1">
                  <c:v>46</c:v>
                </c:pt>
                <c:pt idx="2">
                  <c:v>418</c:v>
                </c:pt>
                <c:pt idx="3">
                  <c:v>890</c:v>
                </c:pt>
                <c:pt idx="5">
                  <c:v>176</c:v>
                </c:pt>
                <c:pt idx="6">
                  <c:v>52</c:v>
                </c:pt>
                <c:pt idx="7">
                  <c:v>910</c:v>
                </c:pt>
                <c:pt idx="8">
                  <c:v>741</c:v>
                </c:pt>
                <c:pt idx="9">
                  <c:v>0</c:v>
                </c:pt>
                <c:pt idx="10">
                  <c:v>1789</c:v>
                </c:pt>
                <c:pt idx="12">
                  <c:v>2679</c:v>
                </c:pt>
              </c:numCache>
            </c:numRef>
          </c:val>
          <c:extLst>
            <c:ext xmlns:c16="http://schemas.microsoft.com/office/drawing/2014/chart" uri="{C3380CC4-5D6E-409C-BE32-E72D297353CC}">
              <c16:uniqueId val="{00000013-A685-4AB3-86AC-9B983539CFEE}"/>
            </c:ext>
          </c:extLst>
        </c:ser>
        <c:ser>
          <c:idx val="4"/>
          <c:order val="4"/>
          <c:tx>
            <c:strRef>
              <c:f>'1.14'!$G$5</c:f>
              <c:strCache>
                <c:ptCount val="1"/>
                <c:pt idx="0">
                  <c:v>Hydro electric</c:v>
                </c:pt>
              </c:strCache>
            </c:strRef>
          </c:tx>
          <c:spPr>
            <a:solidFill>
              <a:srgbClr val="51B7A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A685-4AB3-86AC-9B983539CFEE}"/>
                </c:ext>
              </c:extLst>
            </c:dLbl>
            <c:dLbl>
              <c:idx val="5"/>
              <c:delete val="1"/>
              <c:extLst>
                <c:ext xmlns:c15="http://schemas.microsoft.com/office/drawing/2012/chart" uri="{CE6537A1-D6FC-4f65-9D91-7224C49458BB}"/>
                <c:ext xmlns:c16="http://schemas.microsoft.com/office/drawing/2014/chart" uri="{C3380CC4-5D6E-409C-BE32-E72D297353CC}">
                  <c16:uniqueId val="{00000015-A685-4AB3-86AC-9B983539CFE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'1.14'!$B$6:$B$18</c:f>
              <c:strCache>
                <c:ptCount val="13"/>
                <c:pt idx="0">
                  <c:v>Taiwan</c:v>
                </c:pt>
                <c:pt idx="1">
                  <c:v>India</c:v>
                </c:pt>
                <c:pt idx="2">
                  <c:v>China</c:v>
                </c:pt>
                <c:pt idx="3">
                  <c:v>Non-OECD</c:v>
                </c:pt>
                <c:pt idx="5">
                  <c:v>ROK</c:v>
                </c:pt>
                <c:pt idx="6">
                  <c:v>Japan</c:v>
                </c:pt>
                <c:pt idx="7">
                  <c:v>North America</c:v>
                </c:pt>
                <c:pt idx="8">
                  <c:v>Europe</c:v>
                </c:pt>
                <c:pt idx="9">
                  <c:v>Australia</c:v>
                </c:pt>
                <c:pt idx="10">
                  <c:v>OECD</c:v>
                </c:pt>
                <c:pt idx="12">
                  <c:v>World</c:v>
                </c:pt>
              </c:strCache>
            </c:strRef>
          </c:cat>
          <c:val>
            <c:numRef>
              <c:f>'1.14'!$G$6:$G$18</c:f>
              <c:numCache>
                <c:formatCode>#,##0</c:formatCode>
                <c:ptCount val="13"/>
                <c:pt idx="0">
                  <c:v>6</c:v>
                </c:pt>
                <c:pt idx="1">
                  <c:v>175</c:v>
                </c:pt>
                <c:pt idx="2">
                  <c:v>1303</c:v>
                </c:pt>
                <c:pt idx="3">
                  <c:v>2926</c:v>
                </c:pt>
                <c:pt idx="5">
                  <c:v>4</c:v>
                </c:pt>
                <c:pt idx="6">
                  <c:v>75</c:v>
                </c:pt>
                <c:pt idx="7">
                  <c:v>693</c:v>
                </c:pt>
                <c:pt idx="8">
                  <c:v>567</c:v>
                </c:pt>
                <c:pt idx="9">
                  <c:v>17</c:v>
                </c:pt>
                <c:pt idx="10">
                  <c:v>1408</c:v>
                </c:pt>
                <c:pt idx="12">
                  <c:v>4334</c:v>
                </c:pt>
              </c:numCache>
            </c:numRef>
          </c:val>
          <c:extLst>
            <c:ext xmlns:c16="http://schemas.microsoft.com/office/drawing/2014/chart" uri="{C3380CC4-5D6E-409C-BE32-E72D297353CC}">
              <c16:uniqueId val="{00000016-A685-4AB3-86AC-9B983539CFEE}"/>
            </c:ext>
          </c:extLst>
        </c:ser>
        <c:ser>
          <c:idx val="5"/>
          <c:order val="5"/>
          <c:tx>
            <c:strRef>
              <c:f>'1.14'!$H$5</c:f>
              <c:strCache>
                <c:ptCount val="1"/>
                <c:pt idx="0">
                  <c:v>Renewables</c:v>
                </c:pt>
              </c:strCache>
            </c:strRef>
          </c:tx>
          <c:spPr>
            <a:solidFill>
              <a:srgbClr val="0A7568"/>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'1.14'!$B$6:$B$18</c:f>
              <c:strCache>
                <c:ptCount val="13"/>
                <c:pt idx="0">
                  <c:v>Taiwan</c:v>
                </c:pt>
                <c:pt idx="1">
                  <c:v>India</c:v>
                </c:pt>
                <c:pt idx="2">
                  <c:v>China</c:v>
                </c:pt>
                <c:pt idx="3">
                  <c:v>Non-OECD</c:v>
                </c:pt>
                <c:pt idx="5">
                  <c:v>ROK</c:v>
                </c:pt>
                <c:pt idx="6">
                  <c:v>Japan</c:v>
                </c:pt>
                <c:pt idx="7">
                  <c:v>North America</c:v>
                </c:pt>
                <c:pt idx="8">
                  <c:v>Europe</c:v>
                </c:pt>
                <c:pt idx="9">
                  <c:v>Australia</c:v>
                </c:pt>
                <c:pt idx="10">
                  <c:v>OECD</c:v>
                </c:pt>
                <c:pt idx="12">
                  <c:v>World</c:v>
                </c:pt>
              </c:strCache>
            </c:strRef>
          </c:cat>
          <c:val>
            <c:numRef>
              <c:f>'1.14'!$H$6:$H$18</c:f>
              <c:numCache>
                <c:formatCode>#,##0</c:formatCode>
                <c:ptCount val="13"/>
                <c:pt idx="0">
                  <c:v>16</c:v>
                </c:pt>
                <c:pt idx="1">
                  <c:v>206</c:v>
                </c:pt>
                <c:pt idx="2">
                  <c:v>1367</c:v>
                </c:pt>
                <c:pt idx="3">
                  <c:v>2047</c:v>
                </c:pt>
                <c:pt idx="5">
                  <c:v>48</c:v>
                </c:pt>
                <c:pt idx="6">
                  <c:v>152</c:v>
                </c:pt>
                <c:pt idx="7">
                  <c:v>818</c:v>
                </c:pt>
                <c:pt idx="8">
                  <c:v>1040</c:v>
                </c:pt>
                <c:pt idx="9">
                  <c:v>74</c:v>
                </c:pt>
                <c:pt idx="10">
                  <c:v>2158</c:v>
                </c:pt>
                <c:pt idx="12">
                  <c:v>4204</c:v>
                </c:pt>
              </c:numCache>
            </c:numRef>
          </c:val>
          <c:extLst>
            <c:ext xmlns:c16="http://schemas.microsoft.com/office/drawing/2014/chart" uri="{C3380CC4-5D6E-409C-BE32-E72D297353CC}">
              <c16:uniqueId val="{00000017-A685-4AB3-86AC-9B983539CFEE}"/>
            </c:ext>
          </c:extLst>
        </c:ser>
        <c:ser>
          <c:idx val="6"/>
          <c:order val="6"/>
          <c:tx>
            <c:strRef>
              <c:f>'1.14'!$I$5</c:f>
              <c:strCache>
                <c:ptCount val="1"/>
                <c:pt idx="0">
                  <c:v>Other</c:v>
                </c:pt>
              </c:strCache>
            </c:strRef>
          </c:tx>
          <c:spPr>
            <a:solidFill>
              <a:srgbClr val="D1AAF7"/>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685-4AB3-86AC-9B983539CFE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'1.14'!$B$6:$B$18</c:f>
              <c:strCache>
                <c:ptCount val="13"/>
                <c:pt idx="0">
                  <c:v>Taiwan</c:v>
                </c:pt>
                <c:pt idx="1">
                  <c:v>India</c:v>
                </c:pt>
                <c:pt idx="2">
                  <c:v>China</c:v>
                </c:pt>
                <c:pt idx="3">
                  <c:v>Non-OECD</c:v>
                </c:pt>
                <c:pt idx="5">
                  <c:v>ROK</c:v>
                </c:pt>
                <c:pt idx="6">
                  <c:v>Japan</c:v>
                </c:pt>
                <c:pt idx="7">
                  <c:v>North America</c:v>
                </c:pt>
                <c:pt idx="8">
                  <c:v>Europe</c:v>
                </c:pt>
                <c:pt idx="9">
                  <c:v>Australia</c:v>
                </c:pt>
                <c:pt idx="10">
                  <c:v>OECD</c:v>
                </c:pt>
                <c:pt idx="12">
                  <c:v>World</c:v>
                </c:pt>
              </c:strCache>
            </c:strRef>
          </c:cat>
          <c:val>
            <c:numRef>
              <c:f>'1.14'!$I$6:$I$18</c:f>
              <c:numCache>
                <c:formatCode>#,##0</c:formatCode>
                <c:ptCount val="13"/>
                <c:pt idx="0">
                  <c:v>5</c:v>
                </c:pt>
                <c:pt idx="1">
                  <c:v>1</c:v>
                </c:pt>
                <c:pt idx="2">
                  <c:v>60</c:v>
                </c:pt>
                <c:pt idx="3">
                  <c:v>83</c:v>
                </c:pt>
                <c:pt idx="5">
                  <c:v>4</c:v>
                </c:pt>
                <c:pt idx="6">
                  <c:v>85</c:v>
                </c:pt>
                <c:pt idx="7">
                  <c:v>16</c:v>
                </c:pt>
                <c:pt idx="8">
                  <c:v>82</c:v>
                </c:pt>
                <c:pt idx="9">
                  <c:v>0</c:v>
                </c:pt>
                <c:pt idx="10">
                  <c:v>187</c:v>
                </c:pt>
                <c:pt idx="12">
                  <c:v>270</c:v>
                </c:pt>
              </c:numCache>
            </c:numRef>
          </c:val>
          <c:extLst>
            <c:ext xmlns:c16="http://schemas.microsoft.com/office/drawing/2014/chart" uri="{C3380CC4-5D6E-409C-BE32-E72D297353CC}">
              <c16:uniqueId val="{00000019-A685-4AB3-86AC-9B983539CFEE}"/>
            </c:ext>
          </c:extLst>
        </c:ser>
        <c:ser>
          <c:idx val="7"/>
          <c:order val="7"/>
          <c:tx>
            <c:strRef>
              <c:f>'1.14'!$J$5</c:f>
              <c:strCache>
                <c:ptCount val="1"/>
              </c:strCache>
            </c:strRef>
          </c:tx>
          <c:spPr>
            <a:solidFill>
              <a:schemeClr val="accent2">
                <a:lumMod val="60000"/>
              </a:schemeClr>
            </a:solidFill>
            <a:ln>
              <a:noFill/>
            </a:ln>
            <a:effectLst/>
          </c:spPr>
          <c:invertIfNegative val="0"/>
          <c:dLbls>
            <c:dLbl>
              <c:idx val="0"/>
              <c:tx>
                <c:rich>
                  <a:bodyPr/>
                  <a:lstStyle/>
                  <a:p>
                    <a:fld id="{505C29E8-388F-4DC3-91E6-355A1929DA8E}"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{505C29E8-388F-4DC3-91E6-355A1929DA8E}</c15:txfldGUID>
                      <c15:f>'1.14'!$K$6</c15:f>
                      <c15:dlblFieldTableCache>
                        <c:ptCount val="1"/>
                        <c:pt idx="0">
                          <c:v>288</c:v>
                        </c:pt>
                      </c15:dlblFieldTableCache>
                    </c15:dlblFTEntry>
                  </c15:dlblFieldTable>
                  <c15:showDataLabelsRange val="0"/>
                </c:ext>
                <c:ext xmlns:c16="http://schemas.microsoft.com/office/drawing/2014/chart" uri="{C3380CC4-5D6E-409C-BE32-E72D297353CC}">
                  <c16:uniqueId val="{0000001A-A685-4AB3-86AC-9B983539CFEE}"/>
                </c:ext>
              </c:extLst>
            </c:dLbl>
            <c:dLbl>
              <c:idx val="1"/>
              <c:tx>
                <c:rich>
                  <a:bodyPr/>
                  <a:lstStyle/>
                  <a:p>
                    <a:fld id="{757D6C4E-9654-4E5F-972F-7E9CD346A6B1}"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{757D6C4E-9654-4E5F-972F-7E9CD346A6B1}</c15:txfldGUID>
                      <c15:f>'1.14'!$K$7</c15:f>
                      <c15:dlblFieldTableCache>
                        <c:ptCount val="1"/>
                        <c:pt idx="0">
                          <c:v>1,858</c:v>
                        </c:pt>
                      </c15:dlblFieldTableCache>
                    </c15:dlblFTEntry>
                  </c15:dlblFieldTable>
                  <c15:showDataLabelsRange val="0"/>
                </c:ext>
                <c:ext xmlns:c16="http://schemas.microsoft.com/office/drawing/2014/chart" uri="{C3380CC4-5D6E-409C-BE32-E72D297353CC}">
                  <c16:uniqueId val="{0000001B-A685-4AB3-86AC-9B983539CFEE}"/>
                </c:ext>
              </c:extLst>
            </c:dLbl>
            <c:dLbl>
              <c:idx val="2"/>
              <c:tx>
                <c:rich>
                  <a:bodyPr/>
                  <a:lstStyle/>
                  <a:p>
                    <a:fld id="{B77F479D-B81C-4632-B34D-2DFAAE5D617E}"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{B77F479D-B81C-4632-B34D-2DFAAE5D617E}</c15:txfldGUID>
                      <c15:f>'1.14'!$K$8</c15:f>
                      <c15:dlblFieldTableCache>
                        <c:ptCount val="1"/>
                        <c:pt idx="0">
                          <c:v>8,849</c:v>
                        </c:pt>
                      </c15:dlblFieldTableCache>
                    </c15:dlblFTEntry>
                  </c15:dlblFieldTable>
                  <c15:showDataLabelsRange val="0"/>
                </c:ext>
                <c:ext xmlns:c16="http://schemas.microsoft.com/office/drawing/2014/chart" uri="{C3380CC4-5D6E-409C-BE32-E72D297353CC}">
                  <c16:uniqueId val="{0000001C-A685-4AB3-86AC-9B983539CFEE}"/>
                </c:ext>
              </c:extLst>
            </c:dLbl>
            <c:dLbl>
              <c:idx val="3"/>
              <c:tx>
                <c:rich>
                  <a:bodyPr/>
                  <a:lstStyle/>
                  <a:p>
                    <a:fld id="{23C26DDC-DA2D-47E1-893C-0C00817B49DE}"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{23C26DDC-DA2D-47E1-893C-0C00817B49DE}</c15:txfldGUID>
                      <c15:f>'1.14'!$K$9</c15:f>
                      <c15:dlblFieldTableCache>
                        <c:ptCount val="1"/>
                        <c:pt idx="0">
                          <c:v>17,809</c:v>
                        </c:pt>
                      </c15:dlblFieldTableCache>
                    </c15:dlblFTEntry>
                  </c15:dlblFieldTable>
                  <c15:showDataLabelsRange val="0"/>
                </c:ext>
                <c:ext xmlns:c16="http://schemas.microsoft.com/office/drawing/2014/chart" uri="{C3380CC4-5D6E-409C-BE32-E72D297353CC}">
                  <c16:uniqueId val="{0000001D-A685-4AB3-86AC-9B983539CFEE}"/>
                </c:ext>
              </c:extLst>
            </c:dLbl>
            <c:dLbl>
              <c:idx val="5"/>
              <c:tx>
                <c:rich>
                  <a:bodyPr/>
                  <a:lstStyle/>
                  <a:p>
                    <a:fld id="{84697480-635C-45AD-B827-7BF503AE8BA1}"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{84697480-635C-45AD-B827-7BF503AE8BA1}</c15:txfldGUID>
                      <c15:f>'1.14'!$K$11</c15:f>
                      <c15:dlblFieldTableCache>
                        <c:ptCount val="1"/>
                        <c:pt idx="0">
                          <c:v>621</c:v>
                        </c:pt>
                      </c15:dlblFieldTableCache>
                    </c15:dlblFTEntry>
                  </c15:dlblFieldTable>
                  <c15:showDataLabelsRange val="0"/>
                </c:ext>
                <c:ext xmlns:c16="http://schemas.microsoft.com/office/drawing/2014/chart" uri="{C3380CC4-5D6E-409C-BE32-E72D297353CC}">
                  <c16:uniqueId val="{0000001E-A685-4AB3-86AC-9B983539CFEE}"/>
                </c:ext>
              </c:extLst>
            </c:dLbl>
            <c:dLbl>
              <c:idx val="6"/>
              <c:tx>
                <c:rich>
                  <a:bodyPr/>
                  <a:lstStyle/>
                  <a:p>
                    <a:fld id="{F32A8BB9-1930-457F-8B2A-4EA8A2118604}"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{F32A8BB9-1930-457F-8B2A-4EA8A2118604}</c15:txfldGUID>
                      <c15:f>'1.14'!$K$12</c15:f>
                      <c15:dlblFieldTableCache>
                        <c:ptCount val="1"/>
                        <c:pt idx="0">
                          <c:v>1,034</c:v>
                        </c:pt>
                      </c15:dlblFieldTableCache>
                    </c15:dlblFTEntry>
                  </c15:dlblFieldTable>
                  <c15:showDataLabelsRange val="0"/>
                </c:ext>
                <c:ext xmlns:c16="http://schemas.microsoft.com/office/drawing/2014/chart" uri="{C3380CC4-5D6E-409C-BE32-E72D297353CC}">
                  <c16:uniqueId val="{0000001F-A685-4AB3-86AC-9B983539CFEE}"/>
                </c:ext>
              </c:extLst>
            </c:dLbl>
            <c:dLbl>
              <c:idx val="7"/>
              <c:tx>
                <c:rich>
                  <a:bodyPr/>
                  <a:lstStyle/>
                  <a:p>
                    <a:fld id="{7D15AD55-DD99-4967-949F-33362493DC7C}"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{7D15AD55-DD99-4967-949F-33362493DC7C}</c15:txfldGUID>
                      <c15:f>'1.14'!$K$13</c15:f>
                      <c15:dlblFieldTableCache>
                        <c:ptCount val="1"/>
                        <c:pt idx="0">
                          <c:v>5,548</c:v>
                        </c:pt>
                      </c15:dlblFieldTableCache>
                    </c15:dlblFTEntry>
                  </c15:dlblFieldTable>
                  <c15:showDataLabelsRange val="0"/>
                </c:ext>
                <c:ext xmlns:c16="http://schemas.microsoft.com/office/drawing/2014/chart" uri="{C3380CC4-5D6E-409C-BE32-E72D297353CC}">
                  <c16:uniqueId val="{00000020-A685-4AB3-86AC-9B983539CFEE}"/>
                </c:ext>
              </c:extLst>
            </c:dLbl>
            <c:dLbl>
              <c:idx val="8"/>
              <c:tx>
                <c:rich>
                  <a:bodyPr/>
                  <a:lstStyle/>
                  <a:p>
                    <a:fld id="{142B2192-2DEF-4104-8138-0C0579B9ED38}"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{142B2192-2DEF-4104-8138-0C0579B9ED38}</c15:txfldGUID>
                      <c15:f>'1.14'!$K$14</c15:f>
                      <c15:dlblFieldTableCache>
                        <c:ptCount val="1"/>
                        <c:pt idx="0">
                          <c:v>3,901</c:v>
                        </c:pt>
                      </c15:dlblFieldTableCache>
                    </c15:dlblFTEntry>
                  </c15:dlblFieldTable>
                  <c15:showDataLabelsRange val="0"/>
                </c:ext>
                <c:ext xmlns:c16="http://schemas.microsoft.com/office/drawing/2014/chart" uri="{C3380CC4-5D6E-409C-BE32-E72D297353CC}">
                  <c16:uniqueId val="{00000021-A685-4AB3-86AC-9B983539CFEE}"/>
                </c:ext>
              </c:extLst>
            </c:dLbl>
            <c:dLbl>
              <c:idx val="9"/>
              <c:tx>
                <c:rich>
                  <a:bodyPr/>
                  <a:lstStyle/>
                  <a:p>
                    <a:fld id="{87A20905-D11F-4CDA-905C-8E164A88785E}"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{87A20905-D11F-4CDA-905C-8E164A88785E}</c15:txfldGUID>
                      <c15:f>'1.14'!$K$15</c15:f>
                      <c15:dlblFieldTableCache>
                        <c:ptCount val="1"/>
                        <c:pt idx="0">
                          <c:v>273</c:v>
                        </c:pt>
                      </c15:dlblFieldTableCache>
                    </c15:dlblFTEntry>
                  </c15:dlblFieldTable>
                  <c15:showDataLabelsRange val="0"/>
                </c:ext>
                <c:ext xmlns:c16="http://schemas.microsoft.com/office/drawing/2014/chart" uri="{C3380CC4-5D6E-409C-BE32-E72D297353CC}">
                  <c16:uniqueId val="{00000022-A685-4AB3-86AC-9B983539CFEE}"/>
                </c:ext>
              </c:extLst>
            </c:dLbl>
            <c:dLbl>
              <c:idx val="10"/>
              <c:tx>
                <c:rich>
                  <a:bodyPr/>
                  <a:lstStyle/>
                  <a:p>
                    <a:fld id="{7201C425-F1F5-451D-AE3B-B41C95AEBE3B}"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{7201C425-F1F5-451D-AE3B-B41C95AEBE3B}</c15:txfldGUID>
                      <c15:f>'1.14'!$K$16</c15:f>
                      <c15:dlblFieldTableCache>
                        <c:ptCount val="1"/>
                        <c:pt idx="0">
                          <c:v>11,356</c:v>
                        </c:pt>
                      </c15:dlblFieldTableCache>
                    </c15:dlblFTEntry>
                  </c15:dlblFieldTable>
                  <c15:showDataLabelsRange val="0"/>
                </c:ext>
                <c:ext xmlns:c16="http://schemas.microsoft.com/office/drawing/2014/chart" uri="{C3380CC4-5D6E-409C-BE32-E72D297353CC}">
                  <c16:uniqueId val="{00000023-A685-4AB3-86AC-9B983539CFEE}"/>
                </c:ext>
              </c:extLst>
            </c:dLbl>
            <c:dLbl>
              <c:idx val="12"/>
              <c:tx>
                <c:rich>
                  <a:bodyPr/>
                  <a:lstStyle/>
                  <a:p>
                    <a:fld id="{DAE50AA0-6E16-4064-BD94-26B3D4FDA940}"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{DAE50AA0-6E16-4064-BD94-26B3D4FDA940}</c15:txfldGUID>
                      <c15:f>'1.14'!$K$18</c15:f>
                      <c15:dlblFieldTableCache>
                        <c:ptCount val="1"/>
                        <c:pt idx="0">
                          <c:v>29,164</c:v>
                        </c:pt>
                      </c15:dlblFieldTableCache>
                    </c15:dlblFTEntry>
                  </c15:dlblFieldTable>
                  <c15:showDataLabelsRange val="0"/>
                </c:ext>
                <c:ext xmlns:c16="http://schemas.microsoft.com/office/drawing/2014/chart" uri="{C3380CC4-5D6E-409C-BE32-E72D297353CC}">
                  <c16:uniqueId val="{00000024-A685-4AB3-86AC-9B983539CF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'1.14'!$B$6:$B$18</c:f>
              <c:strCache>
                <c:ptCount val="13"/>
                <c:pt idx="0">
                  <c:v>Taiwan</c:v>
                </c:pt>
                <c:pt idx="1">
                  <c:v>India</c:v>
                </c:pt>
                <c:pt idx="2">
                  <c:v>China</c:v>
                </c:pt>
                <c:pt idx="3">
                  <c:v>Non-OECD</c:v>
                </c:pt>
                <c:pt idx="5">
                  <c:v>ROK</c:v>
                </c:pt>
                <c:pt idx="6">
                  <c:v>Japan</c:v>
                </c:pt>
                <c:pt idx="7">
                  <c:v>North America</c:v>
                </c:pt>
                <c:pt idx="8">
                  <c:v>Europe</c:v>
                </c:pt>
                <c:pt idx="9">
                  <c:v>Australia</c:v>
                </c:pt>
                <c:pt idx="10">
                  <c:v>OECD</c:v>
                </c:pt>
                <c:pt idx="12">
                  <c:v>World</c:v>
                </c:pt>
              </c:strCache>
            </c:strRef>
          </c:cat>
          <c:val>
            <c:numRef>
              <c:f>'1.14'!$J$6:$J$18</c:f>
              <c:numCache>
                <c:formatCode>#,##0</c:formatCode>
                <c:ptCount val="13"/>
                <c:pt idx="0">
                  <c:v>0</c:v>
                </c:pt>
                <c:pt idx="1">
                  <c:v>0</c:v>
                </c:pt>
                <c:pt idx="2">
                  <c:v>0</c:v>
                </c:pt>
                <c:pt idx="3">
                  <c:v>0</c:v>
                </c:pt>
                <c:pt idx="5">
                  <c:v>0</c:v>
                </c:pt>
                <c:pt idx="6">
                  <c:v>0</c:v>
                </c:pt>
                <c:pt idx="7">
                  <c:v>0</c:v>
                </c:pt>
                <c:pt idx="8">
                  <c:v>0</c:v>
                </c:pt>
                <c:pt idx="9">
                  <c:v>0</c:v>
                </c:pt>
                <c:pt idx="10">
                  <c:v>0</c:v>
                </c:pt>
                <c:pt idx="12">
                  <c:v>0</c:v>
                </c:pt>
              </c:numCache>
            </c:numRef>
          </c:val>
          <c:extLst>
            <c:ext xmlns:c16="http://schemas.microsoft.com/office/drawing/2014/chart" uri="{C3380CC4-5D6E-409C-BE32-E72D297353CC}">
              <c16:uniqueId val="{00000025-A685-4AB3-86AC-9B983539CFEE}"/>
            </c:ext>
          </c:extLst>
        </c:ser>
        <c:dLbls>
          <c:showLegendKey val="0"/>
          <c:showVal val="0"/>
          <c:showCatName val="0"/>
          <c:showSerName val="0"/>
          <c:showPercent val="0"/>
          <c:showBubbleSize val="0"/>
        </c:dLbls>
        <c:gapWidth val="50"/>
        <c:overlap val="100"/>
        <c:axId val="255323359"/>
        <c:axId val="398468831"/>
      </c:barChart>
      <c:catAx>
        <c:axId val="255323359"/>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8468831"/>
        <c:crosses val="autoZero"/>
        <c:auto val="1"/>
        <c:lblAlgn val="ctr"/>
        <c:lblOffset val="100"/>
        <c:noMultiLvlLbl val="0"/>
      </c:catAx>
      <c:valAx>
        <c:axId val="398468831"/>
        <c:scaling>
          <c:orientation val="minMax"/>
        </c:scaling>
        <c:delete val="0"/>
        <c:axPos val="b"/>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Share of electricity generation</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55323359"/>
        <c:crosses val="autoZero"/>
        <c:crossBetween val="between"/>
      </c:valAx>
      <c:spPr>
        <a:noFill/>
        <a:ln w="25400">
          <a:noFill/>
        </a:ln>
        <a:effectLst/>
      </c:spPr>
    </c:plotArea>
    <c:legend>
      <c:legendPos val="b"/>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'1.15'!$C$5</c:f>
              <c:strCache>
                <c:ptCount val="1"/>
                <c:pt idx="0">
                  <c:v>Coal</c:v>
                </c:pt>
              </c:strCache>
            </c:strRef>
          </c:tx>
          <c:spPr>
            <a:ln w="28575" cap="rnd" cmpd="sng" algn="ctr">
              <a:solidFill>
                <a:srgbClr val="005CAF"/>
              </a:solidFill>
              <a:prstDash val="solid"/>
              <a:round/>
              <a:headEnd type="none" w="med" len="med"/>
              <a:tailEnd type="none" w="med" len="med"/>
            </a:ln>
            <a:effectLst/>
          </c:spPr>
          <c:marker>
            <c:symbol val="none"/>
          </c:marker>
          <c:cat>
            <c:numRef>
              <c:f>'1.15'!$B$6:$B$43</c:f>
              <c:numCache>
                <c:formatCode>General</c:formatCod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numCache>
            </c:numRef>
          </c:cat>
          <c:val>
            <c:numRef>
              <c:f>'1.15'!$C$6:$C$43</c:f>
              <c:numCache>
                <c:formatCode>#,##0</c:formatCode>
                <c:ptCount val="38"/>
                <c:pt idx="0">
                  <c:v>1591</c:v>
                </c:pt>
                <c:pt idx="1">
                  <c:v>1568.1</c:v>
                </c:pt>
                <c:pt idx="2">
                  <c:v>1665.5</c:v>
                </c:pt>
                <c:pt idx="3">
                  <c:v>1756.4</c:v>
                </c:pt>
                <c:pt idx="4">
                  <c:v>1811.1</c:v>
                </c:pt>
                <c:pt idx="5">
                  <c:v>1815.2</c:v>
                </c:pt>
                <c:pt idx="6">
                  <c:v>1820.3</c:v>
                </c:pt>
                <c:pt idx="7">
                  <c:v>1857.1</c:v>
                </c:pt>
                <c:pt idx="8">
                  <c:v>1925.2</c:v>
                </c:pt>
                <c:pt idx="9">
                  <c:v>1933.2</c:v>
                </c:pt>
                <c:pt idx="10">
                  <c:v>1960.1</c:v>
                </c:pt>
                <c:pt idx="11">
                  <c:v>2053.9</c:v>
                </c:pt>
                <c:pt idx="12">
                  <c:v>2113.6</c:v>
                </c:pt>
                <c:pt idx="13">
                  <c:v>2153.6999999999998</c:v>
                </c:pt>
                <c:pt idx="14">
                  <c:v>2162.6999999999998</c:v>
                </c:pt>
                <c:pt idx="15">
                  <c:v>2263.3000000000002</c:v>
                </c:pt>
                <c:pt idx="16">
                  <c:v>2190.6</c:v>
                </c:pt>
                <c:pt idx="17">
                  <c:v>2226.5</c:v>
                </c:pt>
                <c:pt idx="18">
                  <c:v>2278.4</c:v>
                </c:pt>
                <c:pt idx="19">
                  <c:v>2266.1</c:v>
                </c:pt>
                <c:pt idx="20">
                  <c:v>2313.3000000000002</c:v>
                </c:pt>
                <c:pt idx="21">
                  <c:v>2281.6999999999998</c:v>
                </c:pt>
                <c:pt idx="22">
                  <c:v>2318.8000000000002</c:v>
                </c:pt>
                <c:pt idx="23">
                  <c:v>2267.5</c:v>
                </c:pt>
                <c:pt idx="24">
                  <c:v>2011.4</c:v>
                </c:pt>
                <c:pt idx="25">
                  <c:v>2114.9</c:v>
                </c:pt>
                <c:pt idx="26">
                  <c:v>1987.7</c:v>
                </c:pt>
                <c:pt idx="27">
                  <c:v>1742.5</c:v>
                </c:pt>
                <c:pt idx="28">
                  <c:v>1814.3</c:v>
                </c:pt>
                <c:pt idx="29">
                  <c:v>1813.7</c:v>
                </c:pt>
                <c:pt idx="30">
                  <c:v>1564.2</c:v>
                </c:pt>
                <c:pt idx="31">
                  <c:v>1442.9</c:v>
                </c:pt>
                <c:pt idx="32">
                  <c:v>1401</c:v>
                </c:pt>
                <c:pt idx="33">
                  <c:v>1330.1</c:v>
                </c:pt>
                <c:pt idx="34">
                  <c:v>1131.7</c:v>
                </c:pt>
                <c:pt idx="35">
                  <c:v>901.8</c:v>
                </c:pt>
                <c:pt idx="36">
                  <c:v>1025.8</c:v>
                </c:pt>
                <c:pt idx="37">
                  <c:v>960.2</c:v>
                </c:pt>
              </c:numCache>
            </c:numRef>
          </c:val>
          <c:smooth val="0"/>
          <c:extLst>
            <c:ext xmlns:c16="http://schemas.microsoft.com/office/drawing/2014/chart" uri="{C3380CC4-5D6E-409C-BE32-E72D297353CC}">
              <c16:uniqueId val="{00000000-7E5C-43A2-83EC-F269460257A5}"/>
            </c:ext>
          </c:extLst>
        </c:ser>
        <c:ser>
          <c:idx val="1"/>
          <c:order val="1"/>
          <c:tx>
            <c:strRef>
              <c:f>'1.15'!$D$5</c:f>
              <c:strCache>
                <c:ptCount val="1"/>
                <c:pt idx="0">
                  <c:v>Gas</c:v>
                </c:pt>
              </c:strCache>
            </c:strRef>
          </c:tx>
          <c:spPr>
            <a:ln w="28575" cap="rnd" cmpd="sng" algn="ctr">
              <a:solidFill>
                <a:srgbClr val="56B4DF"/>
              </a:solidFill>
              <a:prstDash val="solid"/>
              <a:round/>
              <a:headEnd type="none" w="med" len="med"/>
              <a:tailEnd type="none" w="med" len="med"/>
            </a:ln>
            <a:effectLst/>
          </c:spPr>
          <c:marker>
            <c:symbol val="none"/>
          </c:marker>
          <c:cat>
            <c:numRef>
              <c:f>'1.15'!$B$6:$B$43</c:f>
              <c:numCache>
                <c:formatCode>General</c:formatCod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numCache>
            </c:numRef>
          </c:cat>
          <c:val>
            <c:numRef>
              <c:f>'1.15'!$D$6:$D$43</c:f>
              <c:numCache>
                <c:formatCode>#,##0</c:formatCode>
                <c:ptCount val="38"/>
                <c:pt idx="0">
                  <c:v>169.6</c:v>
                </c:pt>
                <c:pt idx="1">
                  <c:v>213.9</c:v>
                </c:pt>
                <c:pt idx="2">
                  <c:v>203.7</c:v>
                </c:pt>
                <c:pt idx="3">
                  <c:v>241.3</c:v>
                </c:pt>
                <c:pt idx="4">
                  <c:v>266.89999999999998</c:v>
                </c:pt>
                <c:pt idx="5">
                  <c:v>216.5</c:v>
                </c:pt>
                <c:pt idx="6">
                  <c:v>210.6</c:v>
                </c:pt>
                <c:pt idx="7">
                  <c:v>190.1</c:v>
                </c:pt>
                <c:pt idx="8">
                  <c:v>199.2</c:v>
                </c:pt>
                <c:pt idx="9">
                  <c:v>203.7</c:v>
                </c:pt>
                <c:pt idx="10">
                  <c:v>156.5</c:v>
                </c:pt>
                <c:pt idx="11">
                  <c:v>166.4</c:v>
                </c:pt>
                <c:pt idx="12">
                  <c:v>194.1</c:v>
                </c:pt>
                <c:pt idx="13">
                  <c:v>247.7</c:v>
                </c:pt>
                <c:pt idx="14">
                  <c:v>231.4</c:v>
                </c:pt>
                <c:pt idx="15">
                  <c:v>229.5</c:v>
                </c:pt>
                <c:pt idx="16">
                  <c:v>242.9</c:v>
                </c:pt>
                <c:pt idx="17">
                  <c:v>196.3</c:v>
                </c:pt>
                <c:pt idx="18">
                  <c:v>218.3</c:v>
                </c:pt>
                <c:pt idx="19">
                  <c:v>223.2</c:v>
                </c:pt>
                <c:pt idx="20">
                  <c:v>220.6</c:v>
                </c:pt>
                <c:pt idx="21">
                  <c:v>133.19999999999999</c:v>
                </c:pt>
                <c:pt idx="22">
                  <c:v>134.19999999999999</c:v>
                </c:pt>
                <c:pt idx="23">
                  <c:v>112.4</c:v>
                </c:pt>
                <c:pt idx="24">
                  <c:v>100.4</c:v>
                </c:pt>
                <c:pt idx="25">
                  <c:v>90.5</c:v>
                </c:pt>
                <c:pt idx="26">
                  <c:v>87.3</c:v>
                </c:pt>
                <c:pt idx="27">
                  <c:v>86.9</c:v>
                </c:pt>
                <c:pt idx="28">
                  <c:v>83.4</c:v>
                </c:pt>
                <c:pt idx="29">
                  <c:v>69.5</c:v>
                </c:pt>
                <c:pt idx="30">
                  <c:v>66.400000000000006</c:v>
                </c:pt>
                <c:pt idx="31">
                  <c:v>64.2</c:v>
                </c:pt>
                <c:pt idx="32">
                  <c:v>65.599999999999994</c:v>
                </c:pt>
                <c:pt idx="33">
                  <c:v>66.7</c:v>
                </c:pt>
                <c:pt idx="34">
                  <c:v>57.8</c:v>
                </c:pt>
                <c:pt idx="35">
                  <c:v>54</c:v>
                </c:pt>
                <c:pt idx="36">
                  <c:v>56.5</c:v>
                </c:pt>
                <c:pt idx="37">
                  <c:v>62</c:v>
                </c:pt>
              </c:numCache>
            </c:numRef>
          </c:val>
          <c:smooth val="0"/>
          <c:extLst>
            <c:ext xmlns:c16="http://schemas.microsoft.com/office/drawing/2014/chart" uri="{C3380CC4-5D6E-409C-BE32-E72D297353CC}">
              <c16:uniqueId val="{00000001-7E5C-43A2-83EC-F269460257A5}"/>
            </c:ext>
          </c:extLst>
        </c:ser>
        <c:ser>
          <c:idx val="2"/>
          <c:order val="2"/>
          <c:tx>
            <c:strRef>
              <c:f>'1.15'!$E$5</c:f>
              <c:strCache>
                <c:ptCount val="1"/>
                <c:pt idx="0">
                  <c:v>Oil</c:v>
                </c:pt>
              </c:strCache>
            </c:strRef>
          </c:tx>
          <c:spPr>
            <a:ln w="28575" cap="rnd">
              <a:solidFill>
                <a:srgbClr val="9ED9DF"/>
              </a:solidFill>
              <a:round/>
            </a:ln>
            <a:effectLst/>
          </c:spPr>
          <c:marker>
            <c:symbol val="none"/>
          </c:marker>
          <c:cat>
            <c:numRef>
              <c:f>'1.15'!$B$6:$B$43</c:f>
              <c:numCache>
                <c:formatCode>General</c:formatCod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numCache>
            </c:numRef>
          </c:cat>
          <c:val>
            <c:numRef>
              <c:f>'1.15'!$E$6:$E$43</c:f>
              <c:numCache>
                <c:formatCode>#,##0</c:formatCode>
                <c:ptCount val="38"/>
                <c:pt idx="0">
                  <c:v>327.9</c:v>
                </c:pt>
                <c:pt idx="1">
                  <c:v>281.8</c:v>
                </c:pt>
                <c:pt idx="2">
                  <c:v>308.3</c:v>
                </c:pt>
                <c:pt idx="3">
                  <c:v>289.60000000000002</c:v>
                </c:pt>
                <c:pt idx="4">
                  <c:v>403.8</c:v>
                </c:pt>
                <c:pt idx="5">
                  <c:v>423.7</c:v>
                </c:pt>
                <c:pt idx="6">
                  <c:v>437.8</c:v>
                </c:pt>
                <c:pt idx="7">
                  <c:v>466.4</c:v>
                </c:pt>
                <c:pt idx="8">
                  <c:v>480.5</c:v>
                </c:pt>
                <c:pt idx="9">
                  <c:v>531.70000000000005</c:v>
                </c:pt>
                <c:pt idx="10">
                  <c:v>575.79999999999995</c:v>
                </c:pt>
                <c:pt idx="11">
                  <c:v>529.1</c:v>
                </c:pt>
                <c:pt idx="12">
                  <c:v>561.4</c:v>
                </c:pt>
                <c:pt idx="13">
                  <c:v>627.70000000000005</c:v>
                </c:pt>
                <c:pt idx="14">
                  <c:v>659.1</c:v>
                </c:pt>
                <c:pt idx="15">
                  <c:v>722</c:v>
                </c:pt>
                <c:pt idx="16">
                  <c:v>779.9</c:v>
                </c:pt>
                <c:pt idx="17">
                  <c:v>851</c:v>
                </c:pt>
                <c:pt idx="18">
                  <c:v>817.7</c:v>
                </c:pt>
                <c:pt idx="19">
                  <c:v>895.9</c:v>
                </c:pt>
                <c:pt idx="20">
                  <c:v>941.1</c:v>
                </c:pt>
                <c:pt idx="21">
                  <c:v>1033.7</c:v>
                </c:pt>
                <c:pt idx="22">
                  <c:v>1135.0999999999999</c:v>
                </c:pt>
                <c:pt idx="23">
                  <c:v>1119.3</c:v>
                </c:pt>
                <c:pt idx="24">
                  <c:v>1172.5</c:v>
                </c:pt>
                <c:pt idx="25">
                  <c:v>1257.0999999999999</c:v>
                </c:pt>
                <c:pt idx="26">
                  <c:v>1302.4000000000001</c:v>
                </c:pt>
                <c:pt idx="27">
                  <c:v>1533.4</c:v>
                </c:pt>
                <c:pt idx="28">
                  <c:v>1433.6</c:v>
                </c:pt>
                <c:pt idx="29">
                  <c:v>1447.6</c:v>
                </c:pt>
                <c:pt idx="30">
                  <c:v>1686.4</c:v>
                </c:pt>
                <c:pt idx="31">
                  <c:v>1738.1</c:v>
                </c:pt>
                <c:pt idx="32">
                  <c:v>1650.9</c:v>
                </c:pt>
                <c:pt idx="33">
                  <c:v>1865.6</c:v>
                </c:pt>
                <c:pt idx="34">
                  <c:v>1986.2</c:v>
                </c:pt>
                <c:pt idx="35">
                  <c:v>2016.2</c:v>
                </c:pt>
                <c:pt idx="36">
                  <c:v>1967.6</c:v>
                </c:pt>
                <c:pt idx="37">
                  <c:v>2089.4</c:v>
                </c:pt>
              </c:numCache>
            </c:numRef>
          </c:val>
          <c:smooth val="0"/>
          <c:extLst>
            <c:ext xmlns:c16="http://schemas.microsoft.com/office/drawing/2014/chart" uri="{C3380CC4-5D6E-409C-BE32-E72D297353CC}">
              <c16:uniqueId val="{00000002-7E5C-43A2-83EC-F269460257A5}"/>
            </c:ext>
          </c:extLst>
        </c:ser>
        <c:dLbls>
          <c:showLegendKey val="0"/>
          <c:showVal val="0"/>
          <c:showCatName val="0"/>
          <c:showSerName val="0"/>
          <c:showPercent val="0"/>
          <c:showBubbleSize val="0"/>
        </c:dLbls>
        <c:marker val="1"/>
        <c:smooth val="0"/>
        <c:axId val="1177209679"/>
        <c:axId val="2130504239"/>
      </c:lineChart>
      <c:lineChart>
        <c:grouping val="standard"/>
        <c:varyColors val="0"/>
        <c:ser>
          <c:idx val="3"/>
          <c:order val="3"/>
          <c:tx>
            <c:strRef>
              <c:f>'1.15'!$F$5</c:f>
              <c:strCache>
                <c:ptCount val="1"/>
                <c:pt idx="0">
                  <c:v>Energy CO2 emissions (RHS)</c:v>
                </c:pt>
              </c:strCache>
            </c:strRef>
          </c:tx>
          <c:spPr>
            <a:ln w="28575" cap="rnd">
              <a:solidFill>
                <a:srgbClr val="F36A5A"/>
              </a:solidFill>
              <a:prstDash val="sysDot"/>
              <a:round/>
            </a:ln>
            <a:effectLst/>
          </c:spPr>
          <c:marker>
            <c:symbol val="none"/>
          </c:marker>
          <c:val>
            <c:numRef>
              <c:f>'1.15'!$F$6:$F$43</c:f>
              <c:numCache>
                <c:formatCode>#,##0</c:formatCode>
                <c:ptCount val="38"/>
                <c:pt idx="0">
                  <c:v>5213.3999999999996</c:v>
                </c:pt>
                <c:pt idx="1">
                  <c:v>5221.8999999999996</c:v>
                </c:pt>
                <c:pt idx="2">
                  <c:v>5396.5</c:v>
                </c:pt>
                <c:pt idx="3">
                  <c:v>5647.5</c:v>
                </c:pt>
                <c:pt idx="4">
                  <c:v>5769.3</c:v>
                </c:pt>
                <c:pt idx="5">
                  <c:v>5696.1</c:v>
                </c:pt>
                <c:pt idx="6">
                  <c:v>5638</c:v>
                </c:pt>
                <c:pt idx="7">
                  <c:v>5737.8</c:v>
                </c:pt>
                <c:pt idx="8">
                  <c:v>5849.6</c:v>
                </c:pt>
                <c:pt idx="9">
                  <c:v>5966.5</c:v>
                </c:pt>
                <c:pt idx="10">
                  <c:v>6003.5</c:v>
                </c:pt>
                <c:pt idx="11">
                  <c:v>6201.8</c:v>
                </c:pt>
                <c:pt idx="12">
                  <c:v>6307.5</c:v>
                </c:pt>
                <c:pt idx="13">
                  <c:v>6379.3</c:v>
                </c:pt>
                <c:pt idx="14">
                  <c:v>6431.8</c:v>
                </c:pt>
                <c:pt idx="15">
                  <c:v>6644.1</c:v>
                </c:pt>
                <c:pt idx="16">
                  <c:v>6557.4</c:v>
                </c:pt>
                <c:pt idx="17">
                  <c:v>6610.1</c:v>
                </c:pt>
                <c:pt idx="18">
                  <c:v>6687.7</c:v>
                </c:pt>
                <c:pt idx="19">
                  <c:v>6807.7</c:v>
                </c:pt>
                <c:pt idx="20">
                  <c:v>6883.8</c:v>
                </c:pt>
                <c:pt idx="21">
                  <c:v>6802.3</c:v>
                </c:pt>
                <c:pt idx="22">
                  <c:v>6924.2</c:v>
                </c:pt>
                <c:pt idx="23">
                  <c:v>6736</c:v>
                </c:pt>
                <c:pt idx="24">
                  <c:v>6292.6</c:v>
                </c:pt>
                <c:pt idx="25">
                  <c:v>6498.2</c:v>
                </c:pt>
                <c:pt idx="26">
                  <c:v>6375.3</c:v>
                </c:pt>
                <c:pt idx="27">
                  <c:v>6134.1</c:v>
                </c:pt>
                <c:pt idx="28">
                  <c:v>6302.6</c:v>
                </c:pt>
                <c:pt idx="29">
                  <c:v>6299</c:v>
                </c:pt>
                <c:pt idx="30">
                  <c:v>6182.7</c:v>
                </c:pt>
                <c:pt idx="31">
                  <c:v>6075</c:v>
                </c:pt>
                <c:pt idx="32">
                  <c:v>6043.6</c:v>
                </c:pt>
                <c:pt idx="33">
                  <c:v>6193.7</c:v>
                </c:pt>
                <c:pt idx="34">
                  <c:v>6020.4</c:v>
                </c:pt>
                <c:pt idx="35">
                  <c:v>5380.6</c:v>
                </c:pt>
                <c:pt idx="36">
                  <c:v>5728.4</c:v>
                </c:pt>
                <c:pt idx="37">
                  <c:v>5851.4</c:v>
                </c:pt>
              </c:numCache>
            </c:numRef>
          </c:val>
          <c:smooth val="0"/>
          <c:extLst>
            <c:ext xmlns:c16="http://schemas.microsoft.com/office/drawing/2014/chart" uri="{C3380CC4-5D6E-409C-BE32-E72D297353CC}">
              <c16:uniqueId val="{00000003-7E5C-43A2-83EC-F269460257A5}"/>
            </c:ext>
          </c:extLst>
        </c:ser>
        <c:dLbls>
          <c:showLegendKey val="0"/>
          <c:showVal val="0"/>
          <c:showCatName val="0"/>
          <c:showSerName val="0"/>
          <c:showPercent val="0"/>
          <c:showBubbleSize val="0"/>
        </c:dLbls>
        <c:marker val="1"/>
        <c:smooth val="0"/>
        <c:axId val="1196521039"/>
        <c:axId val="404255023"/>
      </c:lineChart>
      <c:catAx>
        <c:axId val="1177209679"/>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130504239"/>
        <c:crosses val="autoZero"/>
        <c:auto val="1"/>
        <c:lblAlgn val="ctr"/>
        <c:lblOffset val="100"/>
        <c:tickLblSkip val="5"/>
        <c:tickMarkSkip val="5"/>
        <c:noMultiLvlLbl val="0"/>
      </c:catAx>
      <c:valAx>
        <c:axId val="2130504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Terawatt</a:t>
                </a:r>
                <a:r>
                  <a:rPr lang="en-AU" baseline="0"/>
                  <a:t> hours</a:t>
                </a:r>
                <a:endParaRPr lang="en-AU"/>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77209679"/>
        <c:crosses val="autoZero"/>
        <c:crossBetween val="between"/>
      </c:valAx>
      <c:valAx>
        <c:axId val="404255023"/>
        <c:scaling>
          <c:orientation val="minMax"/>
          <c:max val="100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latin typeface="Arial" panose="020B0604020202020204" pitchFamily="34" charset="0"/>
                    <a:cs typeface="Arial" panose="020B0604020202020204" pitchFamily="34" charset="0"/>
                  </a:rPr>
                  <a:t>Mt CO</a:t>
                </a:r>
                <a:r>
                  <a:rPr lang="en-AU" sz="900" baseline="-25000">
                    <a:latin typeface="Arial" panose="020B0604020202020204" pitchFamily="34" charset="0"/>
                    <a:cs typeface="Arial" panose="020B0604020202020204" pitchFamily="34" charset="0"/>
                  </a:rPr>
                  <a:t>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96521039"/>
        <c:crosses val="max"/>
        <c:crossBetween val="between"/>
        <c:majorUnit val="2000"/>
      </c:valAx>
      <c:catAx>
        <c:axId val="1196521039"/>
        <c:scaling>
          <c:orientation val="minMax"/>
        </c:scaling>
        <c:delete val="1"/>
        <c:axPos val="b"/>
        <c:majorTickMark val="out"/>
        <c:minorTickMark val="none"/>
        <c:tickLblPos val="nextTo"/>
        <c:crossAx val="404255023"/>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'1.16'!$C$5</c:f>
              <c:strCache>
                <c:ptCount val="1"/>
                <c:pt idx="0">
                  <c:v>Coal</c:v>
                </c:pt>
              </c:strCache>
            </c:strRef>
          </c:tx>
          <c:spPr>
            <a:ln w="28575" cap="rnd" cmpd="sng" algn="ctr">
              <a:solidFill>
                <a:srgbClr val="005CAF"/>
              </a:solidFill>
              <a:prstDash val="solid"/>
              <a:round/>
              <a:headEnd type="none" w="med" len="med"/>
              <a:tailEnd type="none" w="med" len="med"/>
            </a:ln>
            <a:effectLst/>
          </c:spPr>
          <c:marker>
            <c:symbol val="none"/>
          </c:marker>
          <c:cat>
            <c:numRef>
              <c:f>'1.16'!$B$6:$B$43</c:f>
              <c:numCache>
                <c:formatCode>General</c:formatCod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numCache>
            </c:numRef>
          </c:cat>
          <c:val>
            <c:numRef>
              <c:f>'1.16'!$C$6:$C$43</c:f>
              <c:numCache>
                <c:formatCode>#,##0</c:formatCode>
                <c:ptCount val="38"/>
                <c:pt idx="0">
                  <c:v>1139.3207018897961</c:v>
                </c:pt>
                <c:pt idx="1">
                  <c:v>1175.151779595737</c:v>
                </c:pt>
                <c:pt idx="2">
                  <c:v>1191.9518960085043</c:v>
                </c:pt>
                <c:pt idx="3">
                  <c:v>1173.2937419964926</c:v>
                </c:pt>
                <c:pt idx="4">
                  <c:v>1209.9099024384454</c:v>
                </c:pt>
                <c:pt idx="5">
                  <c:v>1218.468435</c:v>
                </c:pt>
                <c:pt idx="6">
                  <c:v>1209.1398248866751</c:v>
                </c:pt>
                <c:pt idx="7">
                  <c:v>1158.9684199319947</c:v>
                </c:pt>
                <c:pt idx="8">
                  <c:v>1093.739482757991</c:v>
                </c:pt>
                <c:pt idx="9">
                  <c:v>1090.6282501156772</c:v>
                </c:pt>
                <c:pt idx="10">
                  <c:v>1093.7700262954472</c:v>
                </c:pt>
                <c:pt idx="11">
                  <c:v>1093.686439091123</c:v>
                </c:pt>
                <c:pt idx="12">
                  <c:v>1051.3566092917845</c:v>
                </c:pt>
                <c:pt idx="13">
                  <c:v>1058.3128927148689</c:v>
                </c:pt>
                <c:pt idx="14">
                  <c:v>1022.4586918752543</c:v>
                </c:pt>
                <c:pt idx="15">
                  <c:v>1077.0058533417855</c:v>
                </c:pt>
                <c:pt idx="16">
                  <c:v>1092.0142788279827</c:v>
                </c:pt>
                <c:pt idx="17">
                  <c:v>1094.4469597621019</c:v>
                </c:pt>
                <c:pt idx="18">
                  <c:v>1155.6937098625592</c:v>
                </c:pt>
                <c:pt idx="19">
                  <c:v>1127.4494612068399</c:v>
                </c:pt>
                <c:pt idx="20">
                  <c:v>1119.0513971851676</c:v>
                </c:pt>
                <c:pt idx="21">
                  <c:v>1162.1778167478933</c:v>
                </c:pt>
                <c:pt idx="22">
                  <c:v>1178.0522022264749</c:v>
                </c:pt>
                <c:pt idx="23">
                  <c:v>1100.5730073319442</c:v>
                </c:pt>
                <c:pt idx="24">
                  <c:v>1007.5761019897869</c:v>
                </c:pt>
                <c:pt idx="25">
                  <c:v>1019.8215014406285</c:v>
                </c:pt>
                <c:pt idx="26">
                  <c:v>1066.2070318694739</c:v>
                </c:pt>
                <c:pt idx="27">
                  <c:v>1115.7292400843228</c:v>
                </c:pt>
                <c:pt idx="28">
                  <c:v>1087.7968705912685</c:v>
                </c:pt>
                <c:pt idx="29">
                  <c:v>1017.2251355775284</c:v>
                </c:pt>
                <c:pt idx="30">
                  <c:v>992.65399433738162</c:v>
                </c:pt>
                <c:pt idx="31">
                  <c:v>923.85518182407327</c:v>
                </c:pt>
                <c:pt idx="32">
                  <c:v>889.50023556568146</c:v>
                </c:pt>
                <c:pt idx="33">
                  <c:v>854.41239918711415</c:v>
                </c:pt>
                <c:pt idx="34">
                  <c:v>689.71699254188854</c:v>
                </c:pt>
                <c:pt idx="35">
                  <c:v>571.47411151448227</c:v>
                </c:pt>
                <c:pt idx="36">
                  <c:v>631.49673507759235</c:v>
                </c:pt>
                <c:pt idx="37">
                  <c:v>649.97186347996126</c:v>
                </c:pt>
              </c:numCache>
            </c:numRef>
          </c:val>
          <c:smooth val="0"/>
          <c:extLst>
            <c:ext xmlns:c16="http://schemas.microsoft.com/office/drawing/2014/chart" uri="{C3380CC4-5D6E-409C-BE32-E72D297353CC}">
              <c16:uniqueId val="{00000000-FD03-4E54-B01E-A7E5E8EECB6A}"/>
            </c:ext>
          </c:extLst>
        </c:ser>
        <c:ser>
          <c:idx val="1"/>
          <c:order val="1"/>
          <c:tx>
            <c:strRef>
              <c:f>'1.16'!$D$5</c:f>
              <c:strCache>
                <c:ptCount val="1"/>
                <c:pt idx="0">
                  <c:v>Gas</c:v>
                </c:pt>
              </c:strCache>
            </c:strRef>
          </c:tx>
          <c:spPr>
            <a:ln w="28575" cap="rnd" cmpd="sng" algn="ctr">
              <a:solidFill>
                <a:srgbClr val="56B4DF"/>
              </a:solidFill>
              <a:prstDash val="solid"/>
              <a:round/>
              <a:headEnd type="none" w="med" len="med"/>
              <a:tailEnd type="none" w="med" len="med"/>
            </a:ln>
            <a:effectLst/>
          </c:spPr>
          <c:marker>
            <c:symbol val="none"/>
          </c:marker>
          <c:cat>
            <c:numRef>
              <c:f>'1.16'!$B$6:$B$43</c:f>
              <c:numCache>
                <c:formatCode>General</c:formatCod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numCache>
            </c:numRef>
          </c:cat>
          <c:val>
            <c:numRef>
              <c:f>'1.16'!$D$6:$D$43</c:f>
              <c:numCache>
                <c:formatCode>#,##0</c:formatCode>
                <c:ptCount val="38"/>
                <c:pt idx="0">
                  <c:v>222.9</c:v>
                </c:pt>
                <c:pt idx="1">
                  <c:v>229.2</c:v>
                </c:pt>
                <c:pt idx="2">
                  <c:v>239.9</c:v>
                </c:pt>
                <c:pt idx="3">
                  <c:v>238.8</c:v>
                </c:pt>
                <c:pt idx="4">
                  <c:v>264</c:v>
                </c:pt>
                <c:pt idx="5">
                  <c:v>255.1</c:v>
                </c:pt>
                <c:pt idx="6">
                  <c:v>253.8</c:v>
                </c:pt>
                <c:pt idx="7">
                  <c:v>245</c:v>
                </c:pt>
                <c:pt idx="8">
                  <c:v>267.39999999999998</c:v>
                </c:pt>
                <c:pt idx="9">
                  <c:v>295.10000000000002</c:v>
                </c:pt>
                <c:pt idx="10">
                  <c:v>319.10000000000002</c:v>
                </c:pt>
                <c:pt idx="11">
                  <c:v>366</c:v>
                </c:pt>
                <c:pt idx="12">
                  <c:v>415.7</c:v>
                </c:pt>
                <c:pt idx="13">
                  <c:v>447.4</c:v>
                </c:pt>
                <c:pt idx="14">
                  <c:v>523.70000000000005</c:v>
                </c:pt>
                <c:pt idx="15">
                  <c:v>556.79999999999995</c:v>
                </c:pt>
                <c:pt idx="16">
                  <c:v>577.20000000000005</c:v>
                </c:pt>
                <c:pt idx="17">
                  <c:v>612.4</c:v>
                </c:pt>
                <c:pt idx="18">
                  <c:v>669.9</c:v>
                </c:pt>
                <c:pt idx="19">
                  <c:v>718</c:v>
                </c:pt>
                <c:pt idx="20">
                  <c:v>776.7</c:v>
                </c:pt>
                <c:pt idx="21">
                  <c:v>789.8</c:v>
                </c:pt>
                <c:pt idx="22">
                  <c:v>858.3</c:v>
                </c:pt>
                <c:pt idx="23">
                  <c:v>910.4</c:v>
                </c:pt>
                <c:pt idx="24">
                  <c:v>846.3</c:v>
                </c:pt>
                <c:pt idx="25">
                  <c:v>884.7</c:v>
                </c:pt>
                <c:pt idx="26">
                  <c:v>831</c:v>
                </c:pt>
                <c:pt idx="27">
                  <c:v>709.4</c:v>
                </c:pt>
                <c:pt idx="28">
                  <c:v>634.20000000000005</c:v>
                </c:pt>
                <c:pt idx="29">
                  <c:v>596.79999999999995</c:v>
                </c:pt>
                <c:pt idx="30">
                  <c:v>612.4</c:v>
                </c:pt>
                <c:pt idx="31">
                  <c:v>716.1</c:v>
                </c:pt>
                <c:pt idx="32">
                  <c:v>787.6</c:v>
                </c:pt>
                <c:pt idx="33">
                  <c:v>732.7</c:v>
                </c:pt>
                <c:pt idx="34">
                  <c:v>779.1</c:v>
                </c:pt>
                <c:pt idx="35">
                  <c:v>765</c:v>
                </c:pt>
                <c:pt idx="36">
                  <c:v>799.9</c:v>
                </c:pt>
                <c:pt idx="37">
                  <c:v>768</c:v>
                </c:pt>
              </c:numCache>
            </c:numRef>
          </c:val>
          <c:smooth val="0"/>
          <c:extLst>
            <c:ext xmlns:c16="http://schemas.microsoft.com/office/drawing/2014/chart" uri="{C3380CC4-5D6E-409C-BE32-E72D297353CC}">
              <c16:uniqueId val="{00000001-FD03-4E54-B01E-A7E5E8EECB6A}"/>
            </c:ext>
          </c:extLst>
        </c:ser>
        <c:ser>
          <c:idx val="2"/>
          <c:order val="2"/>
          <c:tx>
            <c:strRef>
              <c:f>'1.16'!$E$5</c:f>
              <c:strCache>
                <c:ptCount val="1"/>
                <c:pt idx="0">
                  <c:v>Oil</c:v>
                </c:pt>
              </c:strCache>
            </c:strRef>
          </c:tx>
          <c:spPr>
            <a:ln w="28575" cap="rnd">
              <a:solidFill>
                <a:srgbClr val="9ED9DF"/>
              </a:solidFill>
              <a:round/>
            </a:ln>
            <a:effectLst/>
          </c:spPr>
          <c:marker>
            <c:symbol val="none"/>
          </c:marker>
          <c:cat>
            <c:numRef>
              <c:f>'1.16'!$B$6:$B$43</c:f>
              <c:numCache>
                <c:formatCode>General</c:formatCod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numCache>
            </c:numRef>
          </c:cat>
          <c:val>
            <c:numRef>
              <c:f>'1.16'!$E$6:$E$43</c:f>
              <c:numCache>
                <c:formatCode>#,##0</c:formatCode>
                <c:ptCount val="38"/>
                <c:pt idx="0">
                  <c:v>271.60000000000002</c:v>
                </c:pt>
                <c:pt idx="1">
                  <c:v>266.10000000000002</c:v>
                </c:pt>
                <c:pt idx="2">
                  <c:v>265.7</c:v>
                </c:pt>
                <c:pt idx="3">
                  <c:v>249.6</c:v>
                </c:pt>
                <c:pt idx="4">
                  <c:v>281.60000000000002</c:v>
                </c:pt>
                <c:pt idx="5">
                  <c:v>281.10000000000002</c:v>
                </c:pt>
                <c:pt idx="6">
                  <c:v>277.8</c:v>
                </c:pt>
                <c:pt idx="7">
                  <c:v>270.2</c:v>
                </c:pt>
                <c:pt idx="8">
                  <c:v>240.5</c:v>
                </c:pt>
                <c:pt idx="9">
                  <c:v>232.2</c:v>
                </c:pt>
                <c:pt idx="10">
                  <c:v>248.4</c:v>
                </c:pt>
                <c:pt idx="11">
                  <c:v>238.9</c:v>
                </c:pt>
                <c:pt idx="12">
                  <c:v>226.7</c:v>
                </c:pt>
                <c:pt idx="13">
                  <c:v>231.7</c:v>
                </c:pt>
                <c:pt idx="14">
                  <c:v>214.8</c:v>
                </c:pt>
                <c:pt idx="15">
                  <c:v>193</c:v>
                </c:pt>
                <c:pt idx="16">
                  <c:v>188.6</c:v>
                </c:pt>
                <c:pt idx="17">
                  <c:v>203.9</c:v>
                </c:pt>
                <c:pt idx="18">
                  <c:v>182.6</c:v>
                </c:pt>
                <c:pt idx="19">
                  <c:v>162.19999999999999</c:v>
                </c:pt>
                <c:pt idx="20">
                  <c:v>155.9</c:v>
                </c:pt>
                <c:pt idx="21">
                  <c:v>143.80000000000001</c:v>
                </c:pt>
                <c:pt idx="22">
                  <c:v>124.5</c:v>
                </c:pt>
                <c:pt idx="23">
                  <c:v>119.1</c:v>
                </c:pt>
                <c:pt idx="24">
                  <c:v>108.3</c:v>
                </c:pt>
                <c:pt idx="25">
                  <c:v>92.5</c:v>
                </c:pt>
                <c:pt idx="26">
                  <c:v>77.8</c:v>
                </c:pt>
                <c:pt idx="27">
                  <c:v>79.7</c:v>
                </c:pt>
                <c:pt idx="28">
                  <c:v>67.5</c:v>
                </c:pt>
                <c:pt idx="29">
                  <c:v>63.2</c:v>
                </c:pt>
                <c:pt idx="30">
                  <c:v>67.400000000000006</c:v>
                </c:pt>
                <c:pt idx="31">
                  <c:v>66.099999999999994</c:v>
                </c:pt>
                <c:pt idx="32">
                  <c:v>62.6</c:v>
                </c:pt>
                <c:pt idx="33">
                  <c:v>56.7</c:v>
                </c:pt>
                <c:pt idx="34">
                  <c:v>54.3</c:v>
                </c:pt>
                <c:pt idx="35">
                  <c:v>49.4</c:v>
                </c:pt>
                <c:pt idx="36">
                  <c:v>52.7</c:v>
                </c:pt>
                <c:pt idx="37">
                  <c:v>52.6</c:v>
                </c:pt>
              </c:numCache>
            </c:numRef>
          </c:val>
          <c:smooth val="0"/>
          <c:extLst>
            <c:ext xmlns:c16="http://schemas.microsoft.com/office/drawing/2014/chart" uri="{C3380CC4-5D6E-409C-BE32-E72D297353CC}">
              <c16:uniqueId val="{00000002-FD03-4E54-B01E-A7E5E8EECB6A}"/>
            </c:ext>
          </c:extLst>
        </c:ser>
        <c:dLbls>
          <c:showLegendKey val="0"/>
          <c:showVal val="0"/>
          <c:showCatName val="0"/>
          <c:showSerName val="0"/>
          <c:showPercent val="0"/>
          <c:showBubbleSize val="0"/>
        </c:dLbls>
        <c:marker val="1"/>
        <c:smooth val="0"/>
        <c:axId val="1177209679"/>
        <c:axId val="2130504239"/>
      </c:lineChart>
      <c:lineChart>
        <c:grouping val="standard"/>
        <c:varyColors val="0"/>
        <c:ser>
          <c:idx val="3"/>
          <c:order val="3"/>
          <c:tx>
            <c:strRef>
              <c:f>'1.16'!$F$5</c:f>
              <c:strCache>
                <c:ptCount val="1"/>
                <c:pt idx="0">
                  <c:v>Energy CO2 emissions (RHS)</c:v>
                </c:pt>
              </c:strCache>
            </c:strRef>
          </c:tx>
          <c:spPr>
            <a:ln w="28575" cap="rnd">
              <a:solidFill>
                <a:srgbClr val="F36A5A"/>
              </a:solidFill>
              <a:prstDash val="sysDot"/>
              <a:round/>
            </a:ln>
            <a:effectLst/>
          </c:spPr>
          <c:marker>
            <c:symbol val="none"/>
          </c:marker>
          <c:val>
            <c:numRef>
              <c:f>'1.16'!$F$6:$F$43</c:f>
              <c:numCache>
                <c:formatCode>#,##0</c:formatCode>
                <c:ptCount val="38"/>
                <c:pt idx="0">
                  <c:v>5397.9</c:v>
                </c:pt>
                <c:pt idx="1">
                  <c:v>5454.1</c:v>
                </c:pt>
                <c:pt idx="2">
                  <c:v>5510.1</c:v>
                </c:pt>
                <c:pt idx="3">
                  <c:v>5458.9</c:v>
                </c:pt>
                <c:pt idx="4">
                  <c:v>5445.2</c:v>
                </c:pt>
                <c:pt idx="5">
                  <c:v>5463.6</c:v>
                </c:pt>
                <c:pt idx="6">
                  <c:v>5330.9</c:v>
                </c:pt>
                <c:pt idx="7">
                  <c:v>5075.1000000000004</c:v>
                </c:pt>
                <c:pt idx="8">
                  <c:v>4910.3</c:v>
                </c:pt>
                <c:pt idx="9">
                  <c:v>4745.2</c:v>
                </c:pt>
                <c:pt idx="10">
                  <c:v>4808.1000000000004</c:v>
                </c:pt>
                <c:pt idx="11">
                  <c:v>4891.3</c:v>
                </c:pt>
                <c:pt idx="12">
                  <c:v>4827</c:v>
                </c:pt>
                <c:pt idx="13">
                  <c:v>4838.3999999999996</c:v>
                </c:pt>
                <c:pt idx="14">
                  <c:v>4758.8</c:v>
                </c:pt>
                <c:pt idx="15">
                  <c:v>4791.2</c:v>
                </c:pt>
                <c:pt idx="16">
                  <c:v>4842.7</c:v>
                </c:pt>
                <c:pt idx="17">
                  <c:v>4838.2</c:v>
                </c:pt>
                <c:pt idx="18">
                  <c:v>4969.3999999999996</c:v>
                </c:pt>
                <c:pt idx="19">
                  <c:v>4989.5</c:v>
                </c:pt>
                <c:pt idx="20">
                  <c:v>4985.2</c:v>
                </c:pt>
                <c:pt idx="21">
                  <c:v>5060</c:v>
                </c:pt>
                <c:pt idx="22">
                  <c:v>5017.8</c:v>
                </c:pt>
                <c:pt idx="23">
                  <c:v>4931.5</c:v>
                </c:pt>
                <c:pt idx="24">
                  <c:v>4565.8999999999996</c:v>
                </c:pt>
                <c:pt idx="25">
                  <c:v>4678.3</c:v>
                </c:pt>
                <c:pt idx="26">
                  <c:v>4597.7</c:v>
                </c:pt>
                <c:pt idx="27">
                  <c:v>4540</c:v>
                </c:pt>
                <c:pt idx="28">
                  <c:v>4433.3999999999996</c:v>
                </c:pt>
                <c:pt idx="29">
                  <c:v>4203.5</c:v>
                </c:pt>
                <c:pt idx="30">
                  <c:v>4212.1000000000004</c:v>
                </c:pt>
                <c:pt idx="31">
                  <c:v>4256.3</c:v>
                </c:pt>
                <c:pt idx="32">
                  <c:v>4304</c:v>
                </c:pt>
                <c:pt idx="33">
                  <c:v>4249.1000000000004</c:v>
                </c:pt>
                <c:pt idx="34">
                  <c:v>4077.5</c:v>
                </c:pt>
                <c:pt idx="35">
                  <c:v>3621.3</c:v>
                </c:pt>
                <c:pt idx="36">
                  <c:v>3845.2</c:v>
                </c:pt>
                <c:pt idx="37">
                  <c:v>3769.8</c:v>
                </c:pt>
              </c:numCache>
            </c:numRef>
          </c:val>
          <c:smooth val="0"/>
          <c:extLst>
            <c:ext xmlns:c16="http://schemas.microsoft.com/office/drawing/2014/chart" uri="{C3380CC4-5D6E-409C-BE32-E72D297353CC}">
              <c16:uniqueId val="{00000003-FD03-4E54-B01E-A7E5E8EECB6A}"/>
            </c:ext>
          </c:extLst>
        </c:ser>
        <c:dLbls>
          <c:showLegendKey val="0"/>
          <c:showVal val="0"/>
          <c:showCatName val="0"/>
          <c:showSerName val="0"/>
          <c:showPercent val="0"/>
          <c:showBubbleSize val="0"/>
        </c:dLbls>
        <c:marker val="1"/>
        <c:smooth val="0"/>
        <c:axId val="1196521039"/>
        <c:axId val="404255023"/>
      </c:lineChart>
      <c:catAx>
        <c:axId val="1177209679"/>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130504239"/>
        <c:crosses val="autoZero"/>
        <c:auto val="1"/>
        <c:lblAlgn val="ctr"/>
        <c:lblOffset val="100"/>
        <c:tickLblSkip val="5"/>
        <c:tickMarkSkip val="5"/>
        <c:noMultiLvlLbl val="0"/>
      </c:catAx>
      <c:valAx>
        <c:axId val="2130504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Terawatt</a:t>
                </a:r>
                <a:r>
                  <a:rPr lang="en-AU" baseline="0"/>
                  <a:t> hours</a:t>
                </a:r>
                <a:endParaRPr lang="en-AU"/>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77209679"/>
        <c:crosses val="autoZero"/>
        <c:crossBetween val="between"/>
      </c:valAx>
      <c:valAx>
        <c:axId val="404255023"/>
        <c:scaling>
          <c:orientation val="minMax"/>
          <c:max val="7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Mt CO</a:t>
                </a:r>
                <a:r>
                  <a:rPr lang="en-AU" baseline="-25000"/>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96521039"/>
        <c:crosses val="max"/>
        <c:crossBetween val="between"/>
      </c:valAx>
      <c:catAx>
        <c:axId val="1196521039"/>
        <c:scaling>
          <c:orientation val="minMax"/>
        </c:scaling>
        <c:delete val="1"/>
        <c:axPos val="b"/>
        <c:majorTickMark val="out"/>
        <c:minorTickMark val="none"/>
        <c:tickLblPos val="nextTo"/>
        <c:crossAx val="404255023"/>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'1.17'!$C$5</c:f>
              <c:strCache>
                <c:ptCount val="1"/>
                <c:pt idx="0">
                  <c:v>Coal</c:v>
                </c:pt>
              </c:strCache>
            </c:strRef>
          </c:tx>
          <c:spPr>
            <a:ln w="28575" cap="rnd" cmpd="sng" algn="ctr">
              <a:solidFill>
                <a:srgbClr val="005CAF"/>
              </a:solidFill>
              <a:prstDash val="solid"/>
              <a:round/>
              <a:headEnd type="none" w="med" len="med"/>
              <a:tailEnd type="none" w="med" len="med"/>
            </a:ln>
            <a:effectLst/>
          </c:spPr>
          <c:marker>
            <c:symbol val="none"/>
          </c:marker>
          <c:cat>
            <c:numRef>
              <c:f>'1.17'!$B$6:$B$43</c:f>
              <c:numCache>
                <c:formatCode>General</c:formatCod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numCache>
            </c:numRef>
          </c:cat>
          <c:val>
            <c:numRef>
              <c:f>'1.17'!$C$6:$C$43</c:f>
              <c:numCache>
                <c:formatCode>#,##0</c:formatCode>
                <c:ptCount val="38"/>
                <c:pt idx="0">
                  <c:v>651.5</c:v>
                </c:pt>
                <c:pt idx="1">
                  <c:v>715.4</c:v>
                </c:pt>
                <c:pt idx="2">
                  <c:v>802.8</c:v>
                </c:pt>
                <c:pt idx="3">
                  <c:v>871.5</c:v>
                </c:pt>
                <c:pt idx="4">
                  <c:v>945.2</c:v>
                </c:pt>
                <c:pt idx="5">
                  <c:v>1005.6</c:v>
                </c:pt>
                <c:pt idx="6">
                  <c:v>1109</c:v>
                </c:pt>
                <c:pt idx="7">
                  <c:v>1219.4000000000001</c:v>
                </c:pt>
                <c:pt idx="8">
                  <c:v>1290.9000000000001</c:v>
                </c:pt>
                <c:pt idx="9">
                  <c:v>1437.7</c:v>
                </c:pt>
                <c:pt idx="10">
                  <c:v>1548.6</c:v>
                </c:pt>
                <c:pt idx="11">
                  <c:v>1685.7</c:v>
                </c:pt>
                <c:pt idx="12">
                  <c:v>1780.4</c:v>
                </c:pt>
                <c:pt idx="13">
                  <c:v>1846.1</c:v>
                </c:pt>
                <c:pt idx="14">
                  <c:v>1993.9</c:v>
                </c:pt>
                <c:pt idx="15">
                  <c:v>2173.6999999999998</c:v>
                </c:pt>
                <c:pt idx="16">
                  <c:v>2308.1</c:v>
                </c:pt>
                <c:pt idx="17">
                  <c:v>2507.8000000000002</c:v>
                </c:pt>
                <c:pt idx="18">
                  <c:v>2816.5</c:v>
                </c:pt>
                <c:pt idx="19">
                  <c:v>3069</c:v>
                </c:pt>
                <c:pt idx="20">
                  <c:v>3394.7</c:v>
                </c:pt>
                <c:pt idx="21">
                  <c:v>3761.4</c:v>
                </c:pt>
                <c:pt idx="22">
                  <c:v>4188.2</c:v>
                </c:pt>
                <c:pt idx="23">
                  <c:v>4307.7</c:v>
                </c:pt>
                <c:pt idx="24">
                  <c:v>4552.3999999999996</c:v>
                </c:pt>
                <c:pt idx="25">
                  <c:v>4934.2</c:v>
                </c:pt>
                <c:pt idx="26">
                  <c:v>5448.7</c:v>
                </c:pt>
                <c:pt idx="27">
                  <c:v>5664.9</c:v>
                </c:pt>
                <c:pt idx="28">
                  <c:v>6089.6</c:v>
                </c:pt>
                <c:pt idx="29">
                  <c:v>6343.1</c:v>
                </c:pt>
                <c:pt idx="30">
                  <c:v>6274.8</c:v>
                </c:pt>
                <c:pt idx="31">
                  <c:v>6477.5</c:v>
                </c:pt>
                <c:pt idx="32">
                  <c:v>6842.1</c:v>
                </c:pt>
                <c:pt idx="33">
                  <c:v>7313.2</c:v>
                </c:pt>
                <c:pt idx="34">
                  <c:v>7430.4</c:v>
                </c:pt>
                <c:pt idx="35">
                  <c:v>7409.2</c:v>
                </c:pt>
                <c:pt idx="36">
                  <c:v>7956.4</c:v>
                </c:pt>
                <c:pt idx="37">
                  <c:v>8120.1</c:v>
                </c:pt>
              </c:numCache>
            </c:numRef>
          </c:val>
          <c:smooth val="0"/>
          <c:extLst>
            <c:ext xmlns:c16="http://schemas.microsoft.com/office/drawing/2014/chart" uri="{C3380CC4-5D6E-409C-BE32-E72D297353CC}">
              <c16:uniqueId val="{00000000-9EAF-4F56-9B23-8A75C77995CE}"/>
            </c:ext>
          </c:extLst>
        </c:ser>
        <c:ser>
          <c:idx val="1"/>
          <c:order val="1"/>
          <c:tx>
            <c:strRef>
              <c:f>'1.17'!$D$5</c:f>
              <c:strCache>
                <c:ptCount val="1"/>
                <c:pt idx="0">
                  <c:v>Gas</c:v>
                </c:pt>
              </c:strCache>
            </c:strRef>
          </c:tx>
          <c:spPr>
            <a:ln w="28575" cap="rnd" cmpd="sng" algn="ctr">
              <a:solidFill>
                <a:srgbClr val="56B4DF"/>
              </a:solidFill>
              <a:prstDash val="solid"/>
              <a:round/>
              <a:headEnd type="none" w="med" len="med"/>
              <a:tailEnd type="none" w="med" len="med"/>
            </a:ln>
            <a:effectLst/>
          </c:spPr>
          <c:marker>
            <c:symbol val="none"/>
          </c:marker>
          <c:cat>
            <c:numRef>
              <c:f>'1.17'!$B$6:$B$43</c:f>
              <c:numCache>
                <c:formatCode>General</c:formatCod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numCache>
            </c:numRef>
          </c:cat>
          <c:val>
            <c:numRef>
              <c:f>'1.17'!$D$6:$D$43</c:f>
              <c:numCache>
                <c:formatCode>#,##0</c:formatCode>
                <c:ptCount val="38"/>
                <c:pt idx="0">
                  <c:v>178.5</c:v>
                </c:pt>
                <c:pt idx="1">
                  <c:v>187.9</c:v>
                </c:pt>
                <c:pt idx="2">
                  <c:v>211.3</c:v>
                </c:pt>
                <c:pt idx="3">
                  <c:v>226.7</c:v>
                </c:pt>
                <c:pt idx="4">
                  <c:v>241.7</c:v>
                </c:pt>
                <c:pt idx="5">
                  <c:v>270.7</c:v>
                </c:pt>
                <c:pt idx="6">
                  <c:v>293.89999999999998</c:v>
                </c:pt>
                <c:pt idx="7">
                  <c:v>314.10000000000002</c:v>
                </c:pt>
                <c:pt idx="8">
                  <c:v>326.8</c:v>
                </c:pt>
                <c:pt idx="9">
                  <c:v>365.2</c:v>
                </c:pt>
                <c:pt idx="10">
                  <c:v>407.3</c:v>
                </c:pt>
                <c:pt idx="11">
                  <c:v>443.6</c:v>
                </c:pt>
                <c:pt idx="12">
                  <c:v>508.7</c:v>
                </c:pt>
                <c:pt idx="13">
                  <c:v>532.79999999999995</c:v>
                </c:pt>
                <c:pt idx="14">
                  <c:v>577</c:v>
                </c:pt>
                <c:pt idx="15">
                  <c:v>600.20000000000005</c:v>
                </c:pt>
                <c:pt idx="16">
                  <c:v>639.6</c:v>
                </c:pt>
                <c:pt idx="17">
                  <c:v>687.5</c:v>
                </c:pt>
                <c:pt idx="18">
                  <c:v>751</c:v>
                </c:pt>
                <c:pt idx="19">
                  <c:v>790.3</c:v>
                </c:pt>
                <c:pt idx="20">
                  <c:v>800.7</c:v>
                </c:pt>
                <c:pt idx="21">
                  <c:v>864.7</c:v>
                </c:pt>
                <c:pt idx="22">
                  <c:v>938</c:v>
                </c:pt>
                <c:pt idx="23">
                  <c:v>986.8</c:v>
                </c:pt>
                <c:pt idx="24">
                  <c:v>1035.7</c:v>
                </c:pt>
                <c:pt idx="25">
                  <c:v>1147.9000000000001</c:v>
                </c:pt>
                <c:pt idx="26">
                  <c:v>1222.9000000000001</c:v>
                </c:pt>
                <c:pt idx="27">
                  <c:v>1314.9</c:v>
                </c:pt>
                <c:pt idx="28">
                  <c:v>1318.1</c:v>
                </c:pt>
                <c:pt idx="29">
                  <c:v>1368</c:v>
                </c:pt>
                <c:pt idx="30">
                  <c:v>1379</c:v>
                </c:pt>
                <c:pt idx="31">
                  <c:v>1405.1</c:v>
                </c:pt>
                <c:pt idx="32">
                  <c:v>1441</c:v>
                </c:pt>
                <c:pt idx="33">
                  <c:v>1481.3</c:v>
                </c:pt>
                <c:pt idx="34">
                  <c:v>1501.6</c:v>
                </c:pt>
                <c:pt idx="35">
                  <c:v>1475</c:v>
                </c:pt>
                <c:pt idx="36">
                  <c:v>1493.7</c:v>
                </c:pt>
                <c:pt idx="37">
                  <c:v>1473.9</c:v>
                </c:pt>
              </c:numCache>
            </c:numRef>
          </c:val>
          <c:smooth val="0"/>
          <c:extLst>
            <c:ext xmlns:c16="http://schemas.microsoft.com/office/drawing/2014/chart" uri="{C3380CC4-5D6E-409C-BE32-E72D297353CC}">
              <c16:uniqueId val="{00000001-9EAF-4F56-9B23-8A75C77995CE}"/>
            </c:ext>
          </c:extLst>
        </c:ser>
        <c:ser>
          <c:idx val="2"/>
          <c:order val="2"/>
          <c:tx>
            <c:strRef>
              <c:f>'1.17'!$E$5</c:f>
              <c:strCache>
                <c:ptCount val="1"/>
                <c:pt idx="0">
                  <c:v>Oil</c:v>
                </c:pt>
              </c:strCache>
            </c:strRef>
          </c:tx>
          <c:spPr>
            <a:ln w="28575" cap="rnd">
              <a:solidFill>
                <a:srgbClr val="9ED9DF"/>
              </a:solidFill>
              <a:round/>
            </a:ln>
            <a:effectLst/>
          </c:spPr>
          <c:marker>
            <c:symbol val="none"/>
          </c:marker>
          <c:cat>
            <c:numRef>
              <c:f>'1.17'!$B$6:$B$43</c:f>
              <c:numCache>
                <c:formatCode>General</c:formatCod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numCache>
            </c:numRef>
          </c:cat>
          <c:val>
            <c:numRef>
              <c:f>'1.17'!$E$6:$E$43</c:f>
              <c:numCache>
                <c:formatCode>#,##0</c:formatCode>
                <c:ptCount val="38"/>
                <c:pt idx="0">
                  <c:v>333.4</c:v>
                </c:pt>
                <c:pt idx="1">
                  <c:v>324.3</c:v>
                </c:pt>
                <c:pt idx="2">
                  <c:v>328.4</c:v>
                </c:pt>
                <c:pt idx="3">
                  <c:v>375.6</c:v>
                </c:pt>
                <c:pt idx="4">
                  <c:v>407.2</c:v>
                </c:pt>
                <c:pt idx="5">
                  <c:v>470.6</c:v>
                </c:pt>
                <c:pt idx="6">
                  <c:v>478.1</c:v>
                </c:pt>
                <c:pt idx="7">
                  <c:v>493.4</c:v>
                </c:pt>
                <c:pt idx="8">
                  <c:v>470.8</c:v>
                </c:pt>
                <c:pt idx="9">
                  <c:v>513.1</c:v>
                </c:pt>
                <c:pt idx="10">
                  <c:v>493.7</c:v>
                </c:pt>
                <c:pt idx="11">
                  <c:v>484.4</c:v>
                </c:pt>
                <c:pt idx="12">
                  <c:v>459.2</c:v>
                </c:pt>
                <c:pt idx="13">
                  <c:v>424.9</c:v>
                </c:pt>
                <c:pt idx="14">
                  <c:v>418.6</c:v>
                </c:pt>
                <c:pt idx="15">
                  <c:v>422.3</c:v>
                </c:pt>
                <c:pt idx="16">
                  <c:v>383.5</c:v>
                </c:pt>
                <c:pt idx="17">
                  <c:v>395.4</c:v>
                </c:pt>
                <c:pt idx="18">
                  <c:v>397.8</c:v>
                </c:pt>
                <c:pt idx="19">
                  <c:v>394.9</c:v>
                </c:pt>
                <c:pt idx="20">
                  <c:v>402.2</c:v>
                </c:pt>
                <c:pt idx="21">
                  <c:v>357.1</c:v>
                </c:pt>
                <c:pt idx="22">
                  <c:v>373.8</c:v>
                </c:pt>
                <c:pt idx="23">
                  <c:v>345.5</c:v>
                </c:pt>
                <c:pt idx="24">
                  <c:v>263.60000000000002</c:v>
                </c:pt>
                <c:pt idx="25">
                  <c:v>268.89999999999998</c:v>
                </c:pt>
                <c:pt idx="26">
                  <c:v>330.6</c:v>
                </c:pt>
                <c:pt idx="27">
                  <c:v>374</c:v>
                </c:pt>
                <c:pt idx="28">
                  <c:v>305.5</c:v>
                </c:pt>
                <c:pt idx="29">
                  <c:v>265.60000000000002</c:v>
                </c:pt>
                <c:pt idx="30">
                  <c:v>252.3</c:v>
                </c:pt>
                <c:pt idx="31">
                  <c:v>243.5</c:v>
                </c:pt>
                <c:pt idx="32">
                  <c:v>211.1</c:v>
                </c:pt>
                <c:pt idx="33">
                  <c:v>162.80000000000001</c:v>
                </c:pt>
                <c:pt idx="34">
                  <c:v>127.3</c:v>
                </c:pt>
                <c:pt idx="35">
                  <c:v>111.4</c:v>
                </c:pt>
                <c:pt idx="36">
                  <c:v>126.4</c:v>
                </c:pt>
                <c:pt idx="37">
                  <c:v>142.19999999999999</c:v>
                </c:pt>
              </c:numCache>
            </c:numRef>
          </c:val>
          <c:smooth val="0"/>
          <c:extLst>
            <c:ext xmlns:c16="http://schemas.microsoft.com/office/drawing/2014/chart" uri="{C3380CC4-5D6E-409C-BE32-E72D297353CC}">
              <c16:uniqueId val="{00000002-9EAF-4F56-9B23-8A75C77995CE}"/>
            </c:ext>
          </c:extLst>
        </c:ser>
        <c:dLbls>
          <c:showLegendKey val="0"/>
          <c:showVal val="0"/>
          <c:showCatName val="0"/>
          <c:showSerName val="0"/>
          <c:showPercent val="0"/>
          <c:showBubbleSize val="0"/>
        </c:dLbls>
        <c:marker val="1"/>
        <c:smooth val="0"/>
        <c:axId val="1177209679"/>
        <c:axId val="2130504239"/>
      </c:lineChart>
      <c:lineChart>
        <c:grouping val="standard"/>
        <c:varyColors val="0"/>
        <c:ser>
          <c:idx val="3"/>
          <c:order val="3"/>
          <c:tx>
            <c:strRef>
              <c:f>'1.17'!$F$5</c:f>
              <c:strCache>
                <c:ptCount val="1"/>
                <c:pt idx="0">
                  <c:v>Energy CO2 emissions (RHS)</c:v>
                </c:pt>
              </c:strCache>
            </c:strRef>
          </c:tx>
          <c:spPr>
            <a:ln w="28575" cap="rnd">
              <a:solidFill>
                <a:srgbClr val="F36A5A"/>
              </a:solidFill>
              <a:prstDash val="sysDot"/>
              <a:round/>
            </a:ln>
            <a:effectLst/>
          </c:spPr>
          <c:marker>
            <c:symbol val="none"/>
          </c:marker>
          <c:val>
            <c:numRef>
              <c:f>'1.17'!$F$6:$F$43</c:f>
              <c:numCache>
                <c:formatCode>#,##0</c:formatCode>
                <c:ptCount val="38"/>
                <c:pt idx="0">
                  <c:v>4149.3999999999996</c:v>
                </c:pt>
                <c:pt idx="1">
                  <c:v>4302.5</c:v>
                </c:pt>
                <c:pt idx="2">
                  <c:v>4542.7</c:v>
                </c:pt>
                <c:pt idx="3">
                  <c:v>4888.6000000000004</c:v>
                </c:pt>
                <c:pt idx="4">
                  <c:v>5132.2</c:v>
                </c:pt>
                <c:pt idx="5">
                  <c:v>5328</c:v>
                </c:pt>
                <c:pt idx="6">
                  <c:v>5580.6</c:v>
                </c:pt>
                <c:pt idx="7">
                  <c:v>5831.4</c:v>
                </c:pt>
                <c:pt idx="8">
                  <c:v>6142.4</c:v>
                </c:pt>
                <c:pt idx="9">
                  <c:v>6468.8</c:v>
                </c:pt>
                <c:pt idx="10">
                  <c:v>6737.9</c:v>
                </c:pt>
                <c:pt idx="11">
                  <c:v>7053.4</c:v>
                </c:pt>
                <c:pt idx="12">
                  <c:v>7199.4</c:v>
                </c:pt>
                <c:pt idx="13">
                  <c:v>7142.8</c:v>
                </c:pt>
                <c:pt idx="14">
                  <c:v>7422.4</c:v>
                </c:pt>
                <c:pt idx="15">
                  <c:v>7663</c:v>
                </c:pt>
                <c:pt idx="16">
                  <c:v>7917.6</c:v>
                </c:pt>
                <c:pt idx="17">
                  <c:v>8349.5</c:v>
                </c:pt>
                <c:pt idx="18">
                  <c:v>9218.7999999999993</c:v>
                </c:pt>
                <c:pt idx="19">
                  <c:v>10198.5</c:v>
                </c:pt>
                <c:pt idx="20">
                  <c:v>11157.1</c:v>
                </c:pt>
                <c:pt idx="21">
                  <c:v>11833.2</c:v>
                </c:pt>
                <c:pt idx="22">
                  <c:v>12620.1</c:v>
                </c:pt>
                <c:pt idx="23">
                  <c:v>12929.8</c:v>
                </c:pt>
                <c:pt idx="24">
                  <c:v>13205.5</c:v>
                </c:pt>
                <c:pt idx="25">
                  <c:v>13940</c:v>
                </c:pt>
                <c:pt idx="26">
                  <c:v>14774.5</c:v>
                </c:pt>
                <c:pt idx="27">
                  <c:v>15208.3</c:v>
                </c:pt>
                <c:pt idx="28">
                  <c:v>15492.6</c:v>
                </c:pt>
                <c:pt idx="29">
                  <c:v>15704.7</c:v>
                </c:pt>
                <c:pt idx="30">
                  <c:v>15804.2</c:v>
                </c:pt>
                <c:pt idx="31">
                  <c:v>15814.3</c:v>
                </c:pt>
                <c:pt idx="32">
                  <c:v>16252.5</c:v>
                </c:pt>
                <c:pt idx="33">
                  <c:v>16799.400000000001</c:v>
                </c:pt>
                <c:pt idx="34">
                  <c:v>17198.5</c:v>
                </c:pt>
                <c:pt idx="35">
                  <c:v>16924.3</c:v>
                </c:pt>
                <c:pt idx="36">
                  <c:v>17681.5</c:v>
                </c:pt>
                <c:pt idx="37">
                  <c:v>17955.400000000001</c:v>
                </c:pt>
              </c:numCache>
            </c:numRef>
          </c:val>
          <c:smooth val="0"/>
          <c:extLst>
            <c:ext xmlns:c16="http://schemas.microsoft.com/office/drawing/2014/chart" uri="{C3380CC4-5D6E-409C-BE32-E72D297353CC}">
              <c16:uniqueId val="{00000003-9EAF-4F56-9B23-8A75C77995CE}"/>
            </c:ext>
          </c:extLst>
        </c:ser>
        <c:dLbls>
          <c:showLegendKey val="0"/>
          <c:showVal val="0"/>
          <c:showCatName val="0"/>
          <c:showSerName val="0"/>
          <c:showPercent val="0"/>
          <c:showBubbleSize val="0"/>
        </c:dLbls>
        <c:marker val="1"/>
        <c:smooth val="0"/>
        <c:axId val="1196521039"/>
        <c:axId val="404255023"/>
      </c:lineChart>
      <c:catAx>
        <c:axId val="1177209679"/>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130504239"/>
        <c:crosses val="autoZero"/>
        <c:auto val="1"/>
        <c:lblAlgn val="ctr"/>
        <c:lblOffset val="100"/>
        <c:tickLblSkip val="5"/>
        <c:tickMarkSkip val="5"/>
        <c:noMultiLvlLbl val="0"/>
      </c:catAx>
      <c:valAx>
        <c:axId val="2130504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Terawatt</a:t>
                </a:r>
                <a:r>
                  <a:rPr lang="en-AU" baseline="0"/>
                  <a:t> hours</a:t>
                </a:r>
                <a:endParaRPr lang="en-AU"/>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77209679"/>
        <c:crosses val="autoZero"/>
        <c:crossBetween val="between"/>
      </c:valAx>
      <c:valAx>
        <c:axId val="404255023"/>
        <c:scaling>
          <c:orientation val="minMax"/>
          <c:max val="180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latin typeface="Arial" panose="020B0604020202020204" pitchFamily="34" charset="0"/>
                    <a:cs typeface="Arial" panose="020B0604020202020204" pitchFamily="34" charset="0"/>
                  </a:rPr>
                  <a:t>Mt CO</a:t>
                </a:r>
                <a:r>
                  <a:rPr lang="en-AU" sz="900" baseline="-25000">
                    <a:latin typeface="Arial" panose="020B0604020202020204" pitchFamily="34" charset="0"/>
                    <a:cs typeface="Arial" panose="020B0604020202020204" pitchFamily="34" charset="0"/>
                  </a:rPr>
                  <a:t>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96521039"/>
        <c:crosses val="max"/>
        <c:crossBetween val="between"/>
      </c:valAx>
      <c:catAx>
        <c:axId val="1196521039"/>
        <c:scaling>
          <c:orientation val="minMax"/>
        </c:scaling>
        <c:delete val="1"/>
        <c:axPos val="b"/>
        <c:majorTickMark val="out"/>
        <c:minorTickMark val="none"/>
        <c:tickLblPos val="nextTo"/>
        <c:crossAx val="404255023"/>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'2.1'!$C$5</c:f>
              <c:strCache>
                <c:ptCount val="1"/>
                <c:pt idx="0">
                  <c:v>Emissions from gas use</c:v>
                </c:pt>
              </c:strCache>
            </c:strRef>
          </c:tx>
          <c:spPr>
            <a:solidFill>
              <a:srgbClr val="005CAF"/>
            </a:solidFill>
            <a:ln>
              <a:noFill/>
            </a:ln>
            <a:effectLst/>
          </c:spPr>
          <c:invertIfNegative val="0"/>
          <c:cat>
            <c:strRef>
              <c:f>'2.1'!$B$6:$B$16</c:f>
              <c:strCache>
                <c:ptCount val="11"/>
                <c:pt idx="0">
                  <c:v>2011–12</c:v>
                </c:pt>
                <c:pt idx="1">
                  <c:v>2012–13</c:v>
                </c:pt>
                <c:pt idx="2">
                  <c:v>2013–14</c:v>
                </c:pt>
                <c:pt idx="3">
                  <c:v>2014–15</c:v>
                </c:pt>
                <c:pt idx="4">
                  <c:v>2015–16</c:v>
                </c:pt>
                <c:pt idx="5">
                  <c:v>2016–17</c:v>
                </c:pt>
                <c:pt idx="6">
                  <c:v>2017–18</c:v>
                </c:pt>
                <c:pt idx="7">
                  <c:v>2018–19</c:v>
                </c:pt>
                <c:pt idx="8">
                  <c:v>2019–20</c:v>
                </c:pt>
                <c:pt idx="9">
                  <c:v>2020–21</c:v>
                </c:pt>
                <c:pt idx="10">
                  <c:v>2021–22</c:v>
                </c:pt>
              </c:strCache>
            </c:strRef>
          </c:cat>
          <c:val>
            <c:numRef>
              <c:f>'2.1'!$C$6:$C$16</c:f>
              <c:numCache>
                <c:formatCode>0</c:formatCode>
                <c:ptCount val="11"/>
                <c:pt idx="0">
                  <c:v>55.230729021461102</c:v>
                </c:pt>
                <c:pt idx="1">
                  <c:v>56.547624821731226</c:v>
                </c:pt>
                <c:pt idx="2">
                  <c:v>57.73806118926543</c:v>
                </c:pt>
                <c:pt idx="3">
                  <c:v>57.357126217930073</c:v>
                </c:pt>
                <c:pt idx="4">
                  <c:v>57.094484215530258</c:v>
                </c:pt>
                <c:pt idx="5">
                  <c:v>55.167089865345972</c:v>
                </c:pt>
                <c:pt idx="6">
                  <c:v>56.544933813273225</c:v>
                </c:pt>
                <c:pt idx="7">
                  <c:v>54.087468187057354</c:v>
                </c:pt>
                <c:pt idx="8">
                  <c:v>54.052816150147308</c:v>
                </c:pt>
                <c:pt idx="9">
                  <c:v>52.504826596953009</c:v>
                </c:pt>
                <c:pt idx="10">
                  <c:v>52.437814449609519</c:v>
                </c:pt>
              </c:numCache>
            </c:numRef>
          </c:val>
          <c:extLst>
            <c:ext xmlns:c16="http://schemas.microsoft.com/office/drawing/2014/chart" uri="{C3380CC4-5D6E-409C-BE32-E72D297353CC}">
              <c16:uniqueId val="{00000000-C82C-4D43-9438-CC381B3E25E2}"/>
            </c:ext>
          </c:extLst>
        </c:ser>
        <c:ser>
          <c:idx val="1"/>
          <c:order val="1"/>
          <c:tx>
            <c:strRef>
              <c:f>'2.1'!$D$5</c:f>
              <c:strCache>
                <c:ptCount val="1"/>
                <c:pt idx="0">
                  <c:v>Emissions from gas supply</c:v>
                </c:pt>
              </c:strCache>
            </c:strRef>
          </c:tx>
          <c:spPr>
            <a:solidFill>
              <a:srgbClr val="56B4DF"/>
            </a:solidFill>
            <a:ln>
              <a:noFill/>
            </a:ln>
            <a:effectLst/>
          </c:spPr>
          <c:invertIfNegative val="0"/>
          <c:cat>
            <c:strRef>
              <c:f>'2.1'!$B$6:$B$16</c:f>
              <c:strCache>
                <c:ptCount val="11"/>
                <c:pt idx="0">
                  <c:v>2011–12</c:v>
                </c:pt>
                <c:pt idx="1">
                  <c:v>2012–13</c:v>
                </c:pt>
                <c:pt idx="2">
                  <c:v>2013–14</c:v>
                </c:pt>
                <c:pt idx="3">
                  <c:v>2014–15</c:v>
                </c:pt>
                <c:pt idx="4">
                  <c:v>2015–16</c:v>
                </c:pt>
                <c:pt idx="5">
                  <c:v>2016–17</c:v>
                </c:pt>
                <c:pt idx="6">
                  <c:v>2017–18</c:v>
                </c:pt>
                <c:pt idx="7">
                  <c:v>2018–19</c:v>
                </c:pt>
                <c:pt idx="8">
                  <c:v>2019–20</c:v>
                </c:pt>
                <c:pt idx="9">
                  <c:v>2020–21</c:v>
                </c:pt>
                <c:pt idx="10">
                  <c:v>2021–22</c:v>
                </c:pt>
              </c:strCache>
            </c:strRef>
          </c:cat>
          <c:val>
            <c:numRef>
              <c:f>'2.1'!$D$6:$D$16</c:f>
              <c:numCache>
                <c:formatCode>0</c:formatCode>
                <c:ptCount val="11"/>
                <c:pt idx="0">
                  <c:v>25.110217974031855</c:v>
                </c:pt>
                <c:pt idx="1">
                  <c:v>26.820470452762763</c:v>
                </c:pt>
                <c:pt idx="2">
                  <c:v>27.169784225486751</c:v>
                </c:pt>
                <c:pt idx="3">
                  <c:v>29.669373116968984</c:v>
                </c:pt>
                <c:pt idx="4">
                  <c:v>33.858894490596256</c:v>
                </c:pt>
                <c:pt idx="5">
                  <c:v>40.569688046236578</c:v>
                </c:pt>
                <c:pt idx="6">
                  <c:v>45.545480332713751</c:v>
                </c:pt>
                <c:pt idx="7">
                  <c:v>53.424802394553552</c:v>
                </c:pt>
                <c:pt idx="8">
                  <c:v>51.958868019414631</c:v>
                </c:pt>
                <c:pt idx="9">
                  <c:v>48.561731347312445</c:v>
                </c:pt>
                <c:pt idx="10">
                  <c:v>50.177319246068336</c:v>
                </c:pt>
              </c:numCache>
            </c:numRef>
          </c:val>
          <c:extLst>
            <c:ext xmlns:c16="http://schemas.microsoft.com/office/drawing/2014/chart" uri="{C3380CC4-5D6E-409C-BE32-E72D297353CC}">
              <c16:uniqueId val="{00000001-C82C-4D43-9438-CC381B3E25E2}"/>
            </c:ext>
          </c:extLst>
        </c:ser>
        <c:dLbls>
          <c:showLegendKey val="0"/>
          <c:showVal val="0"/>
          <c:showCatName val="0"/>
          <c:showSerName val="0"/>
          <c:showPercent val="0"/>
          <c:showBubbleSize val="0"/>
        </c:dLbls>
        <c:gapWidth val="150"/>
        <c:overlap val="100"/>
        <c:axId val="2075640607"/>
        <c:axId val="398482271"/>
      </c:barChart>
      <c:lineChart>
        <c:grouping val="standard"/>
        <c:varyColors val="0"/>
        <c:ser>
          <c:idx val="2"/>
          <c:order val="2"/>
          <c:tx>
            <c:strRef>
              <c:f>'2.1'!$E$5</c:f>
              <c:strCache>
                <c:ptCount val="1"/>
                <c:pt idx="0">
                  <c:v>Gas production (RHS)</c:v>
                </c:pt>
              </c:strCache>
            </c:strRef>
          </c:tx>
          <c:spPr>
            <a:ln w="28575" cap="rnd">
              <a:solidFill>
                <a:srgbClr val="9ED9DF"/>
              </a:solidFill>
              <a:round/>
            </a:ln>
            <a:effectLst/>
          </c:spPr>
          <c:marker>
            <c:symbol val="none"/>
          </c:marker>
          <c:val>
            <c:numRef>
              <c:f>'2.1'!$E$6:$E$16</c:f>
              <c:numCache>
                <c:formatCode>0</c:formatCode>
                <c:ptCount val="11"/>
                <c:pt idx="0">
                  <c:v>55.183500000000002</c:v>
                </c:pt>
                <c:pt idx="1">
                  <c:v>63.076699999999995</c:v>
                </c:pt>
                <c:pt idx="2">
                  <c:v>65.212699999999998</c:v>
                </c:pt>
                <c:pt idx="3">
                  <c:v>68.909399999999991</c:v>
                </c:pt>
                <c:pt idx="4">
                  <c:v>88.200203126112896</c:v>
                </c:pt>
                <c:pt idx="5">
                  <c:v>105.26132401296999</c:v>
                </c:pt>
                <c:pt idx="6">
                  <c:v>120.256242537758</c:v>
                </c:pt>
                <c:pt idx="7">
                  <c:v>145.18466465630399</c:v>
                </c:pt>
                <c:pt idx="8">
                  <c:v>157.59246485795299</c:v>
                </c:pt>
                <c:pt idx="9">
                  <c:v>151.05544073359601</c:v>
                </c:pt>
                <c:pt idx="10">
                  <c:v>159.82764187580199</c:v>
                </c:pt>
              </c:numCache>
            </c:numRef>
          </c:val>
          <c:smooth val="0"/>
          <c:extLst>
            <c:ext xmlns:c16="http://schemas.microsoft.com/office/drawing/2014/chart" uri="{C3380CC4-5D6E-409C-BE32-E72D297353CC}">
              <c16:uniqueId val="{00000002-C82C-4D43-9438-CC381B3E25E2}"/>
            </c:ext>
          </c:extLst>
        </c:ser>
        <c:ser>
          <c:idx val="3"/>
          <c:order val="3"/>
          <c:tx>
            <c:strRef>
              <c:f>'2.1'!$F$5</c:f>
              <c:strCache>
                <c:ptCount val="1"/>
                <c:pt idx="0">
                  <c:v>LNG exports (RHS)</c:v>
                </c:pt>
              </c:strCache>
            </c:strRef>
          </c:tx>
          <c:spPr>
            <a:ln w="28575" cap="rnd">
              <a:solidFill>
                <a:srgbClr val="BCBFC1"/>
              </a:solidFill>
              <a:round/>
            </a:ln>
            <a:effectLst/>
          </c:spPr>
          <c:marker>
            <c:symbol val="none"/>
          </c:marker>
          <c:val>
            <c:numRef>
              <c:f>'2.1'!$F$6:$F$16</c:f>
              <c:numCache>
                <c:formatCode>0</c:formatCode>
                <c:ptCount val="11"/>
                <c:pt idx="0">
                  <c:v>25.65776</c:v>
                </c:pt>
                <c:pt idx="1">
                  <c:v>31.964080000000003</c:v>
                </c:pt>
                <c:pt idx="2">
                  <c:v>31.614560000000001</c:v>
                </c:pt>
                <c:pt idx="3">
                  <c:v>34.064464000000001</c:v>
                </c:pt>
                <c:pt idx="4">
                  <c:v>50.118545607200005</c:v>
                </c:pt>
                <c:pt idx="5">
                  <c:v>70.885372899200007</c:v>
                </c:pt>
                <c:pt idx="6">
                  <c:v>83.899590134640007</c:v>
                </c:pt>
                <c:pt idx="7">
                  <c:v>101.728835992</c:v>
                </c:pt>
                <c:pt idx="8">
                  <c:v>107.77213148880001</c:v>
                </c:pt>
                <c:pt idx="9">
                  <c:v>105.29960939680001</c:v>
                </c:pt>
                <c:pt idx="10">
                  <c:v>113.20584962160001</c:v>
                </c:pt>
              </c:numCache>
            </c:numRef>
          </c:val>
          <c:smooth val="0"/>
          <c:extLst>
            <c:ext xmlns:c16="http://schemas.microsoft.com/office/drawing/2014/chart" uri="{C3380CC4-5D6E-409C-BE32-E72D297353CC}">
              <c16:uniqueId val="{00000003-C82C-4D43-9438-CC381B3E25E2}"/>
            </c:ext>
          </c:extLst>
        </c:ser>
        <c:dLbls>
          <c:showLegendKey val="0"/>
          <c:showVal val="0"/>
          <c:showCatName val="0"/>
          <c:showSerName val="0"/>
          <c:showPercent val="0"/>
          <c:showBubbleSize val="0"/>
        </c:dLbls>
        <c:marker val="1"/>
        <c:smooth val="0"/>
        <c:axId val="1232719567"/>
        <c:axId val="1227210543"/>
      </c:lineChart>
      <c:catAx>
        <c:axId val="2075640607"/>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8482271"/>
        <c:crosses val="autoZero"/>
        <c:auto val="1"/>
        <c:lblAlgn val="ctr"/>
        <c:lblOffset val="100"/>
        <c:noMultiLvlLbl val="0"/>
      </c:catAx>
      <c:valAx>
        <c:axId val="398482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Mt CO</a:t>
                </a:r>
                <a:r>
                  <a:rPr lang="en-AU" baseline="-25000"/>
                  <a:t>2</a:t>
                </a:r>
                <a:r>
                  <a:rPr lang="en-AU"/>
                  <a:t>-e</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075640607"/>
        <c:crosses val="autoZero"/>
        <c:crossBetween val="between"/>
      </c:valAx>
      <c:valAx>
        <c:axId val="1227210543"/>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Million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232719567"/>
        <c:crosses val="max"/>
        <c:crossBetween val="between"/>
        <c:majorUnit val="30"/>
      </c:valAx>
      <c:catAx>
        <c:axId val="1232719567"/>
        <c:scaling>
          <c:orientation val="minMax"/>
        </c:scaling>
        <c:delete val="1"/>
        <c:axPos val="b"/>
        <c:majorTickMark val="out"/>
        <c:minorTickMark val="none"/>
        <c:tickLblPos val="nextTo"/>
        <c:crossAx val="1227210543"/>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'2.2'!$C$5</c:f>
              <c:strCache>
                <c:ptCount val="1"/>
                <c:pt idx="0">
                  <c:v>Electricity</c:v>
                </c:pt>
              </c:strCache>
            </c:strRef>
          </c:tx>
          <c:spPr>
            <a:solidFill>
              <a:srgbClr val="005CAF"/>
            </a:solidFill>
            <a:ln>
              <a:noFill/>
            </a:ln>
            <a:effectLst/>
          </c:spPr>
          <c:cat>
            <c:strRef>
              <c:f>'2.2'!$B$6:$B$17</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'2.2'!$C$6:$C$17</c:f>
              <c:numCache>
                <c:formatCode>0.0</c:formatCode>
                <c:ptCount val="12"/>
                <c:pt idx="0">
                  <c:v>21.086991188293503</c:v>
                </c:pt>
                <c:pt idx="1">
                  <c:v>22.23412518938375</c:v>
                </c:pt>
                <c:pt idx="2">
                  <c:v>22.163081650078219</c:v>
                </c:pt>
                <c:pt idx="3">
                  <c:v>22.947168306764709</c:v>
                </c:pt>
                <c:pt idx="4">
                  <c:v>23.093503323786646</c:v>
                </c:pt>
                <c:pt idx="5">
                  <c:v>24.287796825649618</c:v>
                </c:pt>
                <c:pt idx="6">
                  <c:v>22.982845300238058</c:v>
                </c:pt>
                <c:pt idx="7">
                  <c:v>24.065615902774077</c:v>
                </c:pt>
                <c:pt idx="8">
                  <c:v>22.712337583996181</c:v>
                </c:pt>
                <c:pt idx="9">
                  <c:v>22.04140360683526</c:v>
                </c:pt>
                <c:pt idx="10">
                  <c:v>19.635197183624026</c:v>
                </c:pt>
                <c:pt idx="11">
                  <c:v>19.883690757585462</c:v>
                </c:pt>
              </c:numCache>
            </c:numRef>
          </c:val>
          <c:extLst>
            <c:ext xmlns:c16="http://schemas.microsoft.com/office/drawing/2014/chart" uri="{C3380CC4-5D6E-409C-BE32-E72D297353CC}">
              <c16:uniqueId val="{00000000-102B-4EB9-8332-97239E72AC75}"/>
            </c:ext>
          </c:extLst>
        </c:ser>
        <c:ser>
          <c:idx val="1"/>
          <c:order val="1"/>
          <c:tx>
            <c:strRef>
              <c:f>'2.2'!$D$5</c:f>
              <c:strCache>
                <c:ptCount val="1"/>
                <c:pt idx="0">
                  <c:v>Residential and commercial</c:v>
                </c:pt>
              </c:strCache>
            </c:strRef>
          </c:tx>
          <c:spPr>
            <a:solidFill>
              <a:srgbClr val="56B4DF"/>
            </a:solidFill>
            <a:ln>
              <a:noFill/>
            </a:ln>
            <a:effectLst/>
          </c:spPr>
          <c:cat>
            <c:strRef>
              <c:f>'2.2'!$B$6:$B$17</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'2.2'!$D$6:$D$17</c:f>
              <c:numCache>
                <c:formatCode>0.0</c:formatCode>
                <c:ptCount val="12"/>
                <c:pt idx="0">
                  <c:v>10.340053476615864</c:v>
                </c:pt>
                <c:pt idx="1">
                  <c:v>10.480165664538113</c:v>
                </c:pt>
                <c:pt idx="2">
                  <c:v>10.724616593366092</c:v>
                </c:pt>
                <c:pt idx="3">
                  <c:v>9.9350496062812219</c:v>
                </c:pt>
                <c:pt idx="4">
                  <c:v>10.739838967485309</c:v>
                </c:pt>
                <c:pt idx="5">
                  <c:v>10.447650934242148</c:v>
                </c:pt>
                <c:pt idx="6">
                  <c:v>10.721707025402241</c:v>
                </c:pt>
                <c:pt idx="7">
                  <c:v>10.570654224090495</c:v>
                </c:pt>
                <c:pt idx="8">
                  <c:v>10.617877896930857</c:v>
                </c:pt>
                <c:pt idx="9">
                  <c:v>10.928472607271157</c:v>
                </c:pt>
                <c:pt idx="10">
                  <c:v>10.850545630228799</c:v>
                </c:pt>
                <c:pt idx="11">
                  <c:v>10.958686740004168</c:v>
                </c:pt>
              </c:numCache>
            </c:numRef>
          </c:val>
          <c:extLst>
            <c:ext xmlns:c16="http://schemas.microsoft.com/office/drawing/2014/chart" uri="{C3380CC4-5D6E-409C-BE32-E72D297353CC}">
              <c16:uniqueId val="{00000001-102B-4EB9-8332-97239E72AC75}"/>
            </c:ext>
          </c:extLst>
        </c:ser>
        <c:ser>
          <c:idx val="2"/>
          <c:order val="2"/>
          <c:tx>
            <c:strRef>
              <c:f>'2.2'!$E$5</c:f>
              <c:strCache>
                <c:ptCount val="1"/>
                <c:pt idx="0">
                  <c:v>Manufacturing</c:v>
                </c:pt>
              </c:strCache>
            </c:strRef>
          </c:tx>
          <c:spPr>
            <a:solidFill>
              <a:srgbClr val="9ED9DF"/>
            </a:solidFill>
            <a:ln>
              <a:noFill/>
            </a:ln>
            <a:effectLst/>
          </c:spPr>
          <c:cat>
            <c:strRef>
              <c:f>'2.2'!$B$6:$B$17</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'2.2'!$E$6:$E$17</c:f>
              <c:numCache>
                <c:formatCode>0.0</c:formatCode>
                <c:ptCount val="12"/>
                <c:pt idx="0">
                  <c:v>22.085292039599931</c:v>
                </c:pt>
                <c:pt idx="1">
                  <c:v>21.686173937313821</c:v>
                </c:pt>
                <c:pt idx="2">
                  <c:v>22.589245337904224</c:v>
                </c:pt>
                <c:pt idx="3">
                  <c:v>23.850812430923959</c:v>
                </c:pt>
                <c:pt idx="4">
                  <c:v>22.616211892327172</c:v>
                </c:pt>
                <c:pt idx="5">
                  <c:v>21.421143756827963</c:v>
                </c:pt>
                <c:pt idx="6">
                  <c:v>20.442074384007107</c:v>
                </c:pt>
                <c:pt idx="7">
                  <c:v>20.817898172988865</c:v>
                </c:pt>
                <c:pt idx="8">
                  <c:v>19.515936580879416</c:v>
                </c:pt>
                <c:pt idx="9">
                  <c:v>19.919361372366932</c:v>
                </c:pt>
                <c:pt idx="10">
                  <c:v>20.827509366649124</c:v>
                </c:pt>
                <c:pt idx="11">
                  <c:v>20.364157714318999</c:v>
                </c:pt>
              </c:numCache>
            </c:numRef>
          </c:val>
          <c:extLst>
            <c:ext xmlns:c16="http://schemas.microsoft.com/office/drawing/2014/chart" uri="{C3380CC4-5D6E-409C-BE32-E72D297353CC}">
              <c16:uniqueId val="{00000002-102B-4EB9-8332-97239E72AC75}"/>
            </c:ext>
          </c:extLst>
        </c:ser>
        <c:ser>
          <c:idx val="3"/>
          <c:order val="3"/>
          <c:tx>
            <c:strRef>
              <c:f>'2.2'!$F$5</c:f>
              <c:strCache>
                <c:ptCount val="1"/>
                <c:pt idx="0">
                  <c:v>Transport</c:v>
                </c:pt>
              </c:strCache>
            </c:strRef>
          </c:tx>
          <c:spPr>
            <a:solidFill>
              <a:srgbClr val="BCBFC1"/>
            </a:solidFill>
            <a:ln>
              <a:noFill/>
            </a:ln>
            <a:effectLst/>
          </c:spPr>
          <c:val>
            <c:numRef>
              <c:f>'2.2'!$F$6:$F$17</c:f>
              <c:numCache>
                <c:formatCode>0.0</c:formatCode>
                <c:ptCount val="12"/>
                <c:pt idx="0">
                  <c:v>0.5718733576846643</c:v>
                </c:pt>
                <c:pt idx="1">
                  <c:v>0.54757545553369291</c:v>
                </c:pt>
                <c:pt idx="2">
                  <c:v>0.59320509604516425</c:v>
                </c:pt>
                <c:pt idx="3">
                  <c:v>0.56520190568529505</c:v>
                </c:pt>
                <c:pt idx="4">
                  <c:v>0.56690865385120093</c:v>
                </c:pt>
                <c:pt idx="5">
                  <c:v>0.66425929006063</c:v>
                </c:pt>
                <c:pt idx="6">
                  <c:v>0.71144530487919022</c:v>
                </c:pt>
                <c:pt idx="7">
                  <c:v>0.82066601980722809</c:v>
                </c:pt>
                <c:pt idx="8">
                  <c:v>0.94876888751236399</c:v>
                </c:pt>
                <c:pt idx="9">
                  <c:v>0.94152986827816398</c:v>
                </c:pt>
                <c:pt idx="10">
                  <c:v>0.90248449246122797</c:v>
                </c:pt>
                <c:pt idx="11">
                  <c:v>0.9629209973076347</c:v>
                </c:pt>
              </c:numCache>
            </c:numRef>
          </c:val>
          <c:extLst>
            <c:ext xmlns:c16="http://schemas.microsoft.com/office/drawing/2014/chart" uri="{C3380CC4-5D6E-409C-BE32-E72D297353CC}">
              <c16:uniqueId val="{00000003-102B-4EB9-8332-97239E72AC75}"/>
            </c:ext>
          </c:extLst>
        </c:ser>
        <c:ser>
          <c:idx val="4"/>
          <c:order val="4"/>
          <c:tx>
            <c:strRef>
              <c:f>'2.2'!$G$5</c:f>
              <c:strCache>
                <c:ptCount val="1"/>
                <c:pt idx="0">
                  <c:v>Mining</c:v>
                </c:pt>
              </c:strCache>
            </c:strRef>
          </c:tx>
          <c:spPr>
            <a:solidFill>
              <a:srgbClr val="51B7A4"/>
            </a:solidFill>
            <a:ln>
              <a:noFill/>
            </a:ln>
            <a:effectLst/>
          </c:spPr>
          <c:val>
            <c:numRef>
              <c:f>'2.2'!$G$6:$G$17</c:f>
              <c:numCache>
                <c:formatCode>0.0</c:formatCode>
                <c:ptCount val="12"/>
                <c:pt idx="0">
                  <c:v>0.12506074183801091</c:v>
                </c:pt>
                <c:pt idx="1">
                  <c:v>0.28268877469169379</c:v>
                </c:pt>
                <c:pt idx="2">
                  <c:v>0.47747614433752167</c:v>
                </c:pt>
                <c:pt idx="3">
                  <c:v>0.43982893961024366</c:v>
                </c:pt>
                <c:pt idx="4">
                  <c:v>0.34066338047974376</c:v>
                </c:pt>
                <c:pt idx="5">
                  <c:v>0.27363340874990061</c:v>
                </c:pt>
                <c:pt idx="6">
                  <c:v>0.30901785081937239</c:v>
                </c:pt>
                <c:pt idx="7">
                  <c:v>0.27009949361256508</c:v>
                </c:pt>
                <c:pt idx="8">
                  <c:v>0.29254723773853791</c:v>
                </c:pt>
                <c:pt idx="9">
                  <c:v>0.22204869539578567</c:v>
                </c:pt>
                <c:pt idx="10">
                  <c:v>0.28908992398983718</c:v>
                </c:pt>
                <c:pt idx="11">
                  <c:v>0.26835824039325779</c:v>
                </c:pt>
              </c:numCache>
            </c:numRef>
          </c:val>
          <c:extLst>
            <c:ext xmlns:c16="http://schemas.microsoft.com/office/drawing/2014/chart" uri="{C3380CC4-5D6E-409C-BE32-E72D297353CC}">
              <c16:uniqueId val="{00000004-102B-4EB9-8332-97239E72AC75}"/>
            </c:ext>
          </c:extLst>
        </c:ser>
        <c:dLbls>
          <c:showLegendKey val="0"/>
          <c:showVal val="0"/>
          <c:showCatName val="0"/>
          <c:showSerName val="0"/>
          <c:showPercent val="0"/>
          <c:showBubbleSize val="0"/>
        </c:dLbls>
        <c:axId val="393337231"/>
        <c:axId val="2123690047"/>
      </c:areaChart>
      <c:lineChart>
        <c:grouping val="standard"/>
        <c:varyColors val="0"/>
        <c:ser>
          <c:idx val="5"/>
          <c:order val="5"/>
          <c:tx>
            <c:strRef>
              <c:f>'2.2'!$H$5</c:f>
              <c:strCache>
                <c:ptCount val="1"/>
                <c:pt idx="0">
                  <c:v>Gas use (RHS)</c:v>
                </c:pt>
              </c:strCache>
            </c:strRef>
          </c:tx>
          <c:spPr>
            <a:ln w="28575" cap="rnd">
              <a:solidFill>
                <a:srgbClr val="D1AAF7"/>
              </a:solidFill>
              <a:round/>
            </a:ln>
            <a:effectLst/>
          </c:spPr>
          <c:marker>
            <c:symbol val="none"/>
          </c:marker>
          <c:val>
            <c:numRef>
              <c:f>'2.2'!$H$6:$H$17</c:f>
              <c:numCache>
                <c:formatCode>#,##0</c:formatCode>
                <c:ptCount val="12"/>
                <c:pt idx="0">
                  <c:v>1336.1921081800001</c:v>
                </c:pt>
                <c:pt idx="1">
                  <c:v>1391.3620724940001</c:v>
                </c:pt>
                <c:pt idx="2">
                  <c:v>1342.0588702320001</c:v>
                </c:pt>
                <c:pt idx="3">
                  <c:v>1442.6959999999999</c:v>
                </c:pt>
                <c:pt idx="4">
                  <c:v>1370.857</c:v>
                </c:pt>
                <c:pt idx="5">
                  <c:v>1260.1779999999999</c:v>
                </c:pt>
                <c:pt idx="6">
                  <c:v>1345.0120000000002</c:v>
                </c:pt>
                <c:pt idx="7">
                  <c:v>1224.4569999999999</c:v>
                </c:pt>
                <c:pt idx="8">
                  <c:v>1204.598</c:v>
                </c:pt>
                <c:pt idx="9">
                  <c:v>1154.162</c:v>
                </c:pt>
                <c:pt idx="10">
                  <c:v>1105.3670000000002</c:v>
                </c:pt>
                <c:pt idx="11">
                  <c:v>1132.5240000000001</c:v>
                </c:pt>
              </c:numCache>
            </c:numRef>
          </c:val>
          <c:smooth val="0"/>
          <c:extLst>
            <c:ext xmlns:c16="http://schemas.microsoft.com/office/drawing/2014/chart" uri="{C3380CC4-5D6E-409C-BE32-E72D297353CC}">
              <c16:uniqueId val="{00000005-102B-4EB9-8332-97239E72AC75}"/>
            </c:ext>
          </c:extLst>
        </c:ser>
        <c:dLbls>
          <c:showLegendKey val="0"/>
          <c:showVal val="0"/>
          <c:showCatName val="0"/>
          <c:showSerName val="0"/>
          <c:showPercent val="0"/>
          <c:showBubbleSize val="0"/>
        </c:dLbls>
        <c:marker val="1"/>
        <c:smooth val="0"/>
        <c:axId val="1224319103"/>
        <c:axId val="1227192303"/>
      </c:lineChart>
      <c:catAx>
        <c:axId val="393337231"/>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123690047"/>
        <c:crosses val="autoZero"/>
        <c:auto val="1"/>
        <c:lblAlgn val="ctr"/>
        <c:lblOffset val="100"/>
        <c:tickLblSkip val="2"/>
        <c:noMultiLvlLbl val="0"/>
      </c:catAx>
      <c:valAx>
        <c:axId val="2123690047"/>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Mt CO</a:t>
                </a:r>
                <a:r>
                  <a:rPr lang="en-AU" baseline="-25000"/>
                  <a:t>2</a:t>
                </a:r>
                <a:r>
                  <a:rPr lang="en-AU"/>
                  <a:t>-e</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3337231"/>
        <c:crosses val="autoZero"/>
        <c:crossBetween val="between"/>
      </c:valAx>
      <c:valAx>
        <c:axId val="1227192303"/>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PJ</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224319103"/>
        <c:crosses val="max"/>
        <c:crossBetween val="between"/>
      </c:valAx>
      <c:catAx>
        <c:axId val="1224319103"/>
        <c:scaling>
          <c:orientation val="minMax"/>
        </c:scaling>
        <c:delete val="1"/>
        <c:axPos val="b"/>
        <c:majorTickMark val="out"/>
        <c:minorTickMark val="none"/>
        <c:tickLblPos val="nextTo"/>
        <c:crossAx val="1227192303"/>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05CAF"/>
              </a:solidFill>
              <a:ln w="19050">
                <a:solidFill>
                  <a:schemeClr val="lt1"/>
                </a:solidFill>
              </a:ln>
              <a:effectLst/>
            </c:spPr>
            <c:extLst>
              <c:ext xmlns:c16="http://schemas.microsoft.com/office/drawing/2014/chart" uri="{C3380CC4-5D6E-409C-BE32-E72D297353CC}">
                <c16:uniqueId val="{00000001-32FF-4D39-A651-EAFAC0791A9E}"/>
              </c:ext>
            </c:extLst>
          </c:dPt>
          <c:dPt>
            <c:idx val="1"/>
            <c:bubble3D val="0"/>
            <c:spPr>
              <a:solidFill>
                <a:srgbClr val="56B4DF"/>
              </a:solidFill>
              <a:ln w="19050">
                <a:solidFill>
                  <a:schemeClr val="lt1"/>
                </a:solidFill>
              </a:ln>
              <a:effectLst/>
            </c:spPr>
            <c:extLst>
              <c:ext xmlns:c16="http://schemas.microsoft.com/office/drawing/2014/chart" uri="{C3380CC4-5D6E-409C-BE32-E72D297353CC}">
                <c16:uniqueId val="{00000003-32FF-4D39-A651-EAFAC0791A9E}"/>
              </c:ext>
            </c:extLst>
          </c:dPt>
          <c:dPt>
            <c:idx val="2"/>
            <c:bubble3D val="0"/>
            <c:spPr>
              <a:solidFill>
                <a:srgbClr val="9ED9DF"/>
              </a:solidFill>
              <a:ln w="19050">
                <a:solidFill>
                  <a:schemeClr val="lt1"/>
                </a:solidFill>
              </a:ln>
              <a:effectLst/>
            </c:spPr>
            <c:extLst>
              <c:ext xmlns:c16="http://schemas.microsoft.com/office/drawing/2014/chart" uri="{C3380CC4-5D6E-409C-BE32-E72D297353CC}">
                <c16:uniqueId val="{00000005-32FF-4D39-A651-EAFAC0791A9E}"/>
              </c:ext>
            </c:extLst>
          </c:dPt>
          <c:dPt>
            <c:idx val="3"/>
            <c:bubble3D val="0"/>
            <c:spPr>
              <a:solidFill>
                <a:srgbClr val="C0C0C0"/>
              </a:solidFill>
              <a:ln w="19050">
                <a:solidFill>
                  <a:schemeClr val="lt1"/>
                </a:solidFill>
              </a:ln>
              <a:effectLst/>
            </c:spPr>
            <c:extLst>
              <c:ext xmlns:c16="http://schemas.microsoft.com/office/drawing/2014/chart" uri="{C3380CC4-5D6E-409C-BE32-E72D297353CC}">
                <c16:uniqueId val="{00000007-32FF-4D39-A651-EAFAC0791A9E}"/>
              </c:ext>
            </c:extLst>
          </c:dPt>
          <c:dLbls>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32FF-4D39-A651-EAFAC0791A9E}"/>
                </c:ext>
              </c:extLst>
            </c:dLbl>
            <c:dLbl>
              <c:idx val="3"/>
              <c:tx>
                <c:rich>
                  <a:bodyPr/>
                  <a:lstStyle/>
                  <a:p>
                    <a:fld id="{5633AB7D-F4F8-4543-996A-938858E9B362}"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2FF-4D39-A651-EAFAC0791A9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'1.2'!$B$5:$E$5</c:f>
              <c:strCache>
                <c:ptCount val="4"/>
                <c:pt idx="0">
                  <c:v>Oil</c:v>
                </c:pt>
                <c:pt idx="1">
                  <c:v>Coal</c:v>
                </c:pt>
                <c:pt idx="2">
                  <c:v>Gas</c:v>
                </c:pt>
                <c:pt idx="3">
                  <c:v>Renewables</c:v>
                </c:pt>
              </c:strCache>
            </c:strRef>
          </c:cat>
          <c:val>
            <c:numRef>
              <c:f>'1.2'!$B$6:$E$6</c:f>
              <c:numCache>
                <c:formatCode>General</c:formatCode>
                <c:ptCount val="4"/>
                <c:pt idx="0">
                  <c:v>2.1034450000000002</c:v>
                </c:pt>
                <c:pt idx="1">
                  <c:v>1.5867550000000001</c:v>
                </c:pt>
                <c:pt idx="2">
                  <c:v>1.559345</c:v>
                </c:pt>
                <c:pt idx="3">
                  <c:v>0.51254200000000005</c:v>
                </c:pt>
              </c:numCache>
            </c:numRef>
          </c:val>
          <c:extLst>
            <c:ext xmlns:c16="http://schemas.microsoft.com/office/drawing/2014/chart" uri="{C3380CC4-5D6E-409C-BE32-E72D297353CC}">
              <c16:uniqueId val="{00000008-32FF-4D39-A651-EAFAC0791A9E}"/>
            </c:ext>
          </c:extLst>
        </c:ser>
        <c:dLbls>
          <c:showLegendKey val="0"/>
          <c:showVal val="0"/>
          <c:showCatName val="0"/>
          <c:showSerName val="0"/>
          <c:showPercent val="0"/>
          <c:showBubbleSize val="0"/>
          <c:showLeaderLines val="1"/>
        </c:dLbls>
        <c:firstSliceAng val="0"/>
        <c:holeSize val="50"/>
      </c:doughnutChart>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'2.3'!$C$5</c:f>
              <c:strCache>
                <c:ptCount val="1"/>
                <c:pt idx="0">
                  <c:v>Gas supply</c:v>
                </c:pt>
              </c:strCache>
            </c:strRef>
          </c:tx>
          <c:spPr>
            <a:solidFill>
              <a:srgbClr val="56B4DF"/>
            </a:solidFill>
            <a:ln>
              <a:noFill/>
            </a:ln>
            <a:effectLst/>
          </c:spPr>
          <c:invertIfNegative val="0"/>
          <c:cat>
            <c:strRef>
              <c:f>'2.3'!$B$6:$B$26</c:f>
              <c:strCache>
                <c:ptCount val="21"/>
                <c:pt idx="0">
                  <c:v>2014–15</c:v>
                </c:pt>
                <c:pt idx="1">
                  <c:v>2015–16</c:v>
                </c:pt>
                <c:pt idx="2">
                  <c:v>2016–17</c:v>
                </c:pt>
                <c:pt idx="3">
                  <c:v>2017–18</c:v>
                </c:pt>
                <c:pt idx="4">
                  <c:v>2018–19</c:v>
                </c:pt>
                <c:pt idx="5">
                  <c:v>2019–20</c:v>
                </c:pt>
                <c:pt idx="6">
                  <c:v>2020–21</c:v>
                </c:pt>
                <c:pt idx="7">
                  <c:v>2021–22</c:v>
                </c:pt>
                <c:pt idx="8">
                  <c:v>2022–23</c:v>
                </c:pt>
                <c:pt idx="9">
                  <c:v>2023–24</c:v>
                </c:pt>
                <c:pt idx="10">
                  <c:v>2024–25</c:v>
                </c:pt>
                <c:pt idx="11">
                  <c:v>2025–26</c:v>
                </c:pt>
                <c:pt idx="12">
                  <c:v>2026–27</c:v>
                </c:pt>
                <c:pt idx="13">
                  <c:v>2027–28</c:v>
                </c:pt>
                <c:pt idx="14">
                  <c:v>2028–29</c:v>
                </c:pt>
                <c:pt idx="15">
                  <c:v>2029–30</c:v>
                </c:pt>
                <c:pt idx="16">
                  <c:v>2030–31</c:v>
                </c:pt>
                <c:pt idx="17">
                  <c:v>2031–32</c:v>
                </c:pt>
                <c:pt idx="18">
                  <c:v>2032–33</c:v>
                </c:pt>
                <c:pt idx="19">
                  <c:v>2033–34</c:v>
                </c:pt>
                <c:pt idx="20">
                  <c:v>2034–35</c:v>
                </c:pt>
              </c:strCache>
            </c:strRef>
          </c:cat>
          <c:val>
            <c:numRef>
              <c:f>'2.3'!$C$6:$C$26</c:f>
              <c:numCache>
                <c:formatCode>0.0</c:formatCode>
                <c:ptCount val="21"/>
                <c:pt idx="0">
                  <c:v>29.669373116968984</c:v>
                </c:pt>
                <c:pt idx="1">
                  <c:v>33.858894490596256</c:v>
                </c:pt>
                <c:pt idx="2">
                  <c:v>40.569688046236578</c:v>
                </c:pt>
                <c:pt idx="3">
                  <c:v>45.545480332713751</c:v>
                </c:pt>
                <c:pt idx="4">
                  <c:v>53.424802394553552</c:v>
                </c:pt>
                <c:pt idx="5">
                  <c:v>51.958868019414631</c:v>
                </c:pt>
                <c:pt idx="6">
                  <c:v>48.561731347312445</c:v>
                </c:pt>
                <c:pt idx="7">
                  <c:v>50.177319246068336</c:v>
                </c:pt>
              </c:numCache>
            </c:numRef>
          </c:val>
          <c:extLst>
            <c:ext xmlns:c16="http://schemas.microsoft.com/office/drawing/2014/chart" uri="{C3380CC4-5D6E-409C-BE32-E72D297353CC}">
              <c16:uniqueId val="{00000000-3D50-4E71-953D-0CD0D55D8967}"/>
            </c:ext>
          </c:extLst>
        </c:ser>
        <c:ser>
          <c:idx val="1"/>
          <c:order val="1"/>
          <c:tx>
            <c:strRef>
              <c:f>'2.3'!$D$5</c:f>
              <c:strCache>
                <c:ptCount val="1"/>
                <c:pt idx="0">
                  <c:v>LNG extraction and production</c:v>
                </c:pt>
              </c:strCache>
            </c:strRef>
          </c:tx>
          <c:spPr>
            <a:solidFill>
              <a:srgbClr val="9ED9DF"/>
            </a:solidFill>
            <a:ln>
              <a:noFill/>
            </a:ln>
            <a:effectLst/>
          </c:spPr>
          <c:invertIfNegative val="0"/>
          <c:cat>
            <c:strRef>
              <c:f>'2.3'!$B$6:$B$26</c:f>
              <c:strCache>
                <c:ptCount val="21"/>
                <c:pt idx="0">
                  <c:v>2014–15</c:v>
                </c:pt>
                <c:pt idx="1">
                  <c:v>2015–16</c:v>
                </c:pt>
                <c:pt idx="2">
                  <c:v>2016–17</c:v>
                </c:pt>
                <c:pt idx="3">
                  <c:v>2017–18</c:v>
                </c:pt>
                <c:pt idx="4">
                  <c:v>2018–19</c:v>
                </c:pt>
                <c:pt idx="5">
                  <c:v>2019–20</c:v>
                </c:pt>
                <c:pt idx="6">
                  <c:v>2020–21</c:v>
                </c:pt>
                <c:pt idx="7">
                  <c:v>2021–22</c:v>
                </c:pt>
                <c:pt idx="8">
                  <c:v>2022–23</c:v>
                </c:pt>
                <c:pt idx="9">
                  <c:v>2023–24</c:v>
                </c:pt>
                <c:pt idx="10">
                  <c:v>2024–25</c:v>
                </c:pt>
                <c:pt idx="11">
                  <c:v>2025–26</c:v>
                </c:pt>
                <c:pt idx="12">
                  <c:v>2026–27</c:v>
                </c:pt>
                <c:pt idx="13">
                  <c:v>2027–28</c:v>
                </c:pt>
                <c:pt idx="14">
                  <c:v>2028–29</c:v>
                </c:pt>
                <c:pt idx="15">
                  <c:v>2029–30</c:v>
                </c:pt>
                <c:pt idx="16">
                  <c:v>2030–31</c:v>
                </c:pt>
                <c:pt idx="17">
                  <c:v>2031–32</c:v>
                </c:pt>
                <c:pt idx="18">
                  <c:v>2032–33</c:v>
                </c:pt>
                <c:pt idx="19">
                  <c:v>2033–34</c:v>
                </c:pt>
                <c:pt idx="20">
                  <c:v>2034–35</c:v>
                </c:pt>
              </c:strCache>
            </c:strRef>
          </c:cat>
          <c:val>
            <c:numRef>
              <c:f>'2.3'!$D$6:$D$26</c:f>
              <c:numCache>
                <c:formatCode>General</c:formatCode>
                <c:ptCount val="21"/>
                <c:pt idx="8" formatCode="0.0">
                  <c:v>37.116834082465822</c:v>
                </c:pt>
                <c:pt idx="9" formatCode="0.0">
                  <c:v>36.408503408818852</c:v>
                </c:pt>
                <c:pt idx="10" formatCode="0.0">
                  <c:v>35.23887545885885</c:v>
                </c:pt>
                <c:pt idx="11" formatCode="0.0">
                  <c:v>35.213401007698288</c:v>
                </c:pt>
                <c:pt idx="12" formatCode="0.0">
                  <c:v>36.62780329855628</c:v>
                </c:pt>
                <c:pt idx="13" formatCode="0.0">
                  <c:v>35.136159582055001</c:v>
                </c:pt>
                <c:pt idx="14" formatCode="0.0">
                  <c:v>32.797355117961956</c:v>
                </c:pt>
                <c:pt idx="15" formatCode="0.0">
                  <c:v>32.280569883111355</c:v>
                </c:pt>
                <c:pt idx="16" formatCode="0.0">
                  <c:v>34.378792372939003</c:v>
                </c:pt>
                <c:pt idx="17" formatCode="0.0">
                  <c:v>33.599749609547942</c:v>
                </c:pt>
                <c:pt idx="18" formatCode="0.0">
                  <c:v>31.044713399698416</c:v>
                </c:pt>
                <c:pt idx="19" formatCode="0.0">
                  <c:v>30.830771254180007</c:v>
                </c:pt>
                <c:pt idx="20" formatCode="0.0">
                  <c:v>27.527777407924528</c:v>
                </c:pt>
              </c:numCache>
            </c:numRef>
          </c:val>
          <c:extLst>
            <c:ext xmlns:c16="http://schemas.microsoft.com/office/drawing/2014/chart" uri="{C3380CC4-5D6E-409C-BE32-E72D297353CC}">
              <c16:uniqueId val="{00000001-3D50-4E71-953D-0CD0D55D8967}"/>
            </c:ext>
          </c:extLst>
        </c:ser>
        <c:ser>
          <c:idx val="2"/>
          <c:order val="2"/>
          <c:tx>
            <c:strRef>
              <c:f>'2.3'!$E$5</c:f>
              <c:strCache>
                <c:ptCount val="1"/>
                <c:pt idx="0">
                  <c:v>Domestic gas production</c:v>
                </c:pt>
              </c:strCache>
            </c:strRef>
          </c:tx>
          <c:spPr>
            <a:solidFill>
              <a:srgbClr val="BCBFC1"/>
            </a:solidFill>
            <a:ln>
              <a:noFill/>
            </a:ln>
            <a:effectLst/>
          </c:spPr>
          <c:invertIfNegative val="0"/>
          <c:cat>
            <c:strRef>
              <c:f>'2.3'!$B$6:$B$26</c:f>
              <c:strCache>
                <c:ptCount val="21"/>
                <c:pt idx="0">
                  <c:v>2014–15</c:v>
                </c:pt>
                <c:pt idx="1">
                  <c:v>2015–16</c:v>
                </c:pt>
                <c:pt idx="2">
                  <c:v>2016–17</c:v>
                </c:pt>
                <c:pt idx="3">
                  <c:v>2017–18</c:v>
                </c:pt>
                <c:pt idx="4">
                  <c:v>2018–19</c:v>
                </c:pt>
                <c:pt idx="5">
                  <c:v>2019–20</c:v>
                </c:pt>
                <c:pt idx="6">
                  <c:v>2020–21</c:v>
                </c:pt>
                <c:pt idx="7">
                  <c:v>2021–22</c:v>
                </c:pt>
                <c:pt idx="8">
                  <c:v>2022–23</c:v>
                </c:pt>
                <c:pt idx="9">
                  <c:v>2023–24</c:v>
                </c:pt>
                <c:pt idx="10">
                  <c:v>2024–25</c:v>
                </c:pt>
                <c:pt idx="11">
                  <c:v>2025–26</c:v>
                </c:pt>
                <c:pt idx="12">
                  <c:v>2026–27</c:v>
                </c:pt>
                <c:pt idx="13">
                  <c:v>2027–28</c:v>
                </c:pt>
                <c:pt idx="14">
                  <c:v>2028–29</c:v>
                </c:pt>
                <c:pt idx="15">
                  <c:v>2029–30</c:v>
                </c:pt>
                <c:pt idx="16">
                  <c:v>2030–31</c:v>
                </c:pt>
                <c:pt idx="17">
                  <c:v>2031–32</c:v>
                </c:pt>
                <c:pt idx="18">
                  <c:v>2032–33</c:v>
                </c:pt>
                <c:pt idx="19">
                  <c:v>2033–34</c:v>
                </c:pt>
                <c:pt idx="20">
                  <c:v>2034–35</c:v>
                </c:pt>
              </c:strCache>
            </c:strRef>
          </c:cat>
          <c:val>
            <c:numRef>
              <c:f>'2.3'!$E$6:$E$26</c:f>
              <c:numCache>
                <c:formatCode>General</c:formatCode>
                <c:ptCount val="21"/>
                <c:pt idx="8" formatCode="0.0">
                  <c:v>11.425311029440785</c:v>
                </c:pt>
                <c:pt idx="9" formatCode="0.0">
                  <c:v>11.035202600825933</c:v>
                </c:pt>
                <c:pt idx="10" formatCode="0.0">
                  <c:v>10.241580702479133</c:v>
                </c:pt>
                <c:pt idx="11" formatCode="0.0">
                  <c:v>9.9992624101342997</c:v>
                </c:pt>
                <c:pt idx="12" formatCode="0.0">
                  <c:v>9.7412096742225742</c:v>
                </c:pt>
                <c:pt idx="13" formatCode="0.0">
                  <c:v>9.9573864327510435</c:v>
                </c:pt>
                <c:pt idx="14" formatCode="0.0">
                  <c:v>9.6711039049101117</c:v>
                </c:pt>
                <c:pt idx="15" formatCode="0.0">
                  <c:v>9.3063042185074636</c:v>
                </c:pt>
                <c:pt idx="16" formatCode="0.0">
                  <c:v>9.5765118451761566</c:v>
                </c:pt>
                <c:pt idx="17" formatCode="0.0">
                  <c:v>9.5084495742983606</c:v>
                </c:pt>
                <c:pt idx="18" formatCode="0.0">
                  <c:v>9.5305026115166953</c:v>
                </c:pt>
                <c:pt idx="19" formatCode="0.0">
                  <c:v>9.8057802138653827</c:v>
                </c:pt>
                <c:pt idx="20" formatCode="0.0">
                  <c:v>9.8500806955053442</c:v>
                </c:pt>
              </c:numCache>
            </c:numRef>
          </c:val>
          <c:extLst>
            <c:ext xmlns:c16="http://schemas.microsoft.com/office/drawing/2014/chart" uri="{C3380CC4-5D6E-409C-BE32-E72D297353CC}">
              <c16:uniqueId val="{00000002-3D50-4E71-953D-0CD0D55D8967}"/>
            </c:ext>
          </c:extLst>
        </c:ser>
        <c:ser>
          <c:idx val="3"/>
          <c:order val="3"/>
          <c:tx>
            <c:strRef>
              <c:f>'2.3'!$F$5</c:f>
              <c:strCache>
                <c:ptCount val="1"/>
                <c:pt idx="0">
                  <c:v>Gas use</c:v>
                </c:pt>
              </c:strCache>
            </c:strRef>
          </c:tx>
          <c:spPr>
            <a:solidFill>
              <a:srgbClr val="005CAF"/>
            </a:solidFill>
            <a:ln>
              <a:noFill/>
            </a:ln>
            <a:effectLst/>
          </c:spPr>
          <c:invertIfNegative val="0"/>
          <c:cat>
            <c:strRef>
              <c:f>'2.3'!$B$6:$B$26</c:f>
              <c:strCache>
                <c:ptCount val="21"/>
                <c:pt idx="0">
                  <c:v>2014–15</c:v>
                </c:pt>
                <c:pt idx="1">
                  <c:v>2015–16</c:v>
                </c:pt>
                <c:pt idx="2">
                  <c:v>2016–17</c:v>
                </c:pt>
                <c:pt idx="3">
                  <c:v>2017–18</c:v>
                </c:pt>
                <c:pt idx="4">
                  <c:v>2018–19</c:v>
                </c:pt>
                <c:pt idx="5">
                  <c:v>2019–20</c:v>
                </c:pt>
                <c:pt idx="6">
                  <c:v>2020–21</c:v>
                </c:pt>
                <c:pt idx="7">
                  <c:v>2021–22</c:v>
                </c:pt>
                <c:pt idx="8">
                  <c:v>2022–23</c:v>
                </c:pt>
                <c:pt idx="9">
                  <c:v>2023–24</c:v>
                </c:pt>
                <c:pt idx="10">
                  <c:v>2024–25</c:v>
                </c:pt>
                <c:pt idx="11">
                  <c:v>2025–26</c:v>
                </c:pt>
                <c:pt idx="12">
                  <c:v>2026–27</c:v>
                </c:pt>
                <c:pt idx="13">
                  <c:v>2027–28</c:v>
                </c:pt>
                <c:pt idx="14">
                  <c:v>2028–29</c:v>
                </c:pt>
                <c:pt idx="15">
                  <c:v>2029–30</c:v>
                </c:pt>
                <c:pt idx="16">
                  <c:v>2030–31</c:v>
                </c:pt>
                <c:pt idx="17">
                  <c:v>2031–32</c:v>
                </c:pt>
                <c:pt idx="18">
                  <c:v>2032–33</c:v>
                </c:pt>
                <c:pt idx="19">
                  <c:v>2033–34</c:v>
                </c:pt>
                <c:pt idx="20">
                  <c:v>2034–35</c:v>
                </c:pt>
              </c:strCache>
            </c:strRef>
          </c:cat>
          <c:val>
            <c:numRef>
              <c:f>'2.3'!$F$6:$F$26</c:f>
              <c:numCache>
                <c:formatCode>0.0</c:formatCode>
                <c:ptCount val="21"/>
                <c:pt idx="0">
                  <c:v>57.357126217930073</c:v>
                </c:pt>
                <c:pt idx="1">
                  <c:v>57.094484215530258</c:v>
                </c:pt>
                <c:pt idx="2">
                  <c:v>55.167089865345972</c:v>
                </c:pt>
                <c:pt idx="3">
                  <c:v>56.544933813273225</c:v>
                </c:pt>
                <c:pt idx="4">
                  <c:v>54.087468187057354</c:v>
                </c:pt>
                <c:pt idx="5">
                  <c:v>54.052816150147308</c:v>
                </c:pt>
                <c:pt idx="6">
                  <c:v>52.504826596953009</c:v>
                </c:pt>
                <c:pt idx="7">
                  <c:v>52.437814449609519</c:v>
                </c:pt>
                <c:pt idx="8">
                  <c:v>49.967693043249135</c:v>
                </c:pt>
                <c:pt idx="9">
                  <c:v>48.208447082626854</c:v>
                </c:pt>
                <c:pt idx="10">
                  <c:v>47.261108218239301</c:v>
                </c:pt>
                <c:pt idx="11">
                  <c:v>47.582879871161346</c:v>
                </c:pt>
                <c:pt idx="12">
                  <c:v>45.353314408865948</c:v>
                </c:pt>
                <c:pt idx="13">
                  <c:v>46.218710936539736</c:v>
                </c:pt>
                <c:pt idx="14">
                  <c:v>46.441026974427899</c:v>
                </c:pt>
                <c:pt idx="15">
                  <c:v>45.223172877843723</c:v>
                </c:pt>
                <c:pt idx="16">
                  <c:v>46.988002004071213</c:v>
                </c:pt>
                <c:pt idx="17">
                  <c:v>46.260483662784871</c:v>
                </c:pt>
                <c:pt idx="18">
                  <c:v>47.053953250734168</c:v>
                </c:pt>
                <c:pt idx="19">
                  <c:v>48.804400134028086</c:v>
                </c:pt>
                <c:pt idx="20">
                  <c:v>48.141702838621761</c:v>
                </c:pt>
              </c:numCache>
            </c:numRef>
          </c:val>
          <c:extLst>
            <c:ext xmlns:c16="http://schemas.microsoft.com/office/drawing/2014/chart" uri="{C3380CC4-5D6E-409C-BE32-E72D297353CC}">
              <c16:uniqueId val="{00000003-3D50-4E71-953D-0CD0D55D8967}"/>
            </c:ext>
          </c:extLst>
        </c:ser>
        <c:dLbls>
          <c:showLegendKey val="0"/>
          <c:showVal val="0"/>
          <c:showCatName val="0"/>
          <c:showSerName val="0"/>
          <c:showPercent val="0"/>
          <c:showBubbleSize val="0"/>
        </c:dLbls>
        <c:gapWidth val="150"/>
        <c:overlap val="100"/>
        <c:axId val="1060590112"/>
        <c:axId val="1146919007"/>
      </c:barChart>
      <c:catAx>
        <c:axId val="1060590112"/>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46919007"/>
        <c:crosses val="autoZero"/>
        <c:auto val="1"/>
        <c:lblAlgn val="ctr"/>
        <c:lblOffset val="100"/>
        <c:tickLblSkip val="4"/>
        <c:tickMarkSkip val="1"/>
        <c:noMultiLvlLbl val="0"/>
      </c:catAx>
      <c:valAx>
        <c:axId val="1146919007"/>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Mt CO2-e</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590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'2.4'!$B$6</c:f>
              <c:strCache>
                <c:ptCount val="1"/>
                <c:pt idx="0">
                  <c:v>Fugitive</c:v>
                </c:pt>
              </c:strCache>
            </c:strRef>
          </c:tx>
          <c:spPr>
            <a:solidFill>
              <a:srgbClr val="005CAF"/>
            </a:solidFill>
            <a:ln>
              <a:noFill/>
            </a:ln>
            <a:effectLst/>
          </c:spPr>
          <c:invertIfNegative val="0"/>
          <c:cat>
            <c:strRef>
              <c:f>'2.4'!$C$5:$D$5</c:f>
              <c:strCache>
                <c:ptCount val="2"/>
                <c:pt idx="0">
                  <c:v>Supply</c:v>
                </c:pt>
                <c:pt idx="1">
                  <c:v>Use</c:v>
                </c:pt>
              </c:strCache>
            </c:strRef>
          </c:cat>
          <c:val>
            <c:numRef>
              <c:f>'2.4'!$C$6:$D$6</c:f>
              <c:numCache>
                <c:formatCode>General</c:formatCode>
                <c:ptCount val="2"/>
                <c:pt idx="0" formatCode="0.0">
                  <c:v>-5.9802930065843682</c:v>
                </c:pt>
              </c:numCache>
            </c:numRef>
          </c:val>
          <c:extLst>
            <c:ext xmlns:c16="http://schemas.microsoft.com/office/drawing/2014/chart" uri="{C3380CC4-5D6E-409C-BE32-E72D297353CC}">
              <c16:uniqueId val="{00000000-7E74-4688-AE42-4018C021400B}"/>
            </c:ext>
          </c:extLst>
        </c:ser>
        <c:ser>
          <c:idx val="1"/>
          <c:order val="1"/>
          <c:tx>
            <c:strRef>
              <c:f>'2.4'!$B$7</c:f>
              <c:strCache>
                <c:ptCount val="1"/>
                <c:pt idx="0">
                  <c:v>Stationary</c:v>
                </c:pt>
              </c:strCache>
            </c:strRef>
          </c:tx>
          <c:spPr>
            <a:solidFill>
              <a:srgbClr val="56B4DF"/>
            </a:solidFill>
            <a:ln>
              <a:noFill/>
            </a:ln>
            <a:effectLst/>
          </c:spPr>
          <c:invertIfNegative val="0"/>
          <c:cat>
            <c:strRef>
              <c:f>'2.4'!$C$5:$D$5</c:f>
              <c:strCache>
                <c:ptCount val="2"/>
                <c:pt idx="0">
                  <c:v>Supply</c:v>
                </c:pt>
                <c:pt idx="1">
                  <c:v>Use</c:v>
                </c:pt>
              </c:strCache>
            </c:strRef>
          </c:cat>
          <c:val>
            <c:numRef>
              <c:f>'2.4'!$C$7:$D$7</c:f>
              <c:numCache>
                <c:formatCode>General</c:formatCode>
                <c:ptCount val="2"/>
                <c:pt idx="0" formatCode="0.0">
                  <c:v>-7.2025951938099251</c:v>
                </c:pt>
              </c:numCache>
            </c:numRef>
          </c:val>
          <c:extLst>
            <c:ext xmlns:c16="http://schemas.microsoft.com/office/drawing/2014/chart" uri="{C3380CC4-5D6E-409C-BE32-E72D297353CC}">
              <c16:uniqueId val="{00000001-7E74-4688-AE42-4018C021400B}"/>
            </c:ext>
          </c:extLst>
        </c:ser>
        <c:ser>
          <c:idx val="2"/>
          <c:order val="2"/>
          <c:tx>
            <c:strRef>
              <c:f>'2.4'!$B$8</c:f>
              <c:strCache>
                <c:ptCount val="1"/>
                <c:pt idx="0">
                  <c:v>Electricity</c:v>
                </c:pt>
              </c:strCache>
            </c:strRef>
          </c:tx>
          <c:spPr>
            <a:solidFill>
              <a:srgbClr val="F36A5A"/>
            </a:solidFill>
            <a:ln>
              <a:noFill/>
            </a:ln>
            <a:effectLst/>
          </c:spPr>
          <c:invertIfNegative val="0"/>
          <c:cat>
            <c:strRef>
              <c:f>'2.4'!$C$5:$D$5</c:f>
              <c:strCache>
                <c:ptCount val="2"/>
                <c:pt idx="0">
                  <c:v>Supply</c:v>
                </c:pt>
                <c:pt idx="1">
                  <c:v>Use</c:v>
                </c:pt>
              </c:strCache>
            </c:strRef>
          </c:cat>
          <c:val>
            <c:numRef>
              <c:f>'2.4'!$C$8:$D$8</c:f>
              <c:numCache>
                <c:formatCode>General</c:formatCode>
                <c:ptCount val="2"/>
                <c:pt idx="0" formatCode="0.0">
                  <c:v>0.36831385247317705</c:v>
                </c:pt>
              </c:numCache>
            </c:numRef>
          </c:val>
          <c:extLst>
            <c:ext xmlns:c16="http://schemas.microsoft.com/office/drawing/2014/chart" uri="{C3380CC4-5D6E-409C-BE32-E72D297353CC}">
              <c16:uniqueId val="{00000002-7E74-4688-AE42-4018C021400B}"/>
            </c:ext>
          </c:extLst>
        </c:ser>
        <c:ser>
          <c:idx val="3"/>
          <c:order val="3"/>
          <c:tx>
            <c:strRef>
              <c:f>'2.4'!$B$9</c:f>
              <c:strCache>
                <c:ptCount val="1"/>
                <c:pt idx="0">
                  <c:v>Other supply</c:v>
                </c:pt>
              </c:strCache>
            </c:strRef>
          </c:tx>
          <c:spPr>
            <a:solidFill>
              <a:srgbClr val="BCBFC1"/>
            </a:solidFill>
            <a:ln>
              <a:noFill/>
            </a:ln>
            <a:effectLst/>
          </c:spPr>
          <c:invertIfNegative val="0"/>
          <c:cat>
            <c:strRef>
              <c:f>'2.4'!$C$5:$D$5</c:f>
              <c:strCache>
                <c:ptCount val="2"/>
                <c:pt idx="0">
                  <c:v>Supply</c:v>
                </c:pt>
                <c:pt idx="1">
                  <c:v>Use</c:v>
                </c:pt>
              </c:strCache>
            </c:strRef>
          </c:cat>
          <c:val>
            <c:numRef>
              <c:f>'2.4'!$C$9:$D$9</c:f>
              <c:numCache>
                <c:formatCode>General</c:formatCode>
                <c:ptCount val="2"/>
                <c:pt idx="0" formatCode="0.0">
                  <c:v>1.5113205282653031E-2</c:v>
                </c:pt>
              </c:numCache>
            </c:numRef>
          </c:val>
          <c:extLst>
            <c:ext xmlns:c16="http://schemas.microsoft.com/office/drawing/2014/chart" uri="{C3380CC4-5D6E-409C-BE32-E72D297353CC}">
              <c16:uniqueId val="{00000003-7E74-4688-AE42-4018C021400B}"/>
            </c:ext>
          </c:extLst>
        </c:ser>
        <c:ser>
          <c:idx val="4"/>
          <c:order val="4"/>
          <c:tx>
            <c:strRef>
              <c:f>'2.4'!$B$10</c:f>
              <c:strCache>
                <c:ptCount val="1"/>
                <c:pt idx="0">
                  <c:v>Electricity</c:v>
                </c:pt>
              </c:strCache>
            </c:strRef>
          </c:tx>
          <c:spPr>
            <a:solidFill>
              <a:srgbClr val="51B7A4"/>
            </a:solidFill>
            <a:ln>
              <a:noFill/>
            </a:ln>
            <a:effectLst/>
          </c:spPr>
          <c:invertIfNegative val="0"/>
          <c:cat>
            <c:strRef>
              <c:f>'2.4'!$C$5:$D$5</c:f>
              <c:strCache>
                <c:ptCount val="2"/>
                <c:pt idx="0">
                  <c:v>Supply</c:v>
                </c:pt>
                <c:pt idx="1">
                  <c:v>Use</c:v>
                </c:pt>
              </c:strCache>
            </c:strRef>
          </c:cat>
          <c:val>
            <c:numRef>
              <c:f>'2.4'!$C$10:$D$10</c:f>
              <c:numCache>
                <c:formatCode>0.0</c:formatCode>
                <c:ptCount val="2"/>
                <c:pt idx="1">
                  <c:v>-2.1120797708251828</c:v>
                </c:pt>
              </c:numCache>
            </c:numRef>
          </c:val>
          <c:extLst>
            <c:ext xmlns:c16="http://schemas.microsoft.com/office/drawing/2014/chart" uri="{C3380CC4-5D6E-409C-BE32-E72D297353CC}">
              <c16:uniqueId val="{00000004-7E74-4688-AE42-4018C021400B}"/>
            </c:ext>
          </c:extLst>
        </c:ser>
        <c:ser>
          <c:idx val="5"/>
          <c:order val="5"/>
          <c:tx>
            <c:strRef>
              <c:f>'2.4'!$B$11</c:f>
              <c:strCache>
                <c:ptCount val="1"/>
                <c:pt idx="0">
                  <c:v>Buildings</c:v>
                </c:pt>
              </c:strCache>
            </c:strRef>
          </c:tx>
          <c:spPr>
            <a:solidFill>
              <a:srgbClr val="0A7568"/>
            </a:solidFill>
            <a:ln>
              <a:noFill/>
            </a:ln>
            <a:effectLst/>
          </c:spPr>
          <c:invertIfNegative val="0"/>
          <c:cat>
            <c:strRef>
              <c:f>'2.4'!$C$5:$D$5</c:f>
              <c:strCache>
                <c:ptCount val="2"/>
                <c:pt idx="0">
                  <c:v>Supply</c:v>
                </c:pt>
                <c:pt idx="1">
                  <c:v>Use</c:v>
                </c:pt>
              </c:strCache>
            </c:strRef>
          </c:cat>
          <c:val>
            <c:numRef>
              <c:f>'2.4'!$C$11:$D$11</c:f>
              <c:numCache>
                <c:formatCode>0.0</c:formatCode>
                <c:ptCount val="2"/>
                <c:pt idx="1">
                  <c:v>-2.1652532429635052</c:v>
                </c:pt>
              </c:numCache>
            </c:numRef>
          </c:val>
          <c:extLst>
            <c:ext xmlns:c16="http://schemas.microsoft.com/office/drawing/2014/chart" uri="{C3380CC4-5D6E-409C-BE32-E72D297353CC}">
              <c16:uniqueId val="{00000005-7E74-4688-AE42-4018C021400B}"/>
            </c:ext>
          </c:extLst>
        </c:ser>
        <c:ser>
          <c:idx val="6"/>
          <c:order val="6"/>
          <c:tx>
            <c:strRef>
              <c:f>'2.4'!$B$12</c:f>
              <c:strCache>
                <c:ptCount val="1"/>
                <c:pt idx="0">
                  <c:v>Manufacturing</c:v>
                </c:pt>
              </c:strCache>
            </c:strRef>
          </c:tx>
          <c:spPr>
            <a:solidFill>
              <a:srgbClr val="D1AAF7"/>
            </a:solidFill>
            <a:ln>
              <a:noFill/>
            </a:ln>
            <a:effectLst/>
          </c:spPr>
          <c:invertIfNegative val="0"/>
          <c:cat>
            <c:strRef>
              <c:f>'2.4'!$C$5:$D$5</c:f>
              <c:strCache>
                <c:ptCount val="2"/>
                <c:pt idx="0">
                  <c:v>Supply</c:v>
                </c:pt>
                <c:pt idx="1">
                  <c:v>Use</c:v>
                </c:pt>
              </c:strCache>
            </c:strRef>
          </c:cat>
          <c:val>
            <c:numRef>
              <c:f>'2.4'!$C$12:$D$12</c:f>
              <c:numCache>
                <c:formatCode>0.0</c:formatCode>
                <c:ptCount val="2"/>
                <c:pt idx="1">
                  <c:v>-8.3799872309430867E-2</c:v>
                </c:pt>
              </c:numCache>
            </c:numRef>
          </c:val>
          <c:extLst>
            <c:ext xmlns:c16="http://schemas.microsoft.com/office/drawing/2014/chart" uri="{C3380CC4-5D6E-409C-BE32-E72D297353CC}">
              <c16:uniqueId val="{00000006-7E74-4688-AE42-4018C021400B}"/>
            </c:ext>
          </c:extLst>
        </c:ser>
        <c:ser>
          <c:idx val="7"/>
          <c:order val="7"/>
          <c:tx>
            <c:strRef>
              <c:f>'2.4'!$B$13</c:f>
              <c:strCache>
                <c:ptCount val="1"/>
                <c:pt idx="0">
                  <c:v>Transport</c:v>
                </c:pt>
              </c:strCache>
            </c:strRef>
          </c:tx>
          <c:spPr>
            <a:solidFill>
              <a:srgbClr val="60307F"/>
            </a:solidFill>
            <a:ln>
              <a:noFill/>
            </a:ln>
            <a:effectLst/>
          </c:spPr>
          <c:invertIfNegative val="0"/>
          <c:cat>
            <c:strRef>
              <c:f>'2.4'!$C$5:$D$5</c:f>
              <c:strCache>
                <c:ptCount val="2"/>
                <c:pt idx="0">
                  <c:v>Supply</c:v>
                </c:pt>
                <c:pt idx="1">
                  <c:v>Use</c:v>
                </c:pt>
              </c:strCache>
            </c:strRef>
          </c:cat>
          <c:val>
            <c:numRef>
              <c:f>'2.4'!$C$13:$D$13</c:f>
              <c:numCache>
                <c:formatCode>0.0</c:formatCode>
                <c:ptCount val="2"/>
                <c:pt idx="1">
                  <c:v>0.1682360886390506</c:v>
                </c:pt>
              </c:numCache>
            </c:numRef>
          </c:val>
          <c:extLst>
            <c:ext xmlns:c16="http://schemas.microsoft.com/office/drawing/2014/chart" uri="{C3380CC4-5D6E-409C-BE32-E72D297353CC}">
              <c16:uniqueId val="{00000007-7E74-4688-AE42-4018C021400B}"/>
            </c:ext>
          </c:extLst>
        </c:ser>
        <c:ser>
          <c:idx val="8"/>
          <c:order val="8"/>
          <c:tx>
            <c:strRef>
              <c:f>'2.4'!$B$14</c:f>
              <c:strCache>
                <c:ptCount val="1"/>
                <c:pt idx="0">
                  <c:v>Mining</c:v>
                </c:pt>
              </c:strCache>
            </c:strRef>
          </c:tx>
          <c:spPr>
            <a:solidFill>
              <a:srgbClr val="D0D3D5"/>
            </a:solidFill>
            <a:ln>
              <a:noFill/>
            </a:ln>
            <a:effectLst/>
          </c:spPr>
          <c:invertIfNegative val="0"/>
          <c:cat>
            <c:strRef>
              <c:f>'2.4'!$C$5:$D$5</c:f>
              <c:strCache>
                <c:ptCount val="2"/>
                <c:pt idx="0">
                  <c:v>Supply</c:v>
                </c:pt>
                <c:pt idx="1">
                  <c:v>Use</c:v>
                </c:pt>
              </c:strCache>
            </c:strRef>
          </c:cat>
          <c:val>
            <c:numRef>
              <c:f>'2.4'!$C$14:$D$14</c:f>
              <c:numCache>
                <c:formatCode>0.0</c:formatCode>
                <c:ptCount val="2"/>
                <c:pt idx="1">
                  <c:v>-0.10321481352868822</c:v>
                </c:pt>
              </c:numCache>
            </c:numRef>
          </c:val>
          <c:extLst>
            <c:ext xmlns:c16="http://schemas.microsoft.com/office/drawing/2014/chart" uri="{C3380CC4-5D6E-409C-BE32-E72D297353CC}">
              <c16:uniqueId val="{00000008-7E74-4688-AE42-4018C021400B}"/>
            </c:ext>
          </c:extLst>
        </c:ser>
        <c:dLbls>
          <c:showLegendKey val="0"/>
          <c:showVal val="0"/>
          <c:showCatName val="0"/>
          <c:showSerName val="0"/>
          <c:showPercent val="0"/>
          <c:showBubbleSize val="0"/>
        </c:dLbls>
        <c:gapWidth val="150"/>
        <c:overlap val="100"/>
        <c:axId val="1060643472"/>
        <c:axId val="1227189903"/>
      </c:barChart>
      <c:lineChart>
        <c:grouping val="standard"/>
        <c:varyColors val="0"/>
        <c:ser>
          <c:idx val="9"/>
          <c:order val="9"/>
          <c:tx>
            <c:strRef>
              <c:f>'2.4'!$B$15</c:f>
              <c:strCache>
                <c:ptCount val="1"/>
                <c:pt idx="0">
                  <c:v>Total</c:v>
                </c:pt>
              </c:strCache>
            </c:strRef>
          </c:tx>
          <c:spPr>
            <a:ln w="28575" cap="rnd">
              <a:noFill/>
              <a:round/>
            </a:ln>
            <a:effectLst/>
          </c:spPr>
          <c:marker>
            <c:symbol val="diamond"/>
            <c:size val="5"/>
            <c:spPr>
              <a:solidFill>
                <a:srgbClr val="BCBFC1"/>
              </a:solidFill>
              <a:ln w="9525">
                <a:solidFill>
                  <a:srgbClr val="BCBFC1"/>
                </a:solidFill>
              </a:ln>
              <a:effectLst/>
            </c:spPr>
          </c:marker>
          <c:cat>
            <c:strRef>
              <c:f>'2.4'!$C$5:$D$5</c:f>
              <c:strCache>
                <c:ptCount val="2"/>
                <c:pt idx="0">
                  <c:v>Supply</c:v>
                </c:pt>
                <c:pt idx="1">
                  <c:v>Use</c:v>
                </c:pt>
              </c:strCache>
            </c:strRef>
          </c:cat>
          <c:val>
            <c:numRef>
              <c:f>'2.4'!$C$15:$D$15</c:f>
              <c:numCache>
                <c:formatCode>0.0</c:formatCode>
                <c:ptCount val="2"/>
                <c:pt idx="0">
                  <c:v>-12.799461142638464</c:v>
                </c:pt>
                <c:pt idx="1">
                  <c:v>-4.2961116109877571</c:v>
                </c:pt>
              </c:numCache>
            </c:numRef>
          </c:val>
          <c:smooth val="0"/>
          <c:extLst>
            <c:ext xmlns:c16="http://schemas.microsoft.com/office/drawing/2014/chart" uri="{C3380CC4-5D6E-409C-BE32-E72D297353CC}">
              <c16:uniqueId val="{00000009-7E74-4688-AE42-4018C021400B}"/>
            </c:ext>
          </c:extLst>
        </c:ser>
        <c:dLbls>
          <c:showLegendKey val="0"/>
          <c:showVal val="0"/>
          <c:showCatName val="0"/>
          <c:showSerName val="0"/>
          <c:showPercent val="0"/>
          <c:showBubbleSize val="0"/>
        </c:dLbls>
        <c:marker val="1"/>
        <c:smooth val="0"/>
        <c:axId val="1060643472"/>
        <c:axId val="1227189903"/>
      </c:lineChart>
      <c:catAx>
        <c:axId val="1060643472"/>
        <c:scaling>
          <c:orientation val="minMax"/>
        </c:scaling>
        <c:delete val="0"/>
        <c:axPos val="b"/>
        <c:numFmt formatCode="General" sourceLinked="1"/>
        <c:majorTickMark val="out"/>
        <c:minorTickMark val="none"/>
        <c:tickLblPos val="high"/>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227189903"/>
        <c:crosses val="autoZero"/>
        <c:auto val="1"/>
        <c:lblAlgn val="ctr"/>
        <c:lblOffset val="100"/>
        <c:noMultiLvlLbl val="0"/>
      </c:catAx>
      <c:valAx>
        <c:axId val="1227189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Mt CO</a:t>
                </a:r>
                <a:r>
                  <a:rPr lang="en-AU" baseline="-25000"/>
                  <a:t>2</a:t>
                </a:r>
                <a:r>
                  <a:rPr lang="en-AU"/>
                  <a:t>-e</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434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2093561834183"/>
          <c:y val="5.9782608695652176E-2"/>
          <c:w val="0.72441083835108844"/>
          <c:h val="0.51702171119823415"/>
        </c:manualLayout>
      </c:layout>
      <c:areaChart>
        <c:grouping val="stacked"/>
        <c:varyColors val="0"/>
        <c:ser>
          <c:idx val="0"/>
          <c:order val="0"/>
          <c:tx>
            <c:strRef>
              <c:f>'2.5'!$C$5</c:f>
              <c:strCache>
                <c:ptCount val="1"/>
                <c:pt idx="0">
                  <c:v>Electricity</c:v>
                </c:pt>
              </c:strCache>
            </c:strRef>
          </c:tx>
          <c:spPr>
            <a:solidFill>
              <a:srgbClr val="005CAF"/>
            </a:solidFill>
            <a:ln>
              <a:noFill/>
            </a:ln>
            <a:effectLst/>
          </c:spPr>
          <c:cat>
            <c:strRef>
              <c:f>'2.5'!$B$6:$B$18</c:f>
              <c:strCache>
                <c:ptCount val="13"/>
                <c:pt idx="0">
                  <c:v>2022–23</c:v>
                </c:pt>
                <c:pt idx="1">
                  <c:v>2023–24</c:v>
                </c:pt>
                <c:pt idx="2">
                  <c:v>2024–25</c:v>
                </c:pt>
                <c:pt idx="3">
                  <c:v>2025–26</c:v>
                </c:pt>
                <c:pt idx="4">
                  <c:v>2026–27</c:v>
                </c:pt>
                <c:pt idx="5">
                  <c:v>2027–28</c:v>
                </c:pt>
                <c:pt idx="6">
                  <c:v>2028–29</c:v>
                </c:pt>
                <c:pt idx="7">
                  <c:v>2029–30</c:v>
                </c:pt>
                <c:pt idx="8">
                  <c:v>2030–31</c:v>
                </c:pt>
                <c:pt idx="9">
                  <c:v>2031–32</c:v>
                </c:pt>
                <c:pt idx="10">
                  <c:v>2032–33</c:v>
                </c:pt>
                <c:pt idx="11">
                  <c:v>2033–34</c:v>
                </c:pt>
                <c:pt idx="12">
                  <c:v>2034–35</c:v>
                </c:pt>
              </c:strCache>
            </c:strRef>
          </c:cat>
          <c:val>
            <c:numRef>
              <c:f>'2.5'!$C$6:$C$18</c:f>
              <c:numCache>
                <c:formatCode>0.0</c:formatCode>
                <c:ptCount val="13"/>
                <c:pt idx="0">
                  <c:v>16.653334220882037</c:v>
                </c:pt>
                <c:pt idx="1">
                  <c:v>14.584128946359971</c:v>
                </c:pt>
                <c:pt idx="2">
                  <c:v>13.606685984694527</c:v>
                </c:pt>
                <c:pt idx="3">
                  <c:v>14.216646949988057</c:v>
                </c:pt>
                <c:pt idx="4">
                  <c:v>12.348385632869949</c:v>
                </c:pt>
                <c:pt idx="5">
                  <c:v>13.15444828038725</c:v>
                </c:pt>
                <c:pt idx="6">
                  <c:v>13.301838420696958</c:v>
                </c:pt>
                <c:pt idx="7">
                  <c:v>11.92762269754105</c:v>
                </c:pt>
                <c:pt idx="8">
                  <c:v>13.717947891633703</c:v>
                </c:pt>
                <c:pt idx="9">
                  <c:v>13.7906404804939</c:v>
                </c:pt>
                <c:pt idx="10">
                  <c:v>14.654623622798336</c:v>
                </c:pt>
                <c:pt idx="11">
                  <c:v>17.271095142168917</c:v>
                </c:pt>
                <c:pt idx="12">
                  <c:v>17.77161098676028</c:v>
                </c:pt>
              </c:numCache>
            </c:numRef>
          </c:val>
          <c:extLst>
            <c:ext xmlns:c16="http://schemas.microsoft.com/office/drawing/2014/chart" uri="{C3380CC4-5D6E-409C-BE32-E72D297353CC}">
              <c16:uniqueId val="{00000000-4ABD-48CC-9AA5-B6754601C804}"/>
            </c:ext>
          </c:extLst>
        </c:ser>
        <c:ser>
          <c:idx val="1"/>
          <c:order val="1"/>
          <c:tx>
            <c:strRef>
              <c:f>'2.5'!$D$5</c:f>
              <c:strCache>
                <c:ptCount val="1"/>
                <c:pt idx="0">
                  <c:v>Manufacturing</c:v>
                </c:pt>
              </c:strCache>
            </c:strRef>
          </c:tx>
          <c:spPr>
            <a:solidFill>
              <a:srgbClr val="56B4DF"/>
            </a:solidFill>
            <a:ln>
              <a:noFill/>
            </a:ln>
            <a:effectLst/>
          </c:spPr>
          <c:cat>
            <c:strRef>
              <c:f>'2.5'!$B$6:$B$18</c:f>
              <c:strCache>
                <c:ptCount val="13"/>
                <c:pt idx="0">
                  <c:v>2022–23</c:v>
                </c:pt>
                <c:pt idx="1">
                  <c:v>2023–24</c:v>
                </c:pt>
                <c:pt idx="2">
                  <c:v>2024–25</c:v>
                </c:pt>
                <c:pt idx="3">
                  <c:v>2025–26</c:v>
                </c:pt>
                <c:pt idx="4">
                  <c:v>2026–27</c:v>
                </c:pt>
                <c:pt idx="5">
                  <c:v>2027–28</c:v>
                </c:pt>
                <c:pt idx="6">
                  <c:v>2028–29</c:v>
                </c:pt>
                <c:pt idx="7">
                  <c:v>2029–30</c:v>
                </c:pt>
                <c:pt idx="8">
                  <c:v>2030–31</c:v>
                </c:pt>
                <c:pt idx="9">
                  <c:v>2031–32</c:v>
                </c:pt>
                <c:pt idx="10">
                  <c:v>2032–33</c:v>
                </c:pt>
                <c:pt idx="11">
                  <c:v>2033–34</c:v>
                </c:pt>
                <c:pt idx="12">
                  <c:v>2034–35</c:v>
                </c:pt>
              </c:strCache>
            </c:strRef>
          </c:cat>
          <c:val>
            <c:numRef>
              <c:f>'2.5'!$D$6:$D$18</c:f>
              <c:numCache>
                <c:formatCode>0.0</c:formatCode>
                <c:ptCount val="13"/>
                <c:pt idx="0">
                  <c:v>10.946268484087145</c:v>
                </c:pt>
                <c:pt idx="1">
                  <c:v>10.995872910812817</c:v>
                </c:pt>
                <c:pt idx="2">
                  <c:v>10.981107610398141</c:v>
                </c:pt>
                <c:pt idx="3">
                  <c:v>10.805963746289768</c:v>
                </c:pt>
                <c:pt idx="4">
                  <c:v>10.421022831547798</c:v>
                </c:pt>
                <c:pt idx="5">
                  <c:v>9.8778733700121357</c:v>
                </c:pt>
                <c:pt idx="6">
                  <c:v>9.7180964351615291</c:v>
                </c:pt>
                <c:pt idx="7">
                  <c:v>9.6459556936395856</c:v>
                </c:pt>
                <c:pt idx="8">
                  <c:v>9.4681062726987637</c:v>
                </c:pt>
                <c:pt idx="9">
                  <c:v>9.290752588565379</c:v>
                </c:pt>
                <c:pt idx="10">
                  <c:v>9.1185897853820137</c:v>
                </c:pt>
                <c:pt idx="11">
                  <c:v>8.9501504904644893</c:v>
                </c:pt>
                <c:pt idx="12">
                  <c:v>8.7934334970406631</c:v>
                </c:pt>
              </c:numCache>
            </c:numRef>
          </c:val>
          <c:extLst>
            <c:ext xmlns:c16="http://schemas.microsoft.com/office/drawing/2014/chart" uri="{C3380CC4-5D6E-409C-BE32-E72D297353CC}">
              <c16:uniqueId val="{00000001-4ABD-48CC-9AA5-B6754601C804}"/>
            </c:ext>
          </c:extLst>
        </c:ser>
        <c:ser>
          <c:idx val="2"/>
          <c:order val="2"/>
          <c:tx>
            <c:strRef>
              <c:f>'2.5'!$E$5</c:f>
              <c:strCache>
                <c:ptCount val="1"/>
                <c:pt idx="0">
                  <c:v>Transport</c:v>
                </c:pt>
              </c:strCache>
            </c:strRef>
          </c:tx>
          <c:spPr>
            <a:solidFill>
              <a:srgbClr val="9ED9DF"/>
            </a:solidFill>
            <a:ln>
              <a:noFill/>
            </a:ln>
            <a:effectLst/>
          </c:spPr>
          <c:cat>
            <c:strRef>
              <c:f>'2.5'!$B$6:$B$18</c:f>
              <c:strCache>
                <c:ptCount val="13"/>
                <c:pt idx="0">
                  <c:v>2022–23</c:v>
                </c:pt>
                <c:pt idx="1">
                  <c:v>2023–24</c:v>
                </c:pt>
                <c:pt idx="2">
                  <c:v>2024–25</c:v>
                </c:pt>
                <c:pt idx="3">
                  <c:v>2025–26</c:v>
                </c:pt>
                <c:pt idx="4">
                  <c:v>2026–27</c:v>
                </c:pt>
                <c:pt idx="5">
                  <c:v>2027–28</c:v>
                </c:pt>
                <c:pt idx="6">
                  <c:v>2028–29</c:v>
                </c:pt>
                <c:pt idx="7">
                  <c:v>2029–30</c:v>
                </c:pt>
                <c:pt idx="8">
                  <c:v>2030–31</c:v>
                </c:pt>
                <c:pt idx="9">
                  <c:v>2031–32</c:v>
                </c:pt>
                <c:pt idx="10">
                  <c:v>2032–33</c:v>
                </c:pt>
                <c:pt idx="11">
                  <c:v>2033–34</c:v>
                </c:pt>
                <c:pt idx="12">
                  <c:v>2034–35</c:v>
                </c:pt>
              </c:strCache>
            </c:strRef>
          </c:cat>
          <c:val>
            <c:numRef>
              <c:f>'2.5'!$E$6:$E$18</c:f>
              <c:numCache>
                <c:formatCode>0.0</c:formatCode>
                <c:ptCount val="13"/>
                <c:pt idx="0">
                  <c:v>21.079731137193853</c:v>
                </c:pt>
                <c:pt idx="1">
                  <c:v>21.23275015913309</c:v>
                </c:pt>
                <c:pt idx="2">
                  <c:v>21.306888362340114</c:v>
                </c:pt>
                <c:pt idx="3">
                  <c:v>21.167055277903703</c:v>
                </c:pt>
                <c:pt idx="4">
                  <c:v>21.157964784213988</c:v>
                </c:pt>
                <c:pt idx="5">
                  <c:v>21.764326972606607</c:v>
                </c:pt>
                <c:pt idx="6">
                  <c:v>22.015433991707006</c:v>
                </c:pt>
                <c:pt idx="7">
                  <c:v>22.247688335438212</c:v>
                </c:pt>
                <c:pt idx="8">
                  <c:v>22.412850932505471</c:v>
                </c:pt>
                <c:pt idx="9">
                  <c:v>21.851729469634915</c:v>
                </c:pt>
                <c:pt idx="10">
                  <c:v>21.963611753531094</c:v>
                </c:pt>
                <c:pt idx="11">
                  <c:v>21.276515474297927</c:v>
                </c:pt>
                <c:pt idx="12">
                  <c:v>20.280357842009568</c:v>
                </c:pt>
              </c:numCache>
            </c:numRef>
          </c:val>
          <c:extLst>
            <c:ext xmlns:c16="http://schemas.microsoft.com/office/drawing/2014/chart" uri="{C3380CC4-5D6E-409C-BE32-E72D297353CC}">
              <c16:uniqueId val="{00000002-4ABD-48CC-9AA5-B6754601C804}"/>
            </c:ext>
          </c:extLst>
        </c:ser>
        <c:ser>
          <c:idx val="3"/>
          <c:order val="3"/>
          <c:tx>
            <c:strRef>
              <c:f>'2.5'!$F$5</c:f>
              <c:strCache>
                <c:ptCount val="1"/>
                <c:pt idx="0">
                  <c:v>Mining</c:v>
                </c:pt>
              </c:strCache>
            </c:strRef>
          </c:tx>
          <c:spPr>
            <a:solidFill>
              <a:srgbClr val="BCBFC1"/>
            </a:solidFill>
            <a:ln>
              <a:noFill/>
            </a:ln>
            <a:effectLst/>
          </c:spPr>
          <c:val>
            <c:numRef>
              <c:f>'2.5'!$F$6:$F$18</c:f>
              <c:numCache>
                <c:formatCode>0.0</c:formatCode>
                <c:ptCount val="13"/>
                <c:pt idx="0">
                  <c:v>1.0111570859466854</c:v>
                </c:pt>
                <c:pt idx="1">
                  <c:v>1.0811570859466857</c:v>
                </c:pt>
                <c:pt idx="2">
                  <c:v>1.0511570859466854</c:v>
                </c:pt>
                <c:pt idx="3">
                  <c:v>1.0911570859466853</c:v>
                </c:pt>
                <c:pt idx="4">
                  <c:v>1.1411570859466853</c:v>
                </c:pt>
                <c:pt idx="5">
                  <c:v>1.1411570859466853</c:v>
                </c:pt>
                <c:pt idx="6">
                  <c:v>1.1311570859466853</c:v>
                </c:pt>
                <c:pt idx="7">
                  <c:v>1.1311570859466853</c:v>
                </c:pt>
                <c:pt idx="8">
                  <c:v>1.1611570859466853</c:v>
                </c:pt>
                <c:pt idx="9">
                  <c:v>1.1611570859466853</c:v>
                </c:pt>
                <c:pt idx="10">
                  <c:v>1.1511570859466853</c:v>
                </c:pt>
                <c:pt idx="11">
                  <c:v>1.1411570859466853</c:v>
                </c:pt>
                <c:pt idx="12">
                  <c:v>1.1311570859466853</c:v>
                </c:pt>
              </c:numCache>
            </c:numRef>
          </c:val>
          <c:extLst>
            <c:ext xmlns:c16="http://schemas.microsoft.com/office/drawing/2014/chart" uri="{C3380CC4-5D6E-409C-BE32-E72D297353CC}">
              <c16:uniqueId val="{00000003-4ABD-48CC-9AA5-B6754601C804}"/>
            </c:ext>
          </c:extLst>
        </c:ser>
        <c:dLbls>
          <c:showLegendKey val="0"/>
          <c:showVal val="0"/>
          <c:showCatName val="0"/>
          <c:showSerName val="0"/>
          <c:showPercent val="0"/>
          <c:showBubbleSize val="0"/>
        </c:dLbls>
        <c:axId val="1060704256"/>
        <c:axId val="1110217280"/>
      </c:areaChart>
      <c:lineChart>
        <c:grouping val="standard"/>
        <c:varyColors val="0"/>
        <c:ser>
          <c:idx val="4"/>
          <c:order val="4"/>
          <c:tx>
            <c:strRef>
              <c:f>'2.5'!$G$5</c:f>
              <c:strCache>
                <c:ptCount val="1"/>
                <c:pt idx="0">
                  <c:v>Gas use (RHS)</c:v>
                </c:pt>
              </c:strCache>
            </c:strRef>
          </c:tx>
          <c:spPr>
            <a:ln w="28575" cap="rnd">
              <a:solidFill>
                <a:srgbClr val="D1AAF7"/>
              </a:solidFill>
              <a:round/>
            </a:ln>
            <a:effectLst/>
          </c:spPr>
          <c:marker>
            <c:symbol val="none"/>
          </c:marker>
          <c:val>
            <c:numRef>
              <c:f>'2.5'!$G$6:$G$18</c:f>
              <c:numCache>
                <c:formatCode>#,##0</c:formatCode>
                <c:ptCount val="13"/>
                <c:pt idx="0">
                  <c:v>1109</c:v>
                </c:pt>
                <c:pt idx="1">
                  <c:v>1018.8100000000001</c:v>
                </c:pt>
                <c:pt idx="2">
                  <c:v>952.52499999999998</c:v>
                </c:pt>
                <c:pt idx="3">
                  <c:v>938.31500000000005</c:v>
                </c:pt>
                <c:pt idx="4">
                  <c:v>938.73500000000001</c:v>
                </c:pt>
                <c:pt idx="5">
                  <c:v>922.83100000000013</c:v>
                </c:pt>
                <c:pt idx="6">
                  <c:v>917.39400000000001</c:v>
                </c:pt>
                <c:pt idx="7">
                  <c:v>911.05499999999984</c:v>
                </c:pt>
                <c:pt idx="8">
                  <c:v>874.25099999999998</c:v>
                </c:pt>
                <c:pt idx="9">
                  <c:v>828.721</c:v>
                </c:pt>
                <c:pt idx="10">
                  <c:v>831.63800000000003</c:v>
                </c:pt>
                <c:pt idx="11">
                  <c:v>832.98800000000006</c:v>
                </c:pt>
                <c:pt idx="12">
                  <c:v>818.94599999999991</c:v>
                </c:pt>
              </c:numCache>
            </c:numRef>
          </c:val>
          <c:smooth val="0"/>
          <c:extLst>
            <c:ext xmlns:c16="http://schemas.microsoft.com/office/drawing/2014/chart" uri="{C3380CC4-5D6E-409C-BE32-E72D297353CC}">
              <c16:uniqueId val="{00000004-4ABD-48CC-9AA5-B6754601C804}"/>
            </c:ext>
          </c:extLst>
        </c:ser>
        <c:dLbls>
          <c:showLegendKey val="0"/>
          <c:showVal val="0"/>
          <c:showCatName val="0"/>
          <c:showSerName val="0"/>
          <c:showPercent val="0"/>
          <c:showBubbleSize val="0"/>
        </c:dLbls>
        <c:marker val="1"/>
        <c:smooth val="0"/>
        <c:axId val="1060685232"/>
        <c:axId val="1110217760"/>
      </c:lineChart>
      <c:catAx>
        <c:axId val="1060704256"/>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17280"/>
        <c:crosses val="autoZero"/>
        <c:auto val="1"/>
        <c:lblAlgn val="ctr"/>
        <c:lblOffset val="100"/>
        <c:tickLblSkip val="2"/>
        <c:noMultiLvlLbl val="0"/>
      </c:catAx>
      <c:valAx>
        <c:axId val="1110217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Mt CO</a:t>
                </a:r>
                <a:r>
                  <a:rPr lang="en-AU" baseline="-25000"/>
                  <a:t>2</a:t>
                </a:r>
                <a:r>
                  <a:rPr lang="en-AU"/>
                  <a:t>-e</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704256"/>
        <c:crosses val="autoZero"/>
        <c:crossBetween val="between"/>
        <c:majorUnit val="20"/>
      </c:valAx>
      <c:valAx>
        <c:axId val="1110217760"/>
        <c:scaling>
          <c:orientation val="minMax"/>
          <c:max val="1500"/>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PJ</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85232"/>
        <c:crosses val="max"/>
        <c:crossBetween val="between"/>
        <c:majorUnit val="500"/>
      </c:valAx>
      <c:catAx>
        <c:axId val="1060685232"/>
        <c:scaling>
          <c:orientation val="minMax"/>
        </c:scaling>
        <c:delete val="1"/>
        <c:axPos val="b"/>
        <c:majorTickMark val="out"/>
        <c:minorTickMark val="none"/>
        <c:tickLblPos val="nextTo"/>
        <c:crossAx val="1110217760"/>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'2.6'!$C$5</c:f>
              <c:strCache>
                <c:ptCount val="1"/>
                <c:pt idx="0">
                  <c:v>Upstream</c:v>
                </c:pt>
              </c:strCache>
            </c:strRef>
          </c:tx>
          <c:spPr>
            <a:solidFill>
              <a:srgbClr val="005CAF"/>
            </a:solidFill>
            <a:ln>
              <a:noFill/>
            </a:ln>
            <a:effectLst/>
          </c:spPr>
          <c:invertIfNegative val="0"/>
          <c:cat>
            <c:strRef>
              <c:f>'2.6'!$B$6:$B$12</c:f>
              <c:strCache>
                <c:ptCount val="7"/>
                <c:pt idx="0">
                  <c:v>PNG</c:v>
                </c:pt>
                <c:pt idx="1">
                  <c:v>Qatar</c:v>
                </c:pt>
                <c:pt idx="2">
                  <c:v>Australia</c:v>
                </c:pt>
                <c:pt idx="3">
                  <c:v>Malaysia</c:v>
                </c:pt>
                <c:pt idx="4">
                  <c:v>Indonesia</c:v>
                </c:pt>
                <c:pt idx="5">
                  <c:v>US</c:v>
                </c:pt>
                <c:pt idx="6">
                  <c:v>Global average</c:v>
                </c:pt>
              </c:strCache>
            </c:strRef>
          </c:cat>
          <c:val>
            <c:numRef>
              <c:f>'2.6'!$C$6:$C$12</c:f>
              <c:numCache>
                <c:formatCode>0.0</c:formatCode>
                <c:ptCount val="7"/>
                <c:pt idx="0">
                  <c:v>0.6</c:v>
                </c:pt>
                <c:pt idx="1">
                  <c:v>1.33</c:v>
                </c:pt>
                <c:pt idx="2">
                  <c:v>2.08</c:v>
                </c:pt>
                <c:pt idx="3">
                  <c:v>2.2400000000000002</c:v>
                </c:pt>
                <c:pt idx="4">
                  <c:v>1.55</c:v>
                </c:pt>
                <c:pt idx="5">
                  <c:v>9.9600000000000009</c:v>
                </c:pt>
                <c:pt idx="6">
                  <c:v>3.65</c:v>
                </c:pt>
              </c:numCache>
            </c:numRef>
          </c:val>
          <c:extLst>
            <c:ext xmlns:c16="http://schemas.microsoft.com/office/drawing/2014/chart" uri="{C3380CC4-5D6E-409C-BE32-E72D297353CC}">
              <c16:uniqueId val="{00000000-747A-4EFA-A527-9F976651062D}"/>
            </c:ext>
          </c:extLst>
        </c:ser>
        <c:ser>
          <c:idx val="1"/>
          <c:order val="1"/>
          <c:tx>
            <c:strRef>
              <c:f>'2.6'!$D$5</c:f>
              <c:strCache>
                <c:ptCount val="1"/>
                <c:pt idx="0">
                  <c:v>Pipeline</c:v>
                </c:pt>
              </c:strCache>
            </c:strRef>
          </c:tx>
          <c:spPr>
            <a:solidFill>
              <a:srgbClr val="56B4DF"/>
            </a:solidFill>
            <a:ln>
              <a:noFill/>
            </a:ln>
            <a:effectLst/>
          </c:spPr>
          <c:invertIfNegative val="0"/>
          <c:cat>
            <c:strRef>
              <c:f>'2.6'!$B$6:$B$12</c:f>
              <c:strCache>
                <c:ptCount val="7"/>
                <c:pt idx="0">
                  <c:v>PNG</c:v>
                </c:pt>
                <c:pt idx="1">
                  <c:v>Qatar</c:v>
                </c:pt>
                <c:pt idx="2">
                  <c:v>Australia</c:v>
                </c:pt>
                <c:pt idx="3">
                  <c:v>Malaysia</c:v>
                </c:pt>
                <c:pt idx="4">
                  <c:v>Indonesia</c:v>
                </c:pt>
                <c:pt idx="5">
                  <c:v>US</c:v>
                </c:pt>
                <c:pt idx="6">
                  <c:v>Global average</c:v>
                </c:pt>
              </c:strCache>
            </c:strRef>
          </c:cat>
          <c:val>
            <c:numRef>
              <c:f>'2.6'!$D$6:$D$12</c:f>
              <c:numCache>
                <c:formatCode>0.0</c:formatCode>
                <c:ptCount val="7"/>
                <c:pt idx="0">
                  <c:v>0.27</c:v>
                </c:pt>
                <c:pt idx="1">
                  <c:v>0.01</c:v>
                </c:pt>
                <c:pt idx="2">
                  <c:v>0.45</c:v>
                </c:pt>
                <c:pt idx="3">
                  <c:v>0.03</c:v>
                </c:pt>
                <c:pt idx="4">
                  <c:v>0.16</c:v>
                </c:pt>
                <c:pt idx="5">
                  <c:v>1.33</c:v>
                </c:pt>
                <c:pt idx="6">
                  <c:v>0.53</c:v>
                </c:pt>
              </c:numCache>
            </c:numRef>
          </c:val>
          <c:extLst>
            <c:ext xmlns:c16="http://schemas.microsoft.com/office/drawing/2014/chart" uri="{C3380CC4-5D6E-409C-BE32-E72D297353CC}">
              <c16:uniqueId val="{00000001-747A-4EFA-A527-9F976651062D}"/>
            </c:ext>
          </c:extLst>
        </c:ser>
        <c:ser>
          <c:idx val="2"/>
          <c:order val="2"/>
          <c:tx>
            <c:strRef>
              <c:f>'2.6'!$E$5</c:f>
              <c:strCache>
                <c:ptCount val="1"/>
                <c:pt idx="0">
                  <c:v>Liquefaction</c:v>
                </c:pt>
              </c:strCache>
            </c:strRef>
          </c:tx>
          <c:spPr>
            <a:solidFill>
              <a:srgbClr val="9ED9DF"/>
            </a:solidFill>
            <a:ln>
              <a:noFill/>
            </a:ln>
            <a:effectLst/>
          </c:spPr>
          <c:invertIfNegative val="0"/>
          <c:cat>
            <c:strRef>
              <c:f>'2.6'!$B$6:$B$12</c:f>
              <c:strCache>
                <c:ptCount val="7"/>
                <c:pt idx="0">
                  <c:v>PNG</c:v>
                </c:pt>
                <c:pt idx="1">
                  <c:v>Qatar</c:v>
                </c:pt>
                <c:pt idx="2">
                  <c:v>Australia</c:v>
                </c:pt>
                <c:pt idx="3">
                  <c:v>Malaysia</c:v>
                </c:pt>
                <c:pt idx="4">
                  <c:v>Indonesia</c:v>
                </c:pt>
                <c:pt idx="5">
                  <c:v>US</c:v>
                </c:pt>
                <c:pt idx="6">
                  <c:v>Global average</c:v>
                </c:pt>
              </c:strCache>
            </c:strRef>
          </c:cat>
          <c:val>
            <c:numRef>
              <c:f>'2.6'!$E$6:$E$12</c:f>
              <c:numCache>
                <c:formatCode>0.0</c:formatCode>
                <c:ptCount val="7"/>
                <c:pt idx="0">
                  <c:v>5.41</c:v>
                </c:pt>
                <c:pt idx="1">
                  <c:v>6.31</c:v>
                </c:pt>
                <c:pt idx="2">
                  <c:v>7.01</c:v>
                </c:pt>
                <c:pt idx="3">
                  <c:v>8.35</c:v>
                </c:pt>
                <c:pt idx="4">
                  <c:v>9.9</c:v>
                </c:pt>
                <c:pt idx="5">
                  <c:v>4.6900000000000004</c:v>
                </c:pt>
                <c:pt idx="6">
                  <c:v>5.56</c:v>
                </c:pt>
              </c:numCache>
            </c:numRef>
          </c:val>
          <c:extLst>
            <c:ext xmlns:c16="http://schemas.microsoft.com/office/drawing/2014/chart" uri="{C3380CC4-5D6E-409C-BE32-E72D297353CC}">
              <c16:uniqueId val="{00000002-747A-4EFA-A527-9F976651062D}"/>
            </c:ext>
          </c:extLst>
        </c:ser>
        <c:dLbls>
          <c:showLegendKey val="0"/>
          <c:showVal val="0"/>
          <c:showCatName val="0"/>
          <c:showSerName val="0"/>
          <c:showPercent val="0"/>
          <c:showBubbleSize val="0"/>
        </c:dLbls>
        <c:gapWidth val="150"/>
        <c:overlap val="100"/>
        <c:axId val="892937071"/>
        <c:axId val="1110172640"/>
      </c:barChart>
      <c:catAx>
        <c:axId val="892937071"/>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172640"/>
        <c:crosses val="autoZero"/>
        <c:auto val="1"/>
        <c:lblAlgn val="ctr"/>
        <c:lblOffset val="100"/>
        <c:noMultiLvlLbl val="0"/>
      </c:catAx>
      <c:valAx>
        <c:axId val="111017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g CO</a:t>
                </a:r>
                <a:r>
                  <a:rPr lang="en-AU" baseline="-25000"/>
                  <a:t>2</a:t>
                </a:r>
                <a:r>
                  <a:rPr lang="en-AU"/>
                  <a:t>-e/MJ</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92937071"/>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'2.8'!$E$5</c:f>
              <c:strCache>
                <c:ptCount val="1"/>
                <c:pt idx="0">
                  <c:v>Upstream and midstream emissions - methane</c:v>
                </c:pt>
              </c:strCache>
            </c:strRef>
          </c:tx>
          <c:spPr>
            <a:solidFill>
              <a:srgbClr val="005CAF"/>
            </a:solidFill>
            <a:ln>
              <a:noFill/>
            </a:ln>
            <a:effectLst/>
          </c:spPr>
          <c:invertIfNegative val="0"/>
          <c:cat>
            <c:multiLvlStrRef>
              <c:f>'2.8'!$B$6:$D$22</c:f>
              <c:multiLvlStrCache>
                <c:ptCount val="17"/>
                <c:lvl>
                  <c:pt idx="0">
                    <c:v>Solar PV</c:v>
                  </c:pt>
                  <c:pt idx="1">
                    <c:v>Onshore wind</c:v>
                  </c:pt>
                  <c:pt idx="2">
                    <c:v>2021 Global grid</c:v>
                  </c:pt>
                  <c:pt idx="3">
                    <c:v>BAT upstream</c:v>
                  </c:pt>
                  <c:pt idx="4">
                    <c:v>Medium upstream</c:v>
                  </c:pt>
                  <c:pt idx="5">
                    <c:v>BAT upstream</c:v>
                  </c:pt>
                  <c:pt idx="6">
                    <c:v>Medium upstream</c:v>
                  </c:pt>
                  <c:pt idx="7">
                    <c:v>BAT upstream</c:v>
                  </c:pt>
                  <c:pt idx="8">
                    <c:v>Medium upstream</c:v>
                  </c:pt>
                  <c:pt idx="9">
                    <c:v>BAT upstream</c:v>
                  </c:pt>
                  <c:pt idx="10">
                    <c:v>Medium upstream</c:v>
                  </c:pt>
                  <c:pt idx="11">
                    <c:v>BAT upstream</c:v>
                  </c:pt>
                  <c:pt idx="12">
                    <c:v>Medium upstream</c:v>
                  </c:pt>
                  <c:pt idx="13">
                    <c:v>BAT upstream</c:v>
                  </c:pt>
                  <c:pt idx="14">
                    <c:v>Medium upstream</c:v>
                  </c:pt>
                  <c:pt idx="15">
                    <c:v>BAT upstream</c:v>
                  </c:pt>
                  <c:pt idx="16">
                    <c:v>Medium upstream</c:v>
                  </c:pt>
                </c:lvl>
                <c:lvl>
                  <c:pt idx="3">
                    <c:v>Pox w CCS 99%</c:v>
                  </c:pt>
                  <c:pt idx="5">
                    <c:v>SMR w CCS 93%</c:v>
                  </c:pt>
                  <c:pt idx="7">
                    <c:v>SMR w CCS 60%</c:v>
                  </c:pt>
                  <c:pt idx="9">
                    <c:v>w CCS 98%</c:v>
                  </c:pt>
                  <c:pt idx="11">
                    <c:v>w CCS 98%</c:v>
                  </c:pt>
                  <c:pt idx="13">
                    <c:v>w CCS 93%</c:v>
                  </c:pt>
                  <c:pt idx="15">
                    <c:v>w/o CCS</c:v>
                  </c:pt>
                </c:lvl>
                <c:lvl>
                  <c:pt idx="0">
                    <c:v>Electrolysis</c:v>
                  </c:pt>
                  <c:pt idx="3">
                    <c:v>Natural Gas</c:v>
                  </c:pt>
                  <c:pt idx="11">
                    <c:v>Coal gasification</c:v>
                  </c:pt>
                </c:lvl>
              </c:multiLvlStrCache>
            </c:multiLvlStrRef>
          </c:cat>
          <c:val>
            <c:numRef>
              <c:f>'2.8'!$E$6:$E$22</c:f>
              <c:numCache>
                <c:formatCode>0.0</c:formatCode>
                <c:ptCount val="17"/>
                <c:pt idx="0">
                  <c:v>0</c:v>
                </c:pt>
                <c:pt idx="1">
                  <c:v>0</c:v>
                </c:pt>
                <c:pt idx="2">
                  <c:v>0</c:v>
                </c:pt>
                <c:pt idx="3">
                  <c:v>0.1</c:v>
                </c:pt>
                <c:pt idx="4">
                  <c:v>0.7</c:v>
                </c:pt>
                <c:pt idx="5">
                  <c:v>0</c:v>
                </c:pt>
                <c:pt idx="6">
                  <c:v>0.8</c:v>
                </c:pt>
                <c:pt idx="7">
                  <c:v>0</c:v>
                </c:pt>
                <c:pt idx="8">
                  <c:v>0.8</c:v>
                </c:pt>
                <c:pt idx="9">
                  <c:v>0</c:v>
                </c:pt>
                <c:pt idx="10">
                  <c:v>0.8</c:v>
                </c:pt>
                <c:pt idx="11">
                  <c:v>0.8</c:v>
                </c:pt>
                <c:pt idx="12">
                  <c:v>1.3</c:v>
                </c:pt>
                <c:pt idx="13">
                  <c:v>0.8</c:v>
                </c:pt>
                <c:pt idx="14">
                  <c:v>1.3</c:v>
                </c:pt>
                <c:pt idx="15">
                  <c:v>0.7</c:v>
                </c:pt>
                <c:pt idx="16">
                  <c:v>1.2</c:v>
                </c:pt>
              </c:numCache>
            </c:numRef>
          </c:val>
          <c:extLst>
            <c:ext xmlns:c16="http://schemas.microsoft.com/office/drawing/2014/chart" uri="{C3380CC4-5D6E-409C-BE32-E72D297353CC}">
              <c16:uniqueId val="{00000000-EC7B-4EDB-891D-D37143F0E929}"/>
            </c:ext>
          </c:extLst>
        </c:ser>
        <c:ser>
          <c:idx val="1"/>
          <c:order val="1"/>
          <c:tx>
            <c:strRef>
              <c:f>'2.8'!$F$5</c:f>
              <c:strCache>
                <c:ptCount val="1"/>
                <c:pt idx="0">
                  <c:v>Upstream and midstream emissions - CO2</c:v>
                </c:pt>
              </c:strCache>
            </c:strRef>
          </c:tx>
          <c:spPr>
            <a:solidFill>
              <a:srgbClr val="56B4DF"/>
            </a:solidFill>
            <a:ln>
              <a:noFill/>
            </a:ln>
            <a:effectLst/>
          </c:spPr>
          <c:invertIfNegative val="0"/>
          <c:cat>
            <c:multiLvlStrRef>
              <c:f>'2.8'!$B$6:$D$22</c:f>
              <c:multiLvlStrCache>
                <c:ptCount val="17"/>
                <c:lvl>
                  <c:pt idx="0">
                    <c:v>Solar PV</c:v>
                  </c:pt>
                  <c:pt idx="1">
                    <c:v>Onshore wind</c:v>
                  </c:pt>
                  <c:pt idx="2">
                    <c:v>2021 Global grid</c:v>
                  </c:pt>
                  <c:pt idx="3">
                    <c:v>BAT upstream</c:v>
                  </c:pt>
                  <c:pt idx="4">
                    <c:v>Medium upstream</c:v>
                  </c:pt>
                  <c:pt idx="5">
                    <c:v>BAT upstream</c:v>
                  </c:pt>
                  <c:pt idx="6">
                    <c:v>Medium upstream</c:v>
                  </c:pt>
                  <c:pt idx="7">
                    <c:v>BAT upstream</c:v>
                  </c:pt>
                  <c:pt idx="8">
                    <c:v>Medium upstream</c:v>
                  </c:pt>
                  <c:pt idx="9">
                    <c:v>BAT upstream</c:v>
                  </c:pt>
                  <c:pt idx="10">
                    <c:v>Medium upstream</c:v>
                  </c:pt>
                  <c:pt idx="11">
                    <c:v>BAT upstream</c:v>
                  </c:pt>
                  <c:pt idx="12">
                    <c:v>Medium upstream</c:v>
                  </c:pt>
                  <c:pt idx="13">
                    <c:v>BAT upstream</c:v>
                  </c:pt>
                  <c:pt idx="14">
                    <c:v>Medium upstream</c:v>
                  </c:pt>
                  <c:pt idx="15">
                    <c:v>BAT upstream</c:v>
                  </c:pt>
                  <c:pt idx="16">
                    <c:v>Medium upstream</c:v>
                  </c:pt>
                </c:lvl>
                <c:lvl>
                  <c:pt idx="3">
                    <c:v>Pox w CCS 99%</c:v>
                  </c:pt>
                  <c:pt idx="5">
                    <c:v>SMR w CCS 93%</c:v>
                  </c:pt>
                  <c:pt idx="7">
                    <c:v>SMR w CCS 60%</c:v>
                  </c:pt>
                  <c:pt idx="9">
                    <c:v>w CCS 98%</c:v>
                  </c:pt>
                  <c:pt idx="11">
                    <c:v>w CCS 98%</c:v>
                  </c:pt>
                  <c:pt idx="13">
                    <c:v>w CCS 93%</c:v>
                  </c:pt>
                  <c:pt idx="15">
                    <c:v>w/o CCS</c:v>
                  </c:pt>
                </c:lvl>
                <c:lvl>
                  <c:pt idx="0">
                    <c:v>Electrolysis</c:v>
                  </c:pt>
                  <c:pt idx="3">
                    <c:v>Natural Gas</c:v>
                  </c:pt>
                  <c:pt idx="11">
                    <c:v>Coal gasification</c:v>
                  </c:pt>
                </c:lvl>
              </c:multiLvlStrCache>
            </c:multiLvlStrRef>
          </c:cat>
          <c:val>
            <c:numRef>
              <c:f>'2.8'!$F$6:$F$22</c:f>
              <c:numCache>
                <c:formatCode>0.0</c:formatCode>
                <c:ptCount val="17"/>
                <c:pt idx="0">
                  <c:v>0</c:v>
                </c:pt>
                <c:pt idx="1">
                  <c:v>0</c:v>
                </c:pt>
                <c:pt idx="2">
                  <c:v>23.5</c:v>
                </c:pt>
                <c:pt idx="3">
                  <c:v>0.6</c:v>
                </c:pt>
                <c:pt idx="4">
                  <c:v>1.8</c:v>
                </c:pt>
                <c:pt idx="5">
                  <c:v>0.7</c:v>
                </c:pt>
                <c:pt idx="6">
                  <c:v>2.2000000000000002</c:v>
                </c:pt>
                <c:pt idx="7">
                  <c:v>0.6</c:v>
                </c:pt>
                <c:pt idx="8">
                  <c:v>1.7</c:v>
                </c:pt>
                <c:pt idx="9">
                  <c:v>0.6</c:v>
                </c:pt>
                <c:pt idx="10">
                  <c:v>1.6</c:v>
                </c:pt>
                <c:pt idx="11">
                  <c:v>0.4</c:v>
                </c:pt>
                <c:pt idx="12">
                  <c:v>0.5</c:v>
                </c:pt>
                <c:pt idx="13">
                  <c:v>0.4</c:v>
                </c:pt>
                <c:pt idx="14">
                  <c:v>0.4</c:v>
                </c:pt>
                <c:pt idx="15">
                  <c:v>0.4</c:v>
                </c:pt>
                <c:pt idx="16">
                  <c:v>0.7</c:v>
                </c:pt>
              </c:numCache>
            </c:numRef>
          </c:val>
          <c:extLst>
            <c:ext xmlns:c16="http://schemas.microsoft.com/office/drawing/2014/chart" uri="{C3380CC4-5D6E-409C-BE32-E72D297353CC}">
              <c16:uniqueId val="{00000001-EC7B-4EDB-891D-D37143F0E929}"/>
            </c:ext>
          </c:extLst>
        </c:ser>
        <c:ser>
          <c:idx val="2"/>
          <c:order val="2"/>
          <c:tx>
            <c:strRef>
              <c:f>'2.8'!$G$5</c:f>
              <c:strCache>
                <c:ptCount val="1"/>
                <c:pt idx="0">
                  <c:v>Direct emissions</c:v>
                </c:pt>
              </c:strCache>
            </c:strRef>
          </c:tx>
          <c:spPr>
            <a:solidFill>
              <a:srgbClr val="9ED9DF"/>
            </a:solidFill>
            <a:ln>
              <a:noFill/>
            </a:ln>
            <a:effectLst/>
          </c:spPr>
          <c:invertIfNegative val="0"/>
          <c:cat>
            <c:multiLvlStrRef>
              <c:f>'2.8'!$B$6:$D$22</c:f>
              <c:multiLvlStrCache>
                <c:ptCount val="17"/>
                <c:lvl>
                  <c:pt idx="0">
                    <c:v>Solar PV</c:v>
                  </c:pt>
                  <c:pt idx="1">
                    <c:v>Onshore wind</c:v>
                  </c:pt>
                  <c:pt idx="2">
                    <c:v>2021 Global grid</c:v>
                  </c:pt>
                  <c:pt idx="3">
                    <c:v>BAT upstream</c:v>
                  </c:pt>
                  <c:pt idx="4">
                    <c:v>Medium upstream</c:v>
                  </c:pt>
                  <c:pt idx="5">
                    <c:v>BAT upstream</c:v>
                  </c:pt>
                  <c:pt idx="6">
                    <c:v>Medium upstream</c:v>
                  </c:pt>
                  <c:pt idx="7">
                    <c:v>BAT upstream</c:v>
                  </c:pt>
                  <c:pt idx="8">
                    <c:v>Medium upstream</c:v>
                  </c:pt>
                  <c:pt idx="9">
                    <c:v>BAT upstream</c:v>
                  </c:pt>
                  <c:pt idx="10">
                    <c:v>Medium upstream</c:v>
                  </c:pt>
                  <c:pt idx="11">
                    <c:v>BAT upstream</c:v>
                  </c:pt>
                  <c:pt idx="12">
                    <c:v>Medium upstream</c:v>
                  </c:pt>
                  <c:pt idx="13">
                    <c:v>BAT upstream</c:v>
                  </c:pt>
                  <c:pt idx="14">
                    <c:v>Medium upstream</c:v>
                  </c:pt>
                  <c:pt idx="15">
                    <c:v>BAT upstream</c:v>
                  </c:pt>
                  <c:pt idx="16">
                    <c:v>Medium upstream</c:v>
                  </c:pt>
                </c:lvl>
                <c:lvl>
                  <c:pt idx="3">
                    <c:v>Pox w CCS 99%</c:v>
                  </c:pt>
                  <c:pt idx="5">
                    <c:v>SMR w CCS 93%</c:v>
                  </c:pt>
                  <c:pt idx="7">
                    <c:v>SMR w CCS 60%</c:v>
                  </c:pt>
                  <c:pt idx="9">
                    <c:v>w CCS 98%</c:v>
                  </c:pt>
                  <c:pt idx="11">
                    <c:v>w CCS 98%</c:v>
                  </c:pt>
                  <c:pt idx="13">
                    <c:v>w CCS 93%</c:v>
                  </c:pt>
                  <c:pt idx="15">
                    <c:v>w/o CCS</c:v>
                  </c:pt>
                </c:lvl>
                <c:lvl>
                  <c:pt idx="0">
                    <c:v>Electrolysis</c:v>
                  </c:pt>
                  <c:pt idx="3">
                    <c:v>Natural Gas</c:v>
                  </c:pt>
                  <c:pt idx="11">
                    <c:v>Coal gasification</c:v>
                  </c:pt>
                </c:lvl>
              </c:multiLvlStrCache>
            </c:multiLvlStrRef>
          </c:cat>
          <c:val>
            <c:numRef>
              <c:f>'2.8'!$G$6:$G$22</c:f>
              <c:numCache>
                <c:formatCode>0.0</c:formatCode>
                <c:ptCount val="17"/>
                <c:pt idx="0">
                  <c:v>0</c:v>
                </c:pt>
                <c:pt idx="1">
                  <c:v>0</c:v>
                </c:pt>
                <c:pt idx="2">
                  <c:v>0</c:v>
                </c:pt>
                <c:pt idx="3">
                  <c:v>0.1</c:v>
                </c:pt>
                <c:pt idx="4">
                  <c:v>0</c:v>
                </c:pt>
                <c:pt idx="5">
                  <c:v>0.7</c:v>
                </c:pt>
                <c:pt idx="6">
                  <c:v>0.7</c:v>
                </c:pt>
                <c:pt idx="7">
                  <c:v>3.6</c:v>
                </c:pt>
                <c:pt idx="8">
                  <c:v>3.6</c:v>
                </c:pt>
                <c:pt idx="9">
                  <c:v>9</c:v>
                </c:pt>
                <c:pt idx="10">
                  <c:v>9</c:v>
                </c:pt>
                <c:pt idx="11">
                  <c:v>0.5</c:v>
                </c:pt>
                <c:pt idx="12">
                  <c:v>0.5</c:v>
                </c:pt>
                <c:pt idx="13">
                  <c:v>1.4</c:v>
                </c:pt>
                <c:pt idx="14">
                  <c:v>1.4</c:v>
                </c:pt>
                <c:pt idx="15">
                  <c:v>20.8</c:v>
                </c:pt>
                <c:pt idx="16">
                  <c:v>20.8</c:v>
                </c:pt>
              </c:numCache>
            </c:numRef>
          </c:val>
          <c:extLst>
            <c:ext xmlns:c16="http://schemas.microsoft.com/office/drawing/2014/chart" uri="{C3380CC4-5D6E-409C-BE32-E72D297353CC}">
              <c16:uniqueId val="{00000002-EC7B-4EDB-891D-D37143F0E929}"/>
            </c:ext>
          </c:extLst>
        </c:ser>
        <c:dLbls>
          <c:showLegendKey val="0"/>
          <c:showVal val="0"/>
          <c:showCatName val="0"/>
          <c:showSerName val="0"/>
          <c:showPercent val="0"/>
          <c:showBubbleSize val="0"/>
        </c:dLbls>
        <c:gapWidth val="150"/>
        <c:overlap val="100"/>
        <c:axId val="1060742304"/>
        <c:axId val="1110194720"/>
      </c:barChart>
      <c:catAx>
        <c:axId val="1060742304"/>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194720"/>
        <c:crosses val="autoZero"/>
        <c:auto val="1"/>
        <c:lblAlgn val="ctr"/>
        <c:lblOffset val="100"/>
        <c:noMultiLvlLbl val="0"/>
      </c:catAx>
      <c:valAx>
        <c:axId val="1110194720"/>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kg CO</a:t>
                </a:r>
                <a:r>
                  <a:rPr lang="en-AU" baseline="-25000"/>
                  <a:t>2</a:t>
                </a:r>
                <a:r>
                  <a:rPr lang="en-AU"/>
                  <a:t>-e/kg H</a:t>
                </a:r>
                <a:r>
                  <a:rPr lang="en-AU" baseline="-25000"/>
                  <a:t>2</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742304"/>
        <c:crosses val="autoZero"/>
        <c:crossBetween val="between"/>
        <c:majorUnit val="1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54446503010653"/>
          <c:y val="2.7707808564231738E-2"/>
          <c:w val="0.74678647522000929"/>
          <c:h val="0.8129104107578492"/>
        </c:manualLayout>
      </c:layout>
      <c:barChart>
        <c:barDir val="bar"/>
        <c:grouping val="percentStacked"/>
        <c:varyColors val="0"/>
        <c:ser>
          <c:idx val="0"/>
          <c:order val="0"/>
          <c:tx>
            <c:strRef>
              <c:f>'3.1'!$C$5</c:f>
              <c:strCache>
                <c:ptCount val="1"/>
                <c:pt idx="0">
                  <c:v>Power</c:v>
                </c:pt>
              </c:strCache>
            </c:strRef>
          </c:tx>
          <c:spPr>
            <a:solidFill>
              <a:srgbClr val="005CAF"/>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'3.1'!$B$6:$B$13</c:f>
              <c:strCache>
                <c:ptCount val="8"/>
                <c:pt idx="0">
                  <c:v>AUS</c:v>
                </c:pt>
                <c:pt idx="1">
                  <c:v>TAS</c:v>
                </c:pt>
                <c:pt idx="2">
                  <c:v>SA</c:v>
                </c:pt>
                <c:pt idx="3">
                  <c:v>NT</c:v>
                </c:pt>
                <c:pt idx="4">
                  <c:v>NSW</c:v>
                </c:pt>
                <c:pt idx="5">
                  <c:v>VIC</c:v>
                </c:pt>
                <c:pt idx="6">
                  <c:v>QLD</c:v>
                </c:pt>
                <c:pt idx="7">
                  <c:v>WA</c:v>
                </c:pt>
              </c:strCache>
            </c:strRef>
          </c:cat>
          <c:val>
            <c:numRef>
              <c:f>'3.1'!$C$6:$C$13</c:f>
              <c:numCache>
                <c:formatCode>0</c:formatCode>
                <c:ptCount val="8"/>
                <c:pt idx="0">
                  <c:v>519.70399999999995</c:v>
                </c:pt>
                <c:pt idx="1">
                  <c:v>1.9119999999999999</c:v>
                </c:pt>
                <c:pt idx="2">
                  <c:v>40.283999999999999</c:v>
                </c:pt>
                <c:pt idx="3">
                  <c:v>44.415999999999997</c:v>
                </c:pt>
                <c:pt idx="4">
                  <c:v>27.471</c:v>
                </c:pt>
                <c:pt idx="5">
                  <c:v>31.260999999999999</c:v>
                </c:pt>
                <c:pt idx="6">
                  <c:v>95.08</c:v>
                </c:pt>
                <c:pt idx="7">
                  <c:v>279.27999999999997</c:v>
                </c:pt>
              </c:numCache>
            </c:numRef>
          </c:val>
          <c:extLst>
            <c:ext xmlns:c16="http://schemas.microsoft.com/office/drawing/2014/chart" uri="{C3380CC4-5D6E-409C-BE32-E72D297353CC}">
              <c16:uniqueId val="{00000000-E823-4187-AF46-55291CF6DFCA}"/>
            </c:ext>
          </c:extLst>
        </c:ser>
        <c:ser>
          <c:idx val="1"/>
          <c:order val="1"/>
          <c:tx>
            <c:strRef>
              <c:f>'3.1'!$D$5</c:f>
              <c:strCache>
                <c:ptCount val="1"/>
                <c:pt idx="0">
                  <c:v>Mining</c:v>
                </c:pt>
              </c:strCache>
            </c:strRef>
          </c:tx>
          <c:spPr>
            <a:solidFill>
              <a:srgbClr val="51B7A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E823-4187-AF46-55291CF6DFCA}"/>
                </c:ext>
              </c:extLst>
            </c:dLbl>
            <c:dLbl>
              <c:idx val="4"/>
              <c:delete val="1"/>
              <c:extLst>
                <c:ext xmlns:c15="http://schemas.microsoft.com/office/drawing/2012/chart" uri="{CE6537A1-D6FC-4f65-9D91-7224C49458BB}"/>
                <c:ext xmlns:c16="http://schemas.microsoft.com/office/drawing/2014/chart" uri="{C3380CC4-5D6E-409C-BE32-E72D297353CC}">
                  <c16:uniqueId val="{00000002-E823-4187-AF46-55291CF6DFC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'3.1'!$B$6:$B$13</c:f>
              <c:strCache>
                <c:ptCount val="8"/>
                <c:pt idx="0">
                  <c:v>AUS</c:v>
                </c:pt>
                <c:pt idx="1">
                  <c:v>TAS</c:v>
                </c:pt>
                <c:pt idx="2">
                  <c:v>SA</c:v>
                </c:pt>
                <c:pt idx="3">
                  <c:v>NT</c:v>
                </c:pt>
                <c:pt idx="4">
                  <c:v>NSW</c:v>
                </c:pt>
                <c:pt idx="5">
                  <c:v>VIC</c:v>
                </c:pt>
                <c:pt idx="6">
                  <c:v>QLD</c:v>
                </c:pt>
                <c:pt idx="7">
                  <c:v>WA</c:v>
                </c:pt>
              </c:strCache>
            </c:strRef>
          </c:cat>
          <c:val>
            <c:numRef>
              <c:f>'3.1'!$D$6:$D$13</c:f>
              <c:numCache>
                <c:formatCode>0</c:formatCode>
                <c:ptCount val="8"/>
                <c:pt idx="0">
                  <c:v>416.55399999999997</c:v>
                </c:pt>
                <c:pt idx="1">
                  <c:v>2.8000000000000001E-2</c:v>
                </c:pt>
                <c:pt idx="2">
                  <c:v>5.1040000000000001</c:v>
                </c:pt>
                <c:pt idx="3">
                  <c:v>64.331999999999994</c:v>
                </c:pt>
                <c:pt idx="4">
                  <c:v>0.27600000000000002</c:v>
                </c:pt>
                <c:pt idx="5">
                  <c:v>14.994</c:v>
                </c:pt>
                <c:pt idx="6">
                  <c:v>123.541</c:v>
                </c:pt>
                <c:pt idx="7">
                  <c:v>208.279</c:v>
                </c:pt>
              </c:numCache>
            </c:numRef>
          </c:val>
          <c:extLst>
            <c:ext xmlns:c16="http://schemas.microsoft.com/office/drawing/2014/chart" uri="{C3380CC4-5D6E-409C-BE32-E72D297353CC}">
              <c16:uniqueId val="{00000003-E823-4187-AF46-55291CF6DFCA}"/>
            </c:ext>
          </c:extLst>
        </c:ser>
        <c:ser>
          <c:idx val="2"/>
          <c:order val="2"/>
          <c:tx>
            <c:strRef>
              <c:f>'3.1'!$E$5</c:f>
              <c:strCache>
                <c:ptCount val="1"/>
                <c:pt idx="0">
                  <c:v>Industry</c:v>
                </c:pt>
              </c:strCache>
            </c:strRef>
          </c:tx>
          <c:spPr>
            <a:solidFill>
              <a:srgbClr val="60307F"/>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23-4187-AF46-55291CF6DFC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23-4187-AF46-55291CF6DFCA}"/>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23-4187-AF46-55291CF6DFCA}"/>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23-4187-AF46-55291CF6DFCA}"/>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23-4187-AF46-55291CF6DFCA}"/>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23-4187-AF46-55291CF6DF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'3.1'!$B$6:$B$13</c:f>
              <c:strCache>
                <c:ptCount val="8"/>
                <c:pt idx="0">
                  <c:v>AUS</c:v>
                </c:pt>
                <c:pt idx="1">
                  <c:v>TAS</c:v>
                </c:pt>
                <c:pt idx="2">
                  <c:v>SA</c:v>
                </c:pt>
                <c:pt idx="3">
                  <c:v>NT</c:v>
                </c:pt>
                <c:pt idx="4">
                  <c:v>NSW</c:v>
                </c:pt>
                <c:pt idx="5">
                  <c:v>VIC</c:v>
                </c:pt>
                <c:pt idx="6">
                  <c:v>QLD</c:v>
                </c:pt>
                <c:pt idx="7">
                  <c:v>WA</c:v>
                </c:pt>
              </c:strCache>
            </c:strRef>
          </c:cat>
          <c:val>
            <c:numRef>
              <c:f>'3.1'!$E$6:$E$13</c:f>
              <c:numCache>
                <c:formatCode>0</c:formatCode>
                <c:ptCount val="8"/>
                <c:pt idx="0">
                  <c:v>379.64200000000005</c:v>
                </c:pt>
                <c:pt idx="1">
                  <c:v>4.25</c:v>
                </c:pt>
                <c:pt idx="2">
                  <c:v>21.047999999999998</c:v>
                </c:pt>
                <c:pt idx="3">
                  <c:v>8.9999999999999993E-3</c:v>
                </c:pt>
                <c:pt idx="4">
                  <c:v>62.75</c:v>
                </c:pt>
                <c:pt idx="5">
                  <c:v>55.63</c:v>
                </c:pt>
                <c:pt idx="6">
                  <c:v>73.887</c:v>
                </c:pt>
                <c:pt idx="7">
                  <c:v>162.06800000000001</c:v>
                </c:pt>
              </c:numCache>
            </c:numRef>
          </c:val>
          <c:extLst>
            <c:ext xmlns:c16="http://schemas.microsoft.com/office/drawing/2014/chart" uri="{C3380CC4-5D6E-409C-BE32-E72D297353CC}">
              <c16:uniqueId val="{0000000A-E823-4187-AF46-55291CF6DFCA}"/>
            </c:ext>
          </c:extLst>
        </c:ser>
        <c:ser>
          <c:idx val="3"/>
          <c:order val="3"/>
          <c:tx>
            <c:strRef>
              <c:f>'3.1'!$F$5</c:f>
              <c:strCache>
                <c:ptCount val="1"/>
                <c:pt idx="0">
                  <c:v>Buildings</c:v>
                </c:pt>
              </c:strCache>
            </c:strRef>
          </c:tx>
          <c:spPr>
            <a:solidFill>
              <a:srgbClr val="D1AAF7"/>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B-E823-4187-AF46-55291CF6DFCA}"/>
                </c:ext>
              </c:extLst>
            </c:dLbl>
            <c:dLbl>
              <c:idx val="7"/>
              <c:delete val="1"/>
              <c:extLst>
                <c:ext xmlns:c15="http://schemas.microsoft.com/office/drawing/2012/chart" uri="{CE6537A1-D6FC-4f65-9D91-7224C49458BB}"/>
                <c:ext xmlns:c16="http://schemas.microsoft.com/office/drawing/2014/chart" uri="{C3380CC4-5D6E-409C-BE32-E72D297353CC}">
                  <c16:uniqueId val="{0000000C-E823-4187-AF46-55291CF6DFC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'3.1'!$B$6:$B$13</c:f>
              <c:strCache>
                <c:ptCount val="8"/>
                <c:pt idx="0">
                  <c:v>AUS</c:v>
                </c:pt>
                <c:pt idx="1">
                  <c:v>TAS</c:v>
                </c:pt>
                <c:pt idx="2">
                  <c:v>SA</c:v>
                </c:pt>
                <c:pt idx="3">
                  <c:v>NT</c:v>
                </c:pt>
                <c:pt idx="4">
                  <c:v>NSW</c:v>
                </c:pt>
                <c:pt idx="5">
                  <c:v>VIC</c:v>
                </c:pt>
                <c:pt idx="6">
                  <c:v>QLD</c:v>
                </c:pt>
                <c:pt idx="7">
                  <c:v>WA</c:v>
                </c:pt>
              </c:strCache>
            </c:strRef>
          </c:cat>
          <c:val>
            <c:numRef>
              <c:f>'3.1'!$F$6:$F$13</c:f>
              <c:numCache>
                <c:formatCode>0</c:formatCode>
                <c:ptCount val="8"/>
                <c:pt idx="0">
                  <c:v>211.23199999999997</c:v>
                </c:pt>
                <c:pt idx="1">
                  <c:v>0.85000000000000009</c:v>
                </c:pt>
                <c:pt idx="2">
                  <c:v>11.103999999999999</c:v>
                </c:pt>
                <c:pt idx="3">
                  <c:v>1E-3</c:v>
                </c:pt>
                <c:pt idx="4">
                  <c:v>51.190999999999995</c:v>
                </c:pt>
                <c:pt idx="5">
                  <c:v>124.672</c:v>
                </c:pt>
                <c:pt idx="6">
                  <c:v>6.8160000000000007</c:v>
                </c:pt>
                <c:pt idx="7">
                  <c:v>16.597999999999999</c:v>
                </c:pt>
              </c:numCache>
            </c:numRef>
          </c:val>
          <c:extLst>
            <c:ext xmlns:c16="http://schemas.microsoft.com/office/drawing/2014/chart" uri="{C3380CC4-5D6E-409C-BE32-E72D297353CC}">
              <c16:uniqueId val="{0000000D-E823-4187-AF46-55291CF6DFCA}"/>
            </c:ext>
          </c:extLst>
        </c:ser>
        <c:ser>
          <c:idx val="4"/>
          <c:order val="4"/>
          <c:tx>
            <c:strRef>
              <c:f>'3.1'!$G$5</c:f>
              <c:strCache>
                <c:ptCount val="1"/>
                <c:pt idx="0">
                  <c:v>Other</c:v>
                </c:pt>
              </c:strCache>
            </c:strRef>
          </c:tx>
          <c:spPr>
            <a:solidFill>
              <a:srgbClr val="BCBFC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E823-4187-AF46-55291CF6DFCA}"/>
                </c:ext>
              </c:extLst>
            </c:dLbl>
            <c:dLbl>
              <c:idx val="1"/>
              <c:delete val="1"/>
              <c:extLst>
                <c:ext xmlns:c15="http://schemas.microsoft.com/office/drawing/2012/chart" uri="{CE6537A1-D6FC-4f65-9D91-7224C49458BB}"/>
                <c:ext xmlns:c16="http://schemas.microsoft.com/office/drawing/2014/chart" uri="{C3380CC4-5D6E-409C-BE32-E72D297353CC}">
                  <c16:uniqueId val="{0000000F-E823-4187-AF46-55291CF6DFCA}"/>
                </c:ext>
              </c:extLst>
            </c:dLbl>
            <c:dLbl>
              <c:idx val="3"/>
              <c:delete val="1"/>
              <c:extLst>
                <c:ext xmlns:c15="http://schemas.microsoft.com/office/drawing/2012/chart" uri="{CE6537A1-D6FC-4f65-9D91-7224C49458BB}"/>
                <c:ext xmlns:c16="http://schemas.microsoft.com/office/drawing/2014/chart" uri="{C3380CC4-5D6E-409C-BE32-E72D297353CC}">
                  <c16:uniqueId val="{00000010-E823-4187-AF46-55291CF6DFCA}"/>
                </c:ext>
              </c:extLst>
            </c:dLbl>
            <c:dLbl>
              <c:idx val="7"/>
              <c:delete val="1"/>
              <c:extLst>
                <c:ext xmlns:c15="http://schemas.microsoft.com/office/drawing/2012/chart" uri="{CE6537A1-D6FC-4f65-9D91-7224C49458BB}"/>
                <c:ext xmlns:c16="http://schemas.microsoft.com/office/drawing/2014/chart" uri="{C3380CC4-5D6E-409C-BE32-E72D297353CC}">
                  <c16:uniqueId val="{00000011-E823-4187-AF46-55291CF6DFC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'3.1'!$B$6:$B$13</c:f>
              <c:strCache>
                <c:ptCount val="8"/>
                <c:pt idx="0">
                  <c:v>AUS</c:v>
                </c:pt>
                <c:pt idx="1">
                  <c:v>TAS</c:v>
                </c:pt>
                <c:pt idx="2">
                  <c:v>SA</c:v>
                </c:pt>
                <c:pt idx="3">
                  <c:v>NT</c:v>
                </c:pt>
                <c:pt idx="4">
                  <c:v>NSW</c:v>
                </c:pt>
                <c:pt idx="5">
                  <c:v>VIC</c:v>
                </c:pt>
                <c:pt idx="6">
                  <c:v>QLD</c:v>
                </c:pt>
                <c:pt idx="7">
                  <c:v>WA</c:v>
                </c:pt>
              </c:strCache>
            </c:strRef>
          </c:cat>
          <c:val>
            <c:numRef>
              <c:f>'3.1'!$G$6:$G$13</c:f>
              <c:numCache>
                <c:formatCode>0</c:formatCode>
                <c:ptCount val="8"/>
                <c:pt idx="0">
                  <c:v>32.215000000000003</c:v>
                </c:pt>
                <c:pt idx="1">
                  <c:v>2.5000000000000001E-2</c:v>
                </c:pt>
                <c:pt idx="2">
                  <c:v>2.6260000000000003</c:v>
                </c:pt>
                <c:pt idx="3">
                  <c:v>1.7949999999999999</c:v>
                </c:pt>
                <c:pt idx="4">
                  <c:v>3.5840000000000005</c:v>
                </c:pt>
                <c:pt idx="5">
                  <c:v>10.947000000000001</c:v>
                </c:pt>
                <c:pt idx="6">
                  <c:v>6.3699999999999992</c:v>
                </c:pt>
                <c:pt idx="7">
                  <c:v>6.8680000000000003</c:v>
                </c:pt>
              </c:numCache>
            </c:numRef>
          </c:val>
          <c:extLst>
            <c:ext xmlns:c16="http://schemas.microsoft.com/office/drawing/2014/chart" uri="{C3380CC4-5D6E-409C-BE32-E72D297353CC}">
              <c16:uniqueId val="{00000012-E823-4187-AF46-55291CF6DFCA}"/>
            </c:ext>
          </c:extLst>
        </c:ser>
        <c:ser>
          <c:idx val="5"/>
          <c:order val="5"/>
          <c:tx>
            <c:strRef>
              <c:f>'3.1'!$H$5</c:f>
              <c:strCache>
                <c:ptCount val="1"/>
              </c:strCache>
            </c:strRef>
          </c:tx>
          <c:spPr>
            <a:solidFill>
              <a:schemeClr val="accent6"/>
            </a:solidFill>
            <a:ln>
              <a:noFill/>
            </a:ln>
            <a:effectLst/>
          </c:spPr>
          <c:invertIfNegative val="0"/>
          <c:dLbls>
            <c:dLbl>
              <c:idx val="0"/>
              <c:tx>
                <c:rich>
                  <a:bodyPr/>
                  <a:lstStyle/>
                  <a:p>
                    <a:fld id="{FFC67CBD-6625-4491-B928-95ACAC7C70F5}"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{FFC67CBD-6625-4491-B928-95ACAC7C70F5}</c15:txfldGUID>
                      <c15:f>'3.1'!$I$6</c15:f>
                      <c15:dlblFieldTableCache>
                        <c:ptCount val="1"/>
                        <c:pt idx="0">
                          <c:v>1,559</c:v>
                        </c:pt>
                      </c15:dlblFieldTableCache>
                    </c15:dlblFTEntry>
                  </c15:dlblFieldTable>
                  <c15:showDataLabelsRange val="0"/>
                </c:ext>
                <c:ext xmlns:c16="http://schemas.microsoft.com/office/drawing/2014/chart" uri="{C3380CC4-5D6E-409C-BE32-E72D297353CC}">
                  <c16:uniqueId val="{00000013-E823-4187-AF46-55291CF6DFCA}"/>
                </c:ext>
              </c:extLst>
            </c:dLbl>
            <c:dLbl>
              <c:idx val="1"/>
              <c:tx>
                <c:rich>
                  <a:bodyPr/>
                  <a:lstStyle/>
                  <a:p>
                    <a:fld id="{23A7BC43-E663-42C5-B612-8F79B47C1C79}"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{23A7BC43-E663-42C5-B612-8F79B47C1C79}</c15:txfldGUID>
                      <c15:f>'3.1'!$I$7</c15:f>
                      <c15:dlblFieldTableCache>
                        <c:ptCount val="1"/>
                        <c:pt idx="0">
                          <c:v>7</c:v>
                        </c:pt>
                      </c15:dlblFieldTableCache>
                    </c15:dlblFTEntry>
                  </c15:dlblFieldTable>
                  <c15:showDataLabelsRange val="0"/>
                </c:ext>
                <c:ext xmlns:c16="http://schemas.microsoft.com/office/drawing/2014/chart" uri="{C3380CC4-5D6E-409C-BE32-E72D297353CC}">
                  <c16:uniqueId val="{00000014-E823-4187-AF46-55291CF6DFCA}"/>
                </c:ext>
              </c:extLst>
            </c:dLbl>
            <c:dLbl>
              <c:idx val="2"/>
              <c:tx>
                <c:rich>
                  <a:bodyPr/>
                  <a:lstStyle/>
                  <a:p>
                    <a:fld id="{62A65E2F-FF59-420C-AA5F-8257648AC6B2}"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{62A65E2F-FF59-420C-AA5F-8257648AC6B2}</c15:txfldGUID>
                      <c15:f>'3.1'!$I$8</c15:f>
                      <c15:dlblFieldTableCache>
                        <c:ptCount val="1"/>
                        <c:pt idx="0">
                          <c:v>80</c:v>
                        </c:pt>
                      </c15:dlblFieldTableCache>
                    </c15:dlblFTEntry>
                  </c15:dlblFieldTable>
                  <c15:showDataLabelsRange val="0"/>
                </c:ext>
                <c:ext xmlns:c16="http://schemas.microsoft.com/office/drawing/2014/chart" uri="{C3380CC4-5D6E-409C-BE32-E72D297353CC}">
                  <c16:uniqueId val="{00000015-E823-4187-AF46-55291CF6DFCA}"/>
                </c:ext>
              </c:extLst>
            </c:dLbl>
            <c:dLbl>
              <c:idx val="3"/>
              <c:tx>
                <c:rich>
                  <a:bodyPr/>
                  <a:lstStyle/>
                  <a:p>
                    <a:fld id="{7746C62C-3F53-4820-A48A-C0B37EE2CD54}"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{7746C62C-3F53-4820-A48A-C0B37EE2CD54}</c15:txfldGUID>
                      <c15:f>'3.1'!$I$9</c15:f>
                      <c15:dlblFieldTableCache>
                        <c:ptCount val="1"/>
                        <c:pt idx="0">
                          <c:v>111</c:v>
                        </c:pt>
                      </c15:dlblFieldTableCache>
                    </c15:dlblFTEntry>
                  </c15:dlblFieldTable>
                  <c15:showDataLabelsRange val="0"/>
                </c:ext>
                <c:ext xmlns:c16="http://schemas.microsoft.com/office/drawing/2014/chart" uri="{C3380CC4-5D6E-409C-BE32-E72D297353CC}">
                  <c16:uniqueId val="{00000016-E823-4187-AF46-55291CF6DFCA}"/>
                </c:ext>
              </c:extLst>
            </c:dLbl>
            <c:dLbl>
              <c:idx val="4"/>
              <c:tx>
                <c:rich>
                  <a:bodyPr/>
                  <a:lstStyle/>
                  <a:p>
                    <a:fld id="{FA8062E0-7E31-4D4F-91BD-6EB09136C6DF}"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{FA8062E0-7E31-4D4F-91BD-6EB09136C6DF}</c15:txfldGUID>
                      <c15:f>'3.1'!$I$10</c15:f>
                      <c15:dlblFieldTableCache>
                        <c:ptCount val="1"/>
                        <c:pt idx="0">
                          <c:v>145</c:v>
                        </c:pt>
                      </c15:dlblFieldTableCache>
                    </c15:dlblFTEntry>
                  </c15:dlblFieldTable>
                  <c15:showDataLabelsRange val="0"/>
                </c:ext>
                <c:ext xmlns:c16="http://schemas.microsoft.com/office/drawing/2014/chart" uri="{C3380CC4-5D6E-409C-BE32-E72D297353CC}">
                  <c16:uniqueId val="{00000017-E823-4187-AF46-55291CF6DFCA}"/>
                </c:ext>
              </c:extLst>
            </c:dLbl>
            <c:dLbl>
              <c:idx val="5"/>
              <c:tx>
                <c:rich>
                  <a:bodyPr/>
                  <a:lstStyle/>
                  <a:p>
                    <a:fld id="{80507F47-DECC-475A-A0F9-FA7E14AD9FDF}"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{80507F47-DECC-475A-A0F9-FA7E14AD9FDF}</c15:txfldGUID>
                      <c15:f>'3.1'!$I$11</c15:f>
                      <c15:dlblFieldTableCache>
                        <c:ptCount val="1"/>
                        <c:pt idx="0">
                          <c:v>238</c:v>
                        </c:pt>
                      </c15:dlblFieldTableCache>
                    </c15:dlblFTEntry>
                  </c15:dlblFieldTable>
                  <c15:showDataLabelsRange val="0"/>
                </c:ext>
                <c:ext xmlns:c16="http://schemas.microsoft.com/office/drawing/2014/chart" uri="{C3380CC4-5D6E-409C-BE32-E72D297353CC}">
                  <c16:uniqueId val="{00000018-E823-4187-AF46-55291CF6DFCA}"/>
                </c:ext>
              </c:extLst>
            </c:dLbl>
            <c:dLbl>
              <c:idx val="6"/>
              <c:tx>
                <c:rich>
                  <a:bodyPr/>
                  <a:lstStyle/>
                  <a:p>
                    <a:fld id="{EB581E15-0CDD-43E4-B067-02B7DD6A267E}"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{EB581E15-0CDD-43E4-B067-02B7DD6A267E}</c15:txfldGUID>
                      <c15:f>'3.1'!$I$12</c15:f>
                      <c15:dlblFieldTableCache>
                        <c:ptCount val="1"/>
                        <c:pt idx="0">
                          <c:v>306</c:v>
                        </c:pt>
                      </c15:dlblFieldTableCache>
                    </c15:dlblFTEntry>
                  </c15:dlblFieldTable>
                  <c15:showDataLabelsRange val="0"/>
                </c:ext>
                <c:ext xmlns:c16="http://schemas.microsoft.com/office/drawing/2014/chart" uri="{C3380CC4-5D6E-409C-BE32-E72D297353CC}">
                  <c16:uniqueId val="{00000019-E823-4187-AF46-55291CF6DFCA}"/>
                </c:ext>
              </c:extLst>
            </c:dLbl>
            <c:dLbl>
              <c:idx val="7"/>
              <c:tx>
                <c:rich>
                  <a:bodyPr/>
                  <a:lstStyle/>
                  <a:p>
                    <a:fld id="{EAB5CD24-C386-4F54-A130-4213E152EAB7}" type="CELLREF">
                      <a:rPr lang="en-US"/>
                      <a:pPr/>
                      <a:t>[CELLREF]</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dlblFTEntry>
                      <c15:txfldGUID>{EAB5CD24-C386-4F54-A130-4213E152EAB7}</c15:txfldGUID>
                      <c15:f>'3.1'!$I$13</c15:f>
                      <c15:dlblFieldTableCache>
                        <c:ptCount val="1"/>
                        <c:pt idx="0">
                          <c:v>673</c:v>
                        </c:pt>
                      </c15:dlblFieldTableCache>
                    </c15:dlblFTEntry>
                  </c15:dlblFieldTable>
                  <c15:showDataLabelsRange val="0"/>
                </c:ext>
                <c:ext xmlns:c16="http://schemas.microsoft.com/office/drawing/2014/chart" uri="{C3380CC4-5D6E-409C-BE32-E72D297353CC}">
                  <c16:uniqueId val="{0000001A-E823-4187-AF46-55291CF6DFC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'3.1'!$B$6:$B$13</c:f>
              <c:strCache>
                <c:ptCount val="8"/>
                <c:pt idx="0">
                  <c:v>AUS</c:v>
                </c:pt>
                <c:pt idx="1">
                  <c:v>TAS</c:v>
                </c:pt>
                <c:pt idx="2">
                  <c:v>SA</c:v>
                </c:pt>
                <c:pt idx="3">
                  <c:v>NT</c:v>
                </c:pt>
                <c:pt idx="4">
                  <c:v>NSW</c:v>
                </c:pt>
                <c:pt idx="5">
                  <c:v>VIC</c:v>
                </c:pt>
                <c:pt idx="6">
                  <c:v>QLD</c:v>
                </c:pt>
                <c:pt idx="7">
                  <c:v>WA</c:v>
                </c:pt>
              </c:strCache>
            </c:strRef>
          </c:cat>
          <c:val>
            <c:numRef>
              <c:f>'3.1'!$H$6:$H$13</c:f>
              <c:numCache>
                <c:formatCode>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1B-E823-4187-AF46-55291CF6DFCA}"/>
            </c:ext>
          </c:extLst>
        </c:ser>
        <c:dLbls>
          <c:showLegendKey val="0"/>
          <c:showVal val="0"/>
          <c:showCatName val="0"/>
          <c:showSerName val="0"/>
          <c:showPercent val="0"/>
          <c:showBubbleSize val="0"/>
        </c:dLbls>
        <c:gapWidth val="50"/>
        <c:overlap val="100"/>
        <c:axId val="255323359"/>
        <c:axId val="398468831"/>
      </c:barChart>
      <c:catAx>
        <c:axId val="255323359"/>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 per State</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8468831"/>
        <c:crosses val="autoZero"/>
        <c:auto val="1"/>
        <c:lblAlgn val="ctr"/>
        <c:lblOffset val="100"/>
        <c:noMultiLvlLbl val="0"/>
      </c:catAx>
      <c:valAx>
        <c:axId val="398468831"/>
        <c:scaling>
          <c:orientation val="minMax"/>
        </c:scaling>
        <c:delete val="0"/>
        <c:axPos val="b"/>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Industry share of total gas consumption</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55323359"/>
        <c:crosses val="autoZero"/>
        <c:crossBetween val="between"/>
      </c:valAx>
      <c:spPr>
        <a:noFill/>
        <a:ln w="25400">
          <a:solidFill>
            <a:schemeClr val="bg2"/>
          </a:solid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88497856851035"/>
          <c:y val="4.8474880330892242E-2"/>
          <c:w val="0.79094545530086013"/>
          <c:h val="0.83183378030128641"/>
        </c:manualLayout>
      </c:layout>
      <c:areaChart>
        <c:grouping val="stacked"/>
        <c:varyColors val="0"/>
        <c:ser>
          <c:idx val="0"/>
          <c:order val="0"/>
          <c:tx>
            <c:strRef>
              <c:f>'3.2 Update'!$D$22</c:f>
              <c:strCache>
                <c:ptCount val="1"/>
                <c:pt idx="0">
                  <c:v>GPG demand</c:v>
                </c:pt>
              </c:strCache>
            </c:strRef>
          </c:tx>
          <c:spPr>
            <a:solidFill>
              <a:srgbClr val="005CAF"/>
            </a:solidFill>
            <a:ln>
              <a:noFill/>
            </a:ln>
            <a:effectLst/>
          </c:spPr>
          <c:cat>
            <c:numRef>
              <c:f>'3.2 Update'!$B$24:$B$753</c:f>
              <c:numCache>
                <c:formatCode>m/d/yyyy</c:formatCode>
                <c:ptCount val="730"/>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pt idx="365">
                  <c:v>44927</c:v>
                </c:pt>
                <c:pt idx="366">
                  <c:v>44928</c:v>
                </c:pt>
                <c:pt idx="367">
                  <c:v>44929</c:v>
                </c:pt>
                <c:pt idx="368">
                  <c:v>44930</c:v>
                </c:pt>
                <c:pt idx="369">
                  <c:v>44931</c:v>
                </c:pt>
                <c:pt idx="370">
                  <c:v>44932</c:v>
                </c:pt>
                <c:pt idx="371">
                  <c:v>44933</c:v>
                </c:pt>
                <c:pt idx="372">
                  <c:v>44934</c:v>
                </c:pt>
                <c:pt idx="373">
                  <c:v>44935</c:v>
                </c:pt>
                <c:pt idx="374">
                  <c:v>44936</c:v>
                </c:pt>
                <c:pt idx="375">
                  <c:v>44937</c:v>
                </c:pt>
                <c:pt idx="376">
                  <c:v>44938</c:v>
                </c:pt>
                <c:pt idx="377">
                  <c:v>44939</c:v>
                </c:pt>
                <c:pt idx="378">
                  <c:v>44940</c:v>
                </c:pt>
                <c:pt idx="379">
                  <c:v>44941</c:v>
                </c:pt>
                <c:pt idx="380">
                  <c:v>44942</c:v>
                </c:pt>
                <c:pt idx="381">
                  <c:v>44943</c:v>
                </c:pt>
                <c:pt idx="382">
                  <c:v>44944</c:v>
                </c:pt>
                <c:pt idx="383">
                  <c:v>44945</c:v>
                </c:pt>
                <c:pt idx="384">
                  <c:v>44946</c:v>
                </c:pt>
                <c:pt idx="385">
                  <c:v>44947</c:v>
                </c:pt>
                <c:pt idx="386">
                  <c:v>44948</c:v>
                </c:pt>
                <c:pt idx="387">
                  <c:v>44949</c:v>
                </c:pt>
                <c:pt idx="388">
                  <c:v>44950</c:v>
                </c:pt>
                <c:pt idx="389">
                  <c:v>44951</c:v>
                </c:pt>
                <c:pt idx="390">
                  <c:v>44952</c:v>
                </c:pt>
                <c:pt idx="391">
                  <c:v>44953</c:v>
                </c:pt>
                <c:pt idx="392">
                  <c:v>44954</c:v>
                </c:pt>
                <c:pt idx="393">
                  <c:v>44955</c:v>
                </c:pt>
                <c:pt idx="394">
                  <c:v>44956</c:v>
                </c:pt>
                <c:pt idx="395">
                  <c:v>44957</c:v>
                </c:pt>
                <c:pt idx="396">
                  <c:v>44958</c:v>
                </c:pt>
                <c:pt idx="397">
                  <c:v>44959</c:v>
                </c:pt>
                <c:pt idx="398">
                  <c:v>44960</c:v>
                </c:pt>
                <c:pt idx="399">
                  <c:v>44961</c:v>
                </c:pt>
                <c:pt idx="400">
                  <c:v>44962</c:v>
                </c:pt>
                <c:pt idx="401">
                  <c:v>44963</c:v>
                </c:pt>
                <c:pt idx="402">
                  <c:v>44964</c:v>
                </c:pt>
                <c:pt idx="403">
                  <c:v>44965</c:v>
                </c:pt>
                <c:pt idx="404">
                  <c:v>44966</c:v>
                </c:pt>
                <c:pt idx="405">
                  <c:v>44967</c:v>
                </c:pt>
                <c:pt idx="406">
                  <c:v>44968</c:v>
                </c:pt>
                <c:pt idx="407">
                  <c:v>44969</c:v>
                </c:pt>
                <c:pt idx="408">
                  <c:v>44970</c:v>
                </c:pt>
                <c:pt idx="409">
                  <c:v>44971</c:v>
                </c:pt>
                <c:pt idx="410">
                  <c:v>44972</c:v>
                </c:pt>
                <c:pt idx="411">
                  <c:v>44973</c:v>
                </c:pt>
                <c:pt idx="412">
                  <c:v>44974</c:v>
                </c:pt>
                <c:pt idx="413">
                  <c:v>44975</c:v>
                </c:pt>
                <c:pt idx="414">
                  <c:v>44976</c:v>
                </c:pt>
                <c:pt idx="415">
                  <c:v>44977</c:v>
                </c:pt>
                <c:pt idx="416">
                  <c:v>44978</c:v>
                </c:pt>
                <c:pt idx="417">
                  <c:v>44979</c:v>
                </c:pt>
                <c:pt idx="418">
                  <c:v>44980</c:v>
                </c:pt>
                <c:pt idx="419">
                  <c:v>44981</c:v>
                </c:pt>
                <c:pt idx="420">
                  <c:v>44982</c:v>
                </c:pt>
                <c:pt idx="421">
                  <c:v>44983</c:v>
                </c:pt>
                <c:pt idx="422">
                  <c:v>44984</c:v>
                </c:pt>
                <c:pt idx="423">
                  <c:v>44985</c:v>
                </c:pt>
                <c:pt idx="424">
                  <c:v>44986</c:v>
                </c:pt>
                <c:pt idx="425">
                  <c:v>44987</c:v>
                </c:pt>
                <c:pt idx="426">
                  <c:v>44988</c:v>
                </c:pt>
                <c:pt idx="427">
                  <c:v>44989</c:v>
                </c:pt>
                <c:pt idx="428">
                  <c:v>44990</c:v>
                </c:pt>
                <c:pt idx="429">
                  <c:v>44991</c:v>
                </c:pt>
                <c:pt idx="430">
                  <c:v>44992</c:v>
                </c:pt>
                <c:pt idx="431">
                  <c:v>44993</c:v>
                </c:pt>
                <c:pt idx="432">
                  <c:v>44994</c:v>
                </c:pt>
                <c:pt idx="433">
                  <c:v>44995</c:v>
                </c:pt>
                <c:pt idx="434">
                  <c:v>44996</c:v>
                </c:pt>
                <c:pt idx="435">
                  <c:v>44997</c:v>
                </c:pt>
                <c:pt idx="436">
                  <c:v>44998</c:v>
                </c:pt>
                <c:pt idx="437">
                  <c:v>44999</c:v>
                </c:pt>
                <c:pt idx="438">
                  <c:v>45000</c:v>
                </c:pt>
                <c:pt idx="439">
                  <c:v>45001</c:v>
                </c:pt>
                <c:pt idx="440">
                  <c:v>45002</c:v>
                </c:pt>
                <c:pt idx="441">
                  <c:v>45003</c:v>
                </c:pt>
                <c:pt idx="442">
                  <c:v>45004</c:v>
                </c:pt>
                <c:pt idx="443">
                  <c:v>45005</c:v>
                </c:pt>
                <c:pt idx="444">
                  <c:v>45006</c:v>
                </c:pt>
                <c:pt idx="445">
                  <c:v>45007</c:v>
                </c:pt>
                <c:pt idx="446">
                  <c:v>45008</c:v>
                </c:pt>
                <c:pt idx="447">
                  <c:v>45009</c:v>
                </c:pt>
                <c:pt idx="448">
                  <c:v>45010</c:v>
                </c:pt>
                <c:pt idx="449">
                  <c:v>45011</c:v>
                </c:pt>
                <c:pt idx="450">
                  <c:v>45012</c:v>
                </c:pt>
                <c:pt idx="451">
                  <c:v>45013</c:v>
                </c:pt>
                <c:pt idx="452">
                  <c:v>45014</c:v>
                </c:pt>
                <c:pt idx="453">
                  <c:v>45015</c:v>
                </c:pt>
                <c:pt idx="454">
                  <c:v>45016</c:v>
                </c:pt>
                <c:pt idx="455">
                  <c:v>45017</c:v>
                </c:pt>
                <c:pt idx="456">
                  <c:v>45018</c:v>
                </c:pt>
                <c:pt idx="457">
                  <c:v>45019</c:v>
                </c:pt>
                <c:pt idx="458">
                  <c:v>45020</c:v>
                </c:pt>
                <c:pt idx="459">
                  <c:v>45021</c:v>
                </c:pt>
                <c:pt idx="460">
                  <c:v>45022</c:v>
                </c:pt>
                <c:pt idx="461">
                  <c:v>45023</c:v>
                </c:pt>
                <c:pt idx="462">
                  <c:v>45024</c:v>
                </c:pt>
                <c:pt idx="463">
                  <c:v>45025</c:v>
                </c:pt>
                <c:pt idx="464">
                  <c:v>45026</c:v>
                </c:pt>
                <c:pt idx="465">
                  <c:v>45027</c:v>
                </c:pt>
                <c:pt idx="466">
                  <c:v>45028</c:v>
                </c:pt>
                <c:pt idx="467">
                  <c:v>45029</c:v>
                </c:pt>
                <c:pt idx="468">
                  <c:v>45030</c:v>
                </c:pt>
                <c:pt idx="469">
                  <c:v>45031</c:v>
                </c:pt>
                <c:pt idx="470">
                  <c:v>45032</c:v>
                </c:pt>
                <c:pt idx="471">
                  <c:v>45033</c:v>
                </c:pt>
                <c:pt idx="472">
                  <c:v>45034</c:v>
                </c:pt>
                <c:pt idx="473">
                  <c:v>45035</c:v>
                </c:pt>
                <c:pt idx="474">
                  <c:v>45036</c:v>
                </c:pt>
                <c:pt idx="475">
                  <c:v>45037</c:v>
                </c:pt>
                <c:pt idx="476">
                  <c:v>45038</c:v>
                </c:pt>
                <c:pt idx="477">
                  <c:v>45039</c:v>
                </c:pt>
                <c:pt idx="478">
                  <c:v>45040</c:v>
                </c:pt>
                <c:pt idx="479">
                  <c:v>45041</c:v>
                </c:pt>
                <c:pt idx="480">
                  <c:v>45042</c:v>
                </c:pt>
                <c:pt idx="481">
                  <c:v>45043</c:v>
                </c:pt>
                <c:pt idx="482">
                  <c:v>45044</c:v>
                </c:pt>
                <c:pt idx="483">
                  <c:v>45045</c:v>
                </c:pt>
                <c:pt idx="484">
                  <c:v>45046</c:v>
                </c:pt>
                <c:pt idx="485">
                  <c:v>45047</c:v>
                </c:pt>
                <c:pt idx="486">
                  <c:v>45048</c:v>
                </c:pt>
                <c:pt idx="487">
                  <c:v>45049</c:v>
                </c:pt>
                <c:pt idx="488">
                  <c:v>45050</c:v>
                </c:pt>
                <c:pt idx="489">
                  <c:v>45051</c:v>
                </c:pt>
                <c:pt idx="490">
                  <c:v>45052</c:v>
                </c:pt>
                <c:pt idx="491">
                  <c:v>45053</c:v>
                </c:pt>
                <c:pt idx="492">
                  <c:v>45054</c:v>
                </c:pt>
                <c:pt idx="493">
                  <c:v>45055</c:v>
                </c:pt>
                <c:pt idx="494">
                  <c:v>45056</c:v>
                </c:pt>
                <c:pt idx="495">
                  <c:v>45057</c:v>
                </c:pt>
                <c:pt idx="496">
                  <c:v>45058</c:v>
                </c:pt>
                <c:pt idx="497">
                  <c:v>45059</c:v>
                </c:pt>
                <c:pt idx="498">
                  <c:v>45060</c:v>
                </c:pt>
                <c:pt idx="499">
                  <c:v>45061</c:v>
                </c:pt>
                <c:pt idx="500">
                  <c:v>45062</c:v>
                </c:pt>
                <c:pt idx="501">
                  <c:v>45063</c:v>
                </c:pt>
                <c:pt idx="502">
                  <c:v>45064</c:v>
                </c:pt>
                <c:pt idx="503">
                  <c:v>45065</c:v>
                </c:pt>
                <c:pt idx="504">
                  <c:v>45066</c:v>
                </c:pt>
                <c:pt idx="505">
                  <c:v>45067</c:v>
                </c:pt>
                <c:pt idx="506">
                  <c:v>45068</c:v>
                </c:pt>
                <c:pt idx="507">
                  <c:v>45069</c:v>
                </c:pt>
                <c:pt idx="508">
                  <c:v>45070</c:v>
                </c:pt>
                <c:pt idx="509">
                  <c:v>45071</c:v>
                </c:pt>
                <c:pt idx="510">
                  <c:v>45072</c:v>
                </c:pt>
                <c:pt idx="511">
                  <c:v>45073</c:v>
                </c:pt>
                <c:pt idx="512">
                  <c:v>45074</c:v>
                </c:pt>
                <c:pt idx="513">
                  <c:v>45075</c:v>
                </c:pt>
                <c:pt idx="514">
                  <c:v>45076</c:v>
                </c:pt>
                <c:pt idx="515">
                  <c:v>45077</c:v>
                </c:pt>
                <c:pt idx="516">
                  <c:v>45078</c:v>
                </c:pt>
                <c:pt idx="517">
                  <c:v>45079</c:v>
                </c:pt>
                <c:pt idx="518">
                  <c:v>45080</c:v>
                </c:pt>
                <c:pt idx="519">
                  <c:v>45081</c:v>
                </c:pt>
                <c:pt idx="520">
                  <c:v>45082</c:v>
                </c:pt>
                <c:pt idx="521">
                  <c:v>45083</c:v>
                </c:pt>
                <c:pt idx="522">
                  <c:v>45084</c:v>
                </c:pt>
                <c:pt idx="523">
                  <c:v>45085</c:v>
                </c:pt>
                <c:pt idx="524">
                  <c:v>45086</c:v>
                </c:pt>
                <c:pt idx="525">
                  <c:v>45087</c:v>
                </c:pt>
                <c:pt idx="526">
                  <c:v>45088</c:v>
                </c:pt>
                <c:pt idx="527">
                  <c:v>45089</c:v>
                </c:pt>
                <c:pt idx="528">
                  <c:v>45090</c:v>
                </c:pt>
                <c:pt idx="529">
                  <c:v>45091</c:v>
                </c:pt>
                <c:pt idx="530">
                  <c:v>45092</c:v>
                </c:pt>
                <c:pt idx="531">
                  <c:v>45093</c:v>
                </c:pt>
                <c:pt idx="532">
                  <c:v>45094</c:v>
                </c:pt>
                <c:pt idx="533">
                  <c:v>45095</c:v>
                </c:pt>
                <c:pt idx="534">
                  <c:v>45096</c:v>
                </c:pt>
                <c:pt idx="535">
                  <c:v>45097</c:v>
                </c:pt>
                <c:pt idx="536">
                  <c:v>45098</c:v>
                </c:pt>
                <c:pt idx="537">
                  <c:v>45099</c:v>
                </c:pt>
                <c:pt idx="538">
                  <c:v>45100</c:v>
                </c:pt>
                <c:pt idx="539">
                  <c:v>45101</c:v>
                </c:pt>
                <c:pt idx="540">
                  <c:v>45102</c:v>
                </c:pt>
                <c:pt idx="541">
                  <c:v>45103</c:v>
                </c:pt>
                <c:pt idx="542">
                  <c:v>45104</c:v>
                </c:pt>
                <c:pt idx="543">
                  <c:v>45105</c:v>
                </c:pt>
                <c:pt idx="544">
                  <c:v>45106</c:v>
                </c:pt>
                <c:pt idx="545">
                  <c:v>45107</c:v>
                </c:pt>
                <c:pt idx="546">
                  <c:v>45108</c:v>
                </c:pt>
                <c:pt idx="547">
                  <c:v>45109</c:v>
                </c:pt>
                <c:pt idx="548">
                  <c:v>45110</c:v>
                </c:pt>
                <c:pt idx="549">
                  <c:v>45111</c:v>
                </c:pt>
                <c:pt idx="550">
                  <c:v>45112</c:v>
                </c:pt>
                <c:pt idx="551">
                  <c:v>45113</c:v>
                </c:pt>
                <c:pt idx="552">
                  <c:v>45114</c:v>
                </c:pt>
                <c:pt idx="553">
                  <c:v>45115</c:v>
                </c:pt>
                <c:pt idx="554">
                  <c:v>45116</c:v>
                </c:pt>
                <c:pt idx="555">
                  <c:v>45117</c:v>
                </c:pt>
                <c:pt idx="556">
                  <c:v>45118</c:v>
                </c:pt>
                <c:pt idx="557">
                  <c:v>45119</c:v>
                </c:pt>
                <c:pt idx="558">
                  <c:v>45120</c:v>
                </c:pt>
                <c:pt idx="559">
                  <c:v>45121</c:v>
                </c:pt>
                <c:pt idx="560">
                  <c:v>45122</c:v>
                </c:pt>
                <c:pt idx="561">
                  <c:v>45123</c:v>
                </c:pt>
                <c:pt idx="562">
                  <c:v>45124</c:v>
                </c:pt>
                <c:pt idx="563">
                  <c:v>45125</c:v>
                </c:pt>
                <c:pt idx="564">
                  <c:v>45126</c:v>
                </c:pt>
                <c:pt idx="565">
                  <c:v>45127</c:v>
                </c:pt>
                <c:pt idx="566">
                  <c:v>45128</c:v>
                </c:pt>
                <c:pt idx="567">
                  <c:v>45129</c:v>
                </c:pt>
                <c:pt idx="568">
                  <c:v>45130</c:v>
                </c:pt>
                <c:pt idx="569">
                  <c:v>45131</c:v>
                </c:pt>
                <c:pt idx="570">
                  <c:v>45132</c:v>
                </c:pt>
                <c:pt idx="571">
                  <c:v>45133</c:v>
                </c:pt>
                <c:pt idx="572">
                  <c:v>45134</c:v>
                </c:pt>
                <c:pt idx="573">
                  <c:v>45135</c:v>
                </c:pt>
                <c:pt idx="574">
                  <c:v>45136</c:v>
                </c:pt>
                <c:pt idx="575">
                  <c:v>45137</c:v>
                </c:pt>
                <c:pt idx="576">
                  <c:v>45138</c:v>
                </c:pt>
                <c:pt idx="577">
                  <c:v>45139</c:v>
                </c:pt>
                <c:pt idx="578">
                  <c:v>45140</c:v>
                </c:pt>
                <c:pt idx="579">
                  <c:v>45141</c:v>
                </c:pt>
                <c:pt idx="580">
                  <c:v>45142</c:v>
                </c:pt>
                <c:pt idx="581">
                  <c:v>45143</c:v>
                </c:pt>
                <c:pt idx="582">
                  <c:v>45144</c:v>
                </c:pt>
                <c:pt idx="583">
                  <c:v>45145</c:v>
                </c:pt>
                <c:pt idx="584">
                  <c:v>45146</c:v>
                </c:pt>
                <c:pt idx="585">
                  <c:v>45147</c:v>
                </c:pt>
                <c:pt idx="586">
                  <c:v>45148</c:v>
                </c:pt>
                <c:pt idx="587">
                  <c:v>45149</c:v>
                </c:pt>
                <c:pt idx="588">
                  <c:v>45150</c:v>
                </c:pt>
                <c:pt idx="589">
                  <c:v>45151</c:v>
                </c:pt>
                <c:pt idx="590">
                  <c:v>45152</c:v>
                </c:pt>
                <c:pt idx="591">
                  <c:v>45153</c:v>
                </c:pt>
                <c:pt idx="592">
                  <c:v>45154</c:v>
                </c:pt>
                <c:pt idx="593">
                  <c:v>45155</c:v>
                </c:pt>
                <c:pt idx="594">
                  <c:v>45156</c:v>
                </c:pt>
                <c:pt idx="595">
                  <c:v>45157</c:v>
                </c:pt>
                <c:pt idx="596">
                  <c:v>45158</c:v>
                </c:pt>
                <c:pt idx="597">
                  <c:v>45159</c:v>
                </c:pt>
                <c:pt idx="598">
                  <c:v>45160</c:v>
                </c:pt>
                <c:pt idx="599">
                  <c:v>45161</c:v>
                </c:pt>
                <c:pt idx="600">
                  <c:v>45162</c:v>
                </c:pt>
                <c:pt idx="601">
                  <c:v>45163</c:v>
                </c:pt>
                <c:pt idx="602">
                  <c:v>45164</c:v>
                </c:pt>
                <c:pt idx="603">
                  <c:v>45165</c:v>
                </c:pt>
                <c:pt idx="604">
                  <c:v>45166</c:v>
                </c:pt>
                <c:pt idx="605">
                  <c:v>45167</c:v>
                </c:pt>
                <c:pt idx="606">
                  <c:v>45168</c:v>
                </c:pt>
                <c:pt idx="607">
                  <c:v>45169</c:v>
                </c:pt>
                <c:pt idx="608">
                  <c:v>45170</c:v>
                </c:pt>
                <c:pt idx="609">
                  <c:v>45171</c:v>
                </c:pt>
                <c:pt idx="610">
                  <c:v>45172</c:v>
                </c:pt>
                <c:pt idx="611">
                  <c:v>45173</c:v>
                </c:pt>
                <c:pt idx="612">
                  <c:v>45174</c:v>
                </c:pt>
                <c:pt idx="613">
                  <c:v>45175</c:v>
                </c:pt>
                <c:pt idx="614">
                  <c:v>45176</c:v>
                </c:pt>
                <c:pt idx="615">
                  <c:v>45177</c:v>
                </c:pt>
                <c:pt idx="616">
                  <c:v>45178</c:v>
                </c:pt>
                <c:pt idx="617">
                  <c:v>45179</c:v>
                </c:pt>
                <c:pt idx="618">
                  <c:v>45180</c:v>
                </c:pt>
                <c:pt idx="619">
                  <c:v>45181</c:v>
                </c:pt>
                <c:pt idx="620">
                  <c:v>45182</c:v>
                </c:pt>
                <c:pt idx="621">
                  <c:v>45183</c:v>
                </c:pt>
                <c:pt idx="622">
                  <c:v>45184</c:v>
                </c:pt>
                <c:pt idx="623">
                  <c:v>45185</c:v>
                </c:pt>
                <c:pt idx="624">
                  <c:v>45186</c:v>
                </c:pt>
                <c:pt idx="625">
                  <c:v>45187</c:v>
                </c:pt>
                <c:pt idx="626">
                  <c:v>45188</c:v>
                </c:pt>
                <c:pt idx="627">
                  <c:v>45189</c:v>
                </c:pt>
                <c:pt idx="628">
                  <c:v>45190</c:v>
                </c:pt>
                <c:pt idx="629">
                  <c:v>45191</c:v>
                </c:pt>
                <c:pt idx="630">
                  <c:v>45192</c:v>
                </c:pt>
                <c:pt idx="631">
                  <c:v>45193</c:v>
                </c:pt>
                <c:pt idx="632">
                  <c:v>45194</c:v>
                </c:pt>
                <c:pt idx="633">
                  <c:v>45195</c:v>
                </c:pt>
                <c:pt idx="634">
                  <c:v>45196</c:v>
                </c:pt>
                <c:pt idx="635">
                  <c:v>45197</c:v>
                </c:pt>
                <c:pt idx="636">
                  <c:v>45198</c:v>
                </c:pt>
                <c:pt idx="637">
                  <c:v>45199</c:v>
                </c:pt>
                <c:pt idx="638">
                  <c:v>45200</c:v>
                </c:pt>
                <c:pt idx="639">
                  <c:v>45201</c:v>
                </c:pt>
                <c:pt idx="640">
                  <c:v>45202</c:v>
                </c:pt>
                <c:pt idx="641">
                  <c:v>45203</c:v>
                </c:pt>
                <c:pt idx="642">
                  <c:v>45204</c:v>
                </c:pt>
                <c:pt idx="643">
                  <c:v>45205</c:v>
                </c:pt>
                <c:pt idx="644">
                  <c:v>45206</c:v>
                </c:pt>
                <c:pt idx="645">
                  <c:v>45207</c:v>
                </c:pt>
                <c:pt idx="646">
                  <c:v>45208</c:v>
                </c:pt>
                <c:pt idx="647">
                  <c:v>45209</c:v>
                </c:pt>
                <c:pt idx="648">
                  <c:v>45210</c:v>
                </c:pt>
                <c:pt idx="649">
                  <c:v>45211</c:v>
                </c:pt>
                <c:pt idx="650">
                  <c:v>45212</c:v>
                </c:pt>
                <c:pt idx="651">
                  <c:v>45213</c:v>
                </c:pt>
                <c:pt idx="652">
                  <c:v>45214</c:v>
                </c:pt>
                <c:pt idx="653">
                  <c:v>45215</c:v>
                </c:pt>
                <c:pt idx="654">
                  <c:v>45216</c:v>
                </c:pt>
                <c:pt idx="655">
                  <c:v>45217</c:v>
                </c:pt>
                <c:pt idx="656">
                  <c:v>45218</c:v>
                </c:pt>
                <c:pt idx="657">
                  <c:v>45219</c:v>
                </c:pt>
                <c:pt idx="658">
                  <c:v>45220</c:v>
                </c:pt>
                <c:pt idx="659">
                  <c:v>45221</c:v>
                </c:pt>
                <c:pt idx="660">
                  <c:v>45222</c:v>
                </c:pt>
                <c:pt idx="661">
                  <c:v>45223</c:v>
                </c:pt>
                <c:pt idx="662">
                  <c:v>45224</c:v>
                </c:pt>
                <c:pt idx="663">
                  <c:v>45225</c:v>
                </c:pt>
                <c:pt idx="664">
                  <c:v>45226</c:v>
                </c:pt>
                <c:pt idx="665">
                  <c:v>45227</c:v>
                </c:pt>
                <c:pt idx="666">
                  <c:v>45228</c:v>
                </c:pt>
                <c:pt idx="667">
                  <c:v>45229</c:v>
                </c:pt>
                <c:pt idx="668">
                  <c:v>45230</c:v>
                </c:pt>
                <c:pt idx="669">
                  <c:v>45231</c:v>
                </c:pt>
                <c:pt idx="670">
                  <c:v>45232</c:v>
                </c:pt>
                <c:pt idx="671">
                  <c:v>45233</c:v>
                </c:pt>
                <c:pt idx="672">
                  <c:v>45234</c:v>
                </c:pt>
                <c:pt idx="673">
                  <c:v>45235</c:v>
                </c:pt>
                <c:pt idx="674">
                  <c:v>45236</c:v>
                </c:pt>
                <c:pt idx="675">
                  <c:v>45237</c:v>
                </c:pt>
                <c:pt idx="676">
                  <c:v>45238</c:v>
                </c:pt>
                <c:pt idx="677">
                  <c:v>45239</c:v>
                </c:pt>
                <c:pt idx="678">
                  <c:v>45240</c:v>
                </c:pt>
                <c:pt idx="679">
                  <c:v>45241</c:v>
                </c:pt>
                <c:pt idx="680">
                  <c:v>45242</c:v>
                </c:pt>
                <c:pt idx="681">
                  <c:v>45243</c:v>
                </c:pt>
                <c:pt idx="682">
                  <c:v>45244</c:v>
                </c:pt>
                <c:pt idx="683">
                  <c:v>45245</c:v>
                </c:pt>
                <c:pt idx="684">
                  <c:v>45246</c:v>
                </c:pt>
                <c:pt idx="685">
                  <c:v>45247</c:v>
                </c:pt>
                <c:pt idx="686">
                  <c:v>45248</c:v>
                </c:pt>
                <c:pt idx="687">
                  <c:v>45249</c:v>
                </c:pt>
                <c:pt idx="688">
                  <c:v>45250</c:v>
                </c:pt>
                <c:pt idx="689">
                  <c:v>45251</c:v>
                </c:pt>
                <c:pt idx="690">
                  <c:v>45252</c:v>
                </c:pt>
                <c:pt idx="691">
                  <c:v>45253</c:v>
                </c:pt>
                <c:pt idx="692">
                  <c:v>45254</c:v>
                </c:pt>
                <c:pt idx="693">
                  <c:v>45255</c:v>
                </c:pt>
                <c:pt idx="694">
                  <c:v>45256</c:v>
                </c:pt>
                <c:pt idx="695">
                  <c:v>45257</c:v>
                </c:pt>
                <c:pt idx="696">
                  <c:v>45258</c:v>
                </c:pt>
                <c:pt idx="697">
                  <c:v>45259</c:v>
                </c:pt>
                <c:pt idx="698">
                  <c:v>45260</c:v>
                </c:pt>
                <c:pt idx="699">
                  <c:v>45261</c:v>
                </c:pt>
                <c:pt idx="700">
                  <c:v>45262</c:v>
                </c:pt>
                <c:pt idx="701">
                  <c:v>45263</c:v>
                </c:pt>
                <c:pt idx="702">
                  <c:v>45264</c:v>
                </c:pt>
                <c:pt idx="703">
                  <c:v>45265</c:v>
                </c:pt>
                <c:pt idx="704">
                  <c:v>45266</c:v>
                </c:pt>
                <c:pt idx="705">
                  <c:v>45267</c:v>
                </c:pt>
                <c:pt idx="706">
                  <c:v>45268</c:v>
                </c:pt>
                <c:pt idx="707">
                  <c:v>45269</c:v>
                </c:pt>
                <c:pt idx="708">
                  <c:v>45270</c:v>
                </c:pt>
                <c:pt idx="709">
                  <c:v>45271</c:v>
                </c:pt>
                <c:pt idx="710">
                  <c:v>45272</c:v>
                </c:pt>
                <c:pt idx="711">
                  <c:v>45273</c:v>
                </c:pt>
                <c:pt idx="712">
                  <c:v>45274</c:v>
                </c:pt>
                <c:pt idx="713">
                  <c:v>45275</c:v>
                </c:pt>
                <c:pt idx="714">
                  <c:v>45276</c:v>
                </c:pt>
                <c:pt idx="715">
                  <c:v>45277</c:v>
                </c:pt>
                <c:pt idx="716">
                  <c:v>45278</c:v>
                </c:pt>
                <c:pt idx="717">
                  <c:v>45279</c:v>
                </c:pt>
                <c:pt idx="718">
                  <c:v>45280</c:v>
                </c:pt>
                <c:pt idx="719">
                  <c:v>45281</c:v>
                </c:pt>
                <c:pt idx="720">
                  <c:v>45282</c:v>
                </c:pt>
                <c:pt idx="721">
                  <c:v>45283</c:v>
                </c:pt>
                <c:pt idx="722">
                  <c:v>45284</c:v>
                </c:pt>
                <c:pt idx="723">
                  <c:v>45285</c:v>
                </c:pt>
                <c:pt idx="724">
                  <c:v>45286</c:v>
                </c:pt>
                <c:pt idx="725">
                  <c:v>45287</c:v>
                </c:pt>
                <c:pt idx="726">
                  <c:v>45288</c:v>
                </c:pt>
                <c:pt idx="727">
                  <c:v>45289</c:v>
                </c:pt>
                <c:pt idx="728">
                  <c:v>45290</c:v>
                </c:pt>
                <c:pt idx="729">
                  <c:v>45291</c:v>
                </c:pt>
              </c:numCache>
            </c:numRef>
          </c:cat>
          <c:val>
            <c:numRef>
              <c:f>'3.2 Update'!$D$24:$D$753</c:f>
              <c:numCache>
                <c:formatCode>#,##0</c:formatCode>
                <c:ptCount val="730"/>
                <c:pt idx="0">
                  <c:v>247.61137199999999</c:v>
                </c:pt>
                <c:pt idx="1">
                  <c:v>123.039883</c:v>
                </c:pt>
                <c:pt idx="2">
                  <c:v>68.209453999999994</c:v>
                </c:pt>
                <c:pt idx="3">
                  <c:v>63.603236000000003</c:v>
                </c:pt>
                <c:pt idx="4">
                  <c:v>77.263352999999995</c:v>
                </c:pt>
                <c:pt idx="5">
                  <c:v>108.57043</c:v>
                </c:pt>
                <c:pt idx="6">
                  <c:v>106.133505</c:v>
                </c:pt>
                <c:pt idx="7">
                  <c:v>86.602054999999993</c:v>
                </c:pt>
                <c:pt idx="8">
                  <c:v>101.820435</c:v>
                </c:pt>
                <c:pt idx="9">
                  <c:v>229.771579</c:v>
                </c:pt>
                <c:pt idx="10">
                  <c:v>251.074556</c:v>
                </c:pt>
                <c:pt idx="11">
                  <c:v>170.08659399999999</c:v>
                </c:pt>
                <c:pt idx="12">
                  <c:v>115.671358</c:v>
                </c:pt>
                <c:pt idx="13">
                  <c:v>143.43653499999999</c:v>
                </c:pt>
                <c:pt idx="14">
                  <c:v>103.333811</c:v>
                </c:pt>
                <c:pt idx="15">
                  <c:v>116.311942</c:v>
                </c:pt>
                <c:pt idx="16">
                  <c:v>153.111628</c:v>
                </c:pt>
                <c:pt idx="17">
                  <c:v>75.329153000000005</c:v>
                </c:pt>
                <c:pt idx="18">
                  <c:v>26.422097999999998</c:v>
                </c:pt>
                <c:pt idx="19">
                  <c:v>60.409415000000003</c:v>
                </c:pt>
                <c:pt idx="20">
                  <c:v>87.206310000000002</c:v>
                </c:pt>
                <c:pt idx="21">
                  <c:v>93.315006999999994</c:v>
                </c:pt>
                <c:pt idx="22">
                  <c:v>139.78887399999999</c:v>
                </c:pt>
                <c:pt idx="23">
                  <c:v>323.12770399999999</c:v>
                </c:pt>
                <c:pt idx="24">
                  <c:v>362.07542699999999</c:v>
                </c:pt>
                <c:pt idx="25">
                  <c:v>285.48393099999998</c:v>
                </c:pt>
                <c:pt idx="26">
                  <c:v>320.18541399999998</c:v>
                </c:pt>
                <c:pt idx="27">
                  <c:v>281.83618000000001</c:v>
                </c:pt>
                <c:pt idx="28">
                  <c:v>80.750752000000006</c:v>
                </c:pt>
                <c:pt idx="29">
                  <c:v>231.84216499999999</c:v>
                </c:pt>
                <c:pt idx="30">
                  <c:v>532.18963699999995</c:v>
                </c:pt>
                <c:pt idx="31">
                  <c:v>189.22874100000001</c:v>
                </c:pt>
                <c:pt idx="32">
                  <c:v>89.308538999999996</c:v>
                </c:pt>
                <c:pt idx="33">
                  <c:v>44.582518</c:v>
                </c:pt>
                <c:pt idx="34">
                  <c:v>47.153083000000002</c:v>
                </c:pt>
                <c:pt idx="35">
                  <c:v>61.333480999999999</c:v>
                </c:pt>
                <c:pt idx="36">
                  <c:v>74.093941000000001</c:v>
                </c:pt>
                <c:pt idx="37">
                  <c:v>135.32398699999999</c:v>
                </c:pt>
                <c:pt idx="38">
                  <c:v>286.71325100000001</c:v>
                </c:pt>
                <c:pt idx="39">
                  <c:v>311.23540100000002</c:v>
                </c:pt>
                <c:pt idx="40">
                  <c:v>131.560261</c:v>
                </c:pt>
                <c:pt idx="41">
                  <c:v>70.440641999999997</c:v>
                </c:pt>
                <c:pt idx="42">
                  <c:v>85.116889</c:v>
                </c:pt>
                <c:pt idx="43">
                  <c:v>204.72900200000001</c:v>
                </c:pt>
                <c:pt idx="44">
                  <c:v>281.26697799999999</c:v>
                </c:pt>
                <c:pt idx="45">
                  <c:v>312.63018099999999</c:v>
                </c:pt>
                <c:pt idx="46">
                  <c:v>403.07080400000001</c:v>
                </c:pt>
                <c:pt idx="47">
                  <c:v>235.96123299999999</c:v>
                </c:pt>
                <c:pt idx="48">
                  <c:v>113.63869800000001</c:v>
                </c:pt>
                <c:pt idx="49">
                  <c:v>111.073026</c:v>
                </c:pt>
                <c:pt idx="50">
                  <c:v>115.738407</c:v>
                </c:pt>
                <c:pt idx="51">
                  <c:v>201.50333499999999</c:v>
                </c:pt>
                <c:pt idx="52">
                  <c:v>127.029461</c:v>
                </c:pt>
                <c:pt idx="53">
                  <c:v>235.784795</c:v>
                </c:pt>
                <c:pt idx="54">
                  <c:v>157.93250599999999</c:v>
                </c:pt>
                <c:pt idx="55">
                  <c:v>125.29940499999999</c:v>
                </c:pt>
                <c:pt idx="56">
                  <c:v>80.585555999999997</c:v>
                </c:pt>
                <c:pt idx="57">
                  <c:v>114.547721</c:v>
                </c:pt>
                <c:pt idx="58">
                  <c:v>196.971259</c:v>
                </c:pt>
                <c:pt idx="59">
                  <c:v>209.97811799999999</c:v>
                </c:pt>
                <c:pt idx="60">
                  <c:v>213.120531</c:v>
                </c:pt>
                <c:pt idx="61">
                  <c:v>254.51942199999999</c:v>
                </c:pt>
                <c:pt idx="62">
                  <c:v>227.11023700000001</c:v>
                </c:pt>
                <c:pt idx="63">
                  <c:v>93.666527000000002</c:v>
                </c:pt>
                <c:pt idx="64">
                  <c:v>94.690504000000004</c:v>
                </c:pt>
                <c:pt idx="65">
                  <c:v>121.819181</c:v>
                </c:pt>
                <c:pt idx="66">
                  <c:v>119.498462</c:v>
                </c:pt>
                <c:pt idx="67">
                  <c:v>137.322</c:v>
                </c:pt>
                <c:pt idx="68">
                  <c:v>145.259063</c:v>
                </c:pt>
                <c:pt idx="69">
                  <c:v>126.022554</c:v>
                </c:pt>
                <c:pt idx="70">
                  <c:v>88.060979000000003</c:v>
                </c:pt>
                <c:pt idx="71">
                  <c:v>133.44813199999999</c:v>
                </c:pt>
                <c:pt idx="72">
                  <c:v>122.01334799999999</c:v>
                </c:pt>
                <c:pt idx="73">
                  <c:v>208.31490299999999</c:v>
                </c:pt>
                <c:pt idx="74">
                  <c:v>222.033851</c:v>
                </c:pt>
                <c:pt idx="75">
                  <c:v>301.53143299999999</c:v>
                </c:pt>
                <c:pt idx="76">
                  <c:v>150.999583</c:v>
                </c:pt>
                <c:pt idx="77">
                  <c:v>192.89792800000001</c:v>
                </c:pt>
                <c:pt idx="78">
                  <c:v>199.40741600000001</c:v>
                </c:pt>
                <c:pt idx="79">
                  <c:v>369.82391100000001</c:v>
                </c:pt>
                <c:pt idx="80">
                  <c:v>315.51078100000001</c:v>
                </c:pt>
                <c:pt idx="81">
                  <c:v>175.85611299999999</c:v>
                </c:pt>
                <c:pt idx="82">
                  <c:v>166.666279</c:v>
                </c:pt>
                <c:pt idx="83">
                  <c:v>180.08961199999999</c:v>
                </c:pt>
                <c:pt idx="84">
                  <c:v>149.03608700000001</c:v>
                </c:pt>
                <c:pt idx="85">
                  <c:v>211.56222299999999</c:v>
                </c:pt>
                <c:pt idx="86">
                  <c:v>289.49134099999998</c:v>
                </c:pt>
                <c:pt idx="87">
                  <c:v>211.767461</c:v>
                </c:pt>
                <c:pt idx="88">
                  <c:v>150.257094</c:v>
                </c:pt>
                <c:pt idx="89">
                  <c:v>116.16727299999999</c:v>
                </c:pt>
                <c:pt idx="90">
                  <c:v>66.223495</c:v>
                </c:pt>
                <c:pt idx="91">
                  <c:v>151.13736299999999</c:v>
                </c:pt>
                <c:pt idx="92">
                  <c:v>239.634321</c:v>
                </c:pt>
                <c:pt idx="93">
                  <c:v>415.42481700000002</c:v>
                </c:pt>
                <c:pt idx="94">
                  <c:v>407.43583899999999</c:v>
                </c:pt>
                <c:pt idx="95">
                  <c:v>307.26483400000001</c:v>
                </c:pt>
                <c:pt idx="96">
                  <c:v>185.432849</c:v>
                </c:pt>
                <c:pt idx="97">
                  <c:v>223.71660900000001</c:v>
                </c:pt>
                <c:pt idx="98">
                  <c:v>129.842062</c:v>
                </c:pt>
                <c:pt idx="99">
                  <c:v>195.87567799999999</c:v>
                </c:pt>
                <c:pt idx="100">
                  <c:v>198.64031700000001</c:v>
                </c:pt>
                <c:pt idx="101">
                  <c:v>194.639734</c:v>
                </c:pt>
                <c:pt idx="102">
                  <c:v>179.03618700000001</c:v>
                </c:pt>
                <c:pt idx="103">
                  <c:v>257.10263099999997</c:v>
                </c:pt>
                <c:pt idx="104">
                  <c:v>240.21464900000001</c:v>
                </c:pt>
                <c:pt idx="105">
                  <c:v>159.307267</c:v>
                </c:pt>
                <c:pt idx="106">
                  <c:v>183.13271900000001</c:v>
                </c:pt>
                <c:pt idx="107">
                  <c:v>340.52576900000003</c:v>
                </c:pt>
                <c:pt idx="108">
                  <c:v>349.009615</c:v>
                </c:pt>
                <c:pt idx="109">
                  <c:v>407.14360900000003</c:v>
                </c:pt>
                <c:pt idx="110">
                  <c:v>407.35454600000003</c:v>
                </c:pt>
                <c:pt idx="111">
                  <c:v>280.54155800000001</c:v>
                </c:pt>
                <c:pt idx="112">
                  <c:v>213.777367</c:v>
                </c:pt>
                <c:pt idx="113">
                  <c:v>183.51135300000001</c:v>
                </c:pt>
                <c:pt idx="114">
                  <c:v>189.31757400000001</c:v>
                </c:pt>
                <c:pt idx="115">
                  <c:v>382.73241000000002</c:v>
                </c:pt>
                <c:pt idx="116">
                  <c:v>553.85530000000006</c:v>
                </c:pt>
                <c:pt idx="117">
                  <c:v>394.15298899999999</c:v>
                </c:pt>
                <c:pt idx="118">
                  <c:v>423.59061600000001</c:v>
                </c:pt>
                <c:pt idx="119">
                  <c:v>289.75024000000002</c:v>
                </c:pt>
                <c:pt idx="120">
                  <c:v>307.72355099999999</c:v>
                </c:pt>
                <c:pt idx="121">
                  <c:v>313.82321300000001</c:v>
                </c:pt>
                <c:pt idx="122">
                  <c:v>189.463256</c:v>
                </c:pt>
                <c:pt idx="123">
                  <c:v>399.68332199999998</c:v>
                </c:pt>
                <c:pt idx="124">
                  <c:v>563.34971599999994</c:v>
                </c:pt>
                <c:pt idx="125">
                  <c:v>486.52573799999999</c:v>
                </c:pt>
                <c:pt idx="126">
                  <c:v>350.66395599999998</c:v>
                </c:pt>
                <c:pt idx="127">
                  <c:v>415.706481</c:v>
                </c:pt>
                <c:pt idx="128">
                  <c:v>479.887969</c:v>
                </c:pt>
                <c:pt idx="129">
                  <c:v>407.81973499999998</c:v>
                </c:pt>
                <c:pt idx="130">
                  <c:v>488.12419899999998</c:v>
                </c:pt>
                <c:pt idx="131">
                  <c:v>582.88152100000002</c:v>
                </c:pt>
                <c:pt idx="132">
                  <c:v>433.96853199999998</c:v>
                </c:pt>
                <c:pt idx="133">
                  <c:v>191.642447</c:v>
                </c:pt>
                <c:pt idx="134">
                  <c:v>162.19857500000001</c:v>
                </c:pt>
                <c:pt idx="135">
                  <c:v>211.16444999999999</c:v>
                </c:pt>
                <c:pt idx="136">
                  <c:v>263.23075999999998</c:v>
                </c:pt>
                <c:pt idx="137">
                  <c:v>231.676511</c:v>
                </c:pt>
                <c:pt idx="138">
                  <c:v>285.32570800000002</c:v>
                </c:pt>
                <c:pt idx="139">
                  <c:v>208.43683300000001</c:v>
                </c:pt>
                <c:pt idx="140">
                  <c:v>188.99936500000001</c:v>
                </c:pt>
                <c:pt idx="141">
                  <c:v>203.88227800000001</c:v>
                </c:pt>
                <c:pt idx="142">
                  <c:v>327.95250099999998</c:v>
                </c:pt>
                <c:pt idx="143">
                  <c:v>233.94881000000001</c:v>
                </c:pt>
                <c:pt idx="144">
                  <c:v>234.57669799999999</c:v>
                </c:pt>
                <c:pt idx="145">
                  <c:v>378.13134300000002</c:v>
                </c:pt>
                <c:pt idx="146">
                  <c:v>465.25508000000002</c:v>
                </c:pt>
                <c:pt idx="147">
                  <c:v>327.949004</c:v>
                </c:pt>
                <c:pt idx="148">
                  <c:v>207.17540299999999</c:v>
                </c:pt>
                <c:pt idx="149">
                  <c:v>339.47709900000001</c:v>
                </c:pt>
                <c:pt idx="150">
                  <c:v>184.62371200000001</c:v>
                </c:pt>
                <c:pt idx="151">
                  <c:v>487.097826</c:v>
                </c:pt>
                <c:pt idx="152">
                  <c:v>715.034265</c:v>
                </c:pt>
                <c:pt idx="153">
                  <c:v>498.19114100000002</c:v>
                </c:pt>
                <c:pt idx="154">
                  <c:v>144.66031799999999</c:v>
                </c:pt>
                <c:pt idx="155">
                  <c:v>167.07709299999999</c:v>
                </c:pt>
                <c:pt idx="156">
                  <c:v>218.01553200000001</c:v>
                </c:pt>
                <c:pt idx="157">
                  <c:v>321.86030199999999</c:v>
                </c:pt>
                <c:pt idx="158">
                  <c:v>412.94488899999999</c:v>
                </c:pt>
                <c:pt idx="159">
                  <c:v>307.27098000000001</c:v>
                </c:pt>
                <c:pt idx="160">
                  <c:v>429.48206199999998</c:v>
                </c:pt>
                <c:pt idx="161">
                  <c:v>329.69995299999999</c:v>
                </c:pt>
                <c:pt idx="162">
                  <c:v>506.30129199999999</c:v>
                </c:pt>
                <c:pt idx="163">
                  <c:v>626.92944899999998</c:v>
                </c:pt>
                <c:pt idx="164">
                  <c:v>445.195761</c:v>
                </c:pt>
                <c:pt idx="165">
                  <c:v>479.331414</c:v>
                </c:pt>
                <c:pt idx="166">
                  <c:v>767.16296399999999</c:v>
                </c:pt>
                <c:pt idx="167">
                  <c:v>853.01971900000001</c:v>
                </c:pt>
                <c:pt idx="168">
                  <c:v>623.88366499999995</c:v>
                </c:pt>
                <c:pt idx="169">
                  <c:v>369.68207699999999</c:v>
                </c:pt>
                <c:pt idx="170">
                  <c:v>455.31353999999999</c:v>
                </c:pt>
                <c:pt idx="171">
                  <c:v>568.31109900000001</c:v>
                </c:pt>
                <c:pt idx="172">
                  <c:v>586.28493700000001</c:v>
                </c:pt>
                <c:pt idx="173">
                  <c:v>176.14972900000001</c:v>
                </c:pt>
                <c:pt idx="174">
                  <c:v>456.55049000000002</c:v>
                </c:pt>
                <c:pt idx="175">
                  <c:v>199.62572499999999</c:v>
                </c:pt>
                <c:pt idx="176">
                  <c:v>388.239102</c:v>
                </c:pt>
                <c:pt idx="177">
                  <c:v>601.02705000000003</c:v>
                </c:pt>
                <c:pt idx="178">
                  <c:v>431.90683999999999</c:v>
                </c:pt>
                <c:pt idx="179">
                  <c:v>529.13426900000002</c:v>
                </c:pt>
                <c:pt idx="180">
                  <c:v>560.65820900000006</c:v>
                </c:pt>
                <c:pt idx="181">
                  <c:v>626.41985599999998</c:v>
                </c:pt>
                <c:pt idx="182">
                  <c:v>430.61775899999998</c:v>
                </c:pt>
                <c:pt idx="183">
                  <c:v>253.17160699999999</c:v>
                </c:pt>
                <c:pt idx="184">
                  <c:v>278.88618100000002</c:v>
                </c:pt>
                <c:pt idx="185">
                  <c:v>498.310562</c:v>
                </c:pt>
                <c:pt idx="186">
                  <c:v>592.29160200000001</c:v>
                </c:pt>
                <c:pt idx="187">
                  <c:v>466.16030000000001</c:v>
                </c:pt>
                <c:pt idx="188">
                  <c:v>496.060248</c:v>
                </c:pt>
                <c:pt idx="189">
                  <c:v>585.85907499999996</c:v>
                </c:pt>
                <c:pt idx="190">
                  <c:v>362.90487400000001</c:v>
                </c:pt>
                <c:pt idx="191">
                  <c:v>593.161654</c:v>
                </c:pt>
                <c:pt idx="192">
                  <c:v>764.63372000000004</c:v>
                </c:pt>
                <c:pt idx="193">
                  <c:v>710.13709300000005</c:v>
                </c:pt>
                <c:pt idx="194">
                  <c:v>710.64419199999998</c:v>
                </c:pt>
                <c:pt idx="195">
                  <c:v>463.81308200000001</c:v>
                </c:pt>
                <c:pt idx="196">
                  <c:v>119.59536799999999</c:v>
                </c:pt>
                <c:pt idx="197">
                  <c:v>149.260886</c:v>
                </c:pt>
                <c:pt idx="198">
                  <c:v>587.92736200000002</c:v>
                </c:pt>
                <c:pt idx="199">
                  <c:v>454.23813200000001</c:v>
                </c:pt>
                <c:pt idx="200">
                  <c:v>432.69479699999999</c:v>
                </c:pt>
                <c:pt idx="201">
                  <c:v>275.39986299999998</c:v>
                </c:pt>
                <c:pt idx="202">
                  <c:v>181.106886</c:v>
                </c:pt>
                <c:pt idx="203">
                  <c:v>226.697284</c:v>
                </c:pt>
                <c:pt idx="204">
                  <c:v>128.80532099999999</c:v>
                </c:pt>
                <c:pt idx="205">
                  <c:v>223.59807599999999</c:v>
                </c:pt>
                <c:pt idx="206">
                  <c:v>301.04174499999999</c:v>
                </c:pt>
                <c:pt idx="207">
                  <c:v>366.23654499999998</c:v>
                </c:pt>
                <c:pt idx="208">
                  <c:v>449.13165400000003</c:v>
                </c:pt>
                <c:pt idx="209">
                  <c:v>404.27838800000001</c:v>
                </c:pt>
                <c:pt idx="210">
                  <c:v>96.031682000000004</c:v>
                </c:pt>
                <c:pt idx="211">
                  <c:v>82.344883999999993</c:v>
                </c:pt>
                <c:pt idx="212">
                  <c:v>137.02103399999999</c:v>
                </c:pt>
                <c:pt idx="213">
                  <c:v>110.336162</c:v>
                </c:pt>
                <c:pt idx="214">
                  <c:v>70.141071999999994</c:v>
                </c:pt>
                <c:pt idx="215">
                  <c:v>56.547640000000001</c:v>
                </c:pt>
                <c:pt idx="216">
                  <c:v>153.23291399999999</c:v>
                </c:pt>
                <c:pt idx="217">
                  <c:v>296.30448799999999</c:v>
                </c:pt>
                <c:pt idx="218">
                  <c:v>411.79840999999999</c:v>
                </c:pt>
                <c:pt idx="219">
                  <c:v>517.61788999999999</c:v>
                </c:pt>
                <c:pt idx="220">
                  <c:v>363.18587200000002</c:v>
                </c:pt>
                <c:pt idx="221">
                  <c:v>152.70783</c:v>
                </c:pt>
                <c:pt idx="222">
                  <c:v>189.35509999999999</c:v>
                </c:pt>
                <c:pt idx="223">
                  <c:v>303.30298699999997</c:v>
                </c:pt>
                <c:pt idx="224">
                  <c:v>239.83104299999999</c:v>
                </c:pt>
                <c:pt idx="225">
                  <c:v>130.69617600000001</c:v>
                </c:pt>
                <c:pt idx="226">
                  <c:v>222.69509099999999</c:v>
                </c:pt>
                <c:pt idx="227">
                  <c:v>436.63481300000001</c:v>
                </c:pt>
                <c:pt idx="228">
                  <c:v>141.781533</c:v>
                </c:pt>
                <c:pt idx="229">
                  <c:v>181.087436</c:v>
                </c:pt>
                <c:pt idx="230">
                  <c:v>119.950163</c:v>
                </c:pt>
                <c:pt idx="231">
                  <c:v>391.06387100000001</c:v>
                </c:pt>
                <c:pt idx="232">
                  <c:v>217.481357</c:v>
                </c:pt>
                <c:pt idx="233">
                  <c:v>209.38812899999999</c:v>
                </c:pt>
                <c:pt idx="234">
                  <c:v>339.71641399999999</c:v>
                </c:pt>
                <c:pt idx="235">
                  <c:v>348.48148900000001</c:v>
                </c:pt>
                <c:pt idx="236">
                  <c:v>533.23746600000004</c:v>
                </c:pt>
                <c:pt idx="237">
                  <c:v>386.48318499999999</c:v>
                </c:pt>
                <c:pt idx="238">
                  <c:v>124.214862</c:v>
                </c:pt>
                <c:pt idx="239">
                  <c:v>44.000652000000002</c:v>
                </c:pt>
                <c:pt idx="240">
                  <c:v>125.702209</c:v>
                </c:pt>
                <c:pt idx="241">
                  <c:v>299.06686000000002</c:v>
                </c:pt>
                <c:pt idx="242">
                  <c:v>345.98158000000001</c:v>
                </c:pt>
                <c:pt idx="243">
                  <c:v>326.96745299999998</c:v>
                </c:pt>
                <c:pt idx="244">
                  <c:v>266.84450399999997</c:v>
                </c:pt>
                <c:pt idx="245">
                  <c:v>278.29783200000003</c:v>
                </c:pt>
                <c:pt idx="246">
                  <c:v>278.65366599999999</c:v>
                </c:pt>
                <c:pt idx="247">
                  <c:v>286.11055800000003</c:v>
                </c:pt>
                <c:pt idx="248">
                  <c:v>276.352374</c:v>
                </c:pt>
                <c:pt idx="249">
                  <c:v>185.41570899999999</c:v>
                </c:pt>
                <c:pt idx="250">
                  <c:v>97.736765000000005</c:v>
                </c:pt>
                <c:pt idx="251">
                  <c:v>105.651455</c:v>
                </c:pt>
                <c:pt idx="252">
                  <c:v>151.80584999999999</c:v>
                </c:pt>
                <c:pt idx="253">
                  <c:v>160.82845599999999</c:v>
                </c:pt>
                <c:pt idx="254">
                  <c:v>254.657995</c:v>
                </c:pt>
                <c:pt idx="255">
                  <c:v>177.90729099999999</c:v>
                </c:pt>
                <c:pt idx="256">
                  <c:v>59.938813000000003</c:v>
                </c:pt>
                <c:pt idx="257">
                  <c:v>157.164984</c:v>
                </c:pt>
                <c:pt idx="258">
                  <c:v>49.510506999999997</c:v>
                </c:pt>
                <c:pt idx="259">
                  <c:v>40.746049999999997</c:v>
                </c:pt>
                <c:pt idx="260">
                  <c:v>74.243260000000006</c:v>
                </c:pt>
                <c:pt idx="261">
                  <c:v>221.790119</c:v>
                </c:pt>
                <c:pt idx="262">
                  <c:v>114.63979399999999</c:v>
                </c:pt>
                <c:pt idx="263">
                  <c:v>189.73713699999999</c:v>
                </c:pt>
                <c:pt idx="264">
                  <c:v>180.55291</c:v>
                </c:pt>
                <c:pt idx="265">
                  <c:v>136.989923</c:v>
                </c:pt>
                <c:pt idx="266">
                  <c:v>128.86685199999999</c:v>
                </c:pt>
                <c:pt idx="267">
                  <c:v>162.45444900000001</c:v>
                </c:pt>
                <c:pt idx="268">
                  <c:v>193.641301</c:v>
                </c:pt>
                <c:pt idx="269">
                  <c:v>121.680077</c:v>
                </c:pt>
                <c:pt idx="270">
                  <c:v>178.75717700000001</c:v>
                </c:pt>
                <c:pt idx="271">
                  <c:v>134.75169500000001</c:v>
                </c:pt>
                <c:pt idx="272">
                  <c:v>140.124562</c:v>
                </c:pt>
                <c:pt idx="273">
                  <c:v>140.61521099999999</c:v>
                </c:pt>
                <c:pt idx="274">
                  <c:v>132.89707300000001</c:v>
                </c:pt>
                <c:pt idx="275">
                  <c:v>159.47210100000001</c:v>
                </c:pt>
                <c:pt idx="276">
                  <c:v>86.879278999999997</c:v>
                </c:pt>
                <c:pt idx="277">
                  <c:v>177.338067</c:v>
                </c:pt>
                <c:pt idx="278">
                  <c:v>192.479884</c:v>
                </c:pt>
                <c:pt idx="279">
                  <c:v>141.669239</c:v>
                </c:pt>
                <c:pt idx="280">
                  <c:v>185.274801</c:v>
                </c:pt>
                <c:pt idx="281">
                  <c:v>282.928245</c:v>
                </c:pt>
                <c:pt idx="282">
                  <c:v>164.667867</c:v>
                </c:pt>
                <c:pt idx="283">
                  <c:v>111.172087</c:v>
                </c:pt>
                <c:pt idx="284">
                  <c:v>227.73671400000001</c:v>
                </c:pt>
                <c:pt idx="285">
                  <c:v>200.64967799999999</c:v>
                </c:pt>
                <c:pt idx="286">
                  <c:v>138.75174899999999</c:v>
                </c:pt>
                <c:pt idx="287">
                  <c:v>170.20675800000001</c:v>
                </c:pt>
                <c:pt idx="288">
                  <c:v>114.34957</c:v>
                </c:pt>
                <c:pt idx="289">
                  <c:v>93.895977000000002</c:v>
                </c:pt>
                <c:pt idx="290">
                  <c:v>99.395954000000003</c:v>
                </c:pt>
                <c:pt idx="291">
                  <c:v>75.577042000000006</c:v>
                </c:pt>
                <c:pt idx="292">
                  <c:v>105.623268</c:v>
                </c:pt>
                <c:pt idx="293">
                  <c:v>243.03602799999999</c:v>
                </c:pt>
                <c:pt idx="294">
                  <c:v>177.688727</c:v>
                </c:pt>
                <c:pt idx="295">
                  <c:v>64.200671</c:v>
                </c:pt>
                <c:pt idx="296">
                  <c:v>144.66694799999999</c:v>
                </c:pt>
                <c:pt idx="297">
                  <c:v>240.79254800000001</c:v>
                </c:pt>
                <c:pt idx="298">
                  <c:v>126.56593599999999</c:v>
                </c:pt>
                <c:pt idx="299">
                  <c:v>32.793078999999999</c:v>
                </c:pt>
                <c:pt idx="300">
                  <c:v>52.837828999999999</c:v>
                </c:pt>
                <c:pt idx="301">
                  <c:v>101.00476500000001</c:v>
                </c:pt>
                <c:pt idx="302">
                  <c:v>60.883969999999998</c:v>
                </c:pt>
                <c:pt idx="303">
                  <c:v>81.010290999999995</c:v>
                </c:pt>
                <c:pt idx="304">
                  <c:v>33.46754</c:v>
                </c:pt>
                <c:pt idx="305">
                  <c:v>61.945602000000001</c:v>
                </c:pt>
                <c:pt idx="306">
                  <c:v>80.973201000000003</c:v>
                </c:pt>
                <c:pt idx="307">
                  <c:v>95.62621</c:v>
                </c:pt>
                <c:pt idx="308">
                  <c:v>133.886977</c:v>
                </c:pt>
                <c:pt idx="309">
                  <c:v>80.976327999999995</c:v>
                </c:pt>
                <c:pt idx="310">
                  <c:v>145.158796</c:v>
                </c:pt>
                <c:pt idx="311">
                  <c:v>173.15274099999999</c:v>
                </c:pt>
                <c:pt idx="312">
                  <c:v>57.957037</c:v>
                </c:pt>
                <c:pt idx="313">
                  <c:v>136.03068500000001</c:v>
                </c:pt>
                <c:pt idx="314">
                  <c:v>166.83677399999999</c:v>
                </c:pt>
                <c:pt idx="315">
                  <c:v>115.021218</c:v>
                </c:pt>
                <c:pt idx="316">
                  <c:v>145.60496699999999</c:v>
                </c:pt>
                <c:pt idx="317">
                  <c:v>133.13392400000001</c:v>
                </c:pt>
                <c:pt idx="318">
                  <c:v>149.659311</c:v>
                </c:pt>
                <c:pt idx="319">
                  <c:v>158.41185200000001</c:v>
                </c:pt>
                <c:pt idx="320">
                  <c:v>120.96503300000001</c:v>
                </c:pt>
                <c:pt idx="321">
                  <c:v>80.071871999999999</c:v>
                </c:pt>
                <c:pt idx="322">
                  <c:v>56.080215000000003</c:v>
                </c:pt>
                <c:pt idx="323">
                  <c:v>41.487786</c:v>
                </c:pt>
                <c:pt idx="324">
                  <c:v>54.253219999999999</c:v>
                </c:pt>
                <c:pt idx="325">
                  <c:v>127.143781</c:v>
                </c:pt>
                <c:pt idx="326">
                  <c:v>161.09522799999999</c:v>
                </c:pt>
                <c:pt idx="327">
                  <c:v>144.81831099999999</c:v>
                </c:pt>
                <c:pt idx="328">
                  <c:v>140.001048</c:v>
                </c:pt>
                <c:pt idx="329">
                  <c:v>71.018449000000004</c:v>
                </c:pt>
                <c:pt idx="330">
                  <c:v>70.013943999999995</c:v>
                </c:pt>
                <c:pt idx="331">
                  <c:v>74.974238999999997</c:v>
                </c:pt>
                <c:pt idx="332">
                  <c:v>87.555488999999994</c:v>
                </c:pt>
                <c:pt idx="333">
                  <c:v>44.565479000000003</c:v>
                </c:pt>
                <c:pt idx="334">
                  <c:v>52.960023</c:v>
                </c:pt>
                <c:pt idx="335">
                  <c:v>80.789416000000003</c:v>
                </c:pt>
                <c:pt idx="336">
                  <c:v>82.742132999999995</c:v>
                </c:pt>
                <c:pt idx="337">
                  <c:v>81.690326999999996</c:v>
                </c:pt>
                <c:pt idx="338">
                  <c:v>79.053122000000002</c:v>
                </c:pt>
                <c:pt idx="339">
                  <c:v>175.40385599999999</c:v>
                </c:pt>
                <c:pt idx="340">
                  <c:v>80.950612000000007</c:v>
                </c:pt>
                <c:pt idx="341">
                  <c:v>62.779707999999999</c:v>
                </c:pt>
                <c:pt idx="342">
                  <c:v>54.302132</c:v>
                </c:pt>
                <c:pt idx="343">
                  <c:v>54.524898999999998</c:v>
                </c:pt>
                <c:pt idx="344">
                  <c:v>47.057076000000002</c:v>
                </c:pt>
                <c:pt idx="345">
                  <c:v>35.671076999999997</c:v>
                </c:pt>
                <c:pt idx="346">
                  <c:v>29.449342000000001</c:v>
                </c:pt>
                <c:pt idx="347">
                  <c:v>35.122591999999997</c:v>
                </c:pt>
                <c:pt idx="348">
                  <c:v>26.997509000000001</c:v>
                </c:pt>
                <c:pt idx="349">
                  <c:v>27.047944000000001</c:v>
                </c:pt>
                <c:pt idx="350">
                  <c:v>27.060936999999999</c:v>
                </c:pt>
                <c:pt idx="351">
                  <c:v>27.011167</c:v>
                </c:pt>
                <c:pt idx="352">
                  <c:v>54.948109000000002</c:v>
                </c:pt>
                <c:pt idx="353">
                  <c:v>67.009946999999997</c:v>
                </c:pt>
                <c:pt idx="354">
                  <c:v>103.951927</c:v>
                </c:pt>
                <c:pt idx="355">
                  <c:v>75.930744000000004</c:v>
                </c:pt>
                <c:pt idx="356">
                  <c:v>77.975590999999994</c:v>
                </c:pt>
                <c:pt idx="357">
                  <c:v>74.571265999999994</c:v>
                </c:pt>
                <c:pt idx="358">
                  <c:v>92.954524000000006</c:v>
                </c:pt>
                <c:pt idx="359">
                  <c:v>152.841587</c:v>
                </c:pt>
                <c:pt idx="360">
                  <c:v>189.14666299999999</c:v>
                </c:pt>
                <c:pt idx="361">
                  <c:v>84.473226999999994</c:v>
                </c:pt>
                <c:pt idx="362">
                  <c:v>42.531604999999999</c:v>
                </c:pt>
                <c:pt idx="363">
                  <c:v>44.005206000000001</c:v>
                </c:pt>
                <c:pt idx="364">
                  <c:v>61.369244000000002</c:v>
                </c:pt>
                <c:pt idx="365">
                  <c:v>147.76131899999999</c:v>
                </c:pt>
                <c:pt idx="366">
                  <c:v>73.137941999999995</c:v>
                </c:pt>
                <c:pt idx="367">
                  <c:v>83.591375999999997</c:v>
                </c:pt>
                <c:pt idx="368">
                  <c:v>29.526382000000002</c:v>
                </c:pt>
                <c:pt idx="369">
                  <c:v>34.688254999999998</c:v>
                </c:pt>
                <c:pt idx="370">
                  <c:v>30.178422999999999</c:v>
                </c:pt>
                <c:pt idx="371">
                  <c:v>69.392474000000007</c:v>
                </c:pt>
                <c:pt idx="372">
                  <c:v>119.791038</c:v>
                </c:pt>
                <c:pt idx="373">
                  <c:v>74.933918000000006</c:v>
                </c:pt>
                <c:pt idx="374">
                  <c:v>94.496779000000004</c:v>
                </c:pt>
                <c:pt idx="375">
                  <c:v>234.931264</c:v>
                </c:pt>
                <c:pt idx="376">
                  <c:v>140.81464</c:v>
                </c:pt>
                <c:pt idx="377">
                  <c:v>209.90982299999999</c:v>
                </c:pt>
                <c:pt idx="378">
                  <c:v>115.59274499999999</c:v>
                </c:pt>
                <c:pt idx="379">
                  <c:v>31.062025999999999</c:v>
                </c:pt>
                <c:pt idx="380">
                  <c:v>191.836536</c:v>
                </c:pt>
                <c:pt idx="381">
                  <c:v>221.69627299999999</c:v>
                </c:pt>
                <c:pt idx="382">
                  <c:v>106.31022</c:v>
                </c:pt>
                <c:pt idx="383">
                  <c:v>27.524718</c:v>
                </c:pt>
                <c:pt idx="384">
                  <c:v>45.945329000000001</c:v>
                </c:pt>
                <c:pt idx="385">
                  <c:v>36.306573999999998</c:v>
                </c:pt>
                <c:pt idx="386">
                  <c:v>55.410072999999997</c:v>
                </c:pt>
                <c:pt idx="387">
                  <c:v>85.472415999999996</c:v>
                </c:pt>
                <c:pt idx="388">
                  <c:v>85.692894999999993</c:v>
                </c:pt>
                <c:pt idx="389">
                  <c:v>71.850290999999999</c:v>
                </c:pt>
                <c:pt idx="390">
                  <c:v>60.152985000000001</c:v>
                </c:pt>
                <c:pt idx="391">
                  <c:v>87.506953999999993</c:v>
                </c:pt>
                <c:pt idx="392">
                  <c:v>156.76270400000001</c:v>
                </c:pt>
                <c:pt idx="393">
                  <c:v>205.33973399999999</c:v>
                </c:pt>
                <c:pt idx="394">
                  <c:v>133.64153999999999</c:v>
                </c:pt>
                <c:pt idx="395">
                  <c:v>68.006996999999998</c:v>
                </c:pt>
                <c:pt idx="396">
                  <c:v>49.386304000000003</c:v>
                </c:pt>
                <c:pt idx="397">
                  <c:v>128.14802499999999</c:v>
                </c:pt>
                <c:pt idx="398">
                  <c:v>30.834320999999999</c:v>
                </c:pt>
                <c:pt idx="399">
                  <c:v>52.080775000000003</c:v>
                </c:pt>
                <c:pt idx="400">
                  <c:v>53.600389999999997</c:v>
                </c:pt>
                <c:pt idx="401">
                  <c:v>52.427340000000001</c:v>
                </c:pt>
                <c:pt idx="402">
                  <c:v>54.83558</c:v>
                </c:pt>
                <c:pt idx="403">
                  <c:v>59.182636000000002</c:v>
                </c:pt>
                <c:pt idx="404">
                  <c:v>181.264229</c:v>
                </c:pt>
                <c:pt idx="405">
                  <c:v>109.47362200000001</c:v>
                </c:pt>
                <c:pt idx="406">
                  <c:v>35.962335000000003</c:v>
                </c:pt>
                <c:pt idx="407">
                  <c:v>39.540748999999998</c:v>
                </c:pt>
                <c:pt idx="408">
                  <c:v>45.113163999999998</c:v>
                </c:pt>
                <c:pt idx="409">
                  <c:v>66.669430000000006</c:v>
                </c:pt>
                <c:pt idx="410">
                  <c:v>223.82814300000001</c:v>
                </c:pt>
                <c:pt idx="411">
                  <c:v>323.51514800000001</c:v>
                </c:pt>
                <c:pt idx="412">
                  <c:v>141.16202799999999</c:v>
                </c:pt>
                <c:pt idx="413">
                  <c:v>75.862931000000003</c:v>
                </c:pt>
                <c:pt idx="414">
                  <c:v>58.762746</c:v>
                </c:pt>
                <c:pt idx="415">
                  <c:v>91.212808999999993</c:v>
                </c:pt>
                <c:pt idx="416">
                  <c:v>46.867455999999997</c:v>
                </c:pt>
                <c:pt idx="417">
                  <c:v>162.661812</c:v>
                </c:pt>
                <c:pt idx="418">
                  <c:v>231.38868099999999</c:v>
                </c:pt>
                <c:pt idx="419">
                  <c:v>117.406897</c:v>
                </c:pt>
                <c:pt idx="420">
                  <c:v>95.979725999999999</c:v>
                </c:pt>
                <c:pt idx="421">
                  <c:v>49.507412000000002</c:v>
                </c:pt>
                <c:pt idx="422">
                  <c:v>72.137197999999998</c:v>
                </c:pt>
                <c:pt idx="423">
                  <c:v>74.021984000000003</c:v>
                </c:pt>
                <c:pt idx="424">
                  <c:v>55.512723999999999</c:v>
                </c:pt>
                <c:pt idx="425">
                  <c:v>70.472842</c:v>
                </c:pt>
                <c:pt idx="426">
                  <c:v>79.468048999999993</c:v>
                </c:pt>
                <c:pt idx="427">
                  <c:v>163.019023</c:v>
                </c:pt>
                <c:pt idx="428">
                  <c:v>108.014279</c:v>
                </c:pt>
                <c:pt idx="429">
                  <c:v>144.960397</c:v>
                </c:pt>
                <c:pt idx="430">
                  <c:v>94.406744000000003</c:v>
                </c:pt>
                <c:pt idx="431">
                  <c:v>110.98148999999999</c:v>
                </c:pt>
                <c:pt idx="432">
                  <c:v>132.31520399999999</c:v>
                </c:pt>
                <c:pt idx="433">
                  <c:v>147.02967100000001</c:v>
                </c:pt>
                <c:pt idx="434">
                  <c:v>146.50633199999999</c:v>
                </c:pt>
                <c:pt idx="435">
                  <c:v>104.264495</c:v>
                </c:pt>
                <c:pt idx="436">
                  <c:v>130.19091800000001</c:v>
                </c:pt>
                <c:pt idx="437">
                  <c:v>199.34773999999999</c:v>
                </c:pt>
                <c:pt idx="438">
                  <c:v>203.684889</c:v>
                </c:pt>
                <c:pt idx="439">
                  <c:v>193.06407100000001</c:v>
                </c:pt>
                <c:pt idx="440">
                  <c:v>268.97953100000001</c:v>
                </c:pt>
                <c:pt idx="441">
                  <c:v>171.860975</c:v>
                </c:pt>
                <c:pt idx="442">
                  <c:v>137.89309900000001</c:v>
                </c:pt>
                <c:pt idx="443">
                  <c:v>89.002208999999993</c:v>
                </c:pt>
                <c:pt idx="444">
                  <c:v>201.94493</c:v>
                </c:pt>
                <c:pt idx="445">
                  <c:v>196.452383</c:v>
                </c:pt>
                <c:pt idx="446">
                  <c:v>194.93850800000001</c:v>
                </c:pt>
                <c:pt idx="447">
                  <c:v>138.068567</c:v>
                </c:pt>
                <c:pt idx="448">
                  <c:v>106.378895</c:v>
                </c:pt>
                <c:pt idx="449">
                  <c:v>168.20747700000001</c:v>
                </c:pt>
                <c:pt idx="450">
                  <c:v>398.435382</c:v>
                </c:pt>
                <c:pt idx="451">
                  <c:v>366.55790999999999</c:v>
                </c:pt>
                <c:pt idx="452">
                  <c:v>191.87886900000001</c:v>
                </c:pt>
                <c:pt idx="453">
                  <c:v>279.56096500000001</c:v>
                </c:pt>
                <c:pt idx="454">
                  <c:v>215.02865299999999</c:v>
                </c:pt>
                <c:pt idx="455">
                  <c:v>151.43880999999999</c:v>
                </c:pt>
                <c:pt idx="456">
                  <c:v>109.445138</c:v>
                </c:pt>
                <c:pt idx="457">
                  <c:v>243.71981700000001</c:v>
                </c:pt>
                <c:pt idx="458">
                  <c:v>228.13507100000001</c:v>
                </c:pt>
                <c:pt idx="459">
                  <c:v>205.827977</c:v>
                </c:pt>
                <c:pt idx="460">
                  <c:v>149.109465</c:v>
                </c:pt>
                <c:pt idx="461">
                  <c:v>59.803469999999997</c:v>
                </c:pt>
                <c:pt idx="462">
                  <c:v>67.305660000000003</c:v>
                </c:pt>
                <c:pt idx="463">
                  <c:v>71.766544999999994</c:v>
                </c:pt>
                <c:pt idx="464">
                  <c:v>152.55874</c:v>
                </c:pt>
                <c:pt idx="465">
                  <c:v>159.53755699999999</c:v>
                </c:pt>
                <c:pt idx="466">
                  <c:v>198.76850200000001</c:v>
                </c:pt>
                <c:pt idx="467">
                  <c:v>230.77608900000001</c:v>
                </c:pt>
                <c:pt idx="468">
                  <c:v>117.749931</c:v>
                </c:pt>
                <c:pt idx="469">
                  <c:v>128.84397999999999</c:v>
                </c:pt>
                <c:pt idx="470">
                  <c:v>164.76201499999999</c:v>
                </c:pt>
                <c:pt idx="471">
                  <c:v>294.53857399999998</c:v>
                </c:pt>
                <c:pt idx="472">
                  <c:v>225.18349499999999</c:v>
                </c:pt>
                <c:pt idx="473">
                  <c:v>258.12566399999997</c:v>
                </c:pt>
                <c:pt idx="474">
                  <c:v>284.38638300000002</c:v>
                </c:pt>
                <c:pt idx="475">
                  <c:v>261.79763600000001</c:v>
                </c:pt>
                <c:pt idx="476">
                  <c:v>121.609212</c:v>
                </c:pt>
                <c:pt idx="477">
                  <c:v>93.555942000000002</c:v>
                </c:pt>
                <c:pt idx="478">
                  <c:v>123.134863</c:v>
                </c:pt>
                <c:pt idx="479">
                  <c:v>90.437596999999997</c:v>
                </c:pt>
                <c:pt idx="480">
                  <c:v>73.682348000000005</c:v>
                </c:pt>
                <c:pt idx="481">
                  <c:v>134.15185700000001</c:v>
                </c:pt>
                <c:pt idx="482">
                  <c:v>181.40310500000001</c:v>
                </c:pt>
                <c:pt idx="483">
                  <c:v>247.24034700000001</c:v>
                </c:pt>
                <c:pt idx="484">
                  <c:v>330.28650399999998</c:v>
                </c:pt>
                <c:pt idx="485">
                  <c:v>304.738474</c:v>
                </c:pt>
                <c:pt idx="486">
                  <c:v>149.098423</c:v>
                </c:pt>
                <c:pt idx="487">
                  <c:v>164.121477</c:v>
                </c:pt>
                <c:pt idx="488">
                  <c:v>375.57802199999998</c:v>
                </c:pt>
                <c:pt idx="489">
                  <c:v>231.00301300000001</c:v>
                </c:pt>
                <c:pt idx="490">
                  <c:v>205.90510599999999</c:v>
                </c:pt>
                <c:pt idx="491">
                  <c:v>196.06245200000001</c:v>
                </c:pt>
                <c:pt idx="492">
                  <c:v>324.23749199999997</c:v>
                </c:pt>
                <c:pt idx="493">
                  <c:v>387.91364299999998</c:v>
                </c:pt>
                <c:pt idx="494">
                  <c:v>375.51840700000002</c:v>
                </c:pt>
                <c:pt idx="495">
                  <c:v>297.13452899999999</c:v>
                </c:pt>
                <c:pt idx="496">
                  <c:v>302.00743299999999</c:v>
                </c:pt>
                <c:pt idx="497">
                  <c:v>105.73586899999999</c:v>
                </c:pt>
                <c:pt idx="498">
                  <c:v>154.00725</c:v>
                </c:pt>
                <c:pt idx="499">
                  <c:v>217.69805500000001</c:v>
                </c:pt>
                <c:pt idx="500">
                  <c:v>311.81655899999998</c:v>
                </c:pt>
                <c:pt idx="501">
                  <c:v>312.94990100000001</c:v>
                </c:pt>
                <c:pt idx="502">
                  <c:v>340.46016600000002</c:v>
                </c:pt>
                <c:pt idx="503">
                  <c:v>320.06270899999998</c:v>
                </c:pt>
                <c:pt idx="504">
                  <c:v>99.276858000000004</c:v>
                </c:pt>
                <c:pt idx="505">
                  <c:v>159.048056</c:v>
                </c:pt>
                <c:pt idx="506">
                  <c:v>308.09941500000002</c:v>
                </c:pt>
                <c:pt idx="507">
                  <c:v>346.10331200000002</c:v>
                </c:pt>
                <c:pt idx="508">
                  <c:v>123.02560699999999</c:v>
                </c:pt>
                <c:pt idx="509">
                  <c:v>170.659291</c:v>
                </c:pt>
                <c:pt idx="510">
                  <c:v>267.83587599999998</c:v>
                </c:pt>
                <c:pt idx="511">
                  <c:v>129.14658499999999</c:v>
                </c:pt>
                <c:pt idx="512">
                  <c:v>82.219328000000004</c:v>
                </c:pt>
                <c:pt idx="513">
                  <c:v>209.43291099999999</c:v>
                </c:pt>
                <c:pt idx="514">
                  <c:v>256.95281999999997</c:v>
                </c:pt>
                <c:pt idx="515">
                  <c:v>95.982083000000003</c:v>
                </c:pt>
                <c:pt idx="516">
                  <c:v>281.07859100000002</c:v>
                </c:pt>
                <c:pt idx="517">
                  <c:v>202.95587399999999</c:v>
                </c:pt>
                <c:pt idx="518">
                  <c:v>69.226585999999998</c:v>
                </c:pt>
                <c:pt idx="519">
                  <c:v>30.573775000000001</c:v>
                </c:pt>
                <c:pt idx="520">
                  <c:v>87.905615999999995</c:v>
                </c:pt>
                <c:pt idx="521">
                  <c:v>111.54258299999999</c:v>
                </c:pt>
                <c:pt idx="522">
                  <c:v>75.306978999999998</c:v>
                </c:pt>
                <c:pt idx="523">
                  <c:v>46.99071</c:v>
                </c:pt>
                <c:pt idx="524">
                  <c:v>139.781352</c:v>
                </c:pt>
                <c:pt idx="525">
                  <c:v>146.94007999999999</c:v>
                </c:pt>
                <c:pt idx="526">
                  <c:v>145.06000399999999</c:v>
                </c:pt>
                <c:pt idx="527">
                  <c:v>67.876811000000004</c:v>
                </c:pt>
                <c:pt idx="528">
                  <c:v>96.112911999999994</c:v>
                </c:pt>
                <c:pt idx="529">
                  <c:v>136.968647</c:v>
                </c:pt>
                <c:pt idx="530">
                  <c:v>108.861475</c:v>
                </c:pt>
                <c:pt idx="531">
                  <c:v>40.908911000000003</c:v>
                </c:pt>
                <c:pt idx="532">
                  <c:v>44.874212999999997</c:v>
                </c:pt>
                <c:pt idx="533">
                  <c:v>50.127960000000002</c:v>
                </c:pt>
                <c:pt idx="534">
                  <c:v>247.62132500000001</c:v>
                </c:pt>
                <c:pt idx="535">
                  <c:v>472.512047</c:v>
                </c:pt>
                <c:pt idx="536">
                  <c:v>332.81418100000002</c:v>
                </c:pt>
                <c:pt idx="537">
                  <c:v>248.13903099999999</c:v>
                </c:pt>
                <c:pt idx="538">
                  <c:v>172.95688699999999</c:v>
                </c:pt>
                <c:pt idx="539">
                  <c:v>29.200196999999999</c:v>
                </c:pt>
                <c:pt idx="540">
                  <c:v>28.714348999999999</c:v>
                </c:pt>
                <c:pt idx="541">
                  <c:v>225.57589899999999</c:v>
                </c:pt>
                <c:pt idx="542">
                  <c:v>299.41341999999997</c:v>
                </c:pt>
                <c:pt idx="543">
                  <c:v>372.53842900000001</c:v>
                </c:pt>
                <c:pt idx="544">
                  <c:v>239.45813000000001</c:v>
                </c:pt>
                <c:pt idx="545">
                  <c:v>152.42517799999999</c:v>
                </c:pt>
                <c:pt idx="546">
                  <c:v>214.63872699999999</c:v>
                </c:pt>
                <c:pt idx="547">
                  <c:v>242.70828800000001</c:v>
                </c:pt>
                <c:pt idx="548">
                  <c:v>426.86655200000001</c:v>
                </c:pt>
                <c:pt idx="549">
                  <c:v>330.17511200000001</c:v>
                </c:pt>
                <c:pt idx="550">
                  <c:v>69.848415000000003</c:v>
                </c:pt>
                <c:pt idx="551">
                  <c:v>41.470708000000002</c:v>
                </c:pt>
                <c:pt idx="552">
                  <c:v>28.869693000000002</c:v>
                </c:pt>
                <c:pt idx="553">
                  <c:v>28.799063</c:v>
                </c:pt>
                <c:pt idx="554">
                  <c:v>66.858880999999997</c:v>
                </c:pt>
                <c:pt idx="555">
                  <c:v>117.799691</c:v>
                </c:pt>
                <c:pt idx="556">
                  <c:v>218.357326</c:v>
                </c:pt>
                <c:pt idx="557">
                  <c:v>154.90505400000001</c:v>
                </c:pt>
                <c:pt idx="558">
                  <c:v>77.872291000000004</c:v>
                </c:pt>
                <c:pt idx="559">
                  <c:v>35.120334999999997</c:v>
                </c:pt>
                <c:pt idx="560">
                  <c:v>81.914618000000004</c:v>
                </c:pt>
                <c:pt idx="561">
                  <c:v>179.727585</c:v>
                </c:pt>
                <c:pt idx="562">
                  <c:v>218.44136599999999</c:v>
                </c:pt>
                <c:pt idx="563">
                  <c:v>193.32317499999999</c:v>
                </c:pt>
                <c:pt idx="564">
                  <c:v>202.75502900000001</c:v>
                </c:pt>
                <c:pt idx="565">
                  <c:v>151.695042</c:v>
                </c:pt>
                <c:pt idx="566">
                  <c:v>336.49252799999999</c:v>
                </c:pt>
                <c:pt idx="567">
                  <c:v>123.713207</c:v>
                </c:pt>
                <c:pt idx="568">
                  <c:v>141.39232100000001</c:v>
                </c:pt>
                <c:pt idx="569">
                  <c:v>275.68349999999998</c:v>
                </c:pt>
                <c:pt idx="570">
                  <c:v>278.63035200000002</c:v>
                </c:pt>
                <c:pt idx="571">
                  <c:v>245.341151</c:v>
                </c:pt>
                <c:pt idx="572">
                  <c:v>77.807689999999994</c:v>
                </c:pt>
                <c:pt idx="573">
                  <c:v>163.08865499999999</c:v>
                </c:pt>
                <c:pt idx="574">
                  <c:v>67.314314999999993</c:v>
                </c:pt>
                <c:pt idx="575">
                  <c:v>50.224218999999998</c:v>
                </c:pt>
                <c:pt idx="576">
                  <c:v>115.494249</c:v>
                </c:pt>
                <c:pt idx="577">
                  <c:v>311.84872000000001</c:v>
                </c:pt>
                <c:pt idx="578">
                  <c:v>142.55361600000001</c:v>
                </c:pt>
                <c:pt idx="579">
                  <c:v>57.651049999999998</c:v>
                </c:pt>
                <c:pt idx="580">
                  <c:v>104.92185499999999</c:v>
                </c:pt>
                <c:pt idx="581">
                  <c:v>158.89879500000001</c:v>
                </c:pt>
                <c:pt idx="582">
                  <c:v>162.42243999999999</c:v>
                </c:pt>
                <c:pt idx="583">
                  <c:v>198.18743699999999</c:v>
                </c:pt>
                <c:pt idx="584">
                  <c:v>183.210466</c:v>
                </c:pt>
                <c:pt idx="585">
                  <c:v>51.991754</c:v>
                </c:pt>
                <c:pt idx="586">
                  <c:v>192.29158699999999</c:v>
                </c:pt>
                <c:pt idx="587">
                  <c:v>222.641572</c:v>
                </c:pt>
                <c:pt idx="588">
                  <c:v>195.94874999999999</c:v>
                </c:pt>
                <c:pt idx="589">
                  <c:v>240.721688</c:v>
                </c:pt>
                <c:pt idx="590">
                  <c:v>346.70352000000003</c:v>
                </c:pt>
                <c:pt idx="591">
                  <c:v>329.43083999999999</c:v>
                </c:pt>
                <c:pt idx="592">
                  <c:v>270.064278</c:v>
                </c:pt>
                <c:pt idx="593">
                  <c:v>200.720111</c:v>
                </c:pt>
                <c:pt idx="594">
                  <c:v>111.582104</c:v>
                </c:pt>
                <c:pt idx="595">
                  <c:v>102.15216700000001</c:v>
                </c:pt>
                <c:pt idx="596">
                  <c:v>152.99613500000001</c:v>
                </c:pt>
                <c:pt idx="597">
                  <c:v>161.45705599999999</c:v>
                </c:pt>
                <c:pt idx="598">
                  <c:v>242.57339099999999</c:v>
                </c:pt>
                <c:pt idx="599">
                  <c:v>280.374347</c:v>
                </c:pt>
                <c:pt idx="600">
                  <c:v>206.75174100000001</c:v>
                </c:pt>
                <c:pt idx="601">
                  <c:v>238.67294799999999</c:v>
                </c:pt>
                <c:pt idx="602">
                  <c:v>144.841981</c:v>
                </c:pt>
                <c:pt idx="603">
                  <c:v>198.29645300000001</c:v>
                </c:pt>
                <c:pt idx="604">
                  <c:v>249.97754399999999</c:v>
                </c:pt>
                <c:pt idx="605">
                  <c:v>52.877867999999999</c:v>
                </c:pt>
                <c:pt idx="606">
                  <c:v>167.99261300000001</c:v>
                </c:pt>
                <c:pt idx="607">
                  <c:v>151.665785</c:v>
                </c:pt>
                <c:pt idx="608">
                  <c:v>233.06614400000001</c:v>
                </c:pt>
                <c:pt idx="609">
                  <c:v>117.276</c:v>
                </c:pt>
                <c:pt idx="610">
                  <c:v>26.403452000000001</c:v>
                </c:pt>
                <c:pt idx="611">
                  <c:v>114.50269</c:v>
                </c:pt>
                <c:pt idx="612">
                  <c:v>124.763598</c:v>
                </c:pt>
                <c:pt idx="613">
                  <c:v>50.691885999999997</c:v>
                </c:pt>
                <c:pt idx="614">
                  <c:v>49.239995999999998</c:v>
                </c:pt>
                <c:pt idx="615">
                  <c:v>80.281496000000004</c:v>
                </c:pt>
                <c:pt idx="616">
                  <c:v>117.752663</c:v>
                </c:pt>
                <c:pt idx="617">
                  <c:v>129.10324199999999</c:v>
                </c:pt>
                <c:pt idx="618">
                  <c:v>175.1388</c:v>
                </c:pt>
                <c:pt idx="619">
                  <c:v>115.963607</c:v>
                </c:pt>
                <c:pt idx="620">
                  <c:v>103.378398</c:v>
                </c:pt>
                <c:pt idx="621">
                  <c:v>37.825839000000002</c:v>
                </c:pt>
                <c:pt idx="622">
                  <c:v>86.748103999999998</c:v>
                </c:pt>
                <c:pt idx="623">
                  <c:v>60.679085999999998</c:v>
                </c:pt>
                <c:pt idx="624">
                  <c:v>62.932018999999997</c:v>
                </c:pt>
                <c:pt idx="625">
                  <c:v>138.197149</c:v>
                </c:pt>
                <c:pt idx="626">
                  <c:v>60.052253</c:v>
                </c:pt>
                <c:pt idx="627">
                  <c:v>33.307353999999997</c:v>
                </c:pt>
                <c:pt idx="628">
                  <c:v>151.735006</c:v>
                </c:pt>
                <c:pt idx="629">
                  <c:v>90.836730000000003</c:v>
                </c:pt>
                <c:pt idx="630">
                  <c:v>65.368474000000006</c:v>
                </c:pt>
                <c:pt idx="631">
                  <c:v>84.797264999999996</c:v>
                </c:pt>
                <c:pt idx="632">
                  <c:v>141.818612</c:v>
                </c:pt>
                <c:pt idx="633">
                  <c:v>187.54827800000001</c:v>
                </c:pt>
                <c:pt idx="634">
                  <c:v>115.280778</c:v>
                </c:pt>
                <c:pt idx="635">
                  <c:v>129.852925</c:v>
                </c:pt>
                <c:pt idx="636">
                  <c:v>101.833744</c:v>
                </c:pt>
                <c:pt idx="637">
                  <c:v>36.383901000000002</c:v>
                </c:pt>
                <c:pt idx="638">
                  <c:v>58.929841000000003</c:v>
                </c:pt>
                <c:pt idx="639">
                  <c:v>41.062188999999996</c:v>
                </c:pt>
                <c:pt idx="640">
                  <c:v>143.436599</c:v>
                </c:pt>
                <c:pt idx="641">
                  <c:v>58.624729000000002</c:v>
                </c:pt>
                <c:pt idx="642">
                  <c:v>72.308674999999994</c:v>
                </c:pt>
                <c:pt idx="643">
                  <c:v>55.252180000000003</c:v>
                </c:pt>
                <c:pt idx="644">
                  <c:v>42.631435000000003</c:v>
                </c:pt>
                <c:pt idx="645">
                  <c:v>55.300144000000003</c:v>
                </c:pt>
                <c:pt idx="646">
                  <c:v>78.685925999999995</c:v>
                </c:pt>
                <c:pt idx="647">
                  <c:v>113.95708500000001</c:v>
                </c:pt>
                <c:pt idx="648">
                  <c:v>29.964276000000002</c:v>
                </c:pt>
                <c:pt idx="649">
                  <c:v>32.871758999999997</c:v>
                </c:pt>
                <c:pt idx="650">
                  <c:v>43.126323999999997</c:v>
                </c:pt>
                <c:pt idx="651">
                  <c:v>40.118721999999998</c:v>
                </c:pt>
                <c:pt idx="652">
                  <c:v>30.312833000000001</c:v>
                </c:pt>
                <c:pt idx="653">
                  <c:v>40.906348999999999</c:v>
                </c:pt>
                <c:pt idx="654">
                  <c:v>52.556254000000003</c:v>
                </c:pt>
                <c:pt idx="655">
                  <c:v>94.328924999999998</c:v>
                </c:pt>
                <c:pt idx="656">
                  <c:v>110.095056</c:v>
                </c:pt>
                <c:pt idx="657">
                  <c:v>30.001550999999999</c:v>
                </c:pt>
                <c:pt idx="658">
                  <c:v>26.351804000000001</c:v>
                </c:pt>
                <c:pt idx="659">
                  <c:v>54.227359999999997</c:v>
                </c:pt>
                <c:pt idx="660">
                  <c:v>48.877763000000002</c:v>
                </c:pt>
                <c:pt idx="661">
                  <c:v>28.333659999999998</c:v>
                </c:pt>
                <c:pt idx="662">
                  <c:v>34.580815000000001</c:v>
                </c:pt>
                <c:pt idx="663">
                  <c:v>82.742420999999993</c:v>
                </c:pt>
                <c:pt idx="664">
                  <c:v>82.157420999999999</c:v>
                </c:pt>
                <c:pt idx="665">
                  <c:v>58.232644999999998</c:v>
                </c:pt>
                <c:pt idx="666">
                  <c:v>80.731347999999997</c:v>
                </c:pt>
                <c:pt idx="667">
                  <c:v>70.550749999999994</c:v>
                </c:pt>
                <c:pt idx="668">
                  <c:v>74.138493999999994</c:v>
                </c:pt>
                <c:pt idx="669">
                  <c:v>84.012495999999999</c:v>
                </c:pt>
                <c:pt idx="670">
                  <c:v>92.070739000000003</c:v>
                </c:pt>
                <c:pt idx="671">
                  <c:v>30.535478999999999</c:v>
                </c:pt>
                <c:pt idx="672">
                  <c:v>27.784555999999998</c:v>
                </c:pt>
                <c:pt idx="673">
                  <c:v>40.938274</c:v>
                </c:pt>
                <c:pt idx="674">
                  <c:v>82.228109000000003</c:v>
                </c:pt>
                <c:pt idx="675">
                  <c:v>105.37121</c:v>
                </c:pt>
                <c:pt idx="676">
                  <c:v>161.029537</c:v>
                </c:pt>
                <c:pt idx="677">
                  <c:v>214.08558600000001</c:v>
                </c:pt>
                <c:pt idx="678">
                  <c:v>155.097069</c:v>
                </c:pt>
                <c:pt idx="679">
                  <c:v>116.532539</c:v>
                </c:pt>
                <c:pt idx="680">
                  <c:v>107.700053</c:v>
                </c:pt>
                <c:pt idx="681">
                  <c:v>206.04594399999999</c:v>
                </c:pt>
                <c:pt idx="682">
                  <c:v>345.43744500000003</c:v>
                </c:pt>
                <c:pt idx="683">
                  <c:v>243.69776999999999</c:v>
                </c:pt>
                <c:pt idx="684">
                  <c:v>213.88049799999999</c:v>
                </c:pt>
                <c:pt idx="685">
                  <c:v>129.667945</c:v>
                </c:pt>
                <c:pt idx="686">
                  <c:v>134.63734199999999</c:v>
                </c:pt>
                <c:pt idx="687">
                  <c:v>125.927299</c:v>
                </c:pt>
                <c:pt idx="688">
                  <c:v>205.24118100000001</c:v>
                </c:pt>
                <c:pt idx="689">
                  <c:v>145.90650500000001</c:v>
                </c:pt>
                <c:pt idx="690">
                  <c:v>83.030034999999998</c:v>
                </c:pt>
                <c:pt idx="691">
                  <c:v>63.307040000000001</c:v>
                </c:pt>
                <c:pt idx="692">
                  <c:v>113.65982099999999</c:v>
                </c:pt>
                <c:pt idx="693">
                  <c:v>60.997005000000001</c:v>
                </c:pt>
                <c:pt idx="694">
                  <c:v>30.137241</c:v>
                </c:pt>
                <c:pt idx="695">
                  <c:v>41.339291000000003</c:v>
                </c:pt>
                <c:pt idx="696">
                  <c:v>41.576974999999997</c:v>
                </c:pt>
                <c:pt idx="697">
                  <c:v>37.633135000000003</c:v>
                </c:pt>
                <c:pt idx="698">
                  <c:v>43.435709000000003</c:v>
                </c:pt>
                <c:pt idx="699">
                  <c:v>39.798569999999998</c:v>
                </c:pt>
                <c:pt idx="700">
                  <c:v>57.632714</c:v>
                </c:pt>
                <c:pt idx="701">
                  <c:v>57.709527999999999</c:v>
                </c:pt>
                <c:pt idx="702">
                  <c:v>102.61503999999999</c:v>
                </c:pt>
                <c:pt idx="703">
                  <c:v>79.121925000000005</c:v>
                </c:pt>
                <c:pt idx="704">
                  <c:v>111.226088</c:v>
                </c:pt>
                <c:pt idx="705">
                  <c:v>133.84891500000001</c:v>
                </c:pt>
                <c:pt idx="706">
                  <c:v>239.42853199999999</c:v>
                </c:pt>
                <c:pt idx="707">
                  <c:v>89.646760999999998</c:v>
                </c:pt>
                <c:pt idx="708">
                  <c:v>27.401494</c:v>
                </c:pt>
                <c:pt idx="709">
                  <c:v>172.02200999999999</c:v>
                </c:pt>
                <c:pt idx="710">
                  <c:v>223.434473</c:v>
                </c:pt>
                <c:pt idx="711">
                  <c:v>219.05525800000001</c:v>
                </c:pt>
                <c:pt idx="712">
                  <c:v>284.43948899999998</c:v>
                </c:pt>
                <c:pt idx="713">
                  <c:v>119.946355</c:v>
                </c:pt>
                <c:pt idx="714">
                  <c:v>86.216156999999995</c:v>
                </c:pt>
                <c:pt idx="715">
                  <c:v>99.413122000000001</c:v>
                </c:pt>
                <c:pt idx="716">
                  <c:v>207.886482</c:v>
                </c:pt>
                <c:pt idx="717">
                  <c:v>80.732943000000006</c:v>
                </c:pt>
                <c:pt idx="718">
                  <c:v>41.024827999999999</c:v>
                </c:pt>
                <c:pt idx="719">
                  <c:v>46.058639999999997</c:v>
                </c:pt>
                <c:pt idx="720">
                  <c:v>53.512148000000003</c:v>
                </c:pt>
                <c:pt idx="721">
                  <c:v>39.258805000000002</c:v>
                </c:pt>
                <c:pt idx="722">
                  <c:v>26.947115</c:v>
                </c:pt>
                <c:pt idx="723">
                  <c:v>26.55829</c:v>
                </c:pt>
                <c:pt idx="724">
                  <c:v>51.507159999999999</c:v>
                </c:pt>
                <c:pt idx="725">
                  <c:v>95.228747999999996</c:v>
                </c:pt>
                <c:pt idx="726">
                  <c:v>68.847759999999994</c:v>
                </c:pt>
                <c:pt idx="727">
                  <c:v>30.979355999999999</c:v>
                </c:pt>
                <c:pt idx="728">
                  <c:v>26.966552</c:v>
                </c:pt>
                <c:pt idx="729">
                  <c:v>34.021194000000001</c:v>
                </c:pt>
              </c:numCache>
            </c:numRef>
          </c:val>
          <c:extLst>
            <c:ext xmlns:c16="http://schemas.microsoft.com/office/drawing/2014/chart" uri="{C3380CC4-5D6E-409C-BE32-E72D297353CC}">
              <c16:uniqueId val="{00000000-85C8-4F9D-AA4F-BF7408A101F3}"/>
            </c:ext>
          </c:extLst>
        </c:ser>
        <c:ser>
          <c:idx val="7"/>
          <c:order val="1"/>
          <c:tx>
            <c:strRef>
              <c:f>'3.2 Update'!$C$22</c:f>
              <c:strCache>
                <c:ptCount val="1"/>
                <c:pt idx="0">
                  <c:v>Gas demand (excl. GPG)</c:v>
                </c:pt>
              </c:strCache>
            </c:strRef>
          </c:tx>
          <c:spPr>
            <a:solidFill>
              <a:srgbClr val="56B4DF"/>
            </a:solidFill>
            <a:ln>
              <a:noFill/>
            </a:ln>
            <a:effectLst/>
          </c:spPr>
          <c:cat>
            <c:numRef>
              <c:f>'3.2 Update'!$B$24:$B$753</c:f>
              <c:numCache>
                <c:formatCode>m/d/yyyy</c:formatCode>
                <c:ptCount val="730"/>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pt idx="365">
                  <c:v>44927</c:v>
                </c:pt>
                <c:pt idx="366">
                  <c:v>44928</c:v>
                </c:pt>
                <c:pt idx="367">
                  <c:v>44929</c:v>
                </c:pt>
                <c:pt idx="368">
                  <c:v>44930</c:v>
                </c:pt>
                <c:pt idx="369">
                  <c:v>44931</c:v>
                </c:pt>
                <c:pt idx="370">
                  <c:v>44932</c:v>
                </c:pt>
                <c:pt idx="371">
                  <c:v>44933</c:v>
                </c:pt>
                <c:pt idx="372">
                  <c:v>44934</c:v>
                </c:pt>
                <c:pt idx="373">
                  <c:v>44935</c:v>
                </c:pt>
                <c:pt idx="374">
                  <c:v>44936</c:v>
                </c:pt>
                <c:pt idx="375">
                  <c:v>44937</c:v>
                </c:pt>
                <c:pt idx="376">
                  <c:v>44938</c:v>
                </c:pt>
                <c:pt idx="377">
                  <c:v>44939</c:v>
                </c:pt>
                <c:pt idx="378">
                  <c:v>44940</c:v>
                </c:pt>
                <c:pt idx="379">
                  <c:v>44941</c:v>
                </c:pt>
                <c:pt idx="380">
                  <c:v>44942</c:v>
                </c:pt>
                <c:pt idx="381">
                  <c:v>44943</c:v>
                </c:pt>
                <c:pt idx="382">
                  <c:v>44944</c:v>
                </c:pt>
                <c:pt idx="383">
                  <c:v>44945</c:v>
                </c:pt>
                <c:pt idx="384">
                  <c:v>44946</c:v>
                </c:pt>
                <c:pt idx="385">
                  <c:v>44947</c:v>
                </c:pt>
                <c:pt idx="386">
                  <c:v>44948</c:v>
                </c:pt>
                <c:pt idx="387">
                  <c:v>44949</c:v>
                </c:pt>
                <c:pt idx="388">
                  <c:v>44950</c:v>
                </c:pt>
                <c:pt idx="389">
                  <c:v>44951</c:v>
                </c:pt>
                <c:pt idx="390">
                  <c:v>44952</c:v>
                </c:pt>
                <c:pt idx="391">
                  <c:v>44953</c:v>
                </c:pt>
                <c:pt idx="392">
                  <c:v>44954</c:v>
                </c:pt>
                <c:pt idx="393">
                  <c:v>44955</c:v>
                </c:pt>
                <c:pt idx="394">
                  <c:v>44956</c:v>
                </c:pt>
                <c:pt idx="395">
                  <c:v>44957</c:v>
                </c:pt>
                <c:pt idx="396">
                  <c:v>44958</c:v>
                </c:pt>
                <c:pt idx="397">
                  <c:v>44959</c:v>
                </c:pt>
                <c:pt idx="398">
                  <c:v>44960</c:v>
                </c:pt>
                <c:pt idx="399">
                  <c:v>44961</c:v>
                </c:pt>
                <c:pt idx="400">
                  <c:v>44962</c:v>
                </c:pt>
                <c:pt idx="401">
                  <c:v>44963</c:v>
                </c:pt>
                <c:pt idx="402">
                  <c:v>44964</c:v>
                </c:pt>
                <c:pt idx="403">
                  <c:v>44965</c:v>
                </c:pt>
                <c:pt idx="404">
                  <c:v>44966</c:v>
                </c:pt>
                <c:pt idx="405">
                  <c:v>44967</c:v>
                </c:pt>
                <c:pt idx="406">
                  <c:v>44968</c:v>
                </c:pt>
                <c:pt idx="407">
                  <c:v>44969</c:v>
                </c:pt>
                <c:pt idx="408">
                  <c:v>44970</c:v>
                </c:pt>
                <c:pt idx="409">
                  <c:v>44971</c:v>
                </c:pt>
                <c:pt idx="410">
                  <c:v>44972</c:v>
                </c:pt>
                <c:pt idx="411">
                  <c:v>44973</c:v>
                </c:pt>
                <c:pt idx="412">
                  <c:v>44974</c:v>
                </c:pt>
                <c:pt idx="413">
                  <c:v>44975</c:v>
                </c:pt>
                <c:pt idx="414">
                  <c:v>44976</c:v>
                </c:pt>
                <c:pt idx="415">
                  <c:v>44977</c:v>
                </c:pt>
                <c:pt idx="416">
                  <c:v>44978</c:v>
                </c:pt>
                <c:pt idx="417">
                  <c:v>44979</c:v>
                </c:pt>
                <c:pt idx="418">
                  <c:v>44980</c:v>
                </c:pt>
                <c:pt idx="419">
                  <c:v>44981</c:v>
                </c:pt>
                <c:pt idx="420">
                  <c:v>44982</c:v>
                </c:pt>
                <c:pt idx="421">
                  <c:v>44983</c:v>
                </c:pt>
                <c:pt idx="422">
                  <c:v>44984</c:v>
                </c:pt>
                <c:pt idx="423">
                  <c:v>44985</c:v>
                </c:pt>
                <c:pt idx="424">
                  <c:v>44986</c:v>
                </c:pt>
                <c:pt idx="425">
                  <c:v>44987</c:v>
                </c:pt>
                <c:pt idx="426">
                  <c:v>44988</c:v>
                </c:pt>
                <c:pt idx="427">
                  <c:v>44989</c:v>
                </c:pt>
                <c:pt idx="428">
                  <c:v>44990</c:v>
                </c:pt>
                <c:pt idx="429">
                  <c:v>44991</c:v>
                </c:pt>
                <c:pt idx="430">
                  <c:v>44992</c:v>
                </c:pt>
                <c:pt idx="431">
                  <c:v>44993</c:v>
                </c:pt>
                <c:pt idx="432">
                  <c:v>44994</c:v>
                </c:pt>
                <c:pt idx="433">
                  <c:v>44995</c:v>
                </c:pt>
                <c:pt idx="434">
                  <c:v>44996</c:v>
                </c:pt>
                <c:pt idx="435">
                  <c:v>44997</c:v>
                </c:pt>
                <c:pt idx="436">
                  <c:v>44998</c:v>
                </c:pt>
                <c:pt idx="437">
                  <c:v>44999</c:v>
                </c:pt>
                <c:pt idx="438">
                  <c:v>45000</c:v>
                </c:pt>
                <c:pt idx="439">
                  <c:v>45001</c:v>
                </c:pt>
                <c:pt idx="440">
                  <c:v>45002</c:v>
                </c:pt>
                <c:pt idx="441">
                  <c:v>45003</c:v>
                </c:pt>
                <c:pt idx="442">
                  <c:v>45004</c:v>
                </c:pt>
                <c:pt idx="443">
                  <c:v>45005</c:v>
                </c:pt>
                <c:pt idx="444">
                  <c:v>45006</c:v>
                </c:pt>
                <c:pt idx="445">
                  <c:v>45007</c:v>
                </c:pt>
                <c:pt idx="446">
                  <c:v>45008</c:v>
                </c:pt>
                <c:pt idx="447">
                  <c:v>45009</c:v>
                </c:pt>
                <c:pt idx="448">
                  <c:v>45010</c:v>
                </c:pt>
                <c:pt idx="449">
                  <c:v>45011</c:v>
                </c:pt>
                <c:pt idx="450">
                  <c:v>45012</c:v>
                </c:pt>
                <c:pt idx="451">
                  <c:v>45013</c:v>
                </c:pt>
                <c:pt idx="452">
                  <c:v>45014</c:v>
                </c:pt>
                <c:pt idx="453">
                  <c:v>45015</c:v>
                </c:pt>
                <c:pt idx="454">
                  <c:v>45016</c:v>
                </c:pt>
                <c:pt idx="455">
                  <c:v>45017</c:v>
                </c:pt>
                <c:pt idx="456">
                  <c:v>45018</c:v>
                </c:pt>
                <c:pt idx="457">
                  <c:v>45019</c:v>
                </c:pt>
                <c:pt idx="458">
                  <c:v>45020</c:v>
                </c:pt>
                <c:pt idx="459">
                  <c:v>45021</c:v>
                </c:pt>
                <c:pt idx="460">
                  <c:v>45022</c:v>
                </c:pt>
                <c:pt idx="461">
                  <c:v>45023</c:v>
                </c:pt>
                <c:pt idx="462">
                  <c:v>45024</c:v>
                </c:pt>
                <c:pt idx="463">
                  <c:v>45025</c:v>
                </c:pt>
                <c:pt idx="464">
                  <c:v>45026</c:v>
                </c:pt>
                <c:pt idx="465">
                  <c:v>45027</c:v>
                </c:pt>
                <c:pt idx="466">
                  <c:v>45028</c:v>
                </c:pt>
                <c:pt idx="467">
                  <c:v>45029</c:v>
                </c:pt>
                <c:pt idx="468">
                  <c:v>45030</c:v>
                </c:pt>
                <c:pt idx="469">
                  <c:v>45031</c:v>
                </c:pt>
                <c:pt idx="470">
                  <c:v>45032</c:v>
                </c:pt>
                <c:pt idx="471">
                  <c:v>45033</c:v>
                </c:pt>
                <c:pt idx="472">
                  <c:v>45034</c:v>
                </c:pt>
                <c:pt idx="473">
                  <c:v>45035</c:v>
                </c:pt>
                <c:pt idx="474">
                  <c:v>45036</c:v>
                </c:pt>
                <c:pt idx="475">
                  <c:v>45037</c:v>
                </c:pt>
                <c:pt idx="476">
                  <c:v>45038</c:v>
                </c:pt>
                <c:pt idx="477">
                  <c:v>45039</c:v>
                </c:pt>
                <c:pt idx="478">
                  <c:v>45040</c:v>
                </c:pt>
                <c:pt idx="479">
                  <c:v>45041</c:v>
                </c:pt>
                <c:pt idx="480">
                  <c:v>45042</c:v>
                </c:pt>
                <c:pt idx="481">
                  <c:v>45043</c:v>
                </c:pt>
                <c:pt idx="482">
                  <c:v>45044</c:v>
                </c:pt>
                <c:pt idx="483">
                  <c:v>45045</c:v>
                </c:pt>
                <c:pt idx="484">
                  <c:v>45046</c:v>
                </c:pt>
                <c:pt idx="485">
                  <c:v>45047</c:v>
                </c:pt>
                <c:pt idx="486">
                  <c:v>45048</c:v>
                </c:pt>
                <c:pt idx="487">
                  <c:v>45049</c:v>
                </c:pt>
                <c:pt idx="488">
                  <c:v>45050</c:v>
                </c:pt>
                <c:pt idx="489">
                  <c:v>45051</c:v>
                </c:pt>
                <c:pt idx="490">
                  <c:v>45052</c:v>
                </c:pt>
                <c:pt idx="491">
                  <c:v>45053</c:v>
                </c:pt>
                <c:pt idx="492">
                  <c:v>45054</c:v>
                </c:pt>
                <c:pt idx="493">
                  <c:v>45055</c:v>
                </c:pt>
                <c:pt idx="494">
                  <c:v>45056</c:v>
                </c:pt>
                <c:pt idx="495">
                  <c:v>45057</c:v>
                </c:pt>
                <c:pt idx="496">
                  <c:v>45058</c:v>
                </c:pt>
                <c:pt idx="497">
                  <c:v>45059</c:v>
                </c:pt>
                <c:pt idx="498">
                  <c:v>45060</c:v>
                </c:pt>
                <c:pt idx="499">
                  <c:v>45061</c:v>
                </c:pt>
                <c:pt idx="500">
                  <c:v>45062</c:v>
                </c:pt>
                <c:pt idx="501">
                  <c:v>45063</c:v>
                </c:pt>
                <c:pt idx="502">
                  <c:v>45064</c:v>
                </c:pt>
                <c:pt idx="503">
                  <c:v>45065</c:v>
                </c:pt>
                <c:pt idx="504">
                  <c:v>45066</c:v>
                </c:pt>
                <c:pt idx="505">
                  <c:v>45067</c:v>
                </c:pt>
                <c:pt idx="506">
                  <c:v>45068</c:v>
                </c:pt>
                <c:pt idx="507">
                  <c:v>45069</c:v>
                </c:pt>
                <c:pt idx="508">
                  <c:v>45070</c:v>
                </c:pt>
                <c:pt idx="509">
                  <c:v>45071</c:v>
                </c:pt>
                <c:pt idx="510">
                  <c:v>45072</c:v>
                </c:pt>
                <c:pt idx="511">
                  <c:v>45073</c:v>
                </c:pt>
                <c:pt idx="512">
                  <c:v>45074</c:v>
                </c:pt>
                <c:pt idx="513">
                  <c:v>45075</c:v>
                </c:pt>
                <c:pt idx="514">
                  <c:v>45076</c:v>
                </c:pt>
                <c:pt idx="515">
                  <c:v>45077</c:v>
                </c:pt>
                <c:pt idx="516">
                  <c:v>45078</c:v>
                </c:pt>
                <c:pt idx="517">
                  <c:v>45079</c:v>
                </c:pt>
                <c:pt idx="518">
                  <c:v>45080</c:v>
                </c:pt>
                <c:pt idx="519">
                  <c:v>45081</c:v>
                </c:pt>
                <c:pt idx="520">
                  <c:v>45082</c:v>
                </c:pt>
                <c:pt idx="521">
                  <c:v>45083</c:v>
                </c:pt>
                <c:pt idx="522">
                  <c:v>45084</c:v>
                </c:pt>
                <c:pt idx="523">
                  <c:v>45085</c:v>
                </c:pt>
                <c:pt idx="524">
                  <c:v>45086</c:v>
                </c:pt>
                <c:pt idx="525">
                  <c:v>45087</c:v>
                </c:pt>
                <c:pt idx="526">
                  <c:v>45088</c:v>
                </c:pt>
                <c:pt idx="527">
                  <c:v>45089</c:v>
                </c:pt>
                <c:pt idx="528">
                  <c:v>45090</c:v>
                </c:pt>
                <c:pt idx="529">
                  <c:v>45091</c:v>
                </c:pt>
                <c:pt idx="530">
                  <c:v>45092</c:v>
                </c:pt>
                <c:pt idx="531">
                  <c:v>45093</c:v>
                </c:pt>
                <c:pt idx="532">
                  <c:v>45094</c:v>
                </c:pt>
                <c:pt idx="533">
                  <c:v>45095</c:v>
                </c:pt>
                <c:pt idx="534">
                  <c:v>45096</c:v>
                </c:pt>
                <c:pt idx="535">
                  <c:v>45097</c:v>
                </c:pt>
                <c:pt idx="536">
                  <c:v>45098</c:v>
                </c:pt>
                <c:pt idx="537">
                  <c:v>45099</c:v>
                </c:pt>
                <c:pt idx="538">
                  <c:v>45100</c:v>
                </c:pt>
                <c:pt idx="539">
                  <c:v>45101</c:v>
                </c:pt>
                <c:pt idx="540">
                  <c:v>45102</c:v>
                </c:pt>
                <c:pt idx="541">
                  <c:v>45103</c:v>
                </c:pt>
                <c:pt idx="542">
                  <c:v>45104</c:v>
                </c:pt>
                <c:pt idx="543">
                  <c:v>45105</c:v>
                </c:pt>
                <c:pt idx="544">
                  <c:v>45106</c:v>
                </c:pt>
                <c:pt idx="545">
                  <c:v>45107</c:v>
                </c:pt>
                <c:pt idx="546">
                  <c:v>45108</c:v>
                </c:pt>
                <c:pt idx="547">
                  <c:v>45109</c:v>
                </c:pt>
                <c:pt idx="548">
                  <c:v>45110</c:v>
                </c:pt>
                <c:pt idx="549">
                  <c:v>45111</c:v>
                </c:pt>
                <c:pt idx="550">
                  <c:v>45112</c:v>
                </c:pt>
                <c:pt idx="551">
                  <c:v>45113</c:v>
                </c:pt>
                <c:pt idx="552">
                  <c:v>45114</c:v>
                </c:pt>
                <c:pt idx="553">
                  <c:v>45115</c:v>
                </c:pt>
                <c:pt idx="554">
                  <c:v>45116</c:v>
                </c:pt>
                <c:pt idx="555">
                  <c:v>45117</c:v>
                </c:pt>
                <c:pt idx="556">
                  <c:v>45118</c:v>
                </c:pt>
                <c:pt idx="557">
                  <c:v>45119</c:v>
                </c:pt>
                <c:pt idx="558">
                  <c:v>45120</c:v>
                </c:pt>
                <c:pt idx="559">
                  <c:v>45121</c:v>
                </c:pt>
                <c:pt idx="560">
                  <c:v>45122</c:v>
                </c:pt>
                <c:pt idx="561">
                  <c:v>45123</c:v>
                </c:pt>
                <c:pt idx="562">
                  <c:v>45124</c:v>
                </c:pt>
                <c:pt idx="563">
                  <c:v>45125</c:v>
                </c:pt>
                <c:pt idx="564">
                  <c:v>45126</c:v>
                </c:pt>
                <c:pt idx="565">
                  <c:v>45127</c:v>
                </c:pt>
                <c:pt idx="566">
                  <c:v>45128</c:v>
                </c:pt>
                <c:pt idx="567">
                  <c:v>45129</c:v>
                </c:pt>
                <c:pt idx="568">
                  <c:v>45130</c:v>
                </c:pt>
                <c:pt idx="569">
                  <c:v>45131</c:v>
                </c:pt>
                <c:pt idx="570">
                  <c:v>45132</c:v>
                </c:pt>
                <c:pt idx="571">
                  <c:v>45133</c:v>
                </c:pt>
                <c:pt idx="572">
                  <c:v>45134</c:v>
                </c:pt>
                <c:pt idx="573">
                  <c:v>45135</c:v>
                </c:pt>
                <c:pt idx="574">
                  <c:v>45136</c:v>
                </c:pt>
                <c:pt idx="575">
                  <c:v>45137</c:v>
                </c:pt>
                <c:pt idx="576">
                  <c:v>45138</c:v>
                </c:pt>
                <c:pt idx="577">
                  <c:v>45139</c:v>
                </c:pt>
                <c:pt idx="578">
                  <c:v>45140</c:v>
                </c:pt>
                <c:pt idx="579">
                  <c:v>45141</c:v>
                </c:pt>
                <c:pt idx="580">
                  <c:v>45142</c:v>
                </c:pt>
                <c:pt idx="581">
                  <c:v>45143</c:v>
                </c:pt>
                <c:pt idx="582">
                  <c:v>45144</c:v>
                </c:pt>
                <c:pt idx="583">
                  <c:v>45145</c:v>
                </c:pt>
                <c:pt idx="584">
                  <c:v>45146</c:v>
                </c:pt>
                <c:pt idx="585">
                  <c:v>45147</c:v>
                </c:pt>
                <c:pt idx="586">
                  <c:v>45148</c:v>
                </c:pt>
                <c:pt idx="587">
                  <c:v>45149</c:v>
                </c:pt>
                <c:pt idx="588">
                  <c:v>45150</c:v>
                </c:pt>
                <c:pt idx="589">
                  <c:v>45151</c:v>
                </c:pt>
                <c:pt idx="590">
                  <c:v>45152</c:v>
                </c:pt>
                <c:pt idx="591">
                  <c:v>45153</c:v>
                </c:pt>
                <c:pt idx="592">
                  <c:v>45154</c:v>
                </c:pt>
                <c:pt idx="593">
                  <c:v>45155</c:v>
                </c:pt>
                <c:pt idx="594">
                  <c:v>45156</c:v>
                </c:pt>
                <c:pt idx="595">
                  <c:v>45157</c:v>
                </c:pt>
                <c:pt idx="596">
                  <c:v>45158</c:v>
                </c:pt>
                <c:pt idx="597">
                  <c:v>45159</c:v>
                </c:pt>
                <c:pt idx="598">
                  <c:v>45160</c:v>
                </c:pt>
                <c:pt idx="599">
                  <c:v>45161</c:v>
                </c:pt>
                <c:pt idx="600">
                  <c:v>45162</c:v>
                </c:pt>
                <c:pt idx="601">
                  <c:v>45163</c:v>
                </c:pt>
                <c:pt idx="602">
                  <c:v>45164</c:v>
                </c:pt>
                <c:pt idx="603">
                  <c:v>45165</c:v>
                </c:pt>
                <c:pt idx="604">
                  <c:v>45166</c:v>
                </c:pt>
                <c:pt idx="605">
                  <c:v>45167</c:v>
                </c:pt>
                <c:pt idx="606">
                  <c:v>45168</c:v>
                </c:pt>
                <c:pt idx="607">
                  <c:v>45169</c:v>
                </c:pt>
                <c:pt idx="608">
                  <c:v>45170</c:v>
                </c:pt>
                <c:pt idx="609">
                  <c:v>45171</c:v>
                </c:pt>
                <c:pt idx="610">
                  <c:v>45172</c:v>
                </c:pt>
                <c:pt idx="611">
                  <c:v>45173</c:v>
                </c:pt>
                <c:pt idx="612">
                  <c:v>45174</c:v>
                </c:pt>
                <c:pt idx="613">
                  <c:v>45175</c:v>
                </c:pt>
                <c:pt idx="614">
                  <c:v>45176</c:v>
                </c:pt>
                <c:pt idx="615">
                  <c:v>45177</c:v>
                </c:pt>
                <c:pt idx="616">
                  <c:v>45178</c:v>
                </c:pt>
                <c:pt idx="617">
                  <c:v>45179</c:v>
                </c:pt>
                <c:pt idx="618">
                  <c:v>45180</c:v>
                </c:pt>
                <c:pt idx="619">
                  <c:v>45181</c:v>
                </c:pt>
                <c:pt idx="620">
                  <c:v>45182</c:v>
                </c:pt>
                <c:pt idx="621">
                  <c:v>45183</c:v>
                </c:pt>
                <c:pt idx="622">
                  <c:v>45184</c:v>
                </c:pt>
                <c:pt idx="623">
                  <c:v>45185</c:v>
                </c:pt>
                <c:pt idx="624">
                  <c:v>45186</c:v>
                </c:pt>
                <c:pt idx="625">
                  <c:v>45187</c:v>
                </c:pt>
                <c:pt idx="626">
                  <c:v>45188</c:v>
                </c:pt>
                <c:pt idx="627">
                  <c:v>45189</c:v>
                </c:pt>
                <c:pt idx="628">
                  <c:v>45190</c:v>
                </c:pt>
                <c:pt idx="629">
                  <c:v>45191</c:v>
                </c:pt>
                <c:pt idx="630">
                  <c:v>45192</c:v>
                </c:pt>
                <c:pt idx="631">
                  <c:v>45193</c:v>
                </c:pt>
                <c:pt idx="632">
                  <c:v>45194</c:v>
                </c:pt>
                <c:pt idx="633">
                  <c:v>45195</c:v>
                </c:pt>
                <c:pt idx="634">
                  <c:v>45196</c:v>
                </c:pt>
                <c:pt idx="635">
                  <c:v>45197</c:v>
                </c:pt>
                <c:pt idx="636">
                  <c:v>45198</c:v>
                </c:pt>
                <c:pt idx="637">
                  <c:v>45199</c:v>
                </c:pt>
                <c:pt idx="638">
                  <c:v>45200</c:v>
                </c:pt>
                <c:pt idx="639">
                  <c:v>45201</c:v>
                </c:pt>
                <c:pt idx="640">
                  <c:v>45202</c:v>
                </c:pt>
                <c:pt idx="641">
                  <c:v>45203</c:v>
                </c:pt>
                <c:pt idx="642">
                  <c:v>45204</c:v>
                </c:pt>
                <c:pt idx="643">
                  <c:v>45205</c:v>
                </c:pt>
                <c:pt idx="644">
                  <c:v>45206</c:v>
                </c:pt>
                <c:pt idx="645">
                  <c:v>45207</c:v>
                </c:pt>
                <c:pt idx="646">
                  <c:v>45208</c:v>
                </c:pt>
                <c:pt idx="647">
                  <c:v>45209</c:v>
                </c:pt>
                <c:pt idx="648">
                  <c:v>45210</c:v>
                </c:pt>
                <c:pt idx="649">
                  <c:v>45211</c:v>
                </c:pt>
                <c:pt idx="650">
                  <c:v>45212</c:v>
                </c:pt>
                <c:pt idx="651">
                  <c:v>45213</c:v>
                </c:pt>
                <c:pt idx="652">
                  <c:v>45214</c:v>
                </c:pt>
                <c:pt idx="653">
                  <c:v>45215</c:v>
                </c:pt>
                <c:pt idx="654">
                  <c:v>45216</c:v>
                </c:pt>
                <c:pt idx="655">
                  <c:v>45217</c:v>
                </c:pt>
                <c:pt idx="656">
                  <c:v>45218</c:v>
                </c:pt>
                <c:pt idx="657">
                  <c:v>45219</c:v>
                </c:pt>
                <c:pt idx="658">
                  <c:v>45220</c:v>
                </c:pt>
                <c:pt idx="659">
                  <c:v>45221</c:v>
                </c:pt>
                <c:pt idx="660">
                  <c:v>45222</c:v>
                </c:pt>
                <c:pt idx="661">
                  <c:v>45223</c:v>
                </c:pt>
                <c:pt idx="662">
                  <c:v>45224</c:v>
                </c:pt>
                <c:pt idx="663">
                  <c:v>45225</c:v>
                </c:pt>
                <c:pt idx="664">
                  <c:v>45226</c:v>
                </c:pt>
                <c:pt idx="665">
                  <c:v>45227</c:v>
                </c:pt>
                <c:pt idx="666">
                  <c:v>45228</c:v>
                </c:pt>
                <c:pt idx="667">
                  <c:v>45229</c:v>
                </c:pt>
                <c:pt idx="668">
                  <c:v>45230</c:v>
                </c:pt>
                <c:pt idx="669">
                  <c:v>45231</c:v>
                </c:pt>
                <c:pt idx="670">
                  <c:v>45232</c:v>
                </c:pt>
                <c:pt idx="671">
                  <c:v>45233</c:v>
                </c:pt>
                <c:pt idx="672">
                  <c:v>45234</c:v>
                </c:pt>
                <c:pt idx="673">
                  <c:v>45235</c:v>
                </c:pt>
                <c:pt idx="674">
                  <c:v>45236</c:v>
                </c:pt>
                <c:pt idx="675">
                  <c:v>45237</c:v>
                </c:pt>
                <c:pt idx="676">
                  <c:v>45238</c:v>
                </c:pt>
                <c:pt idx="677">
                  <c:v>45239</c:v>
                </c:pt>
                <c:pt idx="678">
                  <c:v>45240</c:v>
                </c:pt>
                <c:pt idx="679">
                  <c:v>45241</c:v>
                </c:pt>
                <c:pt idx="680">
                  <c:v>45242</c:v>
                </c:pt>
                <c:pt idx="681">
                  <c:v>45243</c:v>
                </c:pt>
                <c:pt idx="682">
                  <c:v>45244</c:v>
                </c:pt>
                <c:pt idx="683">
                  <c:v>45245</c:v>
                </c:pt>
                <c:pt idx="684">
                  <c:v>45246</c:v>
                </c:pt>
                <c:pt idx="685">
                  <c:v>45247</c:v>
                </c:pt>
                <c:pt idx="686">
                  <c:v>45248</c:v>
                </c:pt>
                <c:pt idx="687">
                  <c:v>45249</c:v>
                </c:pt>
                <c:pt idx="688">
                  <c:v>45250</c:v>
                </c:pt>
                <c:pt idx="689">
                  <c:v>45251</c:v>
                </c:pt>
                <c:pt idx="690">
                  <c:v>45252</c:v>
                </c:pt>
                <c:pt idx="691">
                  <c:v>45253</c:v>
                </c:pt>
                <c:pt idx="692">
                  <c:v>45254</c:v>
                </c:pt>
                <c:pt idx="693">
                  <c:v>45255</c:v>
                </c:pt>
                <c:pt idx="694">
                  <c:v>45256</c:v>
                </c:pt>
                <c:pt idx="695">
                  <c:v>45257</c:v>
                </c:pt>
                <c:pt idx="696">
                  <c:v>45258</c:v>
                </c:pt>
                <c:pt idx="697">
                  <c:v>45259</c:v>
                </c:pt>
                <c:pt idx="698">
                  <c:v>45260</c:v>
                </c:pt>
                <c:pt idx="699">
                  <c:v>45261</c:v>
                </c:pt>
                <c:pt idx="700">
                  <c:v>45262</c:v>
                </c:pt>
                <c:pt idx="701">
                  <c:v>45263</c:v>
                </c:pt>
                <c:pt idx="702">
                  <c:v>45264</c:v>
                </c:pt>
                <c:pt idx="703">
                  <c:v>45265</c:v>
                </c:pt>
                <c:pt idx="704">
                  <c:v>45266</c:v>
                </c:pt>
                <c:pt idx="705">
                  <c:v>45267</c:v>
                </c:pt>
                <c:pt idx="706">
                  <c:v>45268</c:v>
                </c:pt>
                <c:pt idx="707">
                  <c:v>45269</c:v>
                </c:pt>
                <c:pt idx="708">
                  <c:v>45270</c:v>
                </c:pt>
                <c:pt idx="709">
                  <c:v>45271</c:v>
                </c:pt>
                <c:pt idx="710">
                  <c:v>45272</c:v>
                </c:pt>
                <c:pt idx="711">
                  <c:v>45273</c:v>
                </c:pt>
                <c:pt idx="712">
                  <c:v>45274</c:v>
                </c:pt>
                <c:pt idx="713">
                  <c:v>45275</c:v>
                </c:pt>
                <c:pt idx="714">
                  <c:v>45276</c:v>
                </c:pt>
                <c:pt idx="715">
                  <c:v>45277</c:v>
                </c:pt>
                <c:pt idx="716">
                  <c:v>45278</c:v>
                </c:pt>
                <c:pt idx="717">
                  <c:v>45279</c:v>
                </c:pt>
                <c:pt idx="718">
                  <c:v>45280</c:v>
                </c:pt>
                <c:pt idx="719">
                  <c:v>45281</c:v>
                </c:pt>
                <c:pt idx="720">
                  <c:v>45282</c:v>
                </c:pt>
                <c:pt idx="721">
                  <c:v>45283</c:v>
                </c:pt>
                <c:pt idx="722">
                  <c:v>45284</c:v>
                </c:pt>
                <c:pt idx="723">
                  <c:v>45285</c:v>
                </c:pt>
                <c:pt idx="724">
                  <c:v>45286</c:v>
                </c:pt>
                <c:pt idx="725">
                  <c:v>45287</c:v>
                </c:pt>
                <c:pt idx="726">
                  <c:v>45288</c:v>
                </c:pt>
                <c:pt idx="727">
                  <c:v>45289</c:v>
                </c:pt>
                <c:pt idx="728">
                  <c:v>45290</c:v>
                </c:pt>
                <c:pt idx="729">
                  <c:v>45291</c:v>
                </c:pt>
              </c:numCache>
            </c:numRef>
          </c:cat>
          <c:val>
            <c:numRef>
              <c:f>'3.2 Update'!$C$24:$C$753</c:f>
              <c:numCache>
                <c:formatCode>#,##0</c:formatCode>
                <c:ptCount val="730"/>
                <c:pt idx="0">
                  <c:v>419.86385999999999</c:v>
                </c:pt>
                <c:pt idx="1">
                  <c:v>439.76856199999997</c:v>
                </c:pt>
                <c:pt idx="2">
                  <c:v>482.824838</c:v>
                </c:pt>
                <c:pt idx="3">
                  <c:v>540.977395</c:v>
                </c:pt>
                <c:pt idx="4">
                  <c:v>561.88624900000002</c:v>
                </c:pt>
                <c:pt idx="5">
                  <c:v>556.05907400000001</c:v>
                </c:pt>
                <c:pt idx="6">
                  <c:v>550.44133699999998</c:v>
                </c:pt>
                <c:pt idx="7">
                  <c:v>514.82455200000004</c:v>
                </c:pt>
                <c:pt idx="8">
                  <c:v>514.25597100000005</c:v>
                </c:pt>
                <c:pt idx="9">
                  <c:v>559.62451099999998</c:v>
                </c:pt>
                <c:pt idx="10">
                  <c:v>571.57986600000004</c:v>
                </c:pt>
                <c:pt idx="11">
                  <c:v>575.54384900000002</c:v>
                </c:pt>
                <c:pt idx="12">
                  <c:v>575.02684699999998</c:v>
                </c:pt>
                <c:pt idx="13">
                  <c:v>549.99751300000003</c:v>
                </c:pt>
                <c:pt idx="14">
                  <c:v>504.89752600000003</c:v>
                </c:pt>
                <c:pt idx="15">
                  <c:v>510.93317500000001</c:v>
                </c:pt>
                <c:pt idx="16">
                  <c:v>594.87971700000003</c:v>
                </c:pt>
                <c:pt idx="17">
                  <c:v>627.30214100000001</c:v>
                </c:pt>
                <c:pt idx="18">
                  <c:v>625.36464699999999</c:v>
                </c:pt>
                <c:pt idx="19">
                  <c:v>626.33374700000002</c:v>
                </c:pt>
                <c:pt idx="20">
                  <c:v>594.57565</c:v>
                </c:pt>
                <c:pt idx="21">
                  <c:v>517.819703</c:v>
                </c:pt>
                <c:pt idx="22">
                  <c:v>522.24406099999999</c:v>
                </c:pt>
                <c:pt idx="23">
                  <c:v>593.18297299999995</c:v>
                </c:pt>
                <c:pt idx="24">
                  <c:v>582.87524900000005</c:v>
                </c:pt>
                <c:pt idx="25">
                  <c:v>516.09683099999995</c:v>
                </c:pt>
                <c:pt idx="26">
                  <c:v>589.70474200000001</c:v>
                </c:pt>
                <c:pt idx="27">
                  <c:v>573.59980599999994</c:v>
                </c:pt>
                <c:pt idx="28">
                  <c:v>529.35323900000003</c:v>
                </c:pt>
                <c:pt idx="29">
                  <c:v>530.65556300000003</c:v>
                </c:pt>
                <c:pt idx="30">
                  <c:v>601.30375000000004</c:v>
                </c:pt>
                <c:pt idx="31">
                  <c:v>652.40724299999999</c:v>
                </c:pt>
                <c:pt idx="32">
                  <c:v>691.64157499999999</c:v>
                </c:pt>
                <c:pt idx="33">
                  <c:v>724.81603099999995</c:v>
                </c:pt>
                <c:pt idx="34">
                  <c:v>650.42618600000003</c:v>
                </c:pt>
                <c:pt idx="35">
                  <c:v>576.84294299999999</c:v>
                </c:pt>
                <c:pt idx="36">
                  <c:v>574.86467300000004</c:v>
                </c:pt>
                <c:pt idx="37">
                  <c:v>656.78830100000005</c:v>
                </c:pt>
                <c:pt idx="38">
                  <c:v>640.71589600000004</c:v>
                </c:pt>
                <c:pt idx="39">
                  <c:v>640.407646</c:v>
                </c:pt>
                <c:pt idx="40">
                  <c:v>636.18984999999998</c:v>
                </c:pt>
                <c:pt idx="41">
                  <c:v>628.586275</c:v>
                </c:pt>
                <c:pt idx="42">
                  <c:v>555.71665499999995</c:v>
                </c:pt>
                <c:pt idx="43">
                  <c:v>550.48003200000005</c:v>
                </c:pt>
                <c:pt idx="44">
                  <c:v>591.26740600000005</c:v>
                </c:pt>
                <c:pt idx="45">
                  <c:v>612.61646800000005</c:v>
                </c:pt>
                <c:pt idx="46">
                  <c:v>614.69889799999999</c:v>
                </c:pt>
                <c:pt idx="47">
                  <c:v>634.97833500000002</c:v>
                </c:pt>
                <c:pt idx="48">
                  <c:v>633.62371099999996</c:v>
                </c:pt>
                <c:pt idx="49">
                  <c:v>575.01043800000002</c:v>
                </c:pt>
                <c:pt idx="50">
                  <c:v>548.83065199999999</c:v>
                </c:pt>
                <c:pt idx="51">
                  <c:v>646.62203899999997</c:v>
                </c:pt>
                <c:pt idx="52">
                  <c:v>639.79145700000004</c:v>
                </c:pt>
                <c:pt idx="53">
                  <c:v>653.71751300000005</c:v>
                </c:pt>
                <c:pt idx="54">
                  <c:v>647.71086200000002</c:v>
                </c:pt>
                <c:pt idx="55">
                  <c:v>632.06529799999998</c:v>
                </c:pt>
                <c:pt idx="56">
                  <c:v>558.53315999999995</c:v>
                </c:pt>
                <c:pt idx="57">
                  <c:v>569.32674599999996</c:v>
                </c:pt>
                <c:pt idx="58">
                  <c:v>643.231404</c:v>
                </c:pt>
                <c:pt idx="59">
                  <c:v>646.77640199999996</c:v>
                </c:pt>
                <c:pt idx="60">
                  <c:v>633.70653000000004</c:v>
                </c:pt>
                <c:pt idx="61">
                  <c:v>630.99766299999999</c:v>
                </c:pt>
                <c:pt idx="62">
                  <c:v>616.69541400000003</c:v>
                </c:pt>
                <c:pt idx="63">
                  <c:v>572.09976800000004</c:v>
                </c:pt>
                <c:pt idx="64">
                  <c:v>613.08048199999996</c:v>
                </c:pt>
                <c:pt idx="65">
                  <c:v>675.77411099999995</c:v>
                </c:pt>
                <c:pt idx="66">
                  <c:v>724.08047999999997</c:v>
                </c:pt>
                <c:pt idx="67">
                  <c:v>759.679214</c:v>
                </c:pt>
                <c:pt idx="68">
                  <c:v>747.32185200000004</c:v>
                </c:pt>
                <c:pt idx="69">
                  <c:v>700.57338600000003</c:v>
                </c:pt>
                <c:pt idx="70">
                  <c:v>587.876035</c:v>
                </c:pt>
                <c:pt idx="71">
                  <c:v>566.4597</c:v>
                </c:pt>
                <c:pt idx="72">
                  <c:v>609.188444</c:v>
                </c:pt>
                <c:pt idx="73">
                  <c:v>659.313804</c:v>
                </c:pt>
                <c:pt idx="74">
                  <c:v>681.09118000000001</c:v>
                </c:pt>
                <c:pt idx="75">
                  <c:v>679.27873099999999</c:v>
                </c:pt>
                <c:pt idx="76">
                  <c:v>664.63499899999999</c:v>
                </c:pt>
                <c:pt idx="77">
                  <c:v>591.542327</c:v>
                </c:pt>
                <c:pt idx="78">
                  <c:v>600.39339099999995</c:v>
                </c:pt>
                <c:pt idx="79">
                  <c:v>675.04439100000002</c:v>
                </c:pt>
                <c:pt idx="80">
                  <c:v>719.38718700000004</c:v>
                </c:pt>
                <c:pt idx="81">
                  <c:v>732.29245800000001</c:v>
                </c:pt>
                <c:pt idx="82">
                  <c:v>743.957311</c:v>
                </c:pt>
                <c:pt idx="83">
                  <c:v>711.87693400000001</c:v>
                </c:pt>
                <c:pt idx="84">
                  <c:v>635.835373</c:v>
                </c:pt>
                <c:pt idx="85">
                  <c:v>605.95525399999997</c:v>
                </c:pt>
                <c:pt idx="86">
                  <c:v>685.21890699999994</c:v>
                </c:pt>
                <c:pt idx="87">
                  <c:v>728.57916499999999</c:v>
                </c:pt>
                <c:pt idx="88">
                  <c:v>759.04448600000001</c:v>
                </c:pt>
                <c:pt idx="89">
                  <c:v>795.145171</c:v>
                </c:pt>
                <c:pt idx="90">
                  <c:v>820.39960799999994</c:v>
                </c:pt>
                <c:pt idx="91">
                  <c:v>765.049263</c:v>
                </c:pt>
                <c:pt idx="92">
                  <c:v>730.42562899999996</c:v>
                </c:pt>
                <c:pt idx="93">
                  <c:v>804.11857499999996</c:v>
                </c:pt>
                <c:pt idx="94">
                  <c:v>823.59286299999997</c:v>
                </c:pt>
                <c:pt idx="95">
                  <c:v>814.64877100000001</c:v>
                </c:pt>
                <c:pt idx="96">
                  <c:v>833.93055000000004</c:v>
                </c:pt>
                <c:pt idx="97">
                  <c:v>760.88943600000005</c:v>
                </c:pt>
                <c:pt idx="98">
                  <c:v>655.97825899999998</c:v>
                </c:pt>
                <c:pt idx="99">
                  <c:v>617.22127899999998</c:v>
                </c:pt>
                <c:pt idx="100">
                  <c:v>795.96054600000002</c:v>
                </c:pt>
                <c:pt idx="101">
                  <c:v>867.73899300000005</c:v>
                </c:pt>
                <c:pt idx="102">
                  <c:v>805.13808600000004</c:v>
                </c:pt>
                <c:pt idx="103">
                  <c:v>735.20048499999996</c:v>
                </c:pt>
                <c:pt idx="104">
                  <c:v>603.84357699999998</c:v>
                </c:pt>
                <c:pt idx="105">
                  <c:v>570.00622199999998</c:v>
                </c:pt>
                <c:pt idx="106">
                  <c:v>552.83184500000004</c:v>
                </c:pt>
                <c:pt idx="107">
                  <c:v>649.07935499999996</c:v>
                </c:pt>
                <c:pt idx="108">
                  <c:v>874.80647799999997</c:v>
                </c:pt>
                <c:pt idx="109">
                  <c:v>906.81171900000004</c:v>
                </c:pt>
                <c:pt idx="110">
                  <c:v>945.73725000000002</c:v>
                </c:pt>
                <c:pt idx="111">
                  <c:v>944.30825800000002</c:v>
                </c:pt>
                <c:pt idx="112">
                  <c:v>803.65256399999998</c:v>
                </c:pt>
                <c:pt idx="113">
                  <c:v>779.11667</c:v>
                </c:pt>
                <c:pt idx="114">
                  <c:v>755.00618599999996</c:v>
                </c:pt>
                <c:pt idx="115">
                  <c:v>811.83218199999999</c:v>
                </c:pt>
                <c:pt idx="116">
                  <c:v>787.62420699999996</c:v>
                </c:pt>
                <c:pt idx="117">
                  <c:v>767.47538299999997</c:v>
                </c:pt>
                <c:pt idx="118">
                  <c:v>779.72528199999999</c:v>
                </c:pt>
                <c:pt idx="119">
                  <c:v>830.33924100000002</c:v>
                </c:pt>
                <c:pt idx="120">
                  <c:v>773.72416699999997</c:v>
                </c:pt>
                <c:pt idx="121">
                  <c:v>815.51850999999999</c:v>
                </c:pt>
                <c:pt idx="122">
                  <c:v>843.496759</c:v>
                </c:pt>
                <c:pt idx="123">
                  <c:v>1043.152548</c:v>
                </c:pt>
                <c:pt idx="124">
                  <c:v>1234.725007</c:v>
                </c:pt>
                <c:pt idx="125">
                  <c:v>1323.7152920000001</c:v>
                </c:pt>
                <c:pt idx="126">
                  <c:v>1208.055114</c:v>
                </c:pt>
                <c:pt idx="127">
                  <c:v>1072.3638370000001</c:v>
                </c:pt>
                <c:pt idx="128">
                  <c:v>1167.9005649999999</c:v>
                </c:pt>
                <c:pt idx="129">
                  <c:v>1138.748339</c:v>
                </c:pt>
                <c:pt idx="130">
                  <c:v>1084.6190280000001</c:v>
                </c:pt>
                <c:pt idx="131">
                  <c:v>978.20904700000006</c:v>
                </c:pt>
                <c:pt idx="132">
                  <c:v>909.80603299999996</c:v>
                </c:pt>
                <c:pt idx="133">
                  <c:v>859.72633599999995</c:v>
                </c:pt>
                <c:pt idx="134">
                  <c:v>825.49777300000005</c:v>
                </c:pt>
                <c:pt idx="135">
                  <c:v>1159.172374</c:v>
                </c:pt>
                <c:pt idx="136">
                  <c:v>1268.336493</c:v>
                </c:pt>
                <c:pt idx="137">
                  <c:v>1261.486056</c:v>
                </c:pt>
                <c:pt idx="138">
                  <c:v>1283.690607</c:v>
                </c:pt>
                <c:pt idx="139">
                  <c:v>1261.0549329999999</c:v>
                </c:pt>
                <c:pt idx="140">
                  <c:v>1175.0639189999999</c:v>
                </c:pt>
                <c:pt idx="141">
                  <c:v>1176.3150989999999</c:v>
                </c:pt>
                <c:pt idx="142">
                  <c:v>1244.8936309999999</c:v>
                </c:pt>
                <c:pt idx="143">
                  <c:v>1218.9474270000001</c:v>
                </c:pt>
                <c:pt idx="144">
                  <c:v>1215.756699</c:v>
                </c:pt>
                <c:pt idx="145">
                  <c:v>1145.679322</c:v>
                </c:pt>
                <c:pt idx="146">
                  <c:v>1110.1376330000001</c:v>
                </c:pt>
                <c:pt idx="147">
                  <c:v>1143.7195409999999</c:v>
                </c:pt>
                <c:pt idx="148">
                  <c:v>1208.7605410000001</c:v>
                </c:pt>
                <c:pt idx="149">
                  <c:v>1517.7264170000001</c:v>
                </c:pt>
                <c:pt idx="150">
                  <c:v>1659.915215</c:v>
                </c:pt>
                <c:pt idx="151">
                  <c:v>1649.4878060000001</c:v>
                </c:pt>
                <c:pt idx="152">
                  <c:v>1567.0280170000001</c:v>
                </c:pt>
                <c:pt idx="153">
                  <c:v>1544.224976</c:v>
                </c:pt>
                <c:pt idx="154">
                  <c:v>1296.858428</c:v>
                </c:pt>
                <c:pt idx="155">
                  <c:v>1407.498979</c:v>
                </c:pt>
                <c:pt idx="156">
                  <c:v>1585.902026</c:v>
                </c:pt>
                <c:pt idx="157">
                  <c:v>1640.8572710000001</c:v>
                </c:pt>
                <c:pt idx="158">
                  <c:v>1593.205205</c:v>
                </c:pt>
                <c:pt idx="159">
                  <c:v>1530.3868540000001</c:v>
                </c:pt>
                <c:pt idx="160">
                  <c:v>1446.489822</c:v>
                </c:pt>
                <c:pt idx="161">
                  <c:v>1389.283551</c:v>
                </c:pt>
                <c:pt idx="162">
                  <c:v>1289.697457</c:v>
                </c:pt>
                <c:pt idx="163">
                  <c:v>1358.7245290000001</c:v>
                </c:pt>
                <c:pt idx="164">
                  <c:v>1544.3186800000001</c:v>
                </c:pt>
                <c:pt idx="165">
                  <c:v>1490.6309240000001</c:v>
                </c:pt>
                <c:pt idx="166">
                  <c:v>1322.2483629999999</c:v>
                </c:pt>
                <c:pt idx="167">
                  <c:v>1330.213289</c:v>
                </c:pt>
                <c:pt idx="168">
                  <c:v>1230.7529629999999</c:v>
                </c:pt>
                <c:pt idx="169">
                  <c:v>1290.967365</c:v>
                </c:pt>
                <c:pt idx="170">
                  <c:v>1304.5056440000001</c:v>
                </c:pt>
                <c:pt idx="171">
                  <c:v>1362.7090499999999</c:v>
                </c:pt>
                <c:pt idx="172">
                  <c:v>1382.0268510000001</c:v>
                </c:pt>
                <c:pt idx="173">
                  <c:v>1306.707089</c:v>
                </c:pt>
                <c:pt idx="174">
                  <c:v>1265.2401520000001</c:v>
                </c:pt>
                <c:pt idx="175">
                  <c:v>1169.8833360000001</c:v>
                </c:pt>
                <c:pt idx="176">
                  <c:v>1315.7014999999999</c:v>
                </c:pt>
                <c:pt idx="177">
                  <c:v>1557.265787</c:v>
                </c:pt>
                <c:pt idx="178">
                  <c:v>1584.243279</c:v>
                </c:pt>
                <c:pt idx="179">
                  <c:v>1599.5786000000001</c:v>
                </c:pt>
                <c:pt idx="180">
                  <c:v>1500.9681</c:v>
                </c:pt>
                <c:pt idx="181">
                  <c:v>1508.0956289999999</c:v>
                </c:pt>
                <c:pt idx="182">
                  <c:v>1401.3537140000001</c:v>
                </c:pt>
                <c:pt idx="183">
                  <c:v>1418.923773</c:v>
                </c:pt>
                <c:pt idx="184">
                  <c:v>1439.2570940000001</c:v>
                </c:pt>
                <c:pt idx="185">
                  <c:v>1439.525087</c:v>
                </c:pt>
                <c:pt idx="186">
                  <c:v>1473.1905939999999</c:v>
                </c:pt>
                <c:pt idx="187">
                  <c:v>1465.2178939999999</c:v>
                </c:pt>
                <c:pt idx="188">
                  <c:v>1535.425915</c:v>
                </c:pt>
                <c:pt idx="189">
                  <c:v>1412.92092</c:v>
                </c:pt>
                <c:pt idx="190">
                  <c:v>1394.082531</c:v>
                </c:pt>
                <c:pt idx="191">
                  <c:v>1521.4777449999999</c:v>
                </c:pt>
                <c:pt idx="192">
                  <c:v>1586.7187409999999</c:v>
                </c:pt>
                <c:pt idx="193">
                  <c:v>1603.4101330000001</c:v>
                </c:pt>
                <c:pt idx="194">
                  <c:v>1569.6769839999999</c:v>
                </c:pt>
                <c:pt idx="195">
                  <c:v>1485.720262</c:v>
                </c:pt>
                <c:pt idx="196">
                  <c:v>1483.9302090000001</c:v>
                </c:pt>
                <c:pt idx="197">
                  <c:v>1363.7704570000001</c:v>
                </c:pt>
                <c:pt idx="198">
                  <c:v>1630.815846</c:v>
                </c:pt>
                <c:pt idx="199">
                  <c:v>1689.4788840000001</c:v>
                </c:pt>
                <c:pt idx="200">
                  <c:v>1709.9744909999999</c:v>
                </c:pt>
                <c:pt idx="201">
                  <c:v>1584.803991</c:v>
                </c:pt>
                <c:pt idx="202">
                  <c:v>1381.502596</c:v>
                </c:pt>
                <c:pt idx="203">
                  <c:v>1245.500916</c:v>
                </c:pt>
                <c:pt idx="204">
                  <c:v>1090.0857619999999</c:v>
                </c:pt>
                <c:pt idx="205">
                  <c:v>1399.5226620000001</c:v>
                </c:pt>
                <c:pt idx="206">
                  <c:v>1533.5580130000001</c:v>
                </c:pt>
                <c:pt idx="207">
                  <c:v>1384.746355</c:v>
                </c:pt>
                <c:pt idx="208">
                  <c:v>1466.3669420000001</c:v>
                </c:pt>
                <c:pt idx="209">
                  <c:v>1554.9339580000001</c:v>
                </c:pt>
                <c:pt idx="210">
                  <c:v>1497.572637</c:v>
                </c:pt>
                <c:pt idx="211">
                  <c:v>1380.607401</c:v>
                </c:pt>
                <c:pt idx="212">
                  <c:v>1376.0373959999999</c:v>
                </c:pt>
                <c:pt idx="213">
                  <c:v>1321.6501780000001</c:v>
                </c:pt>
                <c:pt idx="214">
                  <c:v>1101.2016550000001</c:v>
                </c:pt>
                <c:pt idx="215">
                  <c:v>1096.2997</c:v>
                </c:pt>
                <c:pt idx="216">
                  <c:v>1269.1404010000001</c:v>
                </c:pt>
                <c:pt idx="217">
                  <c:v>1211.375358</c:v>
                </c:pt>
                <c:pt idx="218">
                  <c:v>1213.321774</c:v>
                </c:pt>
                <c:pt idx="219">
                  <c:v>1438.910938</c:v>
                </c:pt>
                <c:pt idx="220">
                  <c:v>1481.7032850000001</c:v>
                </c:pt>
                <c:pt idx="221">
                  <c:v>1500.990742</c:v>
                </c:pt>
                <c:pt idx="222">
                  <c:v>1416.8470259999999</c:v>
                </c:pt>
                <c:pt idx="223">
                  <c:v>1353.8712909999999</c:v>
                </c:pt>
                <c:pt idx="224">
                  <c:v>1184.0379029999999</c:v>
                </c:pt>
                <c:pt idx="225">
                  <c:v>1314.796787</c:v>
                </c:pt>
                <c:pt idx="226">
                  <c:v>1353.4282499999999</c:v>
                </c:pt>
                <c:pt idx="227">
                  <c:v>1331.3528160000001</c:v>
                </c:pt>
                <c:pt idx="228">
                  <c:v>1336.5098780000001</c:v>
                </c:pt>
                <c:pt idx="229">
                  <c:v>1302.702213</c:v>
                </c:pt>
                <c:pt idx="230">
                  <c:v>1253.9167319999999</c:v>
                </c:pt>
                <c:pt idx="231">
                  <c:v>1210.5292529999999</c:v>
                </c:pt>
                <c:pt idx="232">
                  <c:v>1199.048573</c:v>
                </c:pt>
                <c:pt idx="233">
                  <c:v>1315.6008529999999</c:v>
                </c:pt>
                <c:pt idx="234">
                  <c:v>1488.2683440000001</c:v>
                </c:pt>
                <c:pt idx="235">
                  <c:v>1477.6676460000001</c:v>
                </c:pt>
                <c:pt idx="236">
                  <c:v>1302.9344140000001</c:v>
                </c:pt>
                <c:pt idx="237">
                  <c:v>1253.6270689999999</c:v>
                </c:pt>
                <c:pt idx="238">
                  <c:v>1027.952685</c:v>
                </c:pt>
                <c:pt idx="239">
                  <c:v>922.80999799999995</c:v>
                </c:pt>
                <c:pt idx="240">
                  <c:v>1163.2222260000001</c:v>
                </c:pt>
                <c:pt idx="241">
                  <c:v>1333.182558</c:v>
                </c:pt>
                <c:pt idx="242">
                  <c:v>1227.5950210000001</c:v>
                </c:pt>
                <c:pt idx="243">
                  <c:v>1265.8914870000001</c:v>
                </c:pt>
                <c:pt idx="244">
                  <c:v>1328.301205</c:v>
                </c:pt>
                <c:pt idx="245">
                  <c:v>1216.8519040000001</c:v>
                </c:pt>
                <c:pt idx="246">
                  <c:v>1239.9646809999999</c:v>
                </c:pt>
                <c:pt idx="247">
                  <c:v>1259.6181879999999</c:v>
                </c:pt>
                <c:pt idx="248">
                  <c:v>1230.3562850000001</c:v>
                </c:pt>
                <c:pt idx="249">
                  <c:v>1066.628189</c:v>
                </c:pt>
                <c:pt idx="250">
                  <c:v>1075.3670090000001</c:v>
                </c:pt>
                <c:pt idx="251">
                  <c:v>967.45712900000001</c:v>
                </c:pt>
                <c:pt idx="252">
                  <c:v>1029.793823</c:v>
                </c:pt>
                <c:pt idx="253">
                  <c:v>1084.0294349999999</c:v>
                </c:pt>
                <c:pt idx="254">
                  <c:v>1296.113535</c:v>
                </c:pt>
                <c:pt idx="255">
                  <c:v>1352.9162980000001</c:v>
                </c:pt>
                <c:pt idx="256">
                  <c:v>1197.8573819999999</c:v>
                </c:pt>
                <c:pt idx="257">
                  <c:v>1144.7651169999999</c:v>
                </c:pt>
                <c:pt idx="258">
                  <c:v>1128.1122310000001</c:v>
                </c:pt>
                <c:pt idx="259">
                  <c:v>1198.8991129999999</c:v>
                </c:pt>
                <c:pt idx="260">
                  <c:v>1145.412906</c:v>
                </c:pt>
                <c:pt idx="261">
                  <c:v>1169.732808</c:v>
                </c:pt>
                <c:pt idx="262">
                  <c:v>1002.746908</c:v>
                </c:pt>
                <c:pt idx="263">
                  <c:v>936.657963</c:v>
                </c:pt>
                <c:pt idx="264">
                  <c:v>804.33854599999995</c:v>
                </c:pt>
                <c:pt idx="265">
                  <c:v>914.11691199999996</c:v>
                </c:pt>
                <c:pt idx="266">
                  <c:v>959.40790400000003</c:v>
                </c:pt>
                <c:pt idx="267">
                  <c:v>888.23857499999997</c:v>
                </c:pt>
                <c:pt idx="268">
                  <c:v>1084.3912009999999</c:v>
                </c:pt>
                <c:pt idx="269">
                  <c:v>1081.201239</c:v>
                </c:pt>
                <c:pt idx="270">
                  <c:v>1080.7436540000001</c:v>
                </c:pt>
                <c:pt idx="271">
                  <c:v>1043.336168</c:v>
                </c:pt>
                <c:pt idx="272">
                  <c:v>980.95480099999997</c:v>
                </c:pt>
                <c:pt idx="273">
                  <c:v>842.62667399999998</c:v>
                </c:pt>
                <c:pt idx="274">
                  <c:v>826.95720500000004</c:v>
                </c:pt>
                <c:pt idx="275">
                  <c:v>867.75579700000003</c:v>
                </c:pt>
                <c:pt idx="276">
                  <c:v>976.22480599999994</c:v>
                </c:pt>
                <c:pt idx="277">
                  <c:v>1170.8053890000001</c:v>
                </c:pt>
                <c:pt idx="278">
                  <c:v>909.75413600000002</c:v>
                </c:pt>
                <c:pt idx="279">
                  <c:v>883.99955399999999</c:v>
                </c:pt>
                <c:pt idx="280">
                  <c:v>918.69394499999999</c:v>
                </c:pt>
                <c:pt idx="281">
                  <c:v>1020.13103</c:v>
                </c:pt>
                <c:pt idx="282">
                  <c:v>992.01380500000005</c:v>
                </c:pt>
                <c:pt idx="283">
                  <c:v>876.73347000000001</c:v>
                </c:pt>
                <c:pt idx="284">
                  <c:v>895.605548</c:v>
                </c:pt>
                <c:pt idx="285">
                  <c:v>978.97553900000003</c:v>
                </c:pt>
                <c:pt idx="286">
                  <c:v>954.99951399999998</c:v>
                </c:pt>
                <c:pt idx="287">
                  <c:v>806.74046599999997</c:v>
                </c:pt>
                <c:pt idx="288">
                  <c:v>840.89571000000001</c:v>
                </c:pt>
                <c:pt idx="289">
                  <c:v>947.11574299999995</c:v>
                </c:pt>
                <c:pt idx="290">
                  <c:v>877.13762099999997</c:v>
                </c:pt>
                <c:pt idx="291">
                  <c:v>781.49680699999999</c:v>
                </c:pt>
                <c:pt idx="292">
                  <c:v>748.08126400000003</c:v>
                </c:pt>
                <c:pt idx="293">
                  <c:v>670.71711300000004</c:v>
                </c:pt>
                <c:pt idx="294">
                  <c:v>636.32259799999997</c:v>
                </c:pt>
                <c:pt idx="295">
                  <c:v>700.34393899999998</c:v>
                </c:pt>
                <c:pt idx="296">
                  <c:v>808.269229</c:v>
                </c:pt>
                <c:pt idx="297">
                  <c:v>726.53930200000002</c:v>
                </c:pt>
                <c:pt idx="298">
                  <c:v>756.59932900000001</c:v>
                </c:pt>
                <c:pt idx="299">
                  <c:v>863.77530100000001</c:v>
                </c:pt>
                <c:pt idx="300">
                  <c:v>1057.0481810000001</c:v>
                </c:pt>
                <c:pt idx="301">
                  <c:v>871.13644199999999</c:v>
                </c:pt>
                <c:pt idx="302">
                  <c:v>729.21498499999996</c:v>
                </c:pt>
                <c:pt idx="303">
                  <c:v>847.77382799999998</c:v>
                </c:pt>
                <c:pt idx="304">
                  <c:v>1154.4318410000001</c:v>
                </c:pt>
                <c:pt idx="305">
                  <c:v>1166.1689329999999</c:v>
                </c:pt>
                <c:pt idx="306">
                  <c:v>1019.30678</c:v>
                </c:pt>
                <c:pt idx="307">
                  <c:v>852.80181800000003</c:v>
                </c:pt>
                <c:pt idx="308">
                  <c:v>671.148324</c:v>
                </c:pt>
                <c:pt idx="309">
                  <c:v>624.91702699999996</c:v>
                </c:pt>
                <c:pt idx="310">
                  <c:v>676.20559200000002</c:v>
                </c:pt>
                <c:pt idx="311">
                  <c:v>663.43504499999995</c:v>
                </c:pt>
                <c:pt idx="312">
                  <c:v>650.47546599999998</c:v>
                </c:pt>
                <c:pt idx="313">
                  <c:v>662.58417499999996</c:v>
                </c:pt>
                <c:pt idx="314">
                  <c:v>650.97273199999995</c:v>
                </c:pt>
                <c:pt idx="315">
                  <c:v>603.21225100000004</c:v>
                </c:pt>
                <c:pt idx="316">
                  <c:v>586.08589400000005</c:v>
                </c:pt>
                <c:pt idx="317">
                  <c:v>825.90937599999995</c:v>
                </c:pt>
                <c:pt idx="318">
                  <c:v>1065.204367</c:v>
                </c:pt>
                <c:pt idx="319">
                  <c:v>1062.2091190000001</c:v>
                </c:pt>
                <c:pt idx="320">
                  <c:v>970.17825200000004</c:v>
                </c:pt>
                <c:pt idx="321">
                  <c:v>712.22419400000001</c:v>
                </c:pt>
                <c:pt idx="322">
                  <c:v>651.11348099999998</c:v>
                </c:pt>
                <c:pt idx="323">
                  <c:v>785.537554</c:v>
                </c:pt>
                <c:pt idx="324">
                  <c:v>1176.61382</c:v>
                </c:pt>
                <c:pt idx="325">
                  <c:v>1028.0539530000001</c:v>
                </c:pt>
                <c:pt idx="326">
                  <c:v>888.29726800000003</c:v>
                </c:pt>
                <c:pt idx="327">
                  <c:v>834.06921599999998</c:v>
                </c:pt>
                <c:pt idx="328">
                  <c:v>729.38925099999994</c:v>
                </c:pt>
                <c:pt idx="329">
                  <c:v>627.03367900000001</c:v>
                </c:pt>
                <c:pt idx="330">
                  <c:v>673.468208</c:v>
                </c:pt>
                <c:pt idx="331">
                  <c:v>814.92458599999998</c:v>
                </c:pt>
                <c:pt idx="332">
                  <c:v>777.99690799999996</c:v>
                </c:pt>
                <c:pt idx="333">
                  <c:v>757.22764900000004</c:v>
                </c:pt>
                <c:pt idx="334">
                  <c:v>769.274855</c:v>
                </c:pt>
                <c:pt idx="335">
                  <c:v>692.34088999999994</c:v>
                </c:pt>
                <c:pt idx="336">
                  <c:v>585.76650400000005</c:v>
                </c:pt>
                <c:pt idx="337">
                  <c:v>574.47021800000005</c:v>
                </c:pt>
                <c:pt idx="338">
                  <c:v>719.87582799999996</c:v>
                </c:pt>
                <c:pt idx="339">
                  <c:v>720.50594000000001</c:v>
                </c:pt>
                <c:pt idx="340">
                  <c:v>756.98070900000005</c:v>
                </c:pt>
                <c:pt idx="341">
                  <c:v>885.58975499999997</c:v>
                </c:pt>
                <c:pt idx="342">
                  <c:v>788.09003499999994</c:v>
                </c:pt>
                <c:pt idx="343">
                  <c:v>630.86195799999996</c:v>
                </c:pt>
                <c:pt idx="344">
                  <c:v>607.39651700000002</c:v>
                </c:pt>
                <c:pt idx="345">
                  <c:v>836.01811699999996</c:v>
                </c:pt>
                <c:pt idx="346">
                  <c:v>931.35648000000003</c:v>
                </c:pt>
                <c:pt idx="347">
                  <c:v>969.07586300000003</c:v>
                </c:pt>
                <c:pt idx="348">
                  <c:v>872.66399999999999</c:v>
                </c:pt>
                <c:pt idx="349">
                  <c:v>773.71955600000001</c:v>
                </c:pt>
                <c:pt idx="350">
                  <c:v>661.95764699999995</c:v>
                </c:pt>
                <c:pt idx="351">
                  <c:v>653.92238999999995</c:v>
                </c:pt>
                <c:pt idx="352">
                  <c:v>710.80204800000001</c:v>
                </c:pt>
                <c:pt idx="353">
                  <c:v>694.65846399999998</c:v>
                </c:pt>
                <c:pt idx="354">
                  <c:v>658.39257699999996</c:v>
                </c:pt>
                <c:pt idx="355">
                  <c:v>635.04504799999995</c:v>
                </c:pt>
                <c:pt idx="356">
                  <c:v>568.23688500000003</c:v>
                </c:pt>
                <c:pt idx="357">
                  <c:v>508.009095</c:v>
                </c:pt>
                <c:pt idx="358">
                  <c:v>441.35671500000001</c:v>
                </c:pt>
                <c:pt idx="359">
                  <c:v>448.58437800000002</c:v>
                </c:pt>
                <c:pt idx="360">
                  <c:v>458.23690299999998</c:v>
                </c:pt>
                <c:pt idx="361">
                  <c:v>536.28808300000003</c:v>
                </c:pt>
                <c:pt idx="362">
                  <c:v>566.00191199999995</c:v>
                </c:pt>
                <c:pt idx="363">
                  <c:v>526.81818599999997</c:v>
                </c:pt>
                <c:pt idx="364">
                  <c:v>474.27191800000003</c:v>
                </c:pt>
                <c:pt idx="365">
                  <c:v>484.31788499999999</c:v>
                </c:pt>
                <c:pt idx="366">
                  <c:v>482.42864500000002</c:v>
                </c:pt>
                <c:pt idx="367">
                  <c:v>570.39450199999999</c:v>
                </c:pt>
                <c:pt idx="368">
                  <c:v>641.46736099999998</c:v>
                </c:pt>
                <c:pt idx="369">
                  <c:v>611.73778400000003</c:v>
                </c:pt>
                <c:pt idx="370">
                  <c:v>600.20315100000005</c:v>
                </c:pt>
                <c:pt idx="371">
                  <c:v>527.04088100000001</c:v>
                </c:pt>
                <c:pt idx="372">
                  <c:v>516.62513799999999</c:v>
                </c:pt>
                <c:pt idx="373">
                  <c:v>580.59621500000003</c:v>
                </c:pt>
                <c:pt idx="374">
                  <c:v>606.70478300000002</c:v>
                </c:pt>
                <c:pt idx="375">
                  <c:v>588.64123199999995</c:v>
                </c:pt>
                <c:pt idx="376">
                  <c:v>585.04924000000005</c:v>
                </c:pt>
                <c:pt idx="377">
                  <c:v>567.68313799999999</c:v>
                </c:pt>
                <c:pt idx="378">
                  <c:v>490.55271299999998</c:v>
                </c:pt>
                <c:pt idx="379">
                  <c:v>533.56633299999999</c:v>
                </c:pt>
                <c:pt idx="380">
                  <c:v>600.19999800000005</c:v>
                </c:pt>
                <c:pt idx="381">
                  <c:v>590.02625699999999</c:v>
                </c:pt>
                <c:pt idx="382">
                  <c:v>664.19365900000003</c:v>
                </c:pt>
                <c:pt idx="383">
                  <c:v>684.91391099999998</c:v>
                </c:pt>
                <c:pt idx="384">
                  <c:v>648.19366500000001</c:v>
                </c:pt>
                <c:pt idx="385">
                  <c:v>532.88923199999999</c:v>
                </c:pt>
                <c:pt idx="386">
                  <c:v>540.44220499999994</c:v>
                </c:pt>
                <c:pt idx="387">
                  <c:v>620.67808600000001</c:v>
                </c:pt>
                <c:pt idx="388">
                  <c:v>623.560429</c:v>
                </c:pt>
                <c:pt idx="389">
                  <c:v>597.69726700000001</c:v>
                </c:pt>
                <c:pt idx="390">
                  <c:v>549.63644899999997</c:v>
                </c:pt>
                <c:pt idx="391">
                  <c:v>559.065787</c:v>
                </c:pt>
                <c:pt idx="392">
                  <c:v>507.27957700000002</c:v>
                </c:pt>
                <c:pt idx="393">
                  <c:v>559.65642500000001</c:v>
                </c:pt>
                <c:pt idx="394">
                  <c:v>666.77545399999997</c:v>
                </c:pt>
                <c:pt idx="395">
                  <c:v>647.14550099999997</c:v>
                </c:pt>
                <c:pt idx="396">
                  <c:v>658.06116699999995</c:v>
                </c:pt>
                <c:pt idx="397">
                  <c:v>724.84629199999995</c:v>
                </c:pt>
                <c:pt idx="398">
                  <c:v>763.452855</c:v>
                </c:pt>
                <c:pt idx="399">
                  <c:v>648.23215500000003</c:v>
                </c:pt>
                <c:pt idx="400">
                  <c:v>600.90164100000004</c:v>
                </c:pt>
                <c:pt idx="401">
                  <c:v>660.26717199999996</c:v>
                </c:pt>
                <c:pt idx="402">
                  <c:v>654.01580200000001</c:v>
                </c:pt>
                <c:pt idx="403">
                  <c:v>652.98469899999998</c:v>
                </c:pt>
                <c:pt idx="404">
                  <c:v>644.79337199999998</c:v>
                </c:pt>
                <c:pt idx="405">
                  <c:v>613.81941800000004</c:v>
                </c:pt>
                <c:pt idx="406">
                  <c:v>541.179664</c:v>
                </c:pt>
                <c:pt idx="407">
                  <c:v>576.40792099999999</c:v>
                </c:pt>
                <c:pt idx="408">
                  <c:v>678.95031600000004</c:v>
                </c:pt>
                <c:pt idx="409">
                  <c:v>676.72207500000002</c:v>
                </c:pt>
                <c:pt idx="410">
                  <c:v>639.10142499999995</c:v>
                </c:pt>
                <c:pt idx="411">
                  <c:v>611.29747499999996</c:v>
                </c:pt>
                <c:pt idx="412">
                  <c:v>582.60877100000005</c:v>
                </c:pt>
                <c:pt idx="413">
                  <c:v>530.44629099999997</c:v>
                </c:pt>
                <c:pt idx="414">
                  <c:v>540.38563599999998</c:v>
                </c:pt>
                <c:pt idx="415">
                  <c:v>607.50933499999996</c:v>
                </c:pt>
                <c:pt idx="416">
                  <c:v>629.01912400000003</c:v>
                </c:pt>
                <c:pt idx="417">
                  <c:v>609.88106600000003</c:v>
                </c:pt>
                <c:pt idx="418">
                  <c:v>607.97114099999999</c:v>
                </c:pt>
                <c:pt idx="419">
                  <c:v>591.13322200000005</c:v>
                </c:pt>
                <c:pt idx="420">
                  <c:v>544.43695000000002</c:v>
                </c:pt>
                <c:pt idx="421">
                  <c:v>557.73442399999999</c:v>
                </c:pt>
                <c:pt idx="422">
                  <c:v>645.69673699999998</c:v>
                </c:pt>
                <c:pt idx="423">
                  <c:v>680.34723399999996</c:v>
                </c:pt>
                <c:pt idx="424">
                  <c:v>665.88322900000003</c:v>
                </c:pt>
                <c:pt idx="425">
                  <c:v>665.26130699999999</c:v>
                </c:pt>
                <c:pt idx="426">
                  <c:v>629.75188200000002</c:v>
                </c:pt>
                <c:pt idx="427">
                  <c:v>543.22990000000004</c:v>
                </c:pt>
                <c:pt idx="428">
                  <c:v>533.88650900000005</c:v>
                </c:pt>
                <c:pt idx="429">
                  <c:v>645.790075</c:v>
                </c:pt>
                <c:pt idx="430">
                  <c:v>676.71846200000005</c:v>
                </c:pt>
                <c:pt idx="431">
                  <c:v>717.822542</c:v>
                </c:pt>
                <c:pt idx="432">
                  <c:v>703.116399</c:v>
                </c:pt>
                <c:pt idx="433">
                  <c:v>626.64149399999997</c:v>
                </c:pt>
                <c:pt idx="434">
                  <c:v>546.78356099999996</c:v>
                </c:pt>
                <c:pt idx="435">
                  <c:v>566.58099900000002</c:v>
                </c:pt>
                <c:pt idx="436">
                  <c:v>619.15962500000001</c:v>
                </c:pt>
                <c:pt idx="437">
                  <c:v>636.59246399999995</c:v>
                </c:pt>
                <c:pt idx="438">
                  <c:v>637.55776200000003</c:v>
                </c:pt>
                <c:pt idx="439">
                  <c:v>635.24567999999999</c:v>
                </c:pt>
                <c:pt idx="440">
                  <c:v>644.02496399999995</c:v>
                </c:pt>
                <c:pt idx="441">
                  <c:v>561.13544300000001</c:v>
                </c:pt>
                <c:pt idx="442">
                  <c:v>599.66379099999995</c:v>
                </c:pt>
                <c:pt idx="443">
                  <c:v>663.85487699999999</c:v>
                </c:pt>
                <c:pt idx="444">
                  <c:v>712.43129399999998</c:v>
                </c:pt>
                <c:pt idx="445">
                  <c:v>673.63066200000003</c:v>
                </c:pt>
                <c:pt idx="446">
                  <c:v>668.69548099999997</c:v>
                </c:pt>
                <c:pt idx="447">
                  <c:v>636.92647299999999</c:v>
                </c:pt>
                <c:pt idx="448">
                  <c:v>575.47172899999998</c:v>
                </c:pt>
                <c:pt idx="449">
                  <c:v>596.31120499999997</c:v>
                </c:pt>
                <c:pt idx="450">
                  <c:v>698.251487</c:v>
                </c:pt>
                <c:pt idx="451">
                  <c:v>680.67776600000002</c:v>
                </c:pt>
                <c:pt idx="452">
                  <c:v>746.36565399999995</c:v>
                </c:pt>
                <c:pt idx="453">
                  <c:v>743.59018800000001</c:v>
                </c:pt>
                <c:pt idx="454">
                  <c:v>735.47500400000001</c:v>
                </c:pt>
                <c:pt idx="455">
                  <c:v>796.94373099999996</c:v>
                </c:pt>
                <c:pt idx="456">
                  <c:v>742.91310199999998</c:v>
                </c:pt>
                <c:pt idx="457">
                  <c:v>766.50504699999999</c:v>
                </c:pt>
                <c:pt idx="458">
                  <c:v>725.59807599999999</c:v>
                </c:pt>
                <c:pt idx="459">
                  <c:v>733.22831199999996</c:v>
                </c:pt>
                <c:pt idx="460">
                  <c:v>676.60463500000003</c:v>
                </c:pt>
                <c:pt idx="461">
                  <c:v>635.58721300000002</c:v>
                </c:pt>
                <c:pt idx="462">
                  <c:v>714.49231999999995</c:v>
                </c:pt>
                <c:pt idx="463">
                  <c:v>828.51335800000004</c:v>
                </c:pt>
                <c:pt idx="464">
                  <c:v>894.98227399999996</c:v>
                </c:pt>
                <c:pt idx="465">
                  <c:v>839.58154000000002</c:v>
                </c:pt>
                <c:pt idx="466">
                  <c:v>886.29872499999999</c:v>
                </c:pt>
                <c:pt idx="467">
                  <c:v>800.28519800000004</c:v>
                </c:pt>
                <c:pt idx="468">
                  <c:v>750.64671299999998</c:v>
                </c:pt>
                <c:pt idx="469">
                  <c:v>700.33416299999999</c:v>
                </c:pt>
                <c:pt idx="470">
                  <c:v>838.96198300000003</c:v>
                </c:pt>
                <c:pt idx="471">
                  <c:v>883.83964900000001</c:v>
                </c:pt>
                <c:pt idx="472">
                  <c:v>759.96585300000004</c:v>
                </c:pt>
                <c:pt idx="473">
                  <c:v>869.24091499999997</c:v>
                </c:pt>
                <c:pt idx="474">
                  <c:v>897.33338700000002</c:v>
                </c:pt>
                <c:pt idx="475">
                  <c:v>828.55494899999997</c:v>
                </c:pt>
                <c:pt idx="476">
                  <c:v>710.26306299999999</c:v>
                </c:pt>
                <c:pt idx="477">
                  <c:v>698.29699800000003</c:v>
                </c:pt>
                <c:pt idx="478">
                  <c:v>716.98126500000001</c:v>
                </c:pt>
                <c:pt idx="479">
                  <c:v>658.10986600000001</c:v>
                </c:pt>
                <c:pt idx="480">
                  <c:v>749.670435</c:v>
                </c:pt>
                <c:pt idx="481">
                  <c:v>757.21804399999996</c:v>
                </c:pt>
                <c:pt idx="482">
                  <c:v>798.97991200000001</c:v>
                </c:pt>
                <c:pt idx="483">
                  <c:v>903.71993099999997</c:v>
                </c:pt>
                <c:pt idx="484">
                  <c:v>963.85775899999999</c:v>
                </c:pt>
                <c:pt idx="485">
                  <c:v>1007.1962150000001</c:v>
                </c:pt>
                <c:pt idx="486">
                  <c:v>953.03354999999999</c:v>
                </c:pt>
                <c:pt idx="487">
                  <c:v>1110.6930199999999</c:v>
                </c:pt>
                <c:pt idx="488">
                  <c:v>1080.897426</c:v>
                </c:pt>
                <c:pt idx="489">
                  <c:v>1038.5839040000001</c:v>
                </c:pt>
                <c:pt idx="490">
                  <c:v>1145.1325750000001</c:v>
                </c:pt>
                <c:pt idx="491">
                  <c:v>1288.6117589999999</c:v>
                </c:pt>
                <c:pt idx="492">
                  <c:v>1292.0972850000001</c:v>
                </c:pt>
                <c:pt idx="493">
                  <c:v>1209.0803020000001</c:v>
                </c:pt>
                <c:pt idx="494">
                  <c:v>1176.982569</c:v>
                </c:pt>
                <c:pt idx="495">
                  <c:v>1104.6710740000001</c:v>
                </c:pt>
                <c:pt idx="496">
                  <c:v>1058.3968589999999</c:v>
                </c:pt>
                <c:pt idx="497">
                  <c:v>980.82805399999995</c:v>
                </c:pt>
                <c:pt idx="498">
                  <c:v>950.51618199999996</c:v>
                </c:pt>
                <c:pt idx="499">
                  <c:v>972.20627899999999</c:v>
                </c:pt>
                <c:pt idx="500">
                  <c:v>1199.9060589999999</c:v>
                </c:pt>
                <c:pt idx="501">
                  <c:v>1297.7292649999999</c:v>
                </c:pt>
                <c:pt idx="502">
                  <c:v>1342.4896590000001</c:v>
                </c:pt>
                <c:pt idx="503">
                  <c:v>1275.469034</c:v>
                </c:pt>
                <c:pt idx="504">
                  <c:v>1172.5610220000001</c:v>
                </c:pt>
                <c:pt idx="505">
                  <c:v>1128.273009</c:v>
                </c:pt>
                <c:pt idx="506">
                  <c:v>1246.2942089999999</c:v>
                </c:pt>
                <c:pt idx="507">
                  <c:v>1232.64354</c:v>
                </c:pt>
                <c:pt idx="508">
                  <c:v>1220.4634349999999</c:v>
                </c:pt>
                <c:pt idx="509">
                  <c:v>1317.890997</c:v>
                </c:pt>
                <c:pt idx="510">
                  <c:v>1325.9825249999999</c:v>
                </c:pt>
                <c:pt idx="511">
                  <c:v>1161.1689799999999</c:v>
                </c:pt>
                <c:pt idx="512">
                  <c:v>1167.7102870000001</c:v>
                </c:pt>
                <c:pt idx="513">
                  <c:v>1183.639113</c:v>
                </c:pt>
                <c:pt idx="514">
                  <c:v>1106.3413</c:v>
                </c:pt>
                <c:pt idx="515">
                  <c:v>1039.579074</c:v>
                </c:pt>
                <c:pt idx="516">
                  <c:v>1125.6828820000001</c:v>
                </c:pt>
                <c:pt idx="517">
                  <c:v>1229.9265789999999</c:v>
                </c:pt>
                <c:pt idx="518">
                  <c:v>1029.0956679999999</c:v>
                </c:pt>
                <c:pt idx="519">
                  <c:v>1001.495647</c:v>
                </c:pt>
                <c:pt idx="520">
                  <c:v>1077.2397739999999</c:v>
                </c:pt>
                <c:pt idx="521">
                  <c:v>1025.3208360000001</c:v>
                </c:pt>
                <c:pt idx="522">
                  <c:v>1027.9638299999999</c:v>
                </c:pt>
                <c:pt idx="523">
                  <c:v>1106.841856</c:v>
                </c:pt>
                <c:pt idx="524">
                  <c:v>1209.700194</c:v>
                </c:pt>
                <c:pt idx="525">
                  <c:v>1106.61293</c:v>
                </c:pt>
                <c:pt idx="526">
                  <c:v>1022.255598</c:v>
                </c:pt>
                <c:pt idx="527">
                  <c:v>1131.7950699999999</c:v>
                </c:pt>
                <c:pt idx="528">
                  <c:v>1286.7397940000001</c:v>
                </c:pt>
                <c:pt idx="529">
                  <c:v>1310.7017080000001</c:v>
                </c:pt>
                <c:pt idx="530">
                  <c:v>1264.2143450000001</c:v>
                </c:pt>
                <c:pt idx="531">
                  <c:v>1151.672638</c:v>
                </c:pt>
                <c:pt idx="532">
                  <c:v>1136.3397500000001</c:v>
                </c:pt>
                <c:pt idx="533">
                  <c:v>1210.6428249999999</c:v>
                </c:pt>
                <c:pt idx="534">
                  <c:v>1529.4619259999999</c:v>
                </c:pt>
                <c:pt idx="535">
                  <c:v>1559.9015019999999</c:v>
                </c:pt>
                <c:pt idx="536">
                  <c:v>1522.848698</c:v>
                </c:pt>
                <c:pt idx="537">
                  <c:v>1452.185162</c:v>
                </c:pt>
                <c:pt idx="538">
                  <c:v>1413.421904</c:v>
                </c:pt>
                <c:pt idx="539">
                  <c:v>1242.4493500000001</c:v>
                </c:pt>
                <c:pt idx="540">
                  <c:v>1347.828786</c:v>
                </c:pt>
                <c:pt idx="541">
                  <c:v>1326.93011</c:v>
                </c:pt>
                <c:pt idx="542">
                  <c:v>1375.1858440000001</c:v>
                </c:pt>
                <c:pt idx="543">
                  <c:v>1451.445954</c:v>
                </c:pt>
                <c:pt idx="544">
                  <c:v>1487.7412079999999</c:v>
                </c:pt>
                <c:pt idx="545">
                  <c:v>1310.381807</c:v>
                </c:pt>
                <c:pt idx="546">
                  <c:v>1207.951902</c:v>
                </c:pt>
                <c:pt idx="547">
                  <c:v>1194.725373</c:v>
                </c:pt>
                <c:pt idx="548">
                  <c:v>1353.5718469999999</c:v>
                </c:pt>
                <c:pt idx="549">
                  <c:v>1306.078407</c:v>
                </c:pt>
                <c:pt idx="550">
                  <c:v>1264.774318</c:v>
                </c:pt>
                <c:pt idx="551">
                  <c:v>1291.059311</c:v>
                </c:pt>
                <c:pt idx="552">
                  <c:v>1234.6041170000001</c:v>
                </c:pt>
                <c:pt idx="553">
                  <c:v>1216.9770840000001</c:v>
                </c:pt>
                <c:pt idx="554">
                  <c:v>1105.8215970000001</c:v>
                </c:pt>
                <c:pt idx="555">
                  <c:v>1200.953503</c:v>
                </c:pt>
                <c:pt idx="556">
                  <c:v>1151.6147759999999</c:v>
                </c:pt>
                <c:pt idx="557">
                  <c:v>1184.8872280000001</c:v>
                </c:pt>
                <c:pt idx="558">
                  <c:v>1246.6056819999999</c:v>
                </c:pt>
                <c:pt idx="559">
                  <c:v>1234.8403490000001</c:v>
                </c:pt>
                <c:pt idx="560">
                  <c:v>1209.109612</c:v>
                </c:pt>
                <c:pt idx="561">
                  <c:v>1190.10574</c:v>
                </c:pt>
                <c:pt idx="562">
                  <c:v>1319.133548</c:v>
                </c:pt>
                <c:pt idx="563">
                  <c:v>1427.487952</c:v>
                </c:pt>
                <c:pt idx="564">
                  <c:v>1440.1960260000001</c:v>
                </c:pt>
                <c:pt idx="565">
                  <c:v>1514.123327</c:v>
                </c:pt>
                <c:pt idx="566">
                  <c:v>1360.171505</c:v>
                </c:pt>
                <c:pt idx="567">
                  <c:v>1203.2274789999999</c:v>
                </c:pt>
                <c:pt idx="568">
                  <c:v>1249.2084629999999</c:v>
                </c:pt>
                <c:pt idx="569">
                  <c:v>1316.7173130000001</c:v>
                </c:pt>
                <c:pt idx="570">
                  <c:v>1278.768646</c:v>
                </c:pt>
                <c:pt idx="571">
                  <c:v>1361.185295</c:v>
                </c:pt>
                <c:pt idx="572">
                  <c:v>1236.101551</c:v>
                </c:pt>
                <c:pt idx="573">
                  <c:v>1083.450366</c:v>
                </c:pt>
                <c:pt idx="574">
                  <c:v>954.00460099999998</c:v>
                </c:pt>
                <c:pt idx="575">
                  <c:v>992.44277299999999</c:v>
                </c:pt>
                <c:pt idx="576">
                  <c:v>1142.1163180000001</c:v>
                </c:pt>
                <c:pt idx="577">
                  <c:v>1183.0526609999999</c:v>
                </c:pt>
                <c:pt idx="578">
                  <c:v>1195.4371269999999</c:v>
                </c:pt>
                <c:pt idx="579">
                  <c:v>1014.155783</c:v>
                </c:pt>
                <c:pt idx="580">
                  <c:v>1048.599003</c:v>
                </c:pt>
                <c:pt idx="581">
                  <c:v>1100.263696</c:v>
                </c:pt>
                <c:pt idx="582">
                  <c:v>1119.7323389999999</c:v>
                </c:pt>
                <c:pt idx="583">
                  <c:v>1261.5486149999999</c:v>
                </c:pt>
                <c:pt idx="584">
                  <c:v>1296.4290900000001</c:v>
                </c:pt>
                <c:pt idx="585">
                  <c:v>1157.4587019999999</c:v>
                </c:pt>
                <c:pt idx="586">
                  <c:v>1197.7967550000001</c:v>
                </c:pt>
                <c:pt idx="587">
                  <c:v>1183.4868300000001</c:v>
                </c:pt>
                <c:pt idx="588">
                  <c:v>1093.3765470000001</c:v>
                </c:pt>
                <c:pt idx="589">
                  <c:v>1162.2470980000001</c:v>
                </c:pt>
                <c:pt idx="590">
                  <c:v>1402.875057</c:v>
                </c:pt>
                <c:pt idx="591">
                  <c:v>1388.7937750000001</c:v>
                </c:pt>
                <c:pt idx="592">
                  <c:v>1361.500853</c:v>
                </c:pt>
                <c:pt idx="593">
                  <c:v>1356.9109779999999</c:v>
                </c:pt>
                <c:pt idx="594">
                  <c:v>1357.6947809999999</c:v>
                </c:pt>
                <c:pt idx="595">
                  <c:v>1094.780532</c:v>
                </c:pt>
                <c:pt idx="596">
                  <c:v>930.73410200000001</c:v>
                </c:pt>
                <c:pt idx="597">
                  <c:v>1018.857942</c:v>
                </c:pt>
                <c:pt idx="598">
                  <c:v>1199.4146920000001</c:v>
                </c:pt>
                <c:pt idx="599">
                  <c:v>1187.462681</c:v>
                </c:pt>
                <c:pt idx="600">
                  <c:v>1101.3424689999999</c:v>
                </c:pt>
                <c:pt idx="601">
                  <c:v>998.62912400000005</c:v>
                </c:pt>
                <c:pt idx="602">
                  <c:v>967.48432200000002</c:v>
                </c:pt>
                <c:pt idx="603">
                  <c:v>924.42986800000006</c:v>
                </c:pt>
                <c:pt idx="604">
                  <c:v>1009.066333</c:v>
                </c:pt>
                <c:pt idx="605">
                  <c:v>990.52582199999995</c:v>
                </c:pt>
                <c:pt idx="606">
                  <c:v>1076.4617470000001</c:v>
                </c:pt>
                <c:pt idx="607">
                  <c:v>1142.721233</c:v>
                </c:pt>
                <c:pt idx="608">
                  <c:v>1127.7911449999999</c:v>
                </c:pt>
                <c:pt idx="609">
                  <c:v>1010.219971</c:v>
                </c:pt>
                <c:pt idx="610">
                  <c:v>883.48248799999999</c:v>
                </c:pt>
                <c:pt idx="611">
                  <c:v>967.84113100000002</c:v>
                </c:pt>
                <c:pt idx="612">
                  <c:v>1197.7883300000001</c:v>
                </c:pt>
                <c:pt idx="613">
                  <c:v>1043.231671</c:v>
                </c:pt>
                <c:pt idx="614">
                  <c:v>948.92302500000005</c:v>
                </c:pt>
                <c:pt idx="615">
                  <c:v>1409.7171209999999</c:v>
                </c:pt>
                <c:pt idx="616">
                  <c:v>1132.49665</c:v>
                </c:pt>
                <c:pt idx="617">
                  <c:v>1034.495711</c:v>
                </c:pt>
                <c:pt idx="618">
                  <c:v>1042.227126</c:v>
                </c:pt>
                <c:pt idx="619">
                  <c:v>898.73022300000002</c:v>
                </c:pt>
                <c:pt idx="620">
                  <c:v>847.75846899999999</c:v>
                </c:pt>
                <c:pt idx="621">
                  <c:v>774.04520400000001</c:v>
                </c:pt>
                <c:pt idx="622">
                  <c:v>718.94112800000005</c:v>
                </c:pt>
                <c:pt idx="623">
                  <c:v>645.46731799999998</c:v>
                </c:pt>
                <c:pt idx="624">
                  <c:v>632.237934</c:v>
                </c:pt>
                <c:pt idx="625">
                  <c:v>751.73943199999997</c:v>
                </c:pt>
                <c:pt idx="626">
                  <c:v>704.62586099999999</c:v>
                </c:pt>
                <c:pt idx="627">
                  <c:v>856.42226100000005</c:v>
                </c:pt>
                <c:pt idx="628">
                  <c:v>977.22681999999998</c:v>
                </c:pt>
                <c:pt idx="629">
                  <c:v>982.80016499999999</c:v>
                </c:pt>
                <c:pt idx="630">
                  <c:v>838.06204300000002</c:v>
                </c:pt>
                <c:pt idx="631">
                  <c:v>699.11627899999996</c:v>
                </c:pt>
                <c:pt idx="632">
                  <c:v>769.12121100000002</c:v>
                </c:pt>
                <c:pt idx="633">
                  <c:v>811.04810699999996</c:v>
                </c:pt>
                <c:pt idx="634">
                  <c:v>844.35232599999995</c:v>
                </c:pt>
                <c:pt idx="635">
                  <c:v>786.83014600000001</c:v>
                </c:pt>
                <c:pt idx="636">
                  <c:v>685.41998699999999</c:v>
                </c:pt>
                <c:pt idx="637">
                  <c:v>584.00381200000004</c:v>
                </c:pt>
                <c:pt idx="638">
                  <c:v>609.98025299999995</c:v>
                </c:pt>
                <c:pt idx="639">
                  <c:v>663.41773599999999</c:v>
                </c:pt>
                <c:pt idx="640">
                  <c:v>749.54400299999998</c:v>
                </c:pt>
                <c:pt idx="641">
                  <c:v>1031.081158</c:v>
                </c:pt>
                <c:pt idx="642">
                  <c:v>1050.443319</c:v>
                </c:pt>
                <c:pt idx="643">
                  <c:v>957.22191299999997</c:v>
                </c:pt>
                <c:pt idx="644">
                  <c:v>900.57310399999994</c:v>
                </c:pt>
                <c:pt idx="645">
                  <c:v>795.90014599999995</c:v>
                </c:pt>
                <c:pt idx="646">
                  <c:v>842.61831099999995</c:v>
                </c:pt>
                <c:pt idx="647">
                  <c:v>817.79992100000004</c:v>
                </c:pt>
                <c:pt idx="648">
                  <c:v>720.77272100000005</c:v>
                </c:pt>
                <c:pt idx="649">
                  <c:v>862.55912000000001</c:v>
                </c:pt>
                <c:pt idx="650">
                  <c:v>895.94799699999999</c:v>
                </c:pt>
                <c:pt idx="651">
                  <c:v>753.13205800000003</c:v>
                </c:pt>
                <c:pt idx="652">
                  <c:v>813.08348899999999</c:v>
                </c:pt>
                <c:pt idx="653">
                  <c:v>999.16816900000003</c:v>
                </c:pt>
                <c:pt idx="654">
                  <c:v>890.36457299999995</c:v>
                </c:pt>
                <c:pt idx="655">
                  <c:v>755.84293300000002</c:v>
                </c:pt>
                <c:pt idx="656">
                  <c:v>687.81197099999997</c:v>
                </c:pt>
                <c:pt idx="657">
                  <c:v>621.32695100000001</c:v>
                </c:pt>
                <c:pt idx="658">
                  <c:v>591.16507999999999</c:v>
                </c:pt>
                <c:pt idx="659">
                  <c:v>818.688672</c:v>
                </c:pt>
                <c:pt idx="660">
                  <c:v>814.88361599999996</c:v>
                </c:pt>
                <c:pt idx="661">
                  <c:v>728.21540100000004</c:v>
                </c:pt>
                <c:pt idx="662">
                  <c:v>964.72813599999995</c:v>
                </c:pt>
                <c:pt idx="663">
                  <c:v>990.39044000000001</c:v>
                </c:pt>
                <c:pt idx="664">
                  <c:v>780.63260100000002</c:v>
                </c:pt>
                <c:pt idx="665">
                  <c:v>673.26927899999998</c:v>
                </c:pt>
                <c:pt idx="666">
                  <c:v>636.57923400000004</c:v>
                </c:pt>
                <c:pt idx="667">
                  <c:v>727.65620100000001</c:v>
                </c:pt>
                <c:pt idx="668">
                  <c:v>824.75591299999996</c:v>
                </c:pt>
                <c:pt idx="669">
                  <c:v>840.01467200000002</c:v>
                </c:pt>
                <c:pt idx="670">
                  <c:v>787.86613</c:v>
                </c:pt>
                <c:pt idx="671">
                  <c:v>763.32986500000004</c:v>
                </c:pt>
                <c:pt idx="672">
                  <c:v>654.52094699999998</c:v>
                </c:pt>
                <c:pt idx="673">
                  <c:v>612.06651099999999</c:v>
                </c:pt>
                <c:pt idx="674">
                  <c:v>636.46299199999999</c:v>
                </c:pt>
                <c:pt idx="675">
                  <c:v>606.36918000000003</c:v>
                </c:pt>
                <c:pt idx="676">
                  <c:v>619.709067</c:v>
                </c:pt>
                <c:pt idx="677">
                  <c:v>653.87321399999996</c:v>
                </c:pt>
                <c:pt idx="678">
                  <c:v>606.60836700000004</c:v>
                </c:pt>
                <c:pt idx="679">
                  <c:v>579.12834699999996</c:v>
                </c:pt>
                <c:pt idx="680">
                  <c:v>626.01213199999995</c:v>
                </c:pt>
                <c:pt idx="681">
                  <c:v>723.94379500000002</c:v>
                </c:pt>
                <c:pt idx="682">
                  <c:v>766.498831</c:v>
                </c:pt>
                <c:pt idx="683">
                  <c:v>725.45730900000001</c:v>
                </c:pt>
                <c:pt idx="684">
                  <c:v>783.61493599999994</c:v>
                </c:pt>
                <c:pt idx="685">
                  <c:v>734.670029</c:v>
                </c:pt>
                <c:pt idx="686">
                  <c:v>603.55525399999999</c:v>
                </c:pt>
                <c:pt idx="687">
                  <c:v>596.18188799999996</c:v>
                </c:pt>
                <c:pt idx="688">
                  <c:v>681.835689</c:v>
                </c:pt>
                <c:pt idx="689">
                  <c:v>689.98164499999996</c:v>
                </c:pt>
                <c:pt idx="690">
                  <c:v>692.07388900000001</c:v>
                </c:pt>
                <c:pt idx="691">
                  <c:v>665.16141700000003</c:v>
                </c:pt>
                <c:pt idx="692">
                  <c:v>637.31055500000002</c:v>
                </c:pt>
                <c:pt idx="693">
                  <c:v>581.31956100000002</c:v>
                </c:pt>
                <c:pt idx="694">
                  <c:v>610.90011300000003</c:v>
                </c:pt>
                <c:pt idx="695">
                  <c:v>700.99299699999995</c:v>
                </c:pt>
                <c:pt idx="696">
                  <c:v>683.64590199999998</c:v>
                </c:pt>
                <c:pt idx="697">
                  <c:v>734.15272400000003</c:v>
                </c:pt>
                <c:pt idx="698">
                  <c:v>755.08397200000002</c:v>
                </c:pt>
                <c:pt idx="699">
                  <c:v>664.95707400000003</c:v>
                </c:pt>
                <c:pt idx="700">
                  <c:v>658.34876299999996</c:v>
                </c:pt>
                <c:pt idx="701">
                  <c:v>607.29546300000004</c:v>
                </c:pt>
                <c:pt idx="702">
                  <c:v>640.69970799999999</c:v>
                </c:pt>
                <c:pt idx="703">
                  <c:v>642.67240200000003</c:v>
                </c:pt>
                <c:pt idx="704">
                  <c:v>652.05328899999995</c:v>
                </c:pt>
                <c:pt idx="705">
                  <c:v>646.38890200000003</c:v>
                </c:pt>
                <c:pt idx="706">
                  <c:v>587.30992300000003</c:v>
                </c:pt>
                <c:pt idx="707">
                  <c:v>579.278009</c:v>
                </c:pt>
                <c:pt idx="708">
                  <c:v>603.21964100000002</c:v>
                </c:pt>
                <c:pt idx="709">
                  <c:v>658.889185</c:v>
                </c:pt>
                <c:pt idx="710">
                  <c:v>634.49197000000004</c:v>
                </c:pt>
                <c:pt idx="711">
                  <c:v>616.27305999999999</c:v>
                </c:pt>
                <c:pt idx="712">
                  <c:v>628.55208400000004</c:v>
                </c:pt>
                <c:pt idx="713">
                  <c:v>623.25193000000002</c:v>
                </c:pt>
                <c:pt idx="714">
                  <c:v>548.12235799999996</c:v>
                </c:pt>
                <c:pt idx="715">
                  <c:v>538.93441399999995</c:v>
                </c:pt>
                <c:pt idx="716">
                  <c:v>592.56289400000003</c:v>
                </c:pt>
                <c:pt idx="717">
                  <c:v>647.46896300000003</c:v>
                </c:pt>
                <c:pt idx="718">
                  <c:v>644.36063999999999</c:v>
                </c:pt>
                <c:pt idx="719">
                  <c:v>598.113429</c:v>
                </c:pt>
                <c:pt idx="720">
                  <c:v>555.930069</c:v>
                </c:pt>
                <c:pt idx="721">
                  <c:v>501.947587</c:v>
                </c:pt>
                <c:pt idx="722">
                  <c:v>482.39363800000001</c:v>
                </c:pt>
                <c:pt idx="723">
                  <c:v>474.27823999999998</c:v>
                </c:pt>
                <c:pt idx="724">
                  <c:v>466.23922800000003</c:v>
                </c:pt>
                <c:pt idx="725">
                  <c:v>517.85897199999999</c:v>
                </c:pt>
                <c:pt idx="726">
                  <c:v>523.47178399999996</c:v>
                </c:pt>
                <c:pt idx="727">
                  <c:v>504.46765799999997</c:v>
                </c:pt>
                <c:pt idx="728">
                  <c:v>501.93100500000003</c:v>
                </c:pt>
                <c:pt idx="729">
                  <c:v>491.09572800000001</c:v>
                </c:pt>
              </c:numCache>
            </c:numRef>
          </c:val>
          <c:extLst>
            <c:ext xmlns:c16="http://schemas.microsoft.com/office/drawing/2014/chart" uri="{C3380CC4-5D6E-409C-BE32-E72D297353CC}">
              <c16:uniqueId val="{00000001-85C8-4F9D-AA4F-BF7408A101F3}"/>
            </c:ext>
          </c:extLst>
        </c:ser>
        <c:dLbls>
          <c:showLegendKey val="0"/>
          <c:showVal val="0"/>
          <c:showCatName val="0"/>
          <c:showSerName val="0"/>
          <c:showPercent val="0"/>
          <c:showBubbleSize val="0"/>
        </c:dLbls>
        <c:axId val="646086088"/>
        <c:axId val="646105440"/>
      </c:areaChart>
      <c:dateAx>
        <c:axId val="646086088"/>
        <c:scaling>
          <c:orientation val="minMax"/>
        </c:scaling>
        <c:delete val="0"/>
        <c:axPos val="b"/>
        <c:numFmt formatCode="mmm\-yy"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0" spcFirstLastPara="1" vertOverflow="ellipsis" wrap="square" anchor="ctr" anchorCtr="0"/>
          <a:lstStyle/>
          <a:p>
            <a:pPr>
              <a:defRPr sz="900" b="0" i="0" u="none" strike="noStrike" kern="1200" baseline="0">
                <a:solidFill>
                  <a:srgbClr val="595A5B"/>
                </a:solidFill>
                <a:latin typeface="Arial"/>
                <a:ea typeface="Arial"/>
                <a:cs typeface="Arial"/>
              </a:defRPr>
            </a:pPr>
            <a:endParaRPr lang="en-US"/>
          </a:p>
        </c:txPr>
        <c:crossAx val="646105440"/>
        <c:crosses val="autoZero"/>
        <c:auto val="1"/>
        <c:lblOffset val="100"/>
        <c:baseTimeUnit val="days"/>
        <c:majorUnit val="3"/>
        <c:majorTimeUnit val="months"/>
      </c:dateAx>
      <c:valAx>
        <c:axId val="646105440"/>
        <c:scaling>
          <c:orientation val="minMax"/>
          <c:max val="2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Terajoules</a:t>
                </a:r>
              </a:p>
            </c:rich>
          </c:tx>
          <c:layout>
            <c:manualLayout>
              <c:xMode val="edge"/>
              <c:yMode val="edge"/>
              <c:x val="1.2356402094907916E-2"/>
              <c:y val="0.40043963609017286"/>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46086088"/>
        <c:crosses val="autoZero"/>
        <c:crossBetween val="midCat"/>
        <c:majorUnit val="50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w="0">
              <a:solidFill>
                <a:schemeClr val="bg2"/>
              </a:solidFill>
            </a:ln>
            <a:effectLst>
              <a:outerShdw blurRad="63500" sx="102000" sy="102000" algn="ctr" rotWithShape="0">
                <a:prstClr val="black">
                  <a:alpha val="10000"/>
                </a:prstClr>
              </a:outerShdw>
            </a:effectLst>
          </c:spPr>
          <c:dPt>
            <c:idx val="0"/>
            <c:bubble3D val="0"/>
            <c:spPr>
              <a:solidFill>
                <a:srgbClr val="005CAF"/>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01-A5CC-4CAE-91A0-E4ABE7E45E29}"/>
              </c:ext>
            </c:extLst>
          </c:dPt>
          <c:dPt>
            <c:idx val="1"/>
            <c:bubble3D val="0"/>
            <c:spPr>
              <a:solidFill>
                <a:srgbClr val="56B4DF"/>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03-A5CC-4CAE-91A0-E4ABE7E45E29}"/>
              </c:ext>
            </c:extLst>
          </c:dPt>
          <c:dPt>
            <c:idx val="2"/>
            <c:bubble3D val="0"/>
            <c:spPr>
              <a:solidFill>
                <a:srgbClr val="9ED9DF"/>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05-A5CC-4CAE-91A0-E4ABE7E45E29}"/>
              </c:ext>
            </c:extLst>
          </c:dPt>
          <c:dPt>
            <c:idx val="3"/>
            <c:bubble3D val="0"/>
            <c:spPr>
              <a:solidFill>
                <a:srgbClr val="BCBFC1"/>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07-A5CC-4CAE-91A0-E4ABE7E45E29}"/>
              </c:ext>
            </c:extLst>
          </c:dPt>
          <c:dPt>
            <c:idx val="4"/>
            <c:bubble3D val="0"/>
            <c:spPr>
              <a:solidFill>
                <a:srgbClr val="51B7A4"/>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09-A5CC-4CAE-91A0-E4ABE7E45E29}"/>
              </c:ext>
            </c:extLst>
          </c:dPt>
          <c:dPt>
            <c:idx val="5"/>
            <c:bubble3D val="0"/>
            <c:spPr>
              <a:solidFill>
                <a:srgbClr val="0A7568"/>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0B-A5CC-4CAE-91A0-E4ABE7E45E29}"/>
              </c:ext>
            </c:extLst>
          </c:dPt>
          <c:dPt>
            <c:idx val="6"/>
            <c:bubble3D val="0"/>
            <c:spPr>
              <a:solidFill>
                <a:srgbClr val="D1AAF7"/>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0D-A5CC-4CAE-91A0-E4ABE7E45E29}"/>
              </c:ext>
            </c:extLst>
          </c:dPt>
          <c:dPt>
            <c:idx val="7"/>
            <c:bubble3D val="0"/>
            <c:spPr>
              <a:solidFill>
                <a:srgbClr val="60307F"/>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0F-A5CC-4CAE-91A0-E4ABE7E45E29}"/>
              </c:ext>
            </c:extLst>
          </c:dPt>
          <c:dPt>
            <c:idx val="8"/>
            <c:bubble3D val="0"/>
            <c:spPr>
              <a:solidFill>
                <a:srgbClr val="FFB47B"/>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11-A5CC-4CAE-91A0-E4ABE7E45E29}"/>
              </c:ext>
            </c:extLst>
          </c:dPt>
          <c:dPt>
            <c:idx val="9"/>
            <c:bubble3D val="0"/>
            <c:spPr>
              <a:solidFill>
                <a:srgbClr val="F36A5A"/>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13-A5CC-4CAE-91A0-E4ABE7E45E29}"/>
              </c:ext>
            </c:extLst>
          </c:dPt>
          <c:dPt>
            <c:idx val="10"/>
            <c:bubble3D val="0"/>
            <c:spPr>
              <a:solidFill>
                <a:srgbClr val="D0D3D5"/>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15-A5CC-4CAE-91A0-E4ABE7E45E29}"/>
              </c:ext>
            </c:extLst>
          </c:dPt>
          <c:dPt>
            <c:idx val="11"/>
            <c:bubble3D val="0"/>
            <c:spPr>
              <a:solidFill>
                <a:srgbClr val="7B8185"/>
              </a:solidFill>
              <a:ln w="0">
                <a:solidFill>
                  <a:schemeClr val="bg2"/>
                </a:solidFill>
              </a:ln>
              <a:effectLst>
                <a:outerShdw blurRad="63500" sx="102000" sy="102000" algn="ctr" rotWithShape="0">
                  <a:prstClr val="black">
                    <a:alpha val="10000"/>
                  </a:prstClr>
                </a:outerShdw>
              </a:effectLst>
            </c:spPr>
            <c:extLst>
              <c:ext xmlns:c16="http://schemas.microsoft.com/office/drawing/2014/chart" uri="{C3380CC4-5D6E-409C-BE32-E72D297353CC}">
                <c16:uniqueId val="{00000017-A5CC-4CAE-91A0-E4ABE7E45E2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1-A5CC-4CAE-91A0-E4ABE7E45E29}"/>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3-A5CC-4CAE-91A0-E4ABE7E45E29}"/>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7-A5CC-4CAE-91A0-E4ABE7E45E29}"/>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9-A5CC-4CAE-91A0-E4ABE7E45E29}"/>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B-A5CC-4CAE-91A0-E4ABE7E45E29}"/>
                </c:ext>
              </c:extLst>
            </c:dLbl>
            <c:dLbl>
              <c:idx val="6"/>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fld id="{7493EAD7-96FA-49E8-9D51-302A3224E0EC}" type="CATEGORYNAME">
                      <a:rPr lang="en-US">
                        <a:solidFill>
                          <a:schemeClr val="bg1"/>
                        </a:solidFill>
                        <a:latin typeface="Arial" panose="020B0604020202020204" pitchFamily="34" charset="0"/>
                        <a:cs typeface="Arial" panose="020B0604020202020204" pitchFamily="34" charset="0"/>
                      </a:rPr>
                      <a:pPr>
                        <a:defRPr>
                          <a:solidFill>
                            <a:schemeClr val="bg1"/>
                          </a:solidFill>
                          <a:latin typeface="Arial" panose="020B0604020202020204" pitchFamily="34" charset="0"/>
                          <a:cs typeface="Arial" panose="020B0604020202020204" pitchFamily="34" charset="0"/>
                        </a:defRPr>
                      </a:pPr>
                      <a:t>[CATEGORY NAME]</a:t>
                    </a:fld>
                    <a:r>
                      <a:rPr lang="en-US" baseline="0">
                        <a:solidFill>
                          <a:schemeClr val="bg1"/>
                        </a:solidFill>
                        <a:latin typeface="Arial" panose="020B0604020202020204" pitchFamily="34" charset="0"/>
                        <a:cs typeface="Arial" panose="020B0604020202020204" pitchFamily="34" charset="0"/>
                      </a:rPr>
                      <a:t>, </a:t>
                    </a:r>
                    <a:fld id="{11073FFB-9E17-4B20-B213-45228481DCAF}" type="VALUE">
                      <a:rPr lang="en-US" baseline="0">
                        <a:solidFill>
                          <a:schemeClr val="bg1"/>
                        </a:solidFill>
                        <a:latin typeface="Arial" panose="020B0604020202020204" pitchFamily="34" charset="0"/>
                        <a:cs typeface="Arial" panose="020B0604020202020204" pitchFamily="34" charset="0"/>
                      </a:rPr>
                      <a:pPr>
                        <a:defRPr>
                          <a:solidFill>
                            <a:schemeClr val="bg1"/>
                          </a:solidFill>
                          <a:latin typeface="Arial" panose="020B0604020202020204" pitchFamily="34" charset="0"/>
                          <a:cs typeface="Arial" panose="020B0604020202020204" pitchFamily="34" charset="0"/>
                        </a:defRPr>
                      </a:pPr>
                      <a:t>[VALUE]</a:t>
                    </a:fld>
                    <a:endParaRPr lang="en-US" baseline="0">
                      <a:solidFill>
                        <a:schemeClr val="bg1"/>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5CC-4CAE-91A0-E4ABE7E45E29}"/>
                </c:ext>
              </c:extLst>
            </c:dLbl>
            <c:dLbl>
              <c:idx val="7"/>
              <c:layout>
                <c:manualLayout>
                  <c:x val="-0.19308934793908708"/>
                  <c:y val="-6.684980388687368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5CC-4CAE-91A0-E4ABE7E45E29}"/>
                </c:ext>
              </c:extLst>
            </c:dLbl>
            <c:dLbl>
              <c:idx val="8"/>
              <c:layout>
                <c:manualLayout>
                  <c:x val="-0.2077952114176437"/>
                  <c:y val="-9.435931463623228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5CC-4CAE-91A0-E4ABE7E45E29}"/>
                </c:ext>
              </c:extLst>
            </c:dLbl>
            <c:dLbl>
              <c:idx val="9"/>
              <c:layout>
                <c:manualLayout>
                  <c:x val="-0.1970588273042887"/>
                  <c:y val="-0.1402136600902415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011409942950283"/>
                      <c:h val="0.1012548291014185"/>
                    </c:manualLayout>
                  </c15:layout>
                </c:ext>
                <c:ext xmlns:c16="http://schemas.microsoft.com/office/drawing/2014/chart" uri="{C3380CC4-5D6E-409C-BE32-E72D297353CC}">
                  <c16:uniqueId val="{00000013-A5CC-4CAE-91A0-E4ABE7E45E29}"/>
                </c:ext>
              </c:extLst>
            </c:dLbl>
            <c:dLbl>
              <c:idx val="10"/>
              <c:layout>
                <c:manualLayout>
                  <c:x val="-5.5069852209794067E-2"/>
                  <c:y val="-0.16075437199563539"/>
                </c:manualLayout>
              </c:layout>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5-A5CC-4CAE-91A0-E4ABE7E45E29}"/>
                </c:ext>
              </c:extLst>
            </c:dLbl>
            <c:dLbl>
              <c:idx val="11"/>
              <c:layout>
                <c:manualLayout>
                  <c:x val="7.1863388714552376E-2"/>
                  <c:y val="-0.1470580081984133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5CC-4CAE-91A0-E4ABE7E45E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'3.3'!$B$6:$B$17</c:f>
              <c:strCache>
                <c:ptCount val="12"/>
                <c:pt idx="0">
                  <c:v>Alumina/ Aluminium</c:v>
                </c:pt>
                <c:pt idx="1">
                  <c:v>Ammonia/ Ammonium Nitrate</c:v>
                </c:pt>
                <c:pt idx="2">
                  <c:v>Fertiliser</c:v>
                </c:pt>
                <c:pt idx="3">
                  <c:v>Iron and Steel; Smelters</c:v>
                </c:pt>
                <c:pt idx="4">
                  <c:v>Mining</c:v>
                </c:pt>
                <c:pt idx="5">
                  <c:v>Paper &amp; Packaging</c:v>
                </c:pt>
                <c:pt idx="6">
                  <c:v>Cement</c:v>
                </c:pt>
                <c:pt idx="7">
                  <c:v>Chemicals</c:v>
                </c:pt>
                <c:pt idx="8">
                  <c:v>Refinery</c:v>
                </c:pt>
                <c:pt idx="9">
                  <c:v>Glass &amp; Glass Bottles</c:v>
                </c:pt>
                <c:pt idx="10">
                  <c:v>Bricks &amp; Pavers</c:v>
                </c:pt>
                <c:pt idx="11">
                  <c:v>Other </c:v>
                </c:pt>
              </c:strCache>
            </c:strRef>
          </c:cat>
          <c:val>
            <c:numRef>
              <c:f>'3.3'!$C$6:$C$17</c:f>
              <c:numCache>
                <c:formatCode>0%</c:formatCode>
                <c:ptCount val="12"/>
                <c:pt idx="0">
                  <c:v>0.21</c:v>
                </c:pt>
                <c:pt idx="1">
                  <c:v>0.15</c:v>
                </c:pt>
                <c:pt idx="2">
                  <c:v>0.14000000000000001</c:v>
                </c:pt>
                <c:pt idx="3">
                  <c:v>0.14000000000000001</c:v>
                </c:pt>
                <c:pt idx="4">
                  <c:v>0.1</c:v>
                </c:pt>
                <c:pt idx="5">
                  <c:v>0.08</c:v>
                </c:pt>
                <c:pt idx="6">
                  <c:v>0.04</c:v>
                </c:pt>
                <c:pt idx="7">
                  <c:v>0.04</c:v>
                </c:pt>
                <c:pt idx="8">
                  <c:v>0.04</c:v>
                </c:pt>
                <c:pt idx="9">
                  <c:v>0.03</c:v>
                </c:pt>
                <c:pt idx="10">
                  <c:v>0.02</c:v>
                </c:pt>
                <c:pt idx="11">
                  <c:v>0.01</c:v>
                </c:pt>
              </c:numCache>
            </c:numRef>
          </c:val>
          <c:extLst>
            <c:ext xmlns:c16="http://schemas.microsoft.com/office/drawing/2014/chart" uri="{C3380CC4-5D6E-409C-BE32-E72D297353CC}">
              <c16:uniqueId val="{00000018-A5CC-4CAE-91A0-E4ABE7E45E29}"/>
            </c:ext>
          </c:extLst>
        </c:ser>
        <c:dLbls>
          <c:showLegendKey val="0"/>
          <c:showVal val="0"/>
          <c:showCatName val="0"/>
          <c:showSerName val="0"/>
          <c:showPercent val="0"/>
          <c:showBubbleSize val="0"/>
          <c:showLeaderLines val="1"/>
        </c:dLbls>
        <c:firstSliceAng val="0"/>
        <c:holeSize val="50"/>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'3.4'!$C$5</c:f>
              <c:strCache>
                <c:ptCount val="1"/>
                <c:pt idx="0">
                  <c:v>Actual</c:v>
                </c:pt>
              </c:strCache>
            </c:strRef>
          </c:tx>
          <c:spPr>
            <a:ln w="28575" cap="rnd">
              <a:solidFill>
                <a:srgbClr val="005CAF"/>
              </a:solidFill>
              <a:prstDash val="solid"/>
              <a:round/>
            </a:ln>
            <a:effectLst/>
          </c:spPr>
          <c:marker>
            <c:symbol val="none"/>
          </c:marker>
          <c:cat>
            <c:numRef>
              <c:f>'3.4'!$B$6:$B$32</c:f>
              <c:numCache>
                <c:formatCode>General</c:formatCode>
                <c:ptCount val="27"/>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numCache>
            </c:numRef>
          </c:cat>
          <c:val>
            <c:numRef>
              <c:f>'3.4'!$C$6:$C$32</c:f>
              <c:numCache>
                <c:formatCode>0</c:formatCode>
                <c:ptCount val="27"/>
                <c:pt idx="0">
                  <c:v>672.50497003300006</c:v>
                </c:pt>
                <c:pt idx="1">
                  <c:v>618.66029637700001</c:v>
                </c:pt>
                <c:pt idx="2">
                  <c:v>611.53259387399999</c:v>
                </c:pt>
                <c:pt idx="3">
                  <c:v>601.32668380899997</c:v>
                </c:pt>
                <c:pt idx="4">
                  <c:v>577.69458556400002</c:v>
                </c:pt>
                <c:pt idx="5">
                  <c:v>592.99671554499992</c:v>
                </c:pt>
                <c:pt idx="6">
                  <c:v>511.80713843298088</c:v>
                </c:pt>
              </c:numCache>
            </c:numRef>
          </c:val>
          <c:smooth val="0"/>
          <c:extLst>
            <c:ext xmlns:c16="http://schemas.microsoft.com/office/drawing/2014/chart" uri="{C3380CC4-5D6E-409C-BE32-E72D297353CC}">
              <c16:uniqueId val="{00000000-BDE7-4AF1-BD91-9515294E0FFF}"/>
            </c:ext>
          </c:extLst>
        </c:ser>
        <c:ser>
          <c:idx val="1"/>
          <c:order val="1"/>
          <c:tx>
            <c:strRef>
              <c:f>'3.4'!$D$5</c:f>
              <c:strCache>
                <c:ptCount val="1"/>
                <c:pt idx="0">
                  <c:v>Green Energy Exports</c:v>
                </c:pt>
              </c:strCache>
            </c:strRef>
          </c:tx>
          <c:spPr>
            <a:ln w="28575" cap="rnd">
              <a:solidFill>
                <a:srgbClr val="56B4DF"/>
              </a:solidFill>
              <a:prstDash val="sysDash"/>
              <a:round/>
            </a:ln>
            <a:effectLst/>
          </c:spPr>
          <c:marker>
            <c:symbol val="none"/>
          </c:marker>
          <c:dLbls>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E7-4AF1-BD91-9515294E0F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'3.4'!$B$6:$B$32</c:f>
              <c:numCache>
                <c:formatCode>General</c:formatCode>
                <c:ptCount val="27"/>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numCache>
            </c:numRef>
          </c:cat>
          <c:val>
            <c:numRef>
              <c:f>'3.4'!$D$6:$D$32</c:f>
              <c:numCache>
                <c:formatCode>General</c:formatCode>
                <c:ptCount val="27"/>
                <c:pt idx="6" formatCode="0">
                  <c:v>511.80713843298088</c:v>
                </c:pt>
                <c:pt idx="7" formatCode="0">
                  <c:v>506.07107839000003</c:v>
                </c:pt>
                <c:pt idx="8" formatCode="0">
                  <c:v>502.17178745000001</c:v>
                </c:pt>
                <c:pt idx="9" formatCode="0">
                  <c:v>533.70939468999995</c:v>
                </c:pt>
                <c:pt idx="10" formatCode="0">
                  <c:v>481.00528301000003</c:v>
                </c:pt>
                <c:pt idx="11" formatCode="0">
                  <c:v>502.07849167000001</c:v>
                </c:pt>
                <c:pt idx="12" formatCode="0">
                  <c:v>470.25044754999999</c:v>
                </c:pt>
                <c:pt idx="13" formatCode="0">
                  <c:v>450.50624461000001</c:v>
                </c:pt>
                <c:pt idx="14" formatCode="0">
                  <c:v>420.96712385000006</c:v>
                </c:pt>
                <c:pt idx="15" formatCode="0">
                  <c:v>396.64561302000004</c:v>
                </c:pt>
                <c:pt idx="16" formatCode="0">
                  <c:v>385.08397744000007</c:v>
                </c:pt>
                <c:pt idx="17" formatCode="0">
                  <c:v>382.28782758000006</c:v>
                </c:pt>
                <c:pt idx="18" formatCode="0">
                  <c:v>380.36551064000002</c:v>
                </c:pt>
                <c:pt idx="19" formatCode="0">
                  <c:v>374.95740554000002</c:v>
                </c:pt>
                <c:pt idx="20" formatCode="0">
                  <c:v>371.35845221</c:v>
                </c:pt>
                <c:pt idx="21" formatCode="0">
                  <c:v>370.62471177999998</c:v>
                </c:pt>
                <c:pt idx="22" formatCode="0">
                  <c:v>372.56953004000002</c:v>
                </c:pt>
                <c:pt idx="23" formatCode="0">
                  <c:v>370.56562551000002</c:v>
                </c:pt>
                <c:pt idx="24" formatCode="0">
                  <c:v>364.45278933000003</c:v>
                </c:pt>
                <c:pt idx="25" formatCode="0">
                  <c:v>359.61401865000005</c:v>
                </c:pt>
                <c:pt idx="26" formatCode="0">
                  <c:v>356.92814598000001</c:v>
                </c:pt>
              </c:numCache>
            </c:numRef>
          </c:val>
          <c:smooth val="0"/>
          <c:extLst>
            <c:ext xmlns:c16="http://schemas.microsoft.com/office/drawing/2014/chart" uri="{C3380CC4-5D6E-409C-BE32-E72D297353CC}">
              <c16:uniqueId val="{00000002-BDE7-4AF1-BD91-9515294E0FFF}"/>
            </c:ext>
          </c:extLst>
        </c:ser>
        <c:ser>
          <c:idx val="2"/>
          <c:order val="2"/>
          <c:tx>
            <c:strRef>
              <c:f>'3.4'!$E$5</c:f>
              <c:strCache>
                <c:ptCount val="1"/>
                <c:pt idx="0">
                  <c:v>Step Change</c:v>
                </c:pt>
              </c:strCache>
            </c:strRef>
          </c:tx>
          <c:spPr>
            <a:ln w="28575" cap="rnd">
              <a:solidFill>
                <a:srgbClr val="9ED9DF"/>
              </a:solidFill>
              <a:prstDash val="sysDash"/>
              <a:round/>
            </a:ln>
            <a:effectLst/>
          </c:spPr>
          <c:marker>
            <c:symbol val="none"/>
          </c:marker>
          <c:dLbls>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E7-4AF1-BD91-9515294E0F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'3.4'!$B$6:$B$32</c:f>
              <c:numCache>
                <c:formatCode>General</c:formatCode>
                <c:ptCount val="27"/>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numCache>
            </c:numRef>
          </c:cat>
          <c:val>
            <c:numRef>
              <c:f>'3.4'!$E$6:$E$32</c:f>
              <c:numCache>
                <c:formatCode>General</c:formatCode>
                <c:ptCount val="27"/>
                <c:pt idx="6" formatCode="0">
                  <c:v>511.80713843298088</c:v>
                </c:pt>
                <c:pt idx="7" formatCode="0">
                  <c:v>499.82777672999998</c:v>
                </c:pt>
                <c:pt idx="8" formatCode="0">
                  <c:v>500.34212511999999</c:v>
                </c:pt>
                <c:pt idx="9" formatCode="0">
                  <c:v>539.42562527999996</c:v>
                </c:pt>
                <c:pt idx="10" formatCode="0">
                  <c:v>508.22448211</c:v>
                </c:pt>
                <c:pt idx="11" formatCode="0">
                  <c:v>494.68754200999996</c:v>
                </c:pt>
                <c:pt idx="12" formatCode="0">
                  <c:v>483.95345473999998</c:v>
                </c:pt>
                <c:pt idx="13" formatCode="0">
                  <c:v>448.94484729999994</c:v>
                </c:pt>
                <c:pt idx="14" formatCode="0">
                  <c:v>433.93254255999994</c:v>
                </c:pt>
                <c:pt idx="15" formatCode="0">
                  <c:v>430.37213325999994</c:v>
                </c:pt>
                <c:pt idx="16" formatCode="0">
                  <c:v>453.35076423000004</c:v>
                </c:pt>
                <c:pt idx="17" formatCode="0">
                  <c:v>492.54426115000012</c:v>
                </c:pt>
                <c:pt idx="18" formatCode="0">
                  <c:v>480.56788234999993</c:v>
                </c:pt>
                <c:pt idx="19" formatCode="0">
                  <c:v>456.97260931999995</c:v>
                </c:pt>
                <c:pt idx="20" formatCode="0">
                  <c:v>462.56254275999999</c:v>
                </c:pt>
                <c:pt idx="21" formatCode="0">
                  <c:v>468.03222324000001</c:v>
                </c:pt>
                <c:pt idx="22" formatCode="0">
                  <c:v>467.06515554000003</c:v>
                </c:pt>
                <c:pt idx="23" formatCode="0">
                  <c:v>465.35374406000005</c:v>
                </c:pt>
                <c:pt idx="24" formatCode="0">
                  <c:v>474.05231034999997</c:v>
                </c:pt>
                <c:pt idx="25" formatCode="0">
                  <c:v>480.83803148000004</c:v>
                </c:pt>
                <c:pt idx="26" formatCode="0">
                  <c:v>471.34985544000006</c:v>
                </c:pt>
              </c:numCache>
            </c:numRef>
          </c:val>
          <c:smooth val="0"/>
          <c:extLst>
            <c:ext xmlns:c16="http://schemas.microsoft.com/office/drawing/2014/chart" uri="{C3380CC4-5D6E-409C-BE32-E72D297353CC}">
              <c16:uniqueId val="{00000004-BDE7-4AF1-BD91-9515294E0FFF}"/>
            </c:ext>
          </c:extLst>
        </c:ser>
        <c:ser>
          <c:idx val="3"/>
          <c:order val="3"/>
          <c:tx>
            <c:strRef>
              <c:f>'3.4'!$F$5</c:f>
              <c:strCache>
                <c:ptCount val="1"/>
                <c:pt idx="0">
                  <c:v>Progressive Change</c:v>
                </c:pt>
              </c:strCache>
            </c:strRef>
          </c:tx>
          <c:spPr>
            <a:ln w="28575" cap="rnd">
              <a:solidFill>
                <a:srgbClr val="BCBFC1"/>
              </a:solidFill>
              <a:prstDash val="sysDash"/>
              <a:round/>
            </a:ln>
            <a:effectLst/>
          </c:spPr>
          <c:marker>
            <c:symbol val="none"/>
          </c:marker>
          <c:dLbls>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E7-4AF1-BD91-9515294E0FFF}"/>
                </c:ext>
              </c:extLst>
            </c:dLbl>
            <c:dLbl>
              <c:idx val="26"/>
              <c:layout>
                <c:manualLayout>
                  <c:x val="0"/>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E7-4AF1-BD91-9515294E0F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'3.4'!$B$6:$B$32</c:f>
              <c:numCache>
                <c:formatCode>General</c:formatCode>
                <c:ptCount val="27"/>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numCache>
            </c:numRef>
          </c:cat>
          <c:val>
            <c:numRef>
              <c:f>'3.4'!$F$6:$F$32</c:f>
              <c:numCache>
                <c:formatCode>General</c:formatCode>
                <c:ptCount val="27"/>
                <c:pt idx="6" formatCode="0">
                  <c:v>511.80713843298088</c:v>
                </c:pt>
                <c:pt idx="7" formatCode="0">
                  <c:v>498.06436440000004</c:v>
                </c:pt>
                <c:pt idx="8" formatCode="0">
                  <c:v>498.49082468999995</c:v>
                </c:pt>
                <c:pt idx="9" formatCode="0">
                  <c:v>503.06655474999991</c:v>
                </c:pt>
                <c:pt idx="10" formatCode="0">
                  <c:v>473.25285670000005</c:v>
                </c:pt>
                <c:pt idx="11" formatCode="0">
                  <c:v>477.03753785000004</c:v>
                </c:pt>
                <c:pt idx="12" formatCode="0">
                  <c:v>457.36397882000006</c:v>
                </c:pt>
                <c:pt idx="13" formatCode="0">
                  <c:v>420.65693727000013</c:v>
                </c:pt>
                <c:pt idx="14" formatCode="0">
                  <c:v>381.42363205000004</c:v>
                </c:pt>
                <c:pt idx="15" formatCode="0">
                  <c:v>372.17456355000002</c:v>
                </c:pt>
                <c:pt idx="16" formatCode="0">
                  <c:v>390.13424745999998</c:v>
                </c:pt>
                <c:pt idx="17" formatCode="0">
                  <c:v>413.01056513999998</c:v>
                </c:pt>
                <c:pt idx="18" formatCode="0">
                  <c:v>414.56602017</c:v>
                </c:pt>
                <c:pt idx="19" formatCode="0">
                  <c:v>396.19721938999999</c:v>
                </c:pt>
                <c:pt idx="20" formatCode="0">
                  <c:v>382.94052921000002</c:v>
                </c:pt>
                <c:pt idx="21" formatCode="0">
                  <c:v>378.59680147000006</c:v>
                </c:pt>
                <c:pt idx="22" formatCode="0">
                  <c:v>374.00792752999996</c:v>
                </c:pt>
                <c:pt idx="23" formatCode="0">
                  <c:v>391.58116948000003</c:v>
                </c:pt>
                <c:pt idx="24" formatCode="0">
                  <c:v>414.785079</c:v>
                </c:pt>
                <c:pt idx="25" formatCode="0">
                  <c:v>394.49373425000005</c:v>
                </c:pt>
                <c:pt idx="26" formatCode="0">
                  <c:v>372.16347285000001</c:v>
                </c:pt>
              </c:numCache>
            </c:numRef>
          </c:val>
          <c:smooth val="0"/>
          <c:extLst>
            <c:ext xmlns:c16="http://schemas.microsoft.com/office/drawing/2014/chart" uri="{C3380CC4-5D6E-409C-BE32-E72D297353CC}">
              <c16:uniqueId val="{00000007-BDE7-4AF1-BD91-9515294E0FFF}"/>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3"/>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'3.5'!$C$5</c:f>
              <c:strCache>
                <c:ptCount val="1"/>
                <c:pt idx="0">
                  <c:v>Actual</c:v>
                </c:pt>
              </c:strCache>
            </c:strRef>
          </c:tx>
          <c:spPr>
            <a:ln w="28575" cap="rnd">
              <a:solidFill>
                <a:srgbClr val="005CAF"/>
              </a:solidFill>
              <a:prstDash val="solid"/>
              <a:round/>
            </a:ln>
            <a:effectLst/>
          </c:spPr>
          <c:marker>
            <c:symbol val="none"/>
          </c:marker>
          <c:dLbls>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74-4D26-BC5A-B43F96B2A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'3.5'!$B$6:$B$23</c:f>
              <c:numCache>
                <c:formatCode>General</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'3.5'!$C$6:$C$23</c:f>
              <c:numCache>
                <c:formatCode>0</c:formatCode>
                <c:ptCount val="18"/>
                <c:pt idx="0">
                  <c:v>372.30708060109299</c:v>
                </c:pt>
                <c:pt idx="1">
                  <c:v>377.36790000000002</c:v>
                </c:pt>
                <c:pt idx="2">
                  <c:v>373.07820000000004</c:v>
                </c:pt>
                <c:pt idx="3">
                  <c:v>380.78629999999998</c:v>
                </c:pt>
                <c:pt idx="4">
                  <c:v>389.08451502732242</c:v>
                </c:pt>
                <c:pt idx="5">
                  <c:v>382.37160000000006</c:v>
                </c:pt>
                <c:pt idx="6">
                  <c:v>389.11300000000006</c:v>
                </c:pt>
                <c:pt idx="7">
                  <c:v>386.48485604727813</c:v>
                </c:pt>
              </c:numCache>
            </c:numRef>
          </c:val>
          <c:smooth val="0"/>
          <c:extLst>
            <c:ext xmlns:c16="http://schemas.microsoft.com/office/drawing/2014/chart" uri="{C3380CC4-5D6E-409C-BE32-E72D297353CC}">
              <c16:uniqueId val="{00000001-FC74-4D26-BC5A-B43F96B2A30B}"/>
            </c:ext>
          </c:extLst>
        </c:ser>
        <c:ser>
          <c:idx val="1"/>
          <c:order val="1"/>
          <c:tx>
            <c:strRef>
              <c:f>'3.5'!$D$5</c:f>
              <c:strCache>
                <c:ptCount val="1"/>
                <c:pt idx="0">
                  <c:v>Low</c:v>
                </c:pt>
              </c:strCache>
            </c:strRef>
          </c:tx>
          <c:spPr>
            <a:ln w="28575" cap="rnd">
              <a:solidFill>
                <a:srgbClr val="56B4DF"/>
              </a:solidFill>
              <a:prstDash val="sysDash"/>
              <a:round/>
            </a:ln>
            <a:effectLst/>
          </c:spPr>
          <c:marker>
            <c:symbol val="none"/>
          </c:marker>
          <c:dLbls>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74-4D26-BC5A-B43F96B2A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'3.5'!$B$6:$B$23</c:f>
              <c:numCache>
                <c:formatCode>General</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'3.5'!$D$6:$D$23</c:f>
              <c:numCache>
                <c:formatCode>General</c:formatCode>
                <c:ptCount val="18"/>
                <c:pt idx="7" formatCode="0">
                  <c:v>387.98644290755146</c:v>
                </c:pt>
                <c:pt idx="8" formatCode="0">
                  <c:v>385.93696791125262</c:v>
                </c:pt>
                <c:pt idx="9" formatCode="0">
                  <c:v>382.10489657313275</c:v>
                </c:pt>
                <c:pt idx="10" formatCode="0">
                  <c:v>371.12241536201162</c:v>
                </c:pt>
                <c:pt idx="11" formatCode="0">
                  <c:v>365.73541293880544</c:v>
                </c:pt>
                <c:pt idx="12" formatCode="0">
                  <c:v>349.5772760884243</c:v>
                </c:pt>
                <c:pt idx="13" formatCode="0">
                  <c:v>367.18106747691002</c:v>
                </c:pt>
                <c:pt idx="14" formatCode="0">
                  <c:v>368.015215790627</c:v>
                </c:pt>
                <c:pt idx="15" formatCode="0">
                  <c:v>384.19817895139244</c:v>
                </c:pt>
                <c:pt idx="16" formatCode="0">
                  <c:v>387.66951147239087</c:v>
                </c:pt>
                <c:pt idx="17" formatCode="0">
                  <c:v>398.75315436074118</c:v>
                </c:pt>
              </c:numCache>
            </c:numRef>
          </c:val>
          <c:smooth val="0"/>
          <c:extLst>
            <c:ext xmlns:c16="http://schemas.microsoft.com/office/drawing/2014/chart" uri="{C3380CC4-5D6E-409C-BE32-E72D297353CC}">
              <c16:uniqueId val="{00000003-FC74-4D26-BC5A-B43F96B2A30B}"/>
            </c:ext>
          </c:extLst>
        </c:ser>
        <c:ser>
          <c:idx val="2"/>
          <c:order val="2"/>
          <c:tx>
            <c:strRef>
              <c:f>'3.5'!$E$5</c:f>
              <c:strCache>
                <c:ptCount val="1"/>
                <c:pt idx="0">
                  <c:v>Base</c:v>
                </c:pt>
              </c:strCache>
            </c:strRef>
          </c:tx>
          <c:spPr>
            <a:ln w="28575" cap="rnd">
              <a:solidFill>
                <a:srgbClr val="9ED9DF"/>
              </a:solidFill>
              <a:prstDash val="sysDash"/>
              <a:round/>
            </a:ln>
            <a:effectLst/>
          </c:spPr>
          <c:marker>
            <c:symbol val="none"/>
          </c:marker>
          <c:dLbls>
            <c:dLbl>
              <c:idx val="17"/>
              <c:layout>
                <c:manualLayout>
                  <c:x val="0"/>
                  <c:y val="-2.277039848197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74-4D26-BC5A-B43F96B2A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'3.5'!$B$6:$B$23</c:f>
              <c:numCache>
                <c:formatCode>General</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'3.5'!$E$6:$E$23</c:f>
              <c:numCache>
                <c:formatCode>General</c:formatCode>
                <c:ptCount val="18"/>
                <c:pt idx="7" formatCode="0">
                  <c:v>388.96978064370438</c:v>
                </c:pt>
                <c:pt idx="8" formatCode="0">
                  <c:v>413.38406700445921</c:v>
                </c:pt>
                <c:pt idx="9" formatCode="0">
                  <c:v>420.88437157120137</c:v>
                </c:pt>
                <c:pt idx="10" formatCode="0">
                  <c:v>418.76352837743138</c:v>
                </c:pt>
                <c:pt idx="11" formatCode="0">
                  <c:v>410.15051989654421</c:v>
                </c:pt>
                <c:pt idx="12" formatCode="0">
                  <c:v>455.82313627035143</c:v>
                </c:pt>
                <c:pt idx="13" formatCode="0">
                  <c:v>452.81755685657964</c:v>
                </c:pt>
                <c:pt idx="14" formatCode="0">
                  <c:v>451.36521514126218</c:v>
                </c:pt>
                <c:pt idx="15" formatCode="0">
                  <c:v>478.10453074039731</c:v>
                </c:pt>
                <c:pt idx="16" formatCode="0">
                  <c:v>488.96984264113127</c:v>
                </c:pt>
                <c:pt idx="17" formatCode="0">
                  <c:v>483.54376561941433</c:v>
                </c:pt>
              </c:numCache>
            </c:numRef>
          </c:val>
          <c:smooth val="0"/>
          <c:extLst>
            <c:ext xmlns:c16="http://schemas.microsoft.com/office/drawing/2014/chart" uri="{C3380CC4-5D6E-409C-BE32-E72D297353CC}">
              <c16:uniqueId val="{00000005-FC74-4D26-BC5A-B43F96B2A30B}"/>
            </c:ext>
          </c:extLst>
        </c:ser>
        <c:ser>
          <c:idx val="3"/>
          <c:order val="3"/>
          <c:tx>
            <c:strRef>
              <c:f>'3.5'!$F$5</c:f>
              <c:strCache>
                <c:ptCount val="1"/>
                <c:pt idx="0">
                  <c:v>High</c:v>
                </c:pt>
              </c:strCache>
            </c:strRef>
          </c:tx>
          <c:spPr>
            <a:ln w="28575" cap="rnd">
              <a:solidFill>
                <a:srgbClr val="BCBFC1"/>
              </a:solidFill>
              <a:prstDash val="sysDash"/>
              <a:round/>
            </a:ln>
            <a:effectLst/>
          </c:spPr>
          <c:marker>
            <c:symbol val="none"/>
          </c:marker>
          <c:dLbls>
            <c:dLbl>
              <c:idx val="6"/>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74-4D26-BC5A-B43F96B2A30B}"/>
                </c:ext>
              </c:extLst>
            </c:dLbl>
            <c:dLbl>
              <c:idx val="7"/>
              <c:delete val="1"/>
              <c:extLst>
                <c:ext xmlns:c15="http://schemas.microsoft.com/office/drawing/2012/chart" uri="{CE6537A1-D6FC-4f65-9D91-7224C49458BB}"/>
                <c:ext xmlns:c16="http://schemas.microsoft.com/office/drawing/2014/chart" uri="{C3380CC4-5D6E-409C-BE32-E72D297353CC}">
                  <c16:uniqueId val="{00000007-FC74-4D26-BC5A-B43F96B2A30B}"/>
                </c:ext>
              </c:extLst>
            </c:dLbl>
            <c:dLbl>
              <c:idx val="17"/>
              <c:layout>
                <c:manualLayout>
                  <c:x val="0"/>
                  <c:y val="1.48698884758364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74-4D26-BC5A-B43F96B2A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'3.5'!$B$6:$B$23</c:f>
              <c:numCache>
                <c:formatCode>General</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'3.5'!$F$6:$F$23</c:f>
              <c:numCache>
                <c:formatCode>General</c:formatCode>
                <c:ptCount val="18"/>
                <c:pt idx="7" formatCode="0">
                  <c:v>389.79787758998754</c:v>
                </c:pt>
                <c:pt idx="8" formatCode="0">
                  <c:v>446.51463849827394</c:v>
                </c:pt>
                <c:pt idx="9" formatCode="0">
                  <c:v>469.11443039919317</c:v>
                </c:pt>
                <c:pt idx="10" formatCode="0">
                  <c:v>447.17474061255655</c:v>
                </c:pt>
                <c:pt idx="11" formatCode="0">
                  <c:v>476.08185330003124</c:v>
                </c:pt>
                <c:pt idx="12" formatCode="0">
                  <c:v>524.78036746189798</c:v>
                </c:pt>
                <c:pt idx="13" formatCode="0">
                  <c:v>510.73328883511607</c:v>
                </c:pt>
                <c:pt idx="14" formatCode="0">
                  <c:v>512.21285421541461</c:v>
                </c:pt>
                <c:pt idx="15" formatCode="0">
                  <c:v>505.8098065227461</c:v>
                </c:pt>
                <c:pt idx="16" formatCode="0">
                  <c:v>483.43540777158523</c:v>
                </c:pt>
                <c:pt idx="17" formatCode="0">
                  <c:v>475.84903751227682</c:v>
                </c:pt>
              </c:numCache>
            </c:numRef>
          </c:val>
          <c:smooth val="0"/>
          <c:extLst>
            <c:ext xmlns:c16="http://schemas.microsoft.com/office/drawing/2014/chart" uri="{C3380CC4-5D6E-409C-BE32-E72D297353CC}">
              <c16:uniqueId val="{00000009-FC74-4D26-BC5A-B43F96B2A30B}"/>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3"/>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'1.3'!$C$5</c:f>
              <c:strCache>
                <c:ptCount val="1"/>
                <c:pt idx="0">
                  <c:v>Power</c:v>
                </c:pt>
              </c:strCache>
            </c:strRef>
          </c:tx>
          <c:spPr>
            <a:solidFill>
              <a:srgbClr val="005CAF"/>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'1.3'!$B$6:$B$18</c:f>
              <c:strCache>
                <c:ptCount val="13"/>
                <c:pt idx="0">
                  <c:v>Africa</c:v>
                </c:pt>
                <c:pt idx="1">
                  <c:v>Americas</c:v>
                </c:pt>
                <c:pt idx="2">
                  <c:v>Middle East</c:v>
                </c:pt>
                <c:pt idx="3">
                  <c:v>South Asia</c:v>
                </c:pt>
                <c:pt idx="4">
                  <c:v>ASEAN</c:v>
                </c:pt>
                <c:pt idx="5">
                  <c:v>China</c:v>
                </c:pt>
                <c:pt idx="6">
                  <c:v>Non-OECD</c:v>
                </c:pt>
                <c:pt idx="7">
                  <c:v>Australia</c:v>
                </c:pt>
                <c:pt idx="8">
                  <c:v>JKT</c:v>
                </c:pt>
                <c:pt idx="9">
                  <c:v>Europe</c:v>
                </c:pt>
                <c:pt idx="10">
                  <c:v>North America</c:v>
                </c:pt>
                <c:pt idx="11">
                  <c:v>OECD</c:v>
                </c:pt>
                <c:pt idx="12">
                  <c:v>World</c:v>
                </c:pt>
              </c:strCache>
            </c:strRef>
          </c:cat>
          <c:val>
            <c:numRef>
              <c:f>'1.3'!$C$6:$C$18</c:f>
              <c:numCache>
                <c:formatCode>0.00</c:formatCode>
                <c:ptCount val="13"/>
                <c:pt idx="0">
                  <c:v>0.56999999999999995</c:v>
                </c:pt>
                <c:pt idx="1">
                  <c:v>0.37</c:v>
                </c:pt>
                <c:pt idx="2">
                  <c:v>0.45</c:v>
                </c:pt>
                <c:pt idx="3">
                  <c:v>0.34</c:v>
                </c:pt>
                <c:pt idx="4">
                  <c:v>0.51</c:v>
                </c:pt>
                <c:pt idx="5">
                  <c:v>0.2</c:v>
                </c:pt>
                <c:pt idx="7">
                  <c:v>0.36</c:v>
                </c:pt>
                <c:pt idx="8">
                  <c:v>0.67</c:v>
                </c:pt>
                <c:pt idx="9">
                  <c:v>0.31</c:v>
                </c:pt>
                <c:pt idx="10">
                  <c:v>0.38</c:v>
                </c:pt>
                <c:pt idx="12">
                  <c:v>0.4</c:v>
                </c:pt>
              </c:numCache>
            </c:numRef>
          </c:val>
          <c:extLst>
            <c:ext xmlns:c16="http://schemas.microsoft.com/office/drawing/2014/chart" uri="{C3380CC4-5D6E-409C-BE32-E72D297353CC}">
              <c16:uniqueId val="{00000000-0FA4-4A73-AF07-AA9E927CD7AE}"/>
            </c:ext>
          </c:extLst>
        </c:ser>
        <c:ser>
          <c:idx val="1"/>
          <c:order val="1"/>
          <c:tx>
            <c:strRef>
              <c:f>'1.3'!$D$5</c:f>
              <c:strCache>
                <c:ptCount val="1"/>
                <c:pt idx="0">
                  <c:v>Industry</c:v>
                </c:pt>
              </c:strCache>
            </c:strRef>
          </c:tx>
          <c:spPr>
            <a:solidFill>
              <a:srgbClr val="56B4DF"/>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'1.3'!$B$6:$B$18</c:f>
              <c:strCache>
                <c:ptCount val="13"/>
                <c:pt idx="0">
                  <c:v>Africa</c:v>
                </c:pt>
                <c:pt idx="1">
                  <c:v>Americas</c:v>
                </c:pt>
                <c:pt idx="2">
                  <c:v>Middle East</c:v>
                </c:pt>
                <c:pt idx="3">
                  <c:v>South Asia</c:v>
                </c:pt>
                <c:pt idx="4">
                  <c:v>ASEAN</c:v>
                </c:pt>
                <c:pt idx="5">
                  <c:v>China</c:v>
                </c:pt>
                <c:pt idx="6">
                  <c:v>Non-OECD</c:v>
                </c:pt>
                <c:pt idx="7">
                  <c:v>Australia</c:v>
                </c:pt>
                <c:pt idx="8">
                  <c:v>JKT</c:v>
                </c:pt>
                <c:pt idx="9">
                  <c:v>Europe</c:v>
                </c:pt>
                <c:pt idx="10">
                  <c:v>North America</c:v>
                </c:pt>
                <c:pt idx="11">
                  <c:v>OECD</c:v>
                </c:pt>
                <c:pt idx="12">
                  <c:v>World</c:v>
                </c:pt>
              </c:strCache>
            </c:strRef>
          </c:cat>
          <c:val>
            <c:numRef>
              <c:f>'1.3'!$D$6:$D$18</c:f>
              <c:numCache>
                <c:formatCode>0.00</c:formatCode>
                <c:ptCount val="13"/>
                <c:pt idx="0">
                  <c:v>0.28000000000000003</c:v>
                </c:pt>
                <c:pt idx="1">
                  <c:v>0.47</c:v>
                </c:pt>
                <c:pt idx="2">
                  <c:v>0.41</c:v>
                </c:pt>
                <c:pt idx="3">
                  <c:v>0.47</c:v>
                </c:pt>
                <c:pt idx="4">
                  <c:v>0.48</c:v>
                </c:pt>
                <c:pt idx="5">
                  <c:v>0.48</c:v>
                </c:pt>
                <c:pt idx="7">
                  <c:v>0.49</c:v>
                </c:pt>
                <c:pt idx="8">
                  <c:v>0.13</c:v>
                </c:pt>
                <c:pt idx="9">
                  <c:v>0.3</c:v>
                </c:pt>
                <c:pt idx="10">
                  <c:v>0.34</c:v>
                </c:pt>
                <c:pt idx="12">
                  <c:v>0.35</c:v>
                </c:pt>
              </c:numCache>
            </c:numRef>
          </c:val>
          <c:extLst>
            <c:ext xmlns:c16="http://schemas.microsoft.com/office/drawing/2014/chart" uri="{C3380CC4-5D6E-409C-BE32-E72D297353CC}">
              <c16:uniqueId val="{00000001-0FA4-4A73-AF07-AA9E927CD7AE}"/>
            </c:ext>
          </c:extLst>
        </c:ser>
        <c:ser>
          <c:idx val="2"/>
          <c:order val="2"/>
          <c:tx>
            <c:strRef>
              <c:f>'1.3'!$E$5</c:f>
              <c:strCache>
                <c:ptCount val="1"/>
                <c:pt idx="0">
                  <c:v>Buildings</c:v>
                </c:pt>
              </c:strCache>
            </c:strRef>
          </c:tx>
          <c:spPr>
            <a:solidFill>
              <a:srgbClr val="9ED9DF"/>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0FA4-4A73-AF07-AA9E927CD7A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'1.3'!$B$6:$B$18</c:f>
              <c:strCache>
                <c:ptCount val="13"/>
                <c:pt idx="0">
                  <c:v>Africa</c:v>
                </c:pt>
                <c:pt idx="1">
                  <c:v>Americas</c:v>
                </c:pt>
                <c:pt idx="2">
                  <c:v>Middle East</c:v>
                </c:pt>
                <c:pt idx="3">
                  <c:v>South Asia</c:v>
                </c:pt>
                <c:pt idx="4">
                  <c:v>ASEAN</c:v>
                </c:pt>
                <c:pt idx="5">
                  <c:v>China</c:v>
                </c:pt>
                <c:pt idx="6">
                  <c:v>Non-OECD</c:v>
                </c:pt>
                <c:pt idx="7">
                  <c:v>Australia</c:v>
                </c:pt>
                <c:pt idx="8">
                  <c:v>JKT</c:v>
                </c:pt>
                <c:pt idx="9">
                  <c:v>Europe</c:v>
                </c:pt>
                <c:pt idx="10">
                  <c:v>North America</c:v>
                </c:pt>
                <c:pt idx="11">
                  <c:v>OECD</c:v>
                </c:pt>
                <c:pt idx="12">
                  <c:v>World</c:v>
                </c:pt>
              </c:strCache>
            </c:strRef>
          </c:cat>
          <c:val>
            <c:numRef>
              <c:f>'1.3'!$E$6:$E$18</c:f>
              <c:numCache>
                <c:formatCode>0.00</c:formatCode>
                <c:ptCount val="13"/>
                <c:pt idx="0">
                  <c:v>0.15</c:v>
                </c:pt>
                <c:pt idx="1">
                  <c:v>0.16</c:v>
                </c:pt>
                <c:pt idx="2">
                  <c:v>0.14000000000000001</c:v>
                </c:pt>
                <c:pt idx="3">
                  <c:v>0.19</c:v>
                </c:pt>
                <c:pt idx="4">
                  <c:v>0.01</c:v>
                </c:pt>
                <c:pt idx="5">
                  <c:v>0.31</c:v>
                </c:pt>
                <c:pt idx="7">
                  <c:v>0.16</c:v>
                </c:pt>
                <c:pt idx="8">
                  <c:v>0.19</c:v>
                </c:pt>
                <c:pt idx="9">
                  <c:v>0.39</c:v>
                </c:pt>
                <c:pt idx="10">
                  <c:v>0.28000000000000003</c:v>
                </c:pt>
                <c:pt idx="12">
                  <c:v>0.24</c:v>
                </c:pt>
              </c:numCache>
            </c:numRef>
          </c:val>
          <c:extLst>
            <c:ext xmlns:c16="http://schemas.microsoft.com/office/drawing/2014/chart" uri="{C3380CC4-5D6E-409C-BE32-E72D297353CC}">
              <c16:uniqueId val="{00000003-0FA4-4A73-AF07-AA9E927CD7AE}"/>
            </c:ext>
          </c:extLst>
        </c:ser>
        <c:dLbls>
          <c:showLegendKey val="0"/>
          <c:showVal val="0"/>
          <c:showCatName val="0"/>
          <c:showSerName val="0"/>
          <c:showPercent val="0"/>
          <c:showBubbleSize val="0"/>
        </c:dLbls>
        <c:gapWidth val="50"/>
        <c:overlap val="100"/>
        <c:axId val="255323359"/>
        <c:axId val="398468831"/>
      </c:barChart>
      <c:catAx>
        <c:axId val="255323359"/>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8468831"/>
        <c:crosses val="autoZero"/>
        <c:auto val="1"/>
        <c:lblAlgn val="ctr"/>
        <c:lblOffset val="100"/>
        <c:noMultiLvlLbl val="0"/>
      </c:catAx>
      <c:valAx>
        <c:axId val="398468831"/>
        <c:scaling>
          <c:orientation val="minMax"/>
        </c:scaling>
        <c:delete val="0"/>
        <c:axPos val="b"/>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Share of gas consumption</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55323359"/>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4509628799925"/>
          <c:y val="6.378660481298927E-2"/>
          <c:w val="0.74638835193384001"/>
          <c:h val="0.65048045422272349"/>
        </c:manualLayout>
      </c:layout>
      <c:barChart>
        <c:barDir val="col"/>
        <c:grouping val="clustered"/>
        <c:varyColors val="0"/>
        <c:ser>
          <c:idx val="0"/>
          <c:order val="0"/>
          <c:tx>
            <c:strRef>
              <c:f>'3.7'!$Q$5</c:f>
              <c:strCache>
                <c:ptCount val="1"/>
                <c:pt idx="0">
                  <c:v>Buildings</c:v>
                </c:pt>
              </c:strCache>
            </c:strRef>
          </c:tx>
          <c:spPr>
            <a:solidFill>
              <a:srgbClr val="005CAF"/>
            </a:solidFill>
            <a:ln>
              <a:noFill/>
            </a:ln>
            <a:effectLst/>
          </c:spPr>
          <c:invertIfNegative val="0"/>
          <c:cat>
            <c:strRef>
              <c:f>'3.7 Update'!$Q$3:$S$3</c:f>
              <c:strCache>
                <c:ptCount val="3"/>
                <c:pt idx="0">
                  <c:v>Green Energy Exports</c:v>
                </c:pt>
                <c:pt idx="1">
                  <c:v>Step Change</c:v>
                </c:pt>
                <c:pt idx="2">
                  <c:v>Progressive Change</c:v>
                </c:pt>
              </c:strCache>
            </c:strRef>
          </c:cat>
          <c:val>
            <c:numRef>
              <c:f>'3.7 Update'!$Q$4:$S$4</c:f>
              <c:numCache>
                <c:formatCode>0%</c:formatCode>
                <c:ptCount val="3"/>
                <c:pt idx="0">
                  <c:v>-0.65912105413515498</c:v>
                </c:pt>
                <c:pt idx="1">
                  <c:v>-0.71738286498168291</c:v>
                </c:pt>
                <c:pt idx="2">
                  <c:v>-0.49467485081370327</c:v>
                </c:pt>
              </c:numCache>
            </c:numRef>
          </c:val>
          <c:extLst>
            <c:ext xmlns:c16="http://schemas.microsoft.com/office/drawing/2014/chart" uri="{C3380CC4-5D6E-409C-BE32-E72D297353CC}">
              <c16:uniqueId val="{00000000-4DDD-45B1-A4D9-A2A2C95C5F0C}"/>
            </c:ext>
          </c:extLst>
        </c:ser>
        <c:ser>
          <c:idx val="1"/>
          <c:order val="1"/>
          <c:tx>
            <c:strRef>
              <c:f>'3.7 Update'!$P$5</c:f>
              <c:strCache>
                <c:ptCount val="1"/>
                <c:pt idx="0">
                  <c:v>Industrial (Incl. Mining)</c:v>
                </c:pt>
              </c:strCache>
            </c:strRef>
          </c:tx>
          <c:spPr>
            <a:solidFill>
              <a:srgbClr val="56B4DF"/>
            </a:solidFill>
            <a:ln>
              <a:noFill/>
            </a:ln>
            <a:effectLst/>
            <a:extLst>
              <a:ext uri="{91240B29-F687-4F45-9708-019B960494DF}">
                <a14:hiddenLine xmlns:a14="http://schemas.microsoft.com/office/drawing/2010/main">
                  <a:noFill/>
                </a14:hiddenLine>
              </a:ext>
            </a:extLst>
          </c:spPr>
          <c:invertIfNegative val="0"/>
          <c:cat>
            <c:strRef>
              <c:f>'3.7 Update'!$Q$3:$S$3</c:f>
              <c:strCache>
                <c:ptCount val="3"/>
                <c:pt idx="0">
                  <c:v>Green Energy Exports</c:v>
                </c:pt>
                <c:pt idx="1">
                  <c:v>Step Change</c:v>
                </c:pt>
                <c:pt idx="2">
                  <c:v>Progressive Change</c:v>
                </c:pt>
              </c:strCache>
            </c:strRef>
          </c:cat>
          <c:val>
            <c:numRef>
              <c:f>'3.7 Update'!$Q$5:$S$5</c:f>
              <c:numCache>
                <c:formatCode>0%</c:formatCode>
                <c:ptCount val="3"/>
                <c:pt idx="0">
                  <c:v>-0.13088958761376016</c:v>
                </c:pt>
                <c:pt idx="1">
                  <c:v>-7.0782455710921011E-2</c:v>
                </c:pt>
                <c:pt idx="2">
                  <c:v>-0.28530063596161959</c:v>
                </c:pt>
              </c:numCache>
            </c:numRef>
          </c:val>
          <c:extLst>
            <c:ext xmlns:c16="http://schemas.microsoft.com/office/drawing/2014/chart" uri="{C3380CC4-5D6E-409C-BE32-E72D297353CC}">
              <c16:uniqueId val="{00000001-4DDD-45B1-A4D9-A2A2C95C5F0C}"/>
            </c:ext>
          </c:extLst>
        </c:ser>
        <c:ser>
          <c:idx val="2"/>
          <c:order val="2"/>
          <c:tx>
            <c:strRef>
              <c:f>'3.7 Update'!$P$6</c:f>
              <c:strCache>
                <c:ptCount val="1"/>
                <c:pt idx="0">
                  <c:v>Power (GPG)</c:v>
                </c:pt>
              </c:strCache>
            </c:strRef>
          </c:tx>
          <c:spPr>
            <a:solidFill>
              <a:srgbClr val="9ED9DF"/>
            </a:solidFill>
            <a:ln>
              <a:noFill/>
            </a:ln>
            <a:effectLst/>
            <a:extLst>
              <a:ext uri="{91240B29-F687-4F45-9708-019B960494DF}">
                <a14:hiddenLine xmlns:a14="http://schemas.microsoft.com/office/drawing/2010/main">
                  <a:noFill/>
                </a14:hiddenLine>
              </a:ext>
            </a:extLst>
          </c:spPr>
          <c:invertIfNegative val="0"/>
          <c:cat>
            <c:strRef>
              <c:f>'3.7 Update'!$Q$3:$S$3</c:f>
              <c:strCache>
                <c:ptCount val="3"/>
                <c:pt idx="0">
                  <c:v>Green Energy Exports</c:v>
                </c:pt>
                <c:pt idx="1">
                  <c:v>Step Change</c:v>
                </c:pt>
                <c:pt idx="2">
                  <c:v>Progressive Change</c:v>
                </c:pt>
              </c:strCache>
            </c:strRef>
          </c:cat>
          <c:val>
            <c:numRef>
              <c:f>'3.7 Update'!$Q$6:$S$6</c:f>
              <c:numCache>
                <c:formatCode>0%</c:formatCode>
                <c:ptCount val="3"/>
                <c:pt idx="0">
                  <c:v>5.3601530391080163E-2</c:v>
                </c:pt>
                <c:pt idx="1">
                  <c:v>1.6893703442354273</c:v>
                </c:pt>
                <c:pt idx="2">
                  <c:v>0.48826195234334946</c:v>
                </c:pt>
              </c:numCache>
            </c:numRef>
          </c:val>
          <c:extLst>
            <c:ext xmlns:c16="http://schemas.microsoft.com/office/drawing/2014/chart" uri="{C3380CC4-5D6E-409C-BE32-E72D297353CC}">
              <c16:uniqueId val="{00000002-4DDD-45B1-A4D9-A2A2C95C5F0C}"/>
            </c:ext>
          </c:extLst>
        </c:ser>
        <c:dLbls>
          <c:showLegendKey val="0"/>
          <c:showVal val="0"/>
          <c:showCatName val="0"/>
          <c:showSerName val="0"/>
          <c:showPercent val="0"/>
          <c:showBubbleSize val="0"/>
        </c:dLbls>
        <c:gapWidth val="219"/>
        <c:overlap val="-27"/>
        <c:axId val="1333150528"/>
        <c:axId val="2103097056"/>
      </c:barChart>
      <c:catAx>
        <c:axId val="133315052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103097056"/>
        <c:crosses val="autoZero"/>
        <c:auto val="1"/>
        <c:lblAlgn val="ctr"/>
        <c:lblOffset val="100"/>
        <c:noMultiLvlLbl val="0"/>
      </c:catAx>
      <c:valAx>
        <c:axId val="2103097056"/>
        <c:scaling>
          <c:orientation val="minMax"/>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r>
                  <a:rPr lang="en-US"/>
                  <a:t>Change in Gas Consumption (%)</a:t>
                </a:r>
              </a:p>
            </c:rich>
          </c:tx>
          <c:layout>
            <c:manualLayout>
              <c:xMode val="edge"/>
              <c:yMode val="edge"/>
              <c:x val="2.0588235294117647E-2"/>
              <c:y val="5.6263249545729851E-2"/>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333150528"/>
        <c:crosses val="autoZero"/>
        <c:crossBetween val="between"/>
      </c:valAx>
      <c:spPr>
        <a:noFill/>
        <a:ln w="25400">
          <a:noFill/>
        </a:ln>
        <a:effectLst/>
      </c:spPr>
    </c:plotArea>
    <c:legend>
      <c:legendPos val="b"/>
      <c:layout>
        <c:manualLayout>
          <c:xMode val="edge"/>
          <c:yMode val="edge"/>
          <c:x val="0.11487822599646452"/>
          <c:y val="0.88410074887428058"/>
          <c:w val="0.78277683956276578"/>
          <c:h val="9.755062727250836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1200" b="0">
          <a:solidFill>
            <a:srgbClr val="595A5B"/>
          </a:solidFill>
          <a:latin typeface="Arial"/>
          <a:ea typeface="Arial"/>
          <a:cs typeface="Aria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884861308636"/>
          <c:y val="5.9863945578231291E-2"/>
          <c:w val="0.87031392001109997"/>
          <c:h val="0.69612654029847787"/>
        </c:manualLayout>
      </c:layout>
      <c:lineChart>
        <c:grouping val="standard"/>
        <c:varyColors val="0"/>
        <c:ser>
          <c:idx val="1"/>
          <c:order val="0"/>
          <c:tx>
            <c:strRef>
              <c:f>'3.8,9,11,14 Update'!$N$4</c:f>
              <c:strCache>
                <c:ptCount val="1"/>
                <c:pt idx="0">
                  <c:v>Green Energy Exports</c:v>
                </c:pt>
              </c:strCache>
            </c:strRef>
          </c:tx>
          <c:spPr>
            <a:ln w="28575" cap="rnd">
              <a:solidFill>
                <a:srgbClr val="005CAF"/>
              </a:solidFill>
              <a:prstDash val="solid"/>
              <a:round/>
            </a:ln>
            <a:effectLst/>
          </c:spPr>
          <c:marker>
            <c:symbol val="none"/>
          </c:marker>
          <c:cat>
            <c:numRef>
              <c:f>'3.8,9,11,14 Update'!$B$11:$B$31</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'3.8,9,11,14 Update'!$N$11:$N$31</c:f>
              <c:numCache>
                <c:formatCode>0</c:formatCode>
                <c:ptCount val="21"/>
                <c:pt idx="0">
                  <c:v>175.32718467547394</c:v>
                </c:pt>
                <c:pt idx="1">
                  <c:v>181.79162539000004</c:v>
                </c:pt>
                <c:pt idx="2">
                  <c:v>178.469897</c:v>
                </c:pt>
                <c:pt idx="3">
                  <c:v>172.23399121999998</c:v>
                </c:pt>
                <c:pt idx="4">
                  <c:v>164.66252975999998</c:v>
                </c:pt>
                <c:pt idx="5">
                  <c:v>154.97016209</c:v>
                </c:pt>
                <c:pt idx="6">
                  <c:v>145.73718396999999</c:v>
                </c:pt>
                <c:pt idx="7">
                  <c:v>135.61037554999996</c:v>
                </c:pt>
                <c:pt idx="8">
                  <c:v>128.27225579</c:v>
                </c:pt>
                <c:pt idx="9">
                  <c:v>120.63877762999999</c:v>
                </c:pt>
                <c:pt idx="10">
                  <c:v>112.69769558000002</c:v>
                </c:pt>
                <c:pt idx="11">
                  <c:v>104.60741010000001</c:v>
                </c:pt>
                <c:pt idx="12">
                  <c:v>96.938595190000001</c:v>
                </c:pt>
                <c:pt idx="13">
                  <c:v>90.1217714</c:v>
                </c:pt>
                <c:pt idx="14">
                  <c:v>83.92242877000001</c:v>
                </c:pt>
                <c:pt idx="15">
                  <c:v>78.27775394999999</c:v>
                </c:pt>
                <c:pt idx="16">
                  <c:v>73.354265409999996</c:v>
                </c:pt>
                <c:pt idx="17">
                  <c:v>69.097116110000002</c:v>
                </c:pt>
                <c:pt idx="18">
                  <c:v>65.637056790000003</c:v>
                </c:pt>
                <c:pt idx="19">
                  <c:v>63.264979890000006</c:v>
                </c:pt>
                <c:pt idx="20">
                  <c:v>61.968937629999999</c:v>
                </c:pt>
              </c:numCache>
            </c:numRef>
          </c:val>
          <c:smooth val="0"/>
          <c:extLst xmlns:c15="http://schemas.microsoft.com/office/drawing/2012/chart">
            <c:ext xmlns:c16="http://schemas.microsoft.com/office/drawing/2014/chart" uri="{C3380CC4-5D6E-409C-BE32-E72D297353CC}">
              <c16:uniqueId val="{00000000-F61E-4FB2-9CDC-933627F8AC7E}"/>
            </c:ext>
          </c:extLst>
        </c:ser>
        <c:ser>
          <c:idx val="2"/>
          <c:order val="1"/>
          <c:tx>
            <c:strRef>
              <c:f>'3.8,9,11,14 Update'!$O$4</c:f>
              <c:strCache>
                <c:ptCount val="1"/>
                <c:pt idx="0">
                  <c:v>Step Change</c:v>
                </c:pt>
              </c:strCache>
            </c:strRef>
          </c:tx>
          <c:spPr>
            <a:ln w="28575" cap="rnd">
              <a:solidFill>
                <a:srgbClr val="56B4DF"/>
              </a:solidFill>
              <a:prstDash val="solid"/>
              <a:round/>
            </a:ln>
            <a:effectLst/>
          </c:spPr>
          <c:marker>
            <c:symbol val="none"/>
          </c:marker>
          <c:cat>
            <c:numRef>
              <c:f>'3.8,9,11,14 Update'!$B$11:$B$31</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'3.8,9,11,14 Update'!$O$11:$O$31</c:f>
              <c:numCache>
                <c:formatCode>0</c:formatCode>
                <c:ptCount val="21"/>
                <c:pt idx="0">
                  <c:v>175.32718467547394</c:v>
                </c:pt>
                <c:pt idx="1">
                  <c:v>182.20516338000002</c:v>
                </c:pt>
                <c:pt idx="2">
                  <c:v>179.35650949000001</c:v>
                </c:pt>
                <c:pt idx="3">
                  <c:v>173.92632297000003</c:v>
                </c:pt>
                <c:pt idx="4">
                  <c:v>167.34492835999998</c:v>
                </c:pt>
                <c:pt idx="5">
                  <c:v>159.17643999000001</c:v>
                </c:pt>
                <c:pt idx="6">
                  <c:v>151.61070124</c:v>
                </c:pt>
                <c:pt idx="7">
                  <c:v>143.08777041999997</c:v>
                </c:pt>
                <c:pt idx="8">
                  <c:v>136.48757844999997</c:v>
                </c:pt>
                <c:pt idx="9">
                  <c:v>129.47847016999998</c:v>
                </c:pt>
                <c:pt idx="10">
                  <c:v>122.43528753999999</c:v>
                </c:pt>
                <c:pt idx="11">
                  <c:v>115.41105194000001</c:v>
                </c:pt>
                <c:pt idx="12">
                  <c:v>108.32282847999998</c:v>
                </c:pt>
                <c:pt idx="13">
                  <c:v>100.98949576999999</c:v>
                </c:pt>
                <c:pt idx="14">
                  <c:v>93.456945199999993</c:v>
                </c:pt>
                <c:pt idx="15">
                  <c:v>86.075485329999978</c:v>
                </c:pt>
                <c:pt idx="16">
                  <c:v>78.998388020000007</c:v>
                </c:pt>
                <c:pt idx="17">
                  <c:v>72.009283989999986</c:v>
                </c:pt>
                <c:pt idx="18">
                  <c:v>65.039720900000006</c:v>
                </c:pt>
                <c:pt idx="19">
                  <c:v>58.171069539999998</c:v>
                </c:pt>
                <c:pt idx="20">
                  <c:v>51.494301259999993</c:v>
                </c:pt>
              </c:numCache>
            </c:numRef>
          </c:val>
          <c:smooth val="0"/>
          <c:extLst>
            <c:ext xmlns:c16="http://schemas.microsoft.com/office/drawing/2014/chart" uri="{C3380CC4-5D6E-409C-BE32-E72D297353CC}">
              <c16:uniqueId val="{00000001-F61E-4FB2-9CDC-933627F8AC7E}"/>
            </c:ext>
          </c:extLst>
        </c:ser>
        <c:ser>
          <c:idx val="3"/>
          <c:order val="2"/>
          <c:tx>
            <c:strRef>
              <c:f>'3.8,9,11,14 Update'!$P$4</c:f>
              <c:strCache>
                <c:ptCount val="1"/>
                <c:pt idx="0">
                  <c:v>Progressive Change</c:v>
                </c:pt>
              </c:strCache>
            </c:strRef>
          </c:tx>
          <c:spPr>
            <a:ln w="28575" cap="rnd">
              <a:solidFill>
                <a:srgbClr val="9ED9DF"/>
              </a:solidFill>
              <a:prstDash val="solid"/>
              <a:round/>
            </a:ln>
            <a:effectLst/>
          </c:spPr>
          <c:marker>
            <c:symbol val="none"/>
          </c:marker>
          <c:cat>
            <c:numRef>
              <c:f>'3.8,9,11,14 Update'!$B$11:$B$31</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'3.8,9,11,14 Update'!$P$11:$P$31</c:f>
              <c:numCache>
                <c:formatCode>0</c:formatCode>
                <c:ptCount val="21"/>
                <c:pt idx="0">
                  <c:v>175.32718467547394</c:v>
                </c:pt>
                <c:pt idx="1">
                  <c:v>184.52545471000002</c:v>
                </c:pt>
                <c:pt idx="2">
                  <c:v>183.29307025</c:v>
                </c:pt>
                <c:pt idx="3">
                  <c:v>180.37222764000001</c:v>
                </c:pt>
                <c:pt idx="4">
                  <c:v>176.06026813000005</c:v>
                </c:pt>
                <c:pt idx="5">
                  <c:v>170.34615795000002</c:v>
                </c:pt>
                <c:pt idx="6">
                  <c:v>164.87263130000002</c:v>
                </c:pt>
                <c:pt idx="7">
                  <c:v>158.78130561000003</c:v>
                </c:pt>
                <c:pt idx="8">
                  <c:v>154.16758503000005</c:v>
                </c:pt>
                <c:pt idx="9">
                  <c:v>149.48676774000003</c:v>
                </c:pt>
                <c:pt idx="10">
                  <c:v>144.51633481000002</c:v>
                </c:pt>
                <c:pt idx="11">
                  <c:v>139.48497700999999</c:v>
                </c:pt>
                <c:pt idx="12">
                  <c:v>134.52146119</c:v>
                </c:pt>
                <c:pt idx="13">
                  <c:v>129.38528106000001</c:v>
                </c:pt>
                <c:pt idx="14">
                  <c:v>123.89223987</c:v>
                </c:pt>
                <c:pt idx="15">
                  <c:v>118.50424416000004</c:v>
                </c:pt>
                <c:pt idx="16">
                  <c:v>113.40531047999997</c:v>
                </c:pt>
                <c:pt idx="17">
                  <c:v>108.35060878000002</c:v>
                </c:pt>
                <c:pt idx="18">
                  <c:v>103.38414394999998</c:v>
                </c:pt>
                <c:pt idx="19">
                  <c:v>98.454338710000016</c:v>
                </c:pt>
                <c:pt idx="20">
                  <c:v>93.245352929999996</c:v>
                </c:pt>
              </c:numCache>
            </c:numRef>
          </c:val>
          <c:smooth val="0"/>
          <c:extLst>
            <c:ext xmlns:c16="http://schemas.microsoft.com/office/drawing/2014/chart" uri="{C3380CC4-5D6E-409C-BE32-E72D297353CC}">
              <c16:uniqueId val="{00000002-F61E-4FB2-9CDC-933627F8AC7E}"/>
            </c:ext>
          </c:extLst>
        </c:ser>
        <c:ser>
          <c:idx val="0"/>
          <c:order val="3"/>
          <c:tx>
            <c:strRef>
              <c:f>'3.8,9,11,14 Update'!$Q$4</c:f>
              <c:strCache>
                <c:ptCount val="1"/>
                <c:pt idx="0">
                  <c:v>Step Change - No Electrification</c:v>
                </c:pt>
              </c:strCache>
            </c:strRef>
          </c:tx>
          <c:spPr>
            <a:ln w="28575" cap="rnd">
              <a:solidFill>
                <a:srgbClr val="BCBFC1"/>
              </a:solidFill>
              <a:prstDash val="solid"/>
              <a:round/>
            </a:ln>
            <a:effectLst/>
          </c:spPr>
          <c:marker>
            <c:symbol val="none"/>
          </c:marker>
          <c:cat>
            <c:numRef>
              <c:f>'3.8,9,11,14 Update'!$B$11:$B$31</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'3.8,9,11,14 Update'!$Q$11:$Q$31</c:f>
              <c:numCache>
                <c:formatCode>0</c:formatCode>
                <c:ptCount val="21"/>
                <c:pt idx="0">
                  <c:v>175.32718467547394</c:v>
                </c:pt>
                <c:pt idx="1">
                  <c:v>184.47212881000004</c:v>
                </c:pt>
                <c:pt idx="2">
                  <c:v>185.92674644000002</c:v>
                </c:pt>
                <c:pt idx="3">
                  <c:v>187.44869220000001</c:v>
                </c:pt>
                <c:pt idx="4">
                  <c:v>189.10988983000001</c:v>
                </c:pt>
                <c:pt idx="5">
                  <c:v>190.84032723000001</c:v>
                </c:pt>
                <c:pt idx="6">
                  <c:v>192.62673346999998</c:v>
                </c:pt>
                <c:pt idx="7">
                  <c:v>194.40589612999997</c:v>
                </c:pt>
                <c:pt idx="8">
                  <c:v>196.18270416999999</c:v>
                </c:pt>
                <c:pt idx="9">
                  <c:v>197.97289529999998</c:v>
                </c:pt>
                <c:pt idx="10">
                  <c:v>199.82557806000003</c:v>
                </c:pt>
                <c:pt idx="11">
                  <c:v>201.62818818000002</c:v>
                </c:pt>
                <c:pt idx="12">
                  <c:v>203.33217191</c:v>
                </c:pt>
                <c:pt idx="13">
                  <c:v>205.02117167000003</c:v>
                </c:pt>
                <c:pt idx="14">
                  <c:v>206.72108835</c:v>
                </c:pt>
                <c:pt idx="15">
                  <c:v>208.59849527999998</c:v>
                </c:pt>
                <c:pt idx="16">
                  <c:v>210.74513192000001</c:v>
                </c:pt>
                <c:pt idx="17">
                  <c:v>212.94703762</c:v>
                </c:pt>
                <c:pt idx="18">
                  <c:v>215.13970497</c:v>
                </c:pt>
                <c:pt idx="19">
                  <c:v>217.31026658000002</c:v>
                </c:pt>
                <c:pt idx="20">
                  <c:v>219.48010196999996</c:v>
                </c:pt>
              </c:numCache>
            </c:numRef>
          </c:val>
          <c:smooth val="0"/>
          <c:extLst>
            <c:ext xmlns:c16="http://schemas.microsoft.com/office/drawing/2014/chart" uri="{C3380CC4-5D6E-409C-BE32-E72D297353CC}">
              <c16:uniqueId val="{00000003-F61E-4FB2-9CDC-933627F8AC7E}"/>
            </c:ext>
          </c:extLst>
        </c:ser>
        <c:dLbls>
          <c:showLegendKey val="0"/>
          <c:showVal val="0"/>
          <c:showCatName val="0"/>
          <c:showSerName val="0"/>
          <c:showPercent val="0"/>
          <c:showBubbleSize val="0"/>
        </c:dLbls>
        <c:smooth val="0"/>
        <c:axId val="1990103583"/>
        <c:axId val="1698082127"/>
        <c:extLst/>
      </c:lineChart>
      <c:catAx>
        <c:axId val="1990103583"/>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698082127"/>
        <c:crosses val="autoZero"/>
        <c:auto val="1"/>
        <c:lblAlgn val="ctr"/>
        <c:lblOffset val="100"/>
        <c:tickLblSkip val="2"/>
        <c:noMultiLvlLbl val="0"/>
      </c:catAx>
      <c:valAx>
        <c:axId val="1698082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AU" sz="900" b="0" i="0" u="none" strike="noStrike" kern="1200" baseline="0">
                    <a:solidFill>
                      <a:srgbClr val="595A5B"/>
                    </a:solidFill>
                    <a:latin typeface="Arial" panose="020B0604020202020204" pitchFamily="34" charset="0"/>
                    <a:cs typeface="Arial" panose="020B0604020202020204" pitchFamily="34" charset="0"/>
                  </a:rPr>
                  <a:t>Petajoules</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990103583"/>
        <c:crosses val="autoZero"/>
        <c:crossBetween val="between"/>
      </c:valAx>
      <c:spPr>
        <a:noFill/>
        <a:ln w="25400">
          <a:noFill/>
        </a:ln>
        <a:effectLst/>
      </c:spPr>
    </c:plotArea>
    <c:legend>
      <c:legendPos val="b"/>
      <c:layout>
        <c:manualLayout>
          <c:xMode val="edge"/>
          <c:yMode val="edge"/>
          <c:x val="8.8613203367301722E-3"/>
          <c:y val="0.85820814012372038"/>
          <c:w val="0.97150997150997143"/>
          <c:h val="0.13614600192630399"/>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75908483137721"/>
          <c:y val="6.7401960784313722E-2"/>
          <c:w val="0.80505933739414648"/>
          <c:h val="0.7308239732901034"/>
        </c:manualLayout>
      </c:layout>
      <c:lineChart>
        <c:grouping val="standard"/>
        <c:varyColors val="0"/>
        <c:ser>
          <c:idx val="0"/>
          <c:order val="0"/>
          <c:tx>
            <c:strRef>
              <c:f>'3.8,9,11,14 Update'!$W$5</c:f>
              <c:strCache>
                <c:ptCount val="1"/>
                <c:pt idx="0">
                  <c:v>Green Energy Exports</c:v>
                </c:pt>
              </c:strCache>
            </c:strRef>
          </c:tx>
          <c:spPr>
            <a:ln w="28575" cap="rnd">
              <a:solidFill>
                <a:srgbClr val="005CAF"/>
              </a:solidFill>
              <a:prstDash val="solid"/>
              <a:round/>
            </a:ln>
            <a:effectLst/>
          </c:spPr>
          <c:marker>
            <c:symbol val="none"/>
          </c:marker>
          <c:cat>
            <c:numRef>
              <c:f>'3.8,9,11,14 Update'!$V$6:$V$25</c:f>
              <c:numCache>
                <c:formatCode>General</c:formatCode>
                <c:ptCount val="20"/>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numCache>
            </c:numRef>
          </c:cat>
          <c:val>
            <c:numRef>
              <c:f>'3.8,9,11,14 Update'!$W$6:$W$25</c:f>
              <c:numCache>
                <c:formatCode>0</c:formatCode>
                <c:ptCount val="20"/>
                <c:pt idx="0">
                  <c:v>-3.5150828000000001</c:v>
                </c:pt>
                <c:pt idx="1">
                  <c:v>-11.536266940000001</c:v>
                </c:pt>
                <c:pt idx="2">
                  <c:v>-26.339640989999999</c:v>
                </c:pt>
                <c:pt idx="3">
                  <c:v>-46.654948910000002</c:v>
                </c:pt>
                <c:pt idx="4">
                  <c:v>-68.715965530000005</c:v>
                </c:pt>
                <c:pt idx="5">
                  <c:v>-87.507663989999998</c:v>
                </c:pt>
                <c:pt idx="6">
                  <c:v>-103.79238534000001</c:v>
                </c:pt>
                <c:pt idx="7">
                  <c:v>-115.46720379999999</c:v>
                </c:pt>
                <c:pt idx="8">
                  <c:v>-126.58194265</c:v>
                </c:pt>
                <c:pt idx="9">
                  <c:v>-135.64174155000001</c:v>
                </c:pt>
                <c:pt idx="10">
                  <c:v>-143.88461164</c:v>
                </c:pt>
                <c:pt idx="11">
                  <c:v>-155.84405627000001</c:v>
                </c:pt>
                <c:pt idx="12">
                  <c:v>-168.26437293000001</c:v>
                </c:pt>
                <c:pt idx="13">
                  <c:v>-175.80882690999999</c:v>
                </c:pt>
                <c:pt idx="14">
                  <c:v>-182.89491433000001</c:v>
                </c:pt>
                <c:pt idx="15">
                  <c:v>-189.51470802</c:v>
                </c:pt>
                <c:pt idx="16">
                  <c:v>-194.95083114000002</c:v>
                </c:pt>
                <c:pt idx="17">
                  <c:v>-197.73289607999999</c:v>
                </c:pt>
                <c:pt idx="18">
                  <c:v>-200.21165103999999</c:v>
                </c:pt>
                <c:pt idx="19">
                  <c:v>-202.51435875999999</c:v>
                </c:pt>
              </c:numCache>
            </c:numRef>
          </c:val>
          <c:smooth val="0"/>
          <c:extLst>
            <c:ext xmlns:c16="http://schemas.microsoft.com/office/drawing/2014/chart" uri="{C3380CC4-5D6E-409C-BE32-E72D297353CC}">
              <c16:uniqueId val="{00000000-FF2F-432F-95A1-933586D7805D}"/>
            </c:ext>
          </c:extLst>
        </c:ser>
        <c:ser>
          <c:idx val="1"/>
          <c:order val="1"/>
          <c:tx>
            <c:strRef>
              <c:f>'3.8,9,11,14 Update'!$X$5</c:f>
              <c:strCache>
                <c:ptCount val="1"/>
                <c:pt idx="0">
                  <c:v>Step Change</c:v>
                </c:pt>
              </c:strCache>
            </c:strRef>
          </c:tx>
          <c:spPr>
            <a:ln w="28575" cap="rnd">
              <a:solidFill>
                <a:srgbClr val="56B4DF"/>
              </a:solidFill>
              <a:prstDash val="solid"/>
              <a:round/>
            </a:ln>
            <a:effectLst/>
          </c:spPr>
          <c:marker>
            <c:symbol val="none"/>
          </c:marker>
          <c:cat>
            <c:numRef>
              <c:f>'3.8,9,11,14 Update'!$V$6:$V$25</c:f>
              <c:numCache>
                <c:formatCode>General</c:formatCode>
                <c:ptCount val="20"/>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numCache>
            </c:numRef>
          </c:cat>
          <c:val>
            <c:numRef>
              <c:f>'3.8,9,11,14 Update'!$X$6:$X$25</c:f>
              <c:numCache>
                <c:formatCode>0</c:formatCode>
                <c:ptCount val="20"/>
                <c:pt idx="0">
                  <c:v>-2.99763241</c:v>
                </c:pt>
                <c:pt idx="1">
                  <c:v>-7.3132369300000004</c:v>
                </c:pt>
                <c:pt idx="2">
                  <c:v>-14.147202249999999</c:v>
                </c:pt>
                <c:pt idx="3">
                  <c:v>-22.366794440000003</c:v>
                </c:pt>
                <c:pt idx="4">
                  <c:v>-33.176078269999998</c:v>
                </c:pt>
                <c:pt idx="5">
                  <c:v>-44.496514220000002</c:v>
                </c:pt>
                <c:pt idx="6">
                  <c:v>-57.416185750000004</c:v>
                </c:pt>
                <c:pt idx="7">
                  <c:v>-68.14633572999999</c:v>
                </c:pt>
                <c:pt idx="8">
                  <c:v>-78.406573159999994</c:v>
                </c:pt>
                <c:pt idx="9">
                  <c:v>-88.087393520000006</c:v>
                </c:pt>
                <c:pt idx="10">
                  <c:v>-97.009379230000008</c:v>
                </c:pt>
                <c:pt idx="11">
                  <c:v>-105.86224746000001</c:v>
                </c:pt>
                <c:pt idx="12">
                  <c:v>-115.09582292000002</c:v>
                </c:pt>
                <c:pt idx="13">
                  <c:v>-124.37936413</c:v>
                </c:pt>
                <c:pt idx="14">
                  <c:v>-133.35301493999998</c:v>
                </c:pt>
                <c:pt idx="15">
                  <c:v>-142.12988290000001</c:v>
                </c:pt>
                <c:pt idx="16">
                  <c:v>-151.06763365</c:v>
                </c:pt>
                <c:pt idx="17">
                  <c:v>-160.15613007000002</c:v>
                </c:pt>
                <c:pt idx="18">
                  <c:v>-169.32945908000002</c:v>
                </c:pt>
                <c:pt idx="19">
                  <c:v>-178.28951671999999</c:v>
                </c:pt>
              </c:numCache>
            </c:numRef>
          </c:val>
          <c:smooth val="0"/>
          <c:extLst>
            <c:ext xmlns:c16="http://schemas.microsoft.com/office/drawing/2014/chart" uri="{C3380CC4-5D6E-409C-BE32-E72D297353CC}">
              <c16:uniqueId val="{00000001-FF2F-432F-95A1-933586D7805D}"/>
            </c:ext>
          </c:extLst>
        </c:ser>
        <c:ser>
          <c:idx val="2"/>
          <c:order val="2"/>
          <c:tx>
            <c:strRef>
              <c:f>'3.8,9,11,14 Update'!$Y$5</c:f>
              <c:strCache>
                <c:ptCount val="1"/>
                <c:pt idx="0">
                  <c:v>Progressive Change</c:v>
                </c:pt>
              </c:strCache>
            </c:strRef>
          </c:tx>
          <c:spPr>
            <a:ln w="28575" cap="rnd">
              <a:solidFill>
                <a:srgbClr val="9ED9DF"/>
              </a:solidFill>
              <a:prstDash val="solid"/>
              <a:round/>
            </a:ln>
            <a:effectLst/>
          </c:spPr>
          <c:marker>
            <c:symbol val="none"/>
          </c:marker>
          <c:cat>
            <c:numRef>
              <c:f>'3.8,9,11,14 Update'!$V$6:$V$25</c:f>
              <c:numCache>
                <c:formatCode>General</c:formatCode>
                <c:ptCount val="20"/>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numCache>
            </c:numRef>
          </c:cat>
          <c:val>
            <c:numRef>
              <c:f>'3.8,9,11,14 Update'!$Y$6:$Y$25</c:f>
              <c:numCache>
                <c:formatCode>0</c:formatCode>
                <c:ptCount val="20"/>
                <c:pt idx="0">
                  <c:v>0</c:v>
                </c:pt>
                <c:pt idx="1">
                  <c:v>-3.0462662300000005</c:v>
                </c:pt>
                <c:pt idx="2">
                  <c:v>-8.7085235300000008</c:v>
                </c:pt>
                <c:pt idx="3">
                  <c:v>-15.726247209999999</c:v>
                </c:pt>
                <c:pt idx="4">
                  <c:v>-24.247731960000003</c:v>
                </c:pt>
                <c:pt idx="5">
                  <c:v>-33.518605180000002</c:v>
                </c:pt>
                <c:pt idx="6">
                  <c:v>-44.735519080000003</c:v>
                </c:pt>
                <c:pt idx="7">
                  <c:v>-54.517881779999996</c:v>
                </c:pt>
                <c:pt idx="8">
                  <c:v>-62.870370950000009</c:v>
                </c:pt>
                <c:pt idx="9">
                  <c:v>-69.773132349999997</c:v>
                </c:pt>
                <c:pt idx="10">
                  <c:v>-76.099171899999988</c:v>
                </c:pt>
                <c:pt idx="11">
                  <c:v>-82.527156909999988</c:v>
                </c:pt>
                <c:pt idx="12">
                  <c:v>-89.238018580000002</c:v>
                </c:pt>
                <c:pt idx="13">
                  <c:v>-96.144799180000007</c:v>
                </c:pt>
                <c:pt idx="14">
                  <c:v>-102.78225461</c:v>
                </c:pt>
                <c:pt idx="15">
                  <c:v>-109.24589742000001</c:v>
                </c:pt>
                <c:pt idx="16">
                  <c:v>-115.85272190000001</c:v>
                </c:pt>
                <c:pt idx="17">
                  <c:v>-122.4550485</c:v>
                </c:pt>
                <c:pt idx="18">
                  <c:v>-129.15341985999999</c:v>
                </c:pt>
                <c:pt idx="19">
                  <c:v>-136.1633665</c:v>
                </c:pt>
              </c:numCache>
            </c:numRef>
          </c:val>
          <c:smooth val="0"/>
          <c:extLst>
            <c:ext xmlns:c16="http://schemas.microsoft.com/office/drawing/2014/chart" uri="{C3380CC4-5D6E-409C-BE32-E72D297353CC}">
              <c16:uniqueId val="{00000002-FF2F-432F-95A1-933586D7805D}"/>
            </c:ext>
          </c:extLst>
        </c:ser>
        <c:dLbls>
          <c:showLegendKey val="0"/>
          <c:showVal val="0"/>
          <c:showCatName val="0"/>
          <c:showSerName val="0"/>
          <c:showPercent val="0"/>
          <c:showBubbleSize val="0"/>
        </c:dLbls>
        <c:smooth val="0"/>
        <c:axId val="605331423"/>
        <c:axId val="1970754591"/>
      </c:lineChart>
      <c:catAx>
        <c:axId val="605331423"/>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970754591"/>
        <c:crosses val="autoZero"/>
        <c:auto val="1"/>
        <c:lblAlgn val="ctr"/>
        <c:lblOffset val="100"/>
        <c:tickLblSkip val="2"/>
        <c:noMultiLvlLbl val="0"/>
      </c:catAx>
      <c:valAx>
        <c:axId val="1970754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AU" sz="900" b="0" i="0" u="none" strike="noStrike" kern="1200" baseline="0">
                    <a:solidFill>
                      <a:srgbClr val="595A5B"/>
                    </a:solidFill>
                    <a:latin typeface="Arial" panose="020B0604020202020204" pitchFamily="34" charset="0"/>
                    <a:cs typeface="Arial" panose="020B0604020202020204" pitchFamily="34" charset="0"/>
                  </a:rPr>
                  <a:t>Petajoules</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05331423"/>
        <c:crosses val="autoZero"/>
        <c:crossBetween val="between"/>
      </c:valAx>
      <c:spPr>
        <a:noFill/>
        <a:ln w="25400">
          <a:noFill/>
        </a:ln>
        <a:effectLst/>
      </c:spPr>
    </c:plotArea>
    <c:legend>
      <c:legendPos val="b"/>
      <c:layout>
        <c:manualLayout>
          <c:xMode val="edge"/>
          <c:yMode val="edge"/>
          <c:x val="5.3018927351062249E-2"/>
          <c:y val="0.90227005172147601"/>
          <c:w val="0.89999988114693208"/>
          <c:h val="9.772994827852400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'3.9'!$C$5</c:f>
              <c:strCache>
                <c:ptCount val="1"/>
                <c:pt idx="0">
                  <c:v>Green Energy Exports</c:v>
                </c:pt>
              </c:strCache>
            </c:strRef>
          </c:tx>
          <c:spPr>
            <a:ln w="28575" cap="rnd">
              <a:solidFill>
                <a:srgbClr val="005CAF"/>
              </a:solidFill>
              <a:prstDash val="solid"/>
              <a:round/>
            </a:ln>
            <a:effectLst/>
          </c:spPr>
          <c:marker>
            <c:symbol val="none"/>
          </c:marker>
          <c:cat>
            <c:numRef>
              <c:f>'3.9'!$B$6:$B$26</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'3.9'!$C$6:$C$26</c:f>
              <c:numCache>
                <c:formatCode>0</c:formatCode>
                <c:ptCount val="21"/>
                <c:pt idx="0">
                  <c:v>98.154646999999997</c:v>
                </c:pt>
                <c:pt idx="1">
                  <c:v>70.818906860607001</c:v>
                </c:pt>
                <c:pt idx="2">
                  <c:v>73.792225099594205</c:v>
                </c:pt>
                <c:pt idx="3">
                  <c:v>117.6536844019498</c:v>
                </c:pt>
                <c:pt idx="4">
                  <c:v>79.865155869356002</c:v>
                </c:pt>
                <c:pt idx="5">
                  <c:v>120.1806386075915</c:v>
                </c:pt>
                <c:pt idx="6">
                  <c:v>104.857131912803</c:v>
                </c:pt>
                <c:pt idx="7">
                  <c:v>94.832483233812212</c:v>
                </c:pt>
                <c:pt idx="8">
                  <c:v>77.771413750753993</c:v>
                </c:pt>
                <c:pt idx="9">
                  <c:v>63.063057678320504</c:v>
                </c:pt>
                <c:pt idx="10">
                  <c:v>60.260270347705003</c:v>
                </c:pt>
                <c:pt idx="11">
                  <c:v>62.877084243005996</c:v>
                </c:pt>
                <c:pt idx="12">
                  <c:v>63.248931913513104</c:v>
                </c:pt>
                <c:pt idx="13">
                  <c:v>68.207930662965595</c:v>
                </c:pt>
                <c:pt idx="14">
                  <c:v>69.423347509805495</c:v>
                </c:pt>
                <c:pt idx="15">
                  <c:v>74.858084852376294</c:v>
                </c:pt>
                <c:pt idx="16">
                  <c:v>82.885236212341596</c:v>
                </c:pt>
                <c:pt idx="17">
                  <c:v>84.613211398018407</c:v>
                </c:pt>
                <c:pt idx="18">
                  <c:v>81.578355231620705</c:v>
                </c:pt>
                <c:pt idx="19">
                  <c:v>77.940650064546304</c:v>
                </c:pt>
                <c:pt idx="20">
                  <c:v>74.614908648958902</c:v>
                </c:pt>
              </c:numCache>
            </c:numRef>
          </c:val>
          <c:smooth val="1"/>
          <c:extLst>
            <c:ext xmlns:c16="http://schemas.microsoft.com/office/drawing/2014/chart" uri="{C3380CC4-5D6E-409C-BE32-E72D297353CC}">
              <c16:uniqueId val="{00000000-0F0B-4308-8B78-61416FAD6D9F}"/>
            </c:ext>
          </c:extLst>
        </c:ser>
        <c:ser>
          <c:idx val="1"/>
          <c:order val="1"/>
          <c:tx>
            <c:strRef>
              <c:f>'3.9'!$D$5</c:f>
              <c:strCache>
                <c:ptCount val="1"/>
                <c:pt idx="0">
                  <c:v>Step Change</c:v>
                </c:pt>
              </c:strCache>
            </c:strRef>
          </c:tx>
          <c:spPr>
            <a:ln w="28575" cap="rnd">
              <a:solidFill>
                <a:srgbClr val="56B4DF"/>
              </a:solidFill>
              <a:prstDash val="solid"/>
              <a:round/>
            </a:ln>
            <a:effectLst/>
          </c:spPr>
          <c:marker>
            <c:symbol val="none"/>
          </c:marker>
          <c:cat>
            <c:numRef>
              <c:f>'3.9'!$B$6:$B$26</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'3.9'!$D$6:$D$26</c:f>
              <c:numCache>
                <c:formatCode>0</c:formatCode>
                <c:ptCount val="21"/>
                <c:pt idx="0">
                  <c:v>98.154646999999997</c:v>
                </c:pt>
                <c:pt idx="1">
                  <c:v>70.818906860607001</c:v>
                </c:pt>
                <c:pt idx="2">
                  <c:v>74.244730475768804</c:v>
                </c:pt>
                <c:pt idx="3">
                  <c:v>119.9576828214819</c:v>
                </c:pt>
                <c:pt idx="4">
                  <c:v>93.569947922396395</c:v>
                </c:pt>
                <c:pt idx="5">
                  <c:v>87.994882809686601</c:v>
                </c:pt>
                <c:pt idx="6">
                  <c:v>86.833034651129196</c:v>
                </c:pt>
                <c:pt idx="7">
                  <c:v>62.6429986882492</c:v>
                </c:pt>
                <c:pt idx="8">
                  <c:v>59.169796062849002</c:v>
                </c:pt>
                <c:pt idx="9">
                  <c:v>64.411305640817204</c:v>
                </c:pt>
                <c:pt idx="10">
                  <c:v>97.317430269096192</c:v>
                </c:pt>
                <c:pt idx="11">
                  <c:v>143.57733818163732</c:v>
                </c:pt>
                <c:pt idx="12">
                  <c:v>138.69224859124031</c:v>
                </c:pt>
                <c:pt idx="13">
                  <c:v>122.7845781161114</c:v>
                </c:pt>
                <c:pt idx="14">
                  <c:v>135.39642725732531</c:v>
                </c:pt>
                <c:pt idx="15">
                  <c:v>150.14893781830031</c:v>
                </c:pt>
                <c:pt idx="16">
                  <c:v>158.1099351047643</c:v>
                </c:pt>
                <c:pt idx="17">
                  <c:v>163.68414679235138</c:v>
                </c:pt>
                <c:pt idx="18">
                  <c:v>179.87994868757232</c:v>
                </c:pt>
                <c:pt idx="19">
                  <c:v>193.80979198117032</c:v>
                </c:pt>
                <c:pt idx="20">
                  <c:v>190.45826792208732</c:v>
                </c:pt>
              </c:numCache>
            </c:numRef>
          </c:val>
          <c:smooth val="1"/>
          <c:extLst>
            <c:ext xmlns:c16="http://schemas.microsoft.com/office/drawing/2014/chart" uri="{C3380CC4-5D6E-409C-BE32-E72D297353CC}">
              <c16:uniqueId val="{00000001-0F0B-4308-8B78-61416FAD6D9F}"/>
            </c:ext>
          </c:extLst>
        </c:ser>
        <c:ser>
          <c:idx val="2"/>
          <c:order val="2"/>
          <c:tx>
            <c:strRef>
              <c:f>'3.9'!$E$5</c:f>
              <c:strCache>
                <c:ptCount val="1"/>
                <c:pt idx="0">
                  <c:v>Progressive Change</c:v>
                </c:pt>
              </c:strCache>
            </c:strRef>
          </c:tx>
          <c:spPr>
            <a:ln w="28575" cap="rnd">
              <a:solidFill>
                <a:srgbClr val="9ED9DF"/>
              </a:solidFill>
              <a:prstDash val="solid"/>
              <a:round/>
            </a:ln>
            <a:effectLst/>
          </c:spPr>
          <c:marker>
            <c:symbol val="none"/>
          </c:marker>
          <c:cat>
            <c:numRef>
              <c:f>'3.9'!$B$6:$B$26</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'3.9'!$E$6:$E$26</c:f>
              <c:numCache>
                <c:formatCode>0</c:formatCode>
                <c:ptCount val="21"/>
                <c:pt idx="0">
                  <c:v>98.154646999999997</c:v>
                </c:pt>
                <c:pt idx="1">
                  <c:v>70.818906860607001</c:v>
                </c:pt>
                <c:pt idx="2">
                  <c:v>73.792225099594205</c:v>
                </c:pt>
                <c:pt idx="3">
                  <c:v>83.8811053151652</c:v>
                </c:pt>
                <c:pt idx="4">
                  <c:v>57.689969255678896</c:v>
                </c:pt>
                <c:pt idx="5">
                  <c:v>72.681051835124094</c:v>
                </c:pt>
                <c:pt idx="6">
                  <c:v>70.338741607455503</c:v>
                </c:pt>
                <c:pt idx="7">
                  <c:v>45.805642072970301</c:v>
                </c:pt>
                <c:pt idx="8">
                  <c:v>39.311350626107597</c:v>
                </c:pt>
                <c:pt idx="9">
                  <c:v>36.760006079278298</c:v>
                </c:pt>
                <c:pt idx="10">
                  <c:v>61.029358530945004</c:v>
                </c:pt>
                <c:pt idx="11">
                  <c:v>91.572721930999094</c:v>
                </c:pt>
                <c:pt idx="12">
                  <c:v>97.5424577124747</c:v>
                </c:pt>
                <c:pt idx="13">
                  <c:v>87.350270473599906</c:v>
                </c:pt>
                <c:pt idx="14">
                  <c:v>79.258492257166395</c:v>
                </c:pt>
                <c:pt idx="15">
                  <c:v>82.653189193503394</c:v>
                </c:pt>
                <c:pt idx="16">
                  <c:v>86.778710319732795</c:v>
                </c:pt>
                <c:pt idx="17">
                  <c:v>110.62201052467741</c:v>
                </c:pt>
                <c:pt idx="18">
                  <c:v>138.49087496709132</c:v>
                </c:pt>
                <c:pt idx="19">
                  <c:v>123.18532206945929</c:v>
                </c:pt>
                <c:pt idx="20">
                  <c:v>105.3970845871888</c:v>
                </c:pt>
              </c:numCache>
            </c:numRef>
          </c:val>
          <c:smooth val="1"/>
          <c:extLst>
            <c:ext xmlns:c16="http://schemas.microsoft.com/office/drawing/2014/chart" uri="{C3380CC4-5D6E-409C-BE32-E72D297353CC}">
              <c16:uniqueId val="{00000002-0F0B-4308-8B78-61416FAD6D9F}"/>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3"/>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1745654434706"/>
          <c:y val="6.2287655719139301E-2"/>
          <c:w val="0.81658095379586981"/>
          <c:h val="0.5131889763779528"/>
        </c:manualLayout>
      </c:layout>
      <c:barChart>
        <c:barDir val="col"/>
        <c:grouping val="stacked"/>
        <c:varyColors val="0"/>
        <c:ser>
          <c:idx val="0"/>
          <c:order val="0"/>
          <c:tx>
            <c:strRef>
              <c:f>'[Future Gas Strategy Analytical Report - report figures and data.xlsx]3.12'!$A$8</c:f>
              <c:strCache>
                <c:ptCount val="1"/>
                <c:pt idx="0">
                  <c:v>Coal</c:v>
                </c:pt>
              </c:strCache>
            </c:strRef>
          </c:tx>
          <c:spPr>
            <a:solidFill>
              <a:srgbClr val="005CAF"/>
            </a:solidFill>
            <a:ln>
              <a:noFill/>
            </a:ln>
            <a:effectLst/>
          </c:spPr>
          <c:invertIfNegative val="0"/>
          <c:cat>
            <c:strRef>
              <c:f>'[Future Gas Strategy Analytical Report - report figures and data.xlsx]3.12'!$B$7:$AB$7</c:f>
              <c:strCache>
                <c:ptCount val="2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pt idx="17">
                  <c:v>2040-41</c:v>
                </c:pt>
                <c:pt idx="18">
                  <c:v>2041-42</c:v>
                </c:pt>
                <c:pt idx="19">
                  <c:v>2042-43</c:v>
                </c:pt>
                <c:pt idx="20">
                  <c:v>2043-44</c:v>
                </c:pt>
                <c:pt idx="21">
                  <c:v>2044-45</c:v>
                </c:pt>
                <c:pt idx="22">
                  <c:v>2045-46</c:v>
                </c:pt>
                <c:pt idx="23">
                  <c:v>2046-47</c:v>
                </c:pt>
                <c:pt idx="24">
                  <c:v>2047-48</c:v>
                </c:pt>
                <c:pt idx="25">
                  <c:v>2048-49</c:v>
                </c:pt>
                <c:pt idx="26">
                  <c:v>2049-50</c:v>
                </c:pt>
              </c:strCache>
            </c:strRef>
          </c:cat>
          <c:val>
            <c:numRef>
              <c:f>'[Future Gas Strategy Analytical Report - report figures and data.xlsx]3.12'!$B$8:$AB$8</c:f>
              <c:numCache>
                <c:formatCode>0.0</c:formatCode>
                <c:ptCount val="27"/>
                <c:pt idx="0">
                  <c:v>21.254999999999999</c:v>
                </c:pt>
                <c:pt idx="1">
                  <c:v>21.254999999999999</c:v>
                </c:pt>
                <c:pt idx="2">
                  <c:v>18.375</c:v>
                </c:pt>
                <c:pt idx="3">
                  <c:v>18.375</c:v>
                </c:pt>
                <c:pt idx="4">
                  <c:v>16.48</c:v>
                </c:pt>
                <c:pt idx="5">
                  <c:v>13.344999999999999</c:v>
                </c:pt>
                <c:pt idx="6">
                  <c:v>11.440000000000001</c:v>
                </c:pt>
                <c:pt idx="7">
                  <c:v>9.495000000000001</c:v>
                </c:pt>
                <c:pt idx="8">
                  <c:v>7.95</c:v>
                </c:pt>
                <c:pt idx="9">
                  <c:v>6.87</c:v>
                </c:pt>
                <c:pt idx="10">
                  <c:v>3.016</c:v>
                </c:pt>
                <c:pt idx="11">
                  <c:v>1.42</c:v>
                </c:pt>
                <c:pt idx="12">
                  <c:v>1.42</c:v>
                </c:pt>
                <c:pt idx="13">
                  <c:v>0.69</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extLst>
            <c:ext xmlns:c16="http://schemas.microsoft.com/office/drawing/2014/chart" uri="{C3380CC4-5D6E-409C-BE32-E72D297353CC}">
              <c16:uniqueId val="{00000000-A28F-455C-9166-36CA494D9A51}"/>
            </c:ext>
          </c:extLst>
        </c:ser>
        <c:ser>
          <c:idx val="1"/>
          <c:order val="1"/>
          <c:tx>
            <c:strRef>
              <c:f>'[Future Gas Strategy Analytical Report - report figures and data.xlsx]3.12'!$A$9</c:f>
              <c:strCache>
                <c:ptCount val="1"/>
                <c:pt idx="0">
                  <c:v>Gas</c:v>
                </c:pt>
              </c:strCache>
            </c:strRef>
          </c:tx>
          <c:spPr>
            <a:solidFill>
              <a:srgbClr val="56B4DF"/>
            </a:solidFill>
            <a:ln>
              <a:noFill/>
            </a:ln>
            <a:effectLst/>
          </c:spPr>
          <c:invertIfNegative val="0"/>
          <c:cat>
            <c:strRef>
              <c:f>'[Future Gas Strategy Analytical Report - report figures and data.xlsx]3.12'!$B$7:$AB$7</c:f>
              <c:strCache>
                <c:ptCount val="2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pt idx="17">
                  <c:v>2040-41</c:v>
                </c:pt>
                <c:pt idx="18">
                  <c:v>2041-42</c:v>
                </c:pt>
                <c:pt idx="19">
                  <c:v>2042-43</c:v>
                </c:pt>
                <c:pt idx="20">
                  <c:v>2043-44</c:v>
                </c:pt>
                <c:pt idx="21">
                  <c:v>2044-45</c:v>
                </c:pt>
                <c:pt idx="22">
                  <c:v>2045-46</c:v>
                </c:pt>
                <c:pt idx="23">
                  <c:v>2046-47</c:v>
                </c:pt>
                <c:pt idx="24">
                  <c:v>2047-48</c:v>
                </c:pt>
                <c:pt idx="25">
                  <c:v>2048-49</c:v>
                </c:pt>
                <c:pt idx="26">
                  <c:v>2049-50</c:v>
                </c:pt>
              </c:strCache>
            </c:strRef>
          </c:cat>
          <c:val>
            <c:numRef>
              <c:f>'[Future Gas Strategy Analytical Report - report figures and data.xlsx]3.12'!$B$9:$AB$9</c:f>
              <c:numCache>
                <c:formatCode>0.0</c:formatCode>
                <c:ptCount val="27"/>
                <c:pt idx="0">
                  <c:v>12.537459000030001</c:v>
                </c:pt>
                <c:pt idx="1">
                  <c:v>12.537459000030001</c:v>
                </c:pt>
                <c:pt idx="2">
                  <c:v>12.73745900003</c:v>
                </c:pt>
                <c:pt idx="3">
                  <c:v>11.957459000029999</c:v>
                </c:pt>
                <c:pt idx="4">
                  <c:v>11.749459000030001</c:v>
                </c:pt>
                <c:pt idx="5">
                  <c:v>11.749459000030001</c:v>
                </c:pt>
                <c:pt idx="6">
                  <c:v>11.749459000030001</c:v>
                </c:pt>
                <c:pt idx="7">
                  <c:v>11.89695900003</c:v>
                </c:pt>
                <c:pt idx="8">
                  <c:v>11.926959000029999</c:v>
                </c:pt>
                <c:pt idx="9">
                  <c:v>11.65009899999</c:v>
                </c:pt>
                <c:pt idx="10">
                  <c:v>13.018098999980001</c:v>
                </c:pt>
                <c:pt idx="11">
                  <c:v>13.656122907820002</c:v>
                </c:pt>
                <c:pt idx="12">
                  <c:v>14.001506987790002</c:v>
                </c:pt>
                <c:pt idx="13">
                  <c:v>14.20609899482</c:v>
                </c:pt>
                <c:pt idx="14">
                  <c:v>16.062098994830002</c:v>
                </c:pt>
                <c:pt idx="15">
                  <c:v>17.122098994830001</c:v>
                </c:pt>
                <c:pt idx="16">
                  <c:v>16.30269899484</c:v>
                </c:pt>
                <c:pt idx="17">
                  <c:v>16.182698994840003</c:v>
                </c:pt>
                <c:pt idx="18">
                  <c:v>16.182698994840003</c:v>
                </c:pt>
                <c:pt idx="19">
                  <c:v>16.088698994840001</c:v>
                </c:pt>
                <c:pt idx="20">
                  <c:v>16.249556296599998</c:v>
                </c:pt>
                <c:pt idx="21">
                  <c:v>19.829395499500002</c:v>
                </c:pt>
                <c:pt idx="22">
                  <c:v>19.061695499500001</c:v>
                </c:pt>
                <c:pt idx="23">
                  <c:v>18.254981179210002</c:v>
                </c:pt>
                <c:pt idx="24">
                  <c:v>17.670981179209999</c:v>
                </c:pt>
                <c:pt idx="25">
                  <c:v>17.748748449270003</c:v>
                </c:pt>
                <c:pt idx="26">
                  <c:v>17.229748449270001</c:v>
                </c:pt>
              </c:numCache>
            </c:numRef>
          </c:val>
          <c:extLst>
            <c:ext xmlns:c16="http://schemas.microsoft.com/office/drawing/2014/chart" uri="{C3380CC4-5D6E-409C-BE32-E72D297353CC}">
              <c16:uniqueId val="{00000001-A28F-455C-9166-36CA494D9A51}"/>
            </c:ext>
          </c:extLst>
        </c:ser>
        <c:ser>
          <c:idx val="2"/>
          <c:order val="2"/>
          <c:tx>
            <c:strRef>
              <c:f>'[Future Gas Strategy Analytical Report - report figures and data.xlsx]3.12'!$A$10</c:f>
              <c:strCache>
                <c:ptCount val="1"/>
                <c:pt idx="0">
                  <c:v>Hydro</c:v>
                </c:pt>
              </c:strCache>
            </c:strRef>
          </c:tx>
          <c:spPr>
            <a:solidFill>
              <a:srgbClr val="9ED9DF"/>
            </a:solidFill>
            <a:ln>
              <a:noFill/>
            </a:ln>
            <a:effectLst/>
          </c:spPr>
          <c:invertIfNegative val="0"/>
          <c:cat>
            <c:strRef>
              <c:f>'[Future Gas Strategy Analytical Report - report figures and data.xlsx]3.12'!$B$7:$AB$7</c:f>
              <c:strCache>
                <c:ptCount val="2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pt idx="17">
                  <c:v>2040-41</c:v>
                </c:pt>
                <c:pt idx="18">
                  <c:v>2041-42</c:v>
                </c:pt>
                <c:pt idx="19">
                  <c:v>2042-43</c:v>
                </c:pt>
                <c:pt idx="20">
                  <c:v>2043-44</c:v>
                </c:pt>
                <c:pt idx="21">
                  <c:v>2044-45</c:v>
                </c:pt>
                <c:pt idx="22">
                  <c:v>2045-46</c:v>
                </c:pt>
                <c:pt idx="23">
                  <c:v>2046-47</c:v>
                </c:pt>
                <c:pt idx="24">
                  <c:v>2047-48</c:v>
                </c:pt>
                <c:pt idx="25">
                  <c:v>2048-49</c:v>
                </c:pt>
                <c:pt idx="26">
                  <c:v>2049-50</c:v>
                </c:pt>
              </c:strCache>
            </c:strRef>
          </c:cat>
          <c:val>
            <c:numRef>
              <c:f>'[Future Gas Strategy Analytical Report - report figures and data.xlsx]3.12'!$B$10:$AB$10</c:f>
              <c:numCache>
                <c:formatCode>0.0</c:formatCode>
                <c:ptCount val="27"/>
                <c:pt idx="0">
                  <c:v>6.8181200000699995</c:v>
                </c:pt>
                <c:pt idx="1">
                  <c:v>6.8181200000699995</c:v>
                </c:pt>
                <c:pt idx="2">
                  <c:v>6.8181200000699995</c:v>
                </c:pt>
                <c:pt idx="3">
                  <c:v>6.8181200000699995</c:v>
                </c:pt>
                <c:pt idx="4">
                  <c:v>6.8181200000699995</c:v>
                </c:pt>
                <c:pt idx="5">
                  <c:v>6.8181200000699995</c:v>
                </c:pt>
                <c:pt idx="6">
                  <c:v>7.2081200000699992</c:v>
                </c:pt>
                <c:pt idx="7">
                  <c:v>7.2081200000699992</c:v>
                </c:pt>
                <c:pt idx="8">
                  <c:v>7.2081200000699992</c:v>
                </c:pt>
                <c:pt idx="9">
                  <c:v>7.2081200000699992</c:v>
                </c:pt>
                <c:pt idx="10">
                  <c:v>7.2081200000699992</c:v>
                </c:pt>
                <c:pt idx="11">
                  <c:v>7.2081200000699992</c:v>
                </c:pt>
                <c:pt idx="12">
                  <c:v>7.2081200000699992</c:v>
                </c:pt>
                <c:pt idx="13">
                  <c:v>7.2081200000699992</c:v>
                </c:pt>
                <c:pt idx="14">
                  <c:v>7.1217200000699998</c:v>
                </c:pt>
                <c:pt idx="15">
                  <c:v>7.1217200000699998</c:v>
                </c:pt>
                <c:pt idx="16">
                  <c:v>7.1217200000699998</c:v>
                </c:pt>
                <c:pt idx="17">
                  <c:v>7.1217200000699998</c:v>
                </c:pt>
                <c:pt idx="18">
                  <c:v>7.1217200000699998</c:v>
                </c:pt>
                <c:pt idx="19">
                  <c:v>7.0557200000699991</c:v>
                </c:pt>
                <c:pt idx="20">
                  <c:v>7.0557200000699991</c:v>
                </c:pt>
                <c:pt idx="21">
                  <c:v>7.0557200000699991</c:v>
                </c:pt>
                <c:pt idx="22">
                  <c:v>7.0557200000699991</c:v>
                </c:pt>
                <c:pt idx="23">
                  <c:v>7.0557200000699991</c:v>
                </c:pt>
                <c:pt idx="24">
                  <c:v>7.0557200000699991</c:v>
                </c:pt>
                <c:pt idx="25">
                  <c:v>7.0557200000699991</c:v>
                </c:pt>
                <c:pt idx="26">
                  <c:v>7.0557200000699991</c:v>
                </c:pt>
              </c:numCache>
            </c:numRef>
          </c:val>
          <c:extLst>
            <c:ext xmlns:c16="http://schemas.microsoft.com/office/drawing/2014/chart" uri="{C3380CC4-5D6E-409C-BE32-E72D297353CC}">
              <c16:uniqueId val="{00000002-A28F-455C-9166-36CA494D9A51}"/>
            </c:ext>
          </c:extLst>
        </c:ser>
        <c:ser>
          <c:idx val="3"/>
          <c:order val="3"/>
          <c:tx>
            <c:strRef>
              <c:f>'[Future Gas Strategy Analytical Report - report figures and data.xlsx]3.12'!$A$11</c:f>
              <c:strCache>
                <c:ptCount val="1"/>
                <c:pt idx="0">
                  <c:v>Storage</c:v>
                </c:pt>
              </c:strCache>
            </c:strRef>
          </c:tx>
          <c:spPr>
            <a:solidFill>
              <a:srgbClr val="BCBFC1"/>
            </a:solidFill>
            <a:ln>
              <a:noFill/>
            </a:ln>
            <a:effectLst/>
          </c:spPr>
          <c:invertIfNegative val="0"/>
          <c:cat>
            <c:strRef>
              <c:f>'[Future Gas Strategy Analytical Report - report figures and data.xlsx]3.12'!$B$7:$AB$7</c:f>
              <c:strCache>
                <c:ptCount val="2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pt idx="17">
                  <c:v>2040-41</c:v>
                </c:pt>
                <c:pt idx="18">
                  <c:v>2041-42</c:v>
                </c:pt>
                <c:pt idx="19">
                  <c:v>2042-43</c:v>
                </c:pt>
                <c:pt idx="20">
                  <c:v>2043-44</c:v>
                </c:pt>
                <c:pt idx="21">
                  <c:v>2044-45</c:v>
                </c:pt>
                <c:pt idx="22">
                  <c:v>2045-46</c:v>
                </c:pt>
                <c:pt idx="23">
                  <c:v>2046-47</c:v>
                </c:pt>
                <c:pt idx="24">
                  <c:v>2047-48</c:v>
                </c:pt>
                <c:pt idx="25">
                  <c:v>2048-49</c:v>
                </c:pt>
                <c:pt idx="26">
                  <c:v>2049-50</c:v>
                </c:pt>
              </c:strCache>
            </c:strRef>
          </c:cat>
          <c:val>
            <c:numRef>
              <c:f>'[Future Gas Strategy Analytical Report - report figures and data.xlsx]3.12'!$B$11:$AB$11</c:f>
              <c:numCache>
                <c:formatCode>0.0</c:formatCode>
                <c:ptCount val="27"/>
                <c:pt idx="0">
                  <c:v>1.5012000000000001</c:v>
                </c:pt>
                <c:pt idx="1">
                  <c:v>5.1259153238639996</c:v>
                </c:pt>
                <c:pt idx="2">
                  <c:v>10.280962881584999</c:v>
                </c:pt>
                <c:pt idx="3">
                  <c:v>11.568336670281004</c:v>
                </c:pt>
                <c:pt idx="4">
                  <c:v>12.792991903835004</c:v>
                </c:pt>
                <c:pt idx="5">
                  <c:v>15.966589652817001</c:v>
                </c:pt>
                <c:pt idx="6">
                  <c:v>19.296476879309999</c:v>
                </c:pt>
                <c:pt idx="7">
                  <c:v>23.004153867957001</c:v>
                </c:pt>
                <c:pt idx="8">
                  <c:v>25.997079409314001</c:v>
                </c:pt>
                <c:pt idx="9">
                  <c:v>27.769300039429002</c:v>
                </c:pt>
                <c:pt idx="10">
                  <c:v>29.718015424501004</c:v>
                </c:pt>
                <c:pt idx="11">
                  <c:v>33.458842380176002</c:v>
                </c:pt>
                <c:pt idx="12">
                  <c:v>35.366629702179999</c:v>
                </c:pt>
                <c:pt idx="13">
                  <c:v>37.306252614470004</c:v>
                </c:pt>
                <c:pt idx="14">
                  <c:v>39.365151140520005</c:v>
                </c:pt>
                <c:pt idx="15">
                  <c:v>41.208593333200007</c:v>
                </c:pt>
                <c:pt idx="16">
                  <c:v>43.050532298459999</c:v>
                </c:pt>
                <c:pt idx="17">
                  <c:v>44.889162632020003</c:v>
                </c:pt>
                <c:pt idx="18">
                  <c:v>46.420040981040003</c:v>
                </c:pt>
                <c:pt idx="19">
                  <c:v>48.257859618300003</c:v>
                </c:pt>
                <c:pt idx="20">
                  <c:v>49.805203910469999</c:v>
                </c:pt>
                <c:pt idx="21">
                  <c:v>51.197202080619995</c:v>
                </c:pt>
                <c:pt idx="22">
                  <c:v>49.376961730729995</c:v>
                </c:pt>
                <c:pt idx="23">
                  <c:v>50.906157682059991</c:v>
                </c:pt>
                <c:pt idx="24">
                  <c:v>52.750023388839992</c:v>
                </c:pt>
                <c:pt idx="25">
                  <c:v>55.080833773410006</c:v>
                </c:pt>
                <c:pt idx="26">
                  <c:v>56.964799223379991</c:v>
                </c:pt>
              </c:numCache>
            </c:numRef>
          </c:val>
          <c:extLst>
            <c:ext xmlns:c16="http://schemas.microsoft.com/office/drawing/2014/chart" uri="{C3380CC4-5D6E-409C-BE32-E72D297353CC}">
              <c16:uniqueId val="{00000003-A28F-455C-9166-36CA494D9A51}"/>
            </c:ext>
          </c:extLst>
        </c:ser>
        <c:ser>
          <c:idx val="4"/>
          <c:order val="4"/>
          <c:tx>
            <c:strRef>
              <c:f>'[Future Gas Strategy Analytical Report - report figures and data.xlsx]3.12'!$A$12</c:f>
              <c:strCache>
                <c:ptCount val="1"/>
                <c:pt idx="0">
                  <c:v>Wind</c:v>
                </c:pt>
              </c:strCache>
            </c:strRef>
          </c:tx>
          <c:spPr>
            <a:solidFill>
              <a:srgbClr val="51B7A4"/>
            </a:solidFill>
            <a:ln>
              <a:noFill/>
            </a:ln>
            <a:effectLst/>
          </c:spPr>
          <c:invertIfNegative val="0"/>
          <c:cat>
            <c:strRef>
              <c:f>'[Future Gas Strategy Analytical Report - report figures and data.xlsx]3.12'!$B$7:$AB$7</c:f>
              <c:strCache>
                <c:ptCount val="2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pt idx="17">
                  <c:v>2040-41</c:v>
                </c:pt>
                <c:pt idx="18">
                  <c:v>2041-42</c:v>
                </c:pt>
                <c:pt idx="19">
                  <c:v>2042-43</c:v>
                </c:pt>
                <c:pt idx="20">
                  <c:v>2043-44</c:v>
                </c:pt>
                <c:pt idx="21">
                  <c:v>2044-45</c:v>
                </c:pt>
                <c:pt idx="22">
                  <c:v>2045-46</c:v>
                </c:pt>
                <c:pt idx="23">
                  <c:v>2046-47</c:v>
                </c:pt>
                <c:pt idx="24">
                  <c:v>2047-48</c:v>
                </c:pt>
                <c:pt idx="25">
                  <c:v>2048-49</c:v>
                </c:pt>
                <c:pt idx="26">
                  <c:v>2049-50</c:v>
                </c:pt>
              </c:strCache>
            </c:strRef>
          </c:cat>
          <c:val>
            <c:numRef>
              <c:f>'[Future Gas Strategy Analytical Report - report figures and data.xlsx]3.12'!$B$12:$AB$12</c:f>
              <c:numCache>
                <c:formatCode>0.0</c:formatCode>
                <c:ptCount val="27"/>
                <c:pt idx="0">
                  <c:v>11.579652999999999</c:v>
                </c:pt>
                <c:pt idx="1">
                  <c:v>12.941393</c:v>
                </c:pt>
                <c:pt idx="2">
                  <c:v>14.739595</c:v>
                </c:pt>
                <c:pt idx="3">
                  <c:v>22.597925670769996</c:v>
                </c:pt>
                <c:pt idx="4">
                  <c:v>27.366539449569999</c:v>
                </c:pt>
                <c:pt idx="5">
                  <c:v>34.061496170809995</c:v>
                </c:pt>
                <c:pt idx="6">
                  <c:v>39.638757074149993</c:v>
                </c:pt>
                <c:pt idx="7">
                  <c:v>42.876188832779995</c:v>
                </c:pt>
                <c:pt idx="8">
                  <c:v>45.763121313159992</c:v>
                </c:pt>
                <c:pt idx="9">
                  <c:v>48.023863775799995</c:v>
                </c:pt>
                <c:pt idx="10">
                  <c:v>49.412578982610007</c:v>
                </c:pt>
                <c:pt idx="11">
                  <c:v>56.509194022359992</c:v>
                </c:pt>
                <c:pt idx="12">
                  <c:v>58.491445289279994</c:v>
                </c:pt>
                <c:pt idx="13">
                  <c:v>59.412551156269998</c:v>
                </c:pt>
                <c:pt idx="14">
                  <c:v>60.34954315393999</c:v>
                </c:pt>
                <c:pt idx="15">
                  <c:v>60.568063145529997</c:v>
                </c:pt>
                <c:pt idx="16">
                  <c:v>61.049363126459994</c:v>
                </c:pt>
                <c:pt idx="17">
                  <c:v>60.361383137190003</c:v>
                </c:pt>
                <c:pt idx="18">
                  <c:v>60.175073144830009</c:v>
                </c:pt>
                <c:pt idx="19">
                  <c:v>60.542962394140005</c:v>
                </c:pt>
                <c:pt idx="20">
                  <c:v>59.831727830440002</c:v>
                </c:pt>
                <c:pt idx="21">
                  <c:v>60.024242165049998</c:v>
                </c:pt>
                <c:pt idx="22">
                  <c:v>66.459838296049995</c:v>
                </c:pt>
                <c:pt idx="23">
                  <c:v>66.801876120800003</c:v>
                </c:pt>
                <c:pt idx="24">
                  <c:v>66.404376180870003</c:v>
                </c:pt>
                <c:pt idx="25">
                  <c:v>69.943863674740001</c:v>
                </c:pt>
                <c:pt idx="26">
                  <c:v>70.367671302289992</c:v>
                </c:pt>
              </c:numCache>
            </c:numRef>
          </c:val>
          <c:extLst>
            <c:ext xmlns:c16="http://schemas.microsoft.com/office/drawing/2014/chart" uri="{C3380CC4-5D6E-409C-BE32-E72D297353CC}">
              <c16:uniqueId val="{00000004-A28F-455C-9166-36CA494D9A51}"/>
            </c:ext>
          </c:extLst>
        </c:ser>
        <c:ser>
          <c:idx val="5"/>
          <c:order val="5"/>
          <c:tx>
            <c:strRef>
              <c:f>'[Future Gas Strategy Analytical Report - report figures and data.xlsx]3.12'!$A$13</c:f>
              <c:strCache>
                <c:ptCount val="1"/>
                <c:pt idx="0">
                  <c:v>Solar</c:v>
                </c:pt>
              </c:strCache>
            </c:strRef>
          </c:tx>
          <c:spPr>
            <a:solidFill>
              <a:srgbClr val="0A7568"/>
            </a:solidFill>
            <a:ln>
              <a:noFill/>
            </a:ln>
            <a:effectLst/>
          </c:spPr>
          <c:invertIfNegative val="0"/>
          <c:cat>
            <c:strRef>
              <c:f>'[Future Gas Strategy Analytical Report - report figures and data.xlsx]3.12'!$B$7:$AB$7</c:f>
              <c:strCache>
                <c:ptCount val="2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pt idx="17">
                  <c:v>2040-41</c:v>
                </c:pt>
                <c:pt idx="18">
                  <c:v>2041-42</c:v>
                </c:pt>
                <c:pt idx="19">
                  <c:v>2042-43</c:v>
                </c:pt>
                <c:pt idx="20">
                  <c:v>2043-44</c:v>
                </c:pt>
                <c:pt idx="21">
                  <c:v>2044-45</c:v>
                </c:pt>
                <c:pt idx="22">
                  <c:v>2045-46</c:v>
                </c:pt>
                <c:pt idx="23">
                  <c:v>2046-47</c:v>
                </c:pt>
                <c:pt idx="24">
                  <c:v>2047-48</c:v>
                </c:pt>
                <c:pt idx="25">
                  <c:v>2048-49</c:v>
                </c:pt>
                <c:pt idx="26">
                  <c:v>2049-50</c:v>
                </c:pt>
              </c:strCache>
            </c:strRef>
          </c:cat>
          <c:val>
            <c:numRef>
              <c:f>'[Future Gas Strategy Analytical Report - report figures and data.xlsx]3.12'!$B$13:$AB$13</c:f>
              <c:numCache>
                <c:formatCode>0.0</c:formatCode>
                <c:ptCount val="27"/>
                <c:pt idx="0">
                  <c:v>30.459740939480582</c:v>
                </c:pt>
                <c:pt idx="1">
                  <c:v>33.154439063490003</c:v>
                </c:pt>
                <c:pt idx="2">
                  <c:v>36.799617461669996</c:v>
                </c:pt>
                <c:pt idx="3">
                  <c:v>40.307154261519997</c:v>
                </c:pt>
                <c:pt idx="4">
                  <c:v>43.084415527570002</c:v>
                </c:pt>
                <c:pt idx="5">
                  <c:v>46.534613213480007</c:v>
                </c:pt>
                <c:pt idx="6">
                  <c:v>53.416469709510004</c:v>
                </c:pt>
                <c:pt idx="7">
                  <c:v>58.361596308610004</c:v>
                </c:pt>
                <c:pt idx="8">
                  <c:v>61.950647244970014</c:v>
                </c:pt>
                <c:pt idx="9">
                  <c:v>65.350008268089994</c:v>
                </c:pt>
                <c:pt idx="10">
                  <c:v>69.056592077080012</c:v>
                </c:pt>
                <c:pt idx="11">
                  <c:v>73.563822106919986</c:v>
                </c:pt>
                <c:pt idx="12">
                  <c:v>77.978141064279995</c:v>
                </c:pt>
                <c:pt idx="13">
                  <c:v>82.608867520039993</c:v>
                </c:pt>
                <c:pt idx="14">
                  <c:v>84.880861030839995</c:v>
                </c:pt>
                <c:pt idx="15">
                  <c:v>87.087696538230006</c:v>
                </c:pt>
                <c:pt idx="16">
                  <c:v>89.604556661939995</c:v>
                </c:pt>
                <c:pt idx="17">
                  <c:v>92.359979775469995</c:v>
                </c:pt>
                <c:pt idx="18">
                  <c:v>97.545982045430009</c:v>
                </c:pt>
                <c:pt idx="19">
                  <c:v>105.99883897651999</c:v>
                </c:pt>
                <c:pt idx="20">
                  <c:v>111.05768162401</c:v>
                </c:pt>
                <c:pt idx="21">
                  <c:v>117.81785043752998</c:v>
                </c:pt>
                <c:pt idx="22">
                  <c:v>123.42928765214</c:v>
                </c:pt>
                <c:pt idx="23">
                  <c:v>125.98339008578998</c:v>
                </c:pt>
                <c:pt idx="24">
                  <c:v>130.61624113603</c:v>
                </c:pt>
                <c:pt idx="25">
                  <c:v>135.75079313505</c:v>
                </c:pt>
                <c:pt idx="26">
                  <c:v>141.23195826919999</c:v>
                </c:pt>
              </c:numCache>
            </c:numRef>
          </c:val>
          <c:extLst>
            <c:ext xmlns:c16="http://schemas.microsoft.com/office/drawing/2014/chart" uri="{C3380CC4-5D6E-409C-BE32-E72D297353CC}">
              <c16:uniqueId val="{00000005-A28F-455C-9166-36CA494D9A51}"/>
            </c:ext>
          </c:extLst>
        </c:ser>
        <c:ser>
          <c:idx val="6"/>
          <c:order val="6"/>
          <c:tx>
            <c:strRef>
              <c:f>'[Future Gas Strategy Analytical Report - report figures and data.xlsx]3.12'!$A$14</c:f>
              <c:strCache>
                <c:ptCount val="1"/>
                <c:pt idx="0">
                  <c:v>Demand-side participation</c:v>
                </c:pt>
              </c:strCache>
            </c:strRef>
          </c:tx>
          <c:spPr>
            <a:solidFill>
              <a:srgbClr val="D1AAF7"/>
            </a:solidFill>
            <a:ln>
              <a:noFill/>
            </a:ln>
            <a:effectLst/>
          </c:spPr>
          <c:invertIfNegative val="0"/>
          <c:cat>
            <c:strRef>
              <c:f>'[Future Gas Strategy Analytical Report - report figures and data.xlsx]3.12'!$B$7:$AB$7</c:f>
              <c:strCache>
                <c:ptCount val="2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pt idx="17">
                  <c:v>2040-41</c:v>
                </c:pt>
                <c:pt idx="18">
                  <c:v>2041-42</c:v>
                </c:pt>
                <c:pt idx="19">
                  <c:v>2042-43</c:v>
                </c:pt>
                <c:pt idx="20">
                  <c:v>2043-44</c:v>
                </c:pt>
                <c:pt idx="21">
                  <c:v>2044-45</c:v>
                </c:pt>
                <c:pt idx="22">
                  <c:v>2045-46</c:v>
                </c:pt>
                <c:pt idx="23">
                  <c:v>2046-47</c:v>
                </c:pt>
                <c:pt idx="24">
                  <c:v>2047-48</c:v>
                </c:pt>
                <c:pt idx="25">
                  <c:v>2048-49</c:v>
                </c:pt>
                <c:pt idx="26">
                  <c:v>2049-50</c:v>
                </c:pt>
              </c:strCache>
            </c:strRef>
          </c:cat>
          <c:val>
            <c:numRef>
              <c:f>'[Future Gas Strategy Analytical Report - report figures and data.xlsx]3.12'!$B$14:$AB$14</c:f>
              <c:numCache>
                <c:formatCode>0.0</c:formatCode>
                <c:ptCount val="27"/>
                <c:pt idx="0">
                  <c:v>0</c:v>
                </c:pt>
                <c:pt idx="1">
                  <c:v>0.95377999999999996</c:v>
                </c:pt>
                <c:pt idx="2">
                  <c:v>1.0007900000000001</c:v>
                </c:pt>
                <c:pt idx="3">
                  <c:v>1.0559599999999998</c:v>
                </c:pt>
                <c:pt idx="4">
                  <c:v>1.20356</c:v>
                </c:pt>
                <c:pt idx="5">
                  <c:v>1.4292</c:v>
                </c:pt>
                <c:pt idx="6">
                  <c:v>1.6365699999999999</c:v>
                </c:pt>
                <c:pt idx="7">
                  <c:v>1.7920999999999998</c:v>
                </c:pt>
                <c:pt idx="8">
                  <c:v>1.9491800000000001</c:v>
                </c:pt>
                <c:pt idx="9">
                  <c:v>2.10547</c:v>
                </c:pt>
                <c:pt idx="10">
                  <c:v>2.1634900000000004</c:v>
                </c:pt>
                <c:pt idx="11">
                  <c:v>2.2190899999999996</c:v>
                </c:pt>
                <c:pt idx="12">
                  <c:v>2.2772500000000004</c:v>
                </c:pt>
                <c:pt idx="13">
                  <c:v>2.3410600000000006</c:v>
                </c:pt>
                <c:pt idx="14">
                  <c:v>2.4027099999999999</c:v>
                </c:pt>
                <c:pt idx="15">
                  <c:v>2.45363</c:v>
                </c:pt>
                <c:pt idx="16">
                  <c:v>2.50027</c:v>
                </c:pt>
                <c:pt idx="17">
                  <c:v>2.5559000000000003</c:v>
                </c:pt>
                <c:pt idx="18">
                  <c:v>2.6030799999999998</c:v>
                </c:pt>
                <c:pt idx="19">
                  <c:v>2.6541700000000001</c:v>
                </c:pt>
                <c:pt idx="20">
                  <c:v>2.7009799999999999</c:v>
                </c:pt>
                <c:pt idx="21">
                  <c:v>2.73062</c:v>
                </c:pt>
                <c:pt idx="22">
                  <c:v>2.7663099999999998</c:v>
                </c:pt>
                <c:pt idx="23">
                  <c:v>2.7978399999999999</c:v>
                </c:pt>
                <c:pt idx="24">
                  <c:v>2.8316000000000003</c:v>
                </c:pt>
                <c:pt idx="25">
                  <c:v>2.8706300000000002</c:v>
                </c:pt>
                <c:pt idx="26">
                  <c:v>2.9038599999999999</c:v>
                </c:pt>
              </c:numCache>
            </c:numRef>
          </c:val>
          <c:extLst>
            <c:ext xmlns:c16="http://schemas.microsoft.com/office/drawing/2014/chart" uri="{C3380CC4-5D6E-409C-BE32-E72D297353CC}">
              <c16:uniqueId val="{00000006-A28F-455C-9166-36CA494D9A51}"/>
            </c:ext>
          </c:extLst>
        </c:ser>
        <c:dLbls>
          <c:showLegendKey val="0"/>
          <c:showVal val="0"/>
          <c:showCatName val="0"/>
          <c:showSerName val="0"/>
          <c:showPercent val="0"/>
          <c:showBubbleSize val="0"/>
        </c:dLbls>
        <c:gapWidth val="150"/>
        <c:overlap val="100"/>
        <c:axId val="1014427007"/>
        <c:axId val="1013529583"/>
      </c:barChart>
      <c:catAx>
        <c:axId val="1014427007"/>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13529583"/>
        <c:crosses val="autoZero"/>
        <c:auto val="1"/>
        <c:lblAlgn val="ctr"/>
        <c:lblOffset val="100"/>
        <c:tickLblSkip val="2"/>
        <c:noMultiLvlLbl val="0"/>
      </c:catAx>
      <c:valAx>
        <c:axId val="1013529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Capacity (</a:t>
                </a:r>
                <a:r>
                  <a:rPr lang="en-AU" baseline="0"/>
                  <a:t>GW)</a:t>
                </a:r>
                <a:endParaRPr lang="en-AU"/>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14427007"/>
        <c:crosses val="autoZero"/>
        <c:crossBetween val="between"/>
      </c:valAx>
      <c:spPr>
        <a:noFill/>
        <a:ln w="25400">
          <a:noFill/>
        </a:ln>
        <a:effectLst/>
      </c:spPr>
    </c:plotArea>
    <c:legend>
      <c:legendPos val="b"/>
      <c:layout>
        <c:manualLayout>
          <c:xMode val="edge"/>
          <c:yMode val="edge"/>
          <c:x val="3.3311187045015601E-2"/>
          <c:y val="0.80102721708784164"/>
          <c:w val="0.93941512405288963"/>
          <c:h val="0.16418988829068973"/>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0957395291211"/>
          <c:y val="2.2793826671943015E-2"/>
          <c:w val="0.73574886764605607"/>
          <c:h val="0.66009987597988495"/>
        </c:manualLayout>
      </c:layout>
      <c:barChart>
        <c:barDir val="col"/>
        <c:grouping val="clustered"/>
        <c:varyColors val="0"/>
        <c:ser>
          <c:idx val="3"/>
          <c:order val="0"/>
          <c:tx>
            <c:strRef>
              <c:f>'3.13 Update'!$C$23</c:f>
              <c:strCache>
                <c:ptCount val="1"/>
                <c:pt idx="0">
                  <c:v>Annual GPG demand</c:v>
                </c:pt>
              </c:strCache>
            </c:strRef>
          </c:tx>
          <c:spPr>
            <a:solidFill>
              <a:srgbClr val="005CAF"/>
            </a:solidFill>
            <a:ln w="19050">
              <a:noFill/>
            </a:ln>
            <a:effectLst/>
            <a:extLst>
              <a:ext uri="{91240B29-F687-4F45-9708-019B960494DF}">
                <a14:hiddenLine xmlns:a14="http://schemas.microsoft.com/office/drawing/2010/main" w="19050">
                  <a:solidFill>
                    <a:srgbClr val="51B7A4"/>
                  </a:solidFill>
                </a14:hiddenLine>
              </a:ext>
            </a:extLst>
          </c:spPr>
          <c:invertIfNegative val="0"/>
          <c:dPt>
            <c:idx val="1"/>
            <c:invertIfNegative val="0"/>
            <c:bubble3D val="0"/>
            <c:spPr>
              <a:solidFill>
                <a:srgbClr val="005CAF"/>
              </a:solidFill>
              <a:ln w="19050">
                <a:noFill/>
              </a:ln>
              <a:effectLst/>
              <a:extLst>
                <a:ext uri="{91240B29-F687-4F45-9708-019B960494DF}">
                  <a14:hiddenLine xmlns:a14="http://schemas.microsoft.com/office/drawing/2010/main" w="19050">
                    <a:solidFill>
                      <a:srgbClr val="51B7A4"/>
                    </a:solidFill>
                  </a14:hiddenLine>
                </a:ext>
              </a:extLst>
            </c:spPr>
            <c:extLst>
              <c:ext xmlns:c16="http://schemas.microsoft.com/office/drawing/2014/chart" uri="{C3380CC4-5D6E-409C-BE32-E72D297353CC}">
                <c16:uniqueId val="{00000001-FF38-44D0-9859-727B7862AB12}"/>
              </c:ext>
            </c:extLst>
          </c:dPt>
          <c:cat>
            <c:numRef>
              <c:f>'3.13 Update'!$B$24:$B$48</c:f>
              <c:numCache>
                <c:formatCode>General</c:formatCode>
                <c:ptCount val="2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numCache>
            </c:numRef>
          </c:cat>
          <c:val>
            <c:numRef>
              <c:f>'3.13 Update'!$C$24:$C$48</c:f>
              <c:numCache>
                <c:formatCode>#,##0</c:formatCode>
                <c:ptCount val="25"/>
                <c:pt idx="0">
                  <c:v>163.86080299999998</c:v>
                </c:pt>
                <c:pt idx="1">
                  <c:v>144.01649399999991</c:v>
                </c:pt>
                <c:pt idx="2">
                  <c:v>117.749764</c:v>
                </c:pt>
                <c:pt idx="3">
                  <c:v>136.94958600000001</c:v>
                </c:pt>
                <c:pt idx="4">
                  <c:v>98.154646999999997</c:v>
                </c:pt>
                <c:pt idx="5">
                  <c:v>70.8189068606071</c:v>
                </c:pt>
                <c:pt idx="6">
                  <c:v>74.244730475769003</c:v>
                </c:pt>
                <c:pt idx="7">
                  <c:v>119.957682821482</c:v>
                </c:pt>
                <c:pt idx="8">
                  <c:v>93.569947922396494</c:v>
                </c:pt>
                <c:pt idx="9">
                  <c:v>87.9948828096867</c:v>
                </c:pt>
                <c:pt idx="10">
                  <c:v>86.833034651129296</c:v>
                </c:pt>
                <c:pt idx="11">
                  <c:v>62.6429986882493</c:v>
                </c:pt>
                <c:pt idx="12">
                  <c:v>59.169796062849102</c:v>
                </c:pt>
                <c:pt idx="13">
                  <c:v>64.411305640817304</c:v>
                </c:pt>
                <c:pt idx="14">
                  <c:v>97.317430269096107</c:v>
                </c:pt>
                <c:pt idx="15">
                  <c:v>143.577338181638</c:v>
                </c:pt>
                <c:pt idx="16">
                  <c:v>138.69224859124</c:v>
                </c:pt>
                <c:pt idx="17">
                  <c:v>122.78457811611101</c:v>
                </c:pt>
                <c:pt idx="18">
                  <c:v>135.396427257325</c:v>
                </c:pt>
                <c:pt idx="19">
                  <c:v>150.14893781830099</c:v>
                </c:pt>
                <c:pt idx="20">
                  <c:v>158.10993510476399</c:v>
                </c:pt>
                <c:pt idx="21">
                  <c:v>163.68414679235099</c:v>
                </c:pt>
                <c:pt idx="22">
                  <c:v>179.87994868757201</c:v>
                </c:pt>
                <c:pt idx="23">
                  <c:v>193.80979198117001</c:v>
                </c:pt>
                <c:pt idx="24">
                  <c:v>190.458267922087</c:v>
                </c:pt>
              </c:numCache>
            </c:numRef>
          </c:val>
          <c:extLst>
            <c:ext xmlns:c16="http://schemas.microsoft.com/office/drawing/2014/chart" uri="{C3380CC4-5D6E-409C-BE32-E72D297353CC}">
              <c16:uniqueId val="{00000002-FF38-44D0-9859-727B7862AB12}"/>
            </c:ext>
          </c:extLst>
        </c:ser>
        <c:dLbls>
          <c:showLegendKey val="0"/>
          <c:showVal val="0"/>
          <c:showCatName val="0"/>
          <c:showSerName val="0"/>
          <c:showPercent val="0"/>
          <c:showBubbleSize val="0"/>
        </c:dLbls>
        <c:gapWidth val="219"/>
        <c:axId val="1734201496"/>
        <c:axId val="1734209368"/>
      </c:barChart>
      <c:lineChart>
        <c:grouping val="standard"/>
        <c:varyColors val="0"/>
        <c:ser>
          <c:idx val="4"/>
          <c:order val="1"/>
          <c:tx>
            <c:strRef>
              <c:f>'3.13 Update'!$D$23</c:f>
              <c:strCache>
                <c:ptCount val="1"/>
                <c:pt idx="0">
                  <c:v>Peak summer demand (rhs)</c:v>
                </c:pt>
              </c:strCache>
            </c:strRef>
          </c:tx>
          <c:spPr>
            <a:ln w="28575" cap="rnd">
              <a:noFill/>
              <a:round/>
            </a:ln>
            <a:effectLst/>
          </c:spPr>
          <c:marker>
            <c:symbol val="square"/>
            <c:size val="6"/>
            <c:spPr>
              <a:solidFill>
                <a:srgbClr val="FFB47B"/>
              </a:solidFill>
              <a:ln w="28575">
                <a:noFill/>
              </a:ln>
              <a:effectLst/>
            </c:spPr>
          </c:marker>
          <c:cat>
            <c:numRef>
              <c:f>'3.13 Update'!$B$24:$B$48</c:f>
              <c:numCache>
                <c:formatCode>General</c:formatCode>
                <c:ptCount val="2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numCache>
            </c:numRef>
          </c:cat>
          <c:val>
            <c:numRef>
              <c:f>'3.13 Update'!$D$24:$D$48</c:f>
              <c:numCache>
                <c:formatCode>#,##0</c:formatCode>
                <c:ptCount val="25"/>
                <c:pt idx="0">
                  <c:v>1063</c:v>
                </c:pt>
                <c:pt idx="1">
                  <c:v>1145.9241471399901</c:v>
                </c:pt>
                <c:pt idx="2">
                  <c:v>510.20474333899898</c:v>
                </c:pt>
                <c:pt idx="3">
                  <c:v>808.43543720299999</c:v>
                </c:pt>
                <c:pt idx="4">
                  <c:v>583.00102628899901</c:v>
                </c:pt>
                <c:pt idx="5">
                  <c:v>775.11550360969397</c:v>
                </c:pt>
                <c:pt idx="6">
                  <c:v>773.70136505025403</c:v>
                </c:pt>
                <c:pt idx="7">
                  <c:v>897.06444996600601</c:v>
                </c:pt>
                <c:pt idx="8">
                  <c:v>905.43312910351494</c:v>
                </c:pt>
                <c:pt idx="9">
                  <c:v>761.85637154707695</c:v>
                </c:pt>
                <c:pt idx="10">
                  <c:v>829.80671413904895</c:v>
                </c:pt>
                <c:pt idx="11">
                  <c:v>493.58617391456301</c:v>
                </c:pt>
                <c:pt idx="12">
                  <c:v>589.81062121344803</c:v>
                </c:pt>
                <c:pt idx="13">
                  <c:v>571.96390242570396</c:v>
                </c:pt>
                <c:pt idx="14">
                  <c:v>676.27639935427305</c:v>
                </c:pt>
                <c:pt idx="15">
                  <c:v>1154.06049230893</c:v>
                </c:pt>
                <c:pt idx="16">
                  <c:v>1227.1611784297099</c:v>
                </c:pt>
                <c:pt idx="17">
                  <c:v>941.20762499378202</c:v>
                </c:pt>
                <c:pt idx="18">
                  <c:v>1169.15072740305</c:v>
                </c:pt>
                <c:pt idx="19">
                  <c:v>1349.2709188505</c:v>
                </c:pt>
                <c:pt idx="20">
                  <c:v>1395.12245435553</c:v>
                </c:pt>
                <c:pt idx="21">
                  <c:v>1401.8124822689999</c:v>
                </c:pt>
                <c:pt idx="22">
                  <c:v>1493.7649497131499</c:v>
                </c:pt>
                <c:pt idx="23">
                  <c:v>1613.57470246656</c:v>
                </c:pt>
                <c:pt idx="24">
                  <c:v>1532.56034652433</c:v>
                </c:pt>
              </c:numCache>
            </c:numRef>
          </c:val>
          <c:smooth val="0"/>
          <c:extLst>
            <c:ext xmlns:c16="http://schemas.microsoft.com/office/drawing/2014/chart" uri="{C3380CC4-5D6E-409C-BE32-E72D297353CC}">
              <c16:uniqueId val="{00000003-FF38-44D0-9859-727B7862AB12}"/>
            </c:ext>
          </c:extLst>
        </c:ser>
        <c:ser>
          <c:idx val="1"/>
          <c:order val="2"/>
          <c:tx>
            <c:strRef>
              <c:f>'3.13 Update'!$E$23</c:f>
              <c:strCache>
                <c:ptCount val="1"/>
                <c:pt idx="0">
                  <c:v>Peak winter demand (rhs)</c:v>
                </c:pt>
              </c:strCache>
            </c:strRef>
          </c:tx>
          <c:spPr>
            <a:ln w="28575" cap="rnd">
              <a:noFill/>
              <a:prstDash val="solid"/>
              <a:round/>
            </a:ln>
            <a:effectLst/>
          </c:spPr>
          <c:marker>
            <c:symbol val="triangle"/>
            <c:size val="6"/>
            <c:spPr>
              <a:solidFill>
                <a:srgbClr val="F36A5A"/>
              </a:solidFill>
              <a:ln w="28575">
                <a:noFill/>
              </a:ln>
              <a:effectLst/>
            </c:spPr>
          </c:marker>
          <c:cat>
            <c:numRef>
              <c:f>'3.13 Update'!$B$24:$B$48</c:f>
              <c:numCache>
                <c:formatCode>General</c:formatCode>
                <c:ptCount val="2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numCache>
            </c:numRef>
          </c:cat>
          <c:val>
            <c:numRef>
              <c:f>'3.13 Update'!$E$24:$E$48</c:f>
              <c:numCache>
                <c:formatCode>#,##0</c:formatCode>
                <c:ptCount val="25"/>
                <c:pt idx="0">
                  <c:v>814</c:v>
                </c:pt>
                <c:pt idx="1">
                  <c:v>862.664766321</c:v>
                </c:pt>
                <c:pt idx="2">
                  <c:v>911.35827691999998</c:v>
                </c:pt>
                <c:pt idx="3">
                  <c:v>1069.3079240760001</c:v>
                </c:pt>
                <c:pt idx="4">
                  <c:v>724.07420919399999</c:v>
                </c:pt>
                <c:pt idx="5">
                  <c:v>618.18115609436597</c:v>
                </c:pt>
                <c:pt idx="6">
                  <c:v>659.06591028443995</c:v>
                </c:pt>
                <c:pt idx="7">
                  <c:v>1054.3094128507601</c:v>
                </c:pt>
                <c:pt idx="8">
                  <c:v>1075.3986177575</c:v>
                </c:pt>
                <c:pt idx="9">
                  <c:v>1315.6928287267001</c:v>
                </c:pt>
                <c:pt idx="10">
                  <c:v>1120.19086175963</c:v>
                </c:pt>
                <c:pt idx="11">
                  <c:v>953.169767357453</c:v>
                </c:pt>
                <c:pt idx="12">
                  <c:v>1080.40068915442</c:v>
                </c:pt>
                <c:pt idx="13">
                  <c:v>1076.49768068307</c:v>
                </c:pt>
                <c:pt idx="14">
                  <c:v>1707.1017880582001</c:v>
                </c:pt>
                <c:pt idx="15">
                  <c:v>2064.1870613896799</c:v>
                </c:pt>
                <c:pt idx="16">
                  <c:v>2280.8850822586701</c:v>
                </c:pt>
                <c:pt idx="17">
                  <c:v>2231.7554199434098</c:v>
                </c:pt>
                <c:pt idx="18">
                  <c:v>2403.1373409468601</c:v>
                </c:pt>
                <c:pt idx="19">
                  <c:v>2723.36438906274</c:v>
                </c:pt>
                <c:pt idx="20">
                  <c:v>2852.29579226229</c:v>
                </c:pt>
                <c:pt idx="21">
                  <c:v>2760.49558201232</c:v>
                </c:pt>
                <c:pt idx="22">
                  <c:v>3098.0518299564601</c:v>
                </c:pt>
                <c:pt idx="23">
                  <c:v>3154.09589079022</c:v>
                </c:pt>
                <c:pt idx="24">
                  <c:v>3166.7785973543801</c:v>
                </c:pt>
              </c:numCache>
            </c:numRef>
          </c:val>
          <c:smooth val="0"/>
          <c:extLst>
            <c:ext xmlns:c16="http://schemas.microsoft.com/office/drawing/2014/chart" uri="{C3380CC4-5D6E-409C-BE32-E72D297353CC}">
              <c16:uniqueId val="{00000004-FF38-44D0-9859-727B7862AB12}"/>
            </c:ext>
          </c:extLst>
        </c:ser>
        <c:dLbls>
          <c:showLegendKey val="0"/>
          <c:showVal val="0"/>
          <c:showCatName val="0"/>
          <c:showSerName val="0"/>
          <c:showPercent val="0"/>
          <c:showBubbleSize val="0"/>
        </c:dLbls>
        <c:marker val="1"/>
        <c:smooth val="0"/>
        <c:axId val="883074360"/>
        <c:axId val="883073704"/>
      </c:lineChart>
      <c:catAx>
        <c:axId val="1734201496"/>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734209368"/>
        <c:crosses val="autoZero"/>
        <c:auto val="1"/>
        <c:lblAlgn val="ctr"/>
        <c:lblOffset val="100"/>
        <c:tickLblSkip val="4"/>
        <c:noMultiLvlLbl val="0"/>
      </c:catAx>
      <c:valAx>
        <c:axId val="17342093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rgbClr val="595A5B"/>
                    </a:solidFill>
                    <a:effectLst/>
                    <a:latin typeface="Arial"/>
                    <a:ea typeface="Arial"/>
                    <a:cs typeface="Arial"/>
                  </a:defRPr>
                </a:pPr>
                <a:r>
                  <a:rPr lang="en-AU"/>
                  <a:t>Petajoules per annum</a:t>
                </a:r>
              </a:p>
            </c:rich>
          </c:tx>
          <c:layout>
            <c:manualLayout>
              <c:xMode val="edge"/>
              <c:yMode val="edge"/>
              <c:x val="2.0602587443962816E-2"/>
              <c:y val="0.1395624494464992"/>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effectLst/>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734201496"/>
        <c:crosses val="autoZero"/>
        <c:crossBetween val="between"/>
        <c:majorUnit val="40"/>
      </c:valAx>
      <c:valAx>
        <c:axId val="883073704"/>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US"/>
                  <a:t>Terajoules per day</a:t>
                </a:r>
              </a:p>
            </c:rich>
          </c:tx>
          <c:layout>
            <c:manualLayout>
              <c:xMode val="edge"/>
              <c:yMode val="edge"/>
              <c:x val="0.95189284244327688"/>
              <c:y val="0.15138455234408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83074360"/>
        <c:crosses val="max"/>
        <c:crossBetween val="between"/>
      </c:valAx>
      <c:catAx>
        <c:axId val="883074360"/>
        <c:scaling>
          <c:orientation val="minMax"/>
        </c:scaling>
        <c:delete val="1"/>
        <c:axPos val="b"/>
        <c:numFmt formatCode="General" sourceLinked="1"/>
        <c:majorTickMark val="out"/>
        <c:minorTickMark val="none"/>
        <c:tickLblPos val="nextTo"/>
        <c:crossAx val="883073704"/>
        <c:crosses val="autoZero"/>
        <c:auto val="1"/>
        <c:lblAlgn val="ctr"/>
        <c:lblOffset val="100"/>
        <c:noMultiLvlLbl val="0"/>
      </c:catAx>
      <c:spPr>
        <a:solidFill>
          <a:srgbClr val="FFFFFF"/>
        </a:solidFill>
        <a:ln w="25400">
          <a:noFill/>
        </a:ln>
        <a:effectLst/>
      </c:spPr>
    </c:plotArea>
    <c:legend>
      <c:legendPos val="b"/>
      <c:overlay val="0"/>
      <c:spPr>
        <a:solidFill>
          <a:srgbClr val="FFFFFF"/>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46667657108898"/>
          <c:y val="5.9863945578231291E-2"/>
          <c:w val="0.85762044272767779"/>
          <c:h val="0.75721828448648587"/>
        </c:manualLayout>
      </c:layout>
      <c:lineChart>
        <c:grouping val="standard"/>
        <c:varyColors val="0"/>
        <c:ser>
          <c:idx val="1"/>
          <c:order val="1"/>
          <c:tx>
            <c:strRef>
              <c:f>'3.8,9,11,14 Update'!$D$4</c:f>
              <c:strCache>
                <c:ptCount val="1"/>
                <c:pt idx="0">
                  <c:v>Green Energy Exports</c:v>
                </c:pt>
              </c:strCache>
            </c:strRef>
          </c:tx>
          <c:spPr>
            <a:ln w="28575" cap="rnd">
              <a:solidFill>
                <a:srgbClr val="005CAF"/>
              </a:solidFill>
              <a:prstDash val="solid"/>
              <a:round/>
            </a:ln>
            <a:effectLst/>
          </c:spPr>
          <c:marker>
            <c:symbol val="none"/>
          </c:marker>
          <c:cat>
            <c:numRef>
              <c:f>'3.8,9,11,14 Update'!$B$11:$B$31</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'3.8,9,11,14 Update'!$D$11:$D$31</c:f>
              <c:numCache>
                <c:formatCode>#,##0</c:formatCode>
                <c:ptCount val="21"/>
                <c:pt idx="0">
                  <c:v>238.33710875750697</c:v>
                </c:pt>
                <c:pt idx="1">
                  <c:v>253.52463625999997</c:v>
                </c:pt>
                <c:pt idx="2">
                  <c:v>249.93695691999997</c:v>
                </c:pt>
                <c:pt idx="3">
                  <c:v>243.87289929000002</c:v>
                </c:pt>
                <c:pt idx="4">
                  <c:v>236.50631894000006</c:v>
                </c:pt>
                <c:pt idx="5">
                  <c:v>226.98059630000003</c:v>
                </c:pt>
                <c:pt idx="6">
                  <c:v>219.70848786000002</c:v>
                </c:pt>
                <c:pt idx="7">
                  <c:v>220.09930757000004</c:v>
                </c:pt>
                <c:pt idx="8">
                  <c:v>214.94922510000004</c:v>
                </c:pt>
                <c:pt idx="9">
                  <c:v>212.96627887000002</c:v>
                </c:pt>
                <c:pt idx="10">
                  <c:v>212.12261300000006</c:v>
                </c:pt>
                <c:pt idx="11">
                  <c:v>214.79993472000001</c:v>
                </c:pt>
                <c:pt idx="12">
                  <c:v>220.17458503</c:v>
                </c:pt>
                <c:pt idx="13">
                  <c:v>216.67197859000001</c:v>
                </c:pt>
                <c:pt idx="14">
                  <c:v>218.00927742000002</c:v>
                </c:pt>
                <c:pt idx="15">
                  <c:v>217.48547446000001</c:v>
                </c:pt>
                <c:pt idx="16">
                  <c:v>216.32662991000001</c:v>
                </c:pt>
                <c:pt idx="17">
                  <c:v>216.89957312000001</c:v>
                </c:pt>
                <c:pt idx="18">
                  <c:v>217.23397879999999</c:v>
                </c:pt>
                <c:pt idx="19">
                  <c:v>218.40499017000002</c:v>
                </c:pt>
                <c:pt idx="20">
                  <c:v>220.34090117000002</c:v>
                </c:pt>
              </c:numCache>
            </c:numRef>
          </c:val>
          <c:smooth val="0"/>
          <c:extLst xmlns:c15="http://schemas.microsoft.com/office/drawing/2012/chart">
            <c:ext xmlns:c16="http://schemas.microsoft.com/office/drawing/2014/chart" uri="{C3380CC4-5D6E-409C-BE32-E72D297353CC}">
              <c16:uniqueId val="{00000000-60DF-4CE7-8A97-B4B24E1377AD}"/>
            </c:ext>
          </c:extLst>
        </c:ser>
        <c:ser>
          <c:idx val="2"/>
          <c:order val="2"/>
          <c:tx>
            <c:strRef>
              <c:f>'3.8,9,11,14 Update'!$E$4</c:f>
              <c:strCache>
                <c:ptCount val="1"/>
                <c:pt idx="0">
                  <c:v>Step Change</c:v>
                </c:pt>
              </c:strCache>
            </c:strRef>
          </c:tx>
          <c:spPr>
            <a:ln w="28575" cap="rnd">
              <a:solidFill>
                <a:srgbClr val="56B4DF"/>
              </a:solidFill>
              <a:prstDash val="solid"/>
              <a:round/>
            </a:ln>
            <a:effectLst/>
          </c:spPr>
          <c:marker>
            <c:symbol val="none"/>
          </c:marker>
          <c:cat>
            <c:numRef>
              <c:f>'3.8,9,11,14 Update'!$B$11:$B$31</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'3.8,9,11,14 Update'!$E$11:$E$31</c:f>
              <c:numCache>
                <c:formatCode>#,##0</c:formatCode>
                <c:ptCount val="21"/>
                <c:pt idx="0">
                  <c:v>238.33710875750697</c:v>
                </c:pt>
                <c:pt idx="1">
                  <c:v>246.86779661</c:v>
                </c:pt>
                <c:pt idx="2">
                  <c:v>246.76817671999999</c:v>
                </c:pt>
                <c:pt idx="3">
                  <c:v>245.59279969999997</c:v>
                </c:pt>
                <c:pt idx="4">
                  <c:v>247.33832739000002</c:v>
                </c:pt>
                <c:pt idx="5">
                  <c:v>247.56912453999996</c:v>
                </c:pt>
                <c:pt idx="6">
                  <c:v>245.56207505000003</c:v>
                </c:pt>
                <c:pt idx="7">
                  <c:v>243.24999993999998</c:v>
                </c:pt>
                <c:pt idx="8">
                  <c:v>238.30093884000001</c:v>
                </c:pt>
                <c:pt idx="9">
                  <c:v>236.50485862000002</c:v>
                </c:pt>
                <c:pt idx="10">
                  <c:v>233.59464791000002</c:v>
                </c:pt>
                <c:pt idx="11">
                  <c:v>233.55247251000009</c:v>
                </c:pt>
                <c:pt idx="12">
                  <c:v>233.54940676999996</c:v>
                </c:pt>
                <c:pt idx="13">
                  <c:v>233.24281053999997</c:v>
                </c:pt>
                <c:pt idx="14">
                  <c:v>233.70577179</c:v>
                </c:pt>
                <c:pt idx="15">
                  <c:v>231.80440158000002</c:v>
                </c:pt>
                <c:pt idx="16">
                  <c:v>229.95343392000001</c:v>
                </c:pt>
                <c:pt idx="17">
                  <c:v>229.70458840000003</c:v>
                </c:pt>
                <c:pt idx="18">
                  <c:v>229.12924224999998</c:v>
                </c:pt>
                <c:pt idx="19">
                  <c:v>228.85377144999998</c:v>
                </c:pt>
                <c:pt idx="20">
                  <c:v>229.39388773000002</c:v>
                </c:pt>
              </c:numCache>
            </c:numRef>
          </c:val>
          <c:smooth val="0"/>
          <c:extLst>
            <c:ext xmlns:c16="http://schemas.microsoft.com/office/drawing/2014/chart" uri="{C3380CC4-5D6E-409C-BE32-E72D297353CC}">
              <c16:uniqueId val="{00000001-60DF-4CE7-8A97-B4B24E1377AD}"/>
            </c:ext>
          </c:extLst>
        </c:ser>
        <c:ser>
          <c:idx val="3"/>
          <c:order val="3"/>
          <c:tx>
            <c:strRef>
              <c:f>'3.8,9,11,14 Update'!$F$4</c:f>
              <c:strCache>
                <c:ptCount val="1"/>
                <c:pt idx="0">
                  <c:v>Progressive Change</c:v>
                </c:pt>
              </c:strCache>
            </c:strRef>
          </c:tx>
          <c:spPr>
            <a:ln w="28575" cap="rnd">
              <a:solidFill>
                <a:srgbClr val="9ED9DF"/>
              </a:solidFill>
              <a:prstDash val="solid"/>
              <a:round/>
            </a:ln>
            <a:effectLst/>
          </c:spPr>
          <c:marker>
            <c:symbol val="none"/>
          </c:marker>
          <c:cat>
            <c:numRef>
              <c:f>'3.8,9,11,14 Update'!$B$11:$B$31</c:f>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f>'3.8,9,11,14 Update'!$F$11:$F$31</c:f>
              <c:numCache>
                <c:formatCode>#,##0</c:formatCode>
                <c:ptCount val="21"/>
                <c:pt idx="0">
                  <c:v>238.33710875750697</c:v>
                </c:pt>
                <c:pt idx="1">
                  <c:v>242.78409294999997</c:v>
                </c:pt>
                <c:pt idx="2">
                  <c:v>241.43282090999998</c:v>
                </c:pt>
                <c:pt idx="3">
                  <c:v>238.86440200999996</c:v>
                </c:pt>
                <c:pt idx="4">
                  <c:v>239.53134084999999</c:v>
                </c:pt>
                <c:pt idx="5">
                  <c:v>234.06323338000004</c:v>
                </c:pt>
                <c:pt idx="6">
                  <c:v>222.20496212</c:v>
                </c:pt>
                <c:pt idx="7">
                  <c:v>216.10591132000008</c:v>
                </c:pt>
                <c:pt idx="8">
                  <c:v>187.97046717999996</c:v>
                </c:pt>
                <c:pt idx="9">
                  <c:v>185.95029086999998</c:v>
                </c:pt>
                <c:pt idx="10">
                  <c:v>184.58515560999999</c:v>
                </c:pt>
                <c:pt idx="11">
                  <c:v>181.94946769999999</c:v>
                </c:pt>
                <c:pt idx="12">
                  <c:v>182.49870275999999</c:v>
                </c:pt>
                <c:pt idx="13">
                  <c:v>179.50594298000001</c:v>
                </c:pt>
                <c:pt idx="14">
                  <c:v>179.78639858999998</c:v>
                </c:pt>
                <c:pt idx="15">
                  <c:v>177.43596961000003</c:v>
                </c:pt>
                <c:pt idx="16">
                  <c:v>173.82050821000001</c:v>
                </c:pt>
                <c:pt idx="17">
                  <c:v>172.65282530000002</c:v>
                </c:pt>
                <c:pt idx="18">
                  <c:v>172.90666158000005</c:v>
                </c:pt>
                <c:pt idx="19">
                  <c:v>172.85067497000003</c:v>
                </c:pt>
                <c:pt idx="20">
                  <c:v>173.51763683000001</c:v>
                </c:pt>
              </c:numCache>
            </c:numRef>
          </c:val>
          <c:smooth val="0"/>
          <c:extLst>
            <c:ext xmlns:c16="http://schemas.microsoft.com/office/drawing/2014/chart" uri="{C3380CC4-5D6E-409C-BE32-E72D297353CC}">
              <c16:uniqueId val="{00000002-60DF-4CE7-8A97-B4B24E1377AD}"/>
            </c:ext>
          </c:extLst>
        </c:ser>
        <c:dLbls>
          <c:showLegendKey val="0"/>
          <c:showVal val="0"/>
          <c:showCatName val="0"/>
          <c:showSerName val="0"/>
          <c:showPercent val="0"/>
          <c:showBubbleSize val="0"/>
        </c:dLbls>
        <c:smooth val="0"/>
        <c:axId val="1990103583"/>
        <c:axId val="1698082127"/>
        <c:extLst>
          <c:ext xmlns:c15="http://schemas.microsoft.com/office/drawing/2012/chart" uri="{02D57815-91ED-43cb-92C2-25804820EDAC}">
            <c15:filteredLineSeries>
              <c15:ser>
                <c:idx val="0"/>
                <c:order val="0"/>
                <c:tx>
                  <c:strRef>
                    <c:extLst>
                      <c:ext uri="{02D57815-91ED-43cb-92C2-25804820EDAC}">
                        <c15:formulaRef>
                          <c15:sqref>'3.8,9,11,14 Update'!$C$4</c15:sqref>
                        </c15:formulaRef>
                      </c:ext>
                    </c:extLst>
                    <c:strCache>
                      <c:ptCount val="1"/>
                      <c:pt idx="0">
                        <c:v>Actual</c:v>
                      </c:pt>
                    </c:strCache>
                  </c:strRef>
                </c:tx>
                <c:spPr>
                  <a:ln w="28575" cap="rnd">
                    <a:solidFill>
                      <a:srgbClr val="005CAF"/>
                    </a:solidFill>
                    <a:prstDash val="solid"/>
                    <a:round/>
                  </a:ln>
                  <a:effectLst/>
                </c:spPr>
                <c:marker>
                  <c:symbol val="none"/>
                </c:marker>
                <c:cat>
                  <c:numRef>
                    <c:extLst>
                      <c:ext uri="{02D57815-91ED-43cb-92C2-25804820EDAC}">
                        <c15:formulaRef>
                          <c15:sqref>'3.8,9,11,14 Update'!$B$11:$B$31</c15:sqref>
                        </c15:formulaRef>
                      </c:ext>
                    </c:extLst>
                    <c:numCache>
                      <c:formatCode>General</c:formatCode>
                      <c:ptCount val="2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numCache>
                  </c:numRef>
                </c:cat>
                <c:val>
                  <c:numRef>
                    <c:extLst>
                      <c:ext uri="{02D57815-91ED-43cb-92C2-25804820EDAC}">
                        <c15:formulaRef>
                          <c15:sqref>'3.8,9,11,14 Update'!$C$10:$C$30</c15:sqref>
                        </c15:formulaRef>
                      </c:ext>
                    </c:extLst>
                    <c:numCache>
                      <c:formatCode>#,##0</c:formatCode>
                      <c:ptCount val="21"/>
                      <c:pt idx="0">
                        <c:v>261.77195611799999</c:v>
                      </c:pt>
                      <c:pt idx="1">
                        <c:v>238.33710875750697</c:v>
                      </c:pt>
                    </c:numCache>
                  </c:numRef>
                </c:val>
                <c:smooth val="0"/>
                <c:extLst>
                  <c:ext xmlns:c16="http://schemas.microsoft.com/office/drawing/2014/chart" uri="{C3380CC4-5D6E-409C-BE32-E72D297353CC}">
                    <c16:uniqueId val="{00000003-60DF-4CE7-8A97-B4B24E1377AD}"/>
                  </c:ext>
                </c:extLst>
              </c15:ser>
            </c15:filteredLineSeries>
          </c:ext>
        </c:extLst>
      </c:lineChart>
      <c:catAx>
        <c:axId val="1990103583"/>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698082127"/>
        <c:crosses val="autoZero"/>
        <c:auto val="1"/>
        <c:lblAlgn val="ctr"/>
        <c:lblOffset val="100"/>
        <c:tickLblSkip val="2"/>
        <c:noMultiLvlLbl val="0"/>
      </c:catAx>
      <c:valAx>
        <c:axId val="1698082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AU" sz="900" b="0" i="0" u="none" strike="noStrike" kern="1200" baseline="0">
                    <a:solidFill>
                      <a:srgbClr val="595A5B"/>
                    </a:solidFill>
                    <a:latin typeface="Arial" panose="020B0604020202020204" pitchFamily="34" charset="0"/>
                    <a:cs typeface="Arial" panose="020B0604020202020204" pitchFamily="34" charset="0"/>
                  </a:rPr>
                  <a:t>Petajoules</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990103583"/>
        <c:crosses val="autoZero"/>
        <c:crossBetween val="between"/>
      </c:valAx>
      <c:spPr>
        <a:noFill/>
        <a:ln w="25400">
          <a:noFill/>
        </a:ln>
        <a:effectLst/>
      </c:spPr>
    </c:plotArea>
    <c:legend>
      <c:legendPos val="b"/>
      <c:layout>
        <c:manualLayout>
          <c:xMode val="edge"/>
          <c:yMode val="edge"/>
          <c:x val="5.3018927351062249E-2"/>
          <c:y val="0.91153894864639429"/>
          <c:w val="0.89999988114693208"/>
          <c:h val="8.8461051353605755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1745654434706"/>
          <c:y val="6.6505441354292621E-2"/>
          <c:w val="0.82007499628584157"/>
          <c:h val="0.61107265612354678"/>
        </c:manualLayout>
      </c:layout>
      <c:lineChart>
        <c:grouping val="standard"/>
        <c:varyColors val="0"/>
        <c:ser>
          <c:idx val="0"/>
          <c:order val="0"/>
          <c:tx>
            <c:strRef>
              <c:f>'3.13'!$C$5</c:f>
              <c:strCache>
                <c:ptCount val="1"/>
                <c:pt idx="0">
                  <c:v>Mineral processing</c:v>
                </c:pt>
              </c:strCache>
            </c:strRef>
          </c:tx>
          <c:spPr>
            <a:ln w="28575" cap="rnd">
              <a:solidFill>
                <a:srgbClr val="005CAF"/>
              </a:solidFill>
              <a:prstDash val="solid"/>
              <a:round/>
            </a:ln>
            <a:effectLst/>
          </c:spPr>
          <c:marker>
            <c:symbol val="none"/>
          </c:marker>
          <c:cat>
            <c:numRef>
              <c:f>'3.13'!$B$6:$B$16</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'3.13'!$C$6:$C$16</c:f>
              <c:numCache>
                <c:formatCode>0</c:formatCode>
                <c:ptCount val="11"/>
                <c:pt idx="0">
                  <c:v>108.01867786999995</c:v>
                </c:pt>
                <c:pt idx="1">
                  <c:v>120.7111301948089</c:v>
                </c:pt>
                <c:pt idx="2">
                  <c:v>128.99855561999999</c:v>
                </c:pt>
                <c:pt idx="3">
                  <c:v>129.36355562</c:v>
                </c:pt>
                <c:pt idx="4">
                  <c:v>129.36355562</c:v>
                </c:pt>
                <c:pt idx="5">
                  <c:v>129.35744167021875</c:v>
                </c:pt>
                <c:pt idx="6">
                  <c:v>129.36355562</c:v>
                </c:pt>
                <c:pt idx="7">
                  <c:v>129.36355562</c:v>
                </c:pt>
                <c:pt idx="8">
                  <c:v>129.36355562</c:v>
                </c:pt>
                <c:pt idx="9">
                  <c:v>129.35744167021875</c:v>
                </c:pt>
                <c:pt idx="10">
                  <c:v>128.845</c:v>
                </c:pt>
              </c:numCache>
            </c:numRef>
          </c:val>
          <c:smooth val="0"/>
          <c:extLst>
            <c:ext xmlns:c16="http://schemas.microsoft.com/office/drawing/2014/chart" uri="{C3380CC4-5D6E-409C-BE32-E72D297353CC}">
              <c16:uniqueId val="{00000000-EC1A-41B6-9D8E-3CDB65ECECA7}"/>
            </c:ext>
          </c:extLst>
        </c:ser>
        <c:ser>
          <c:idx val="1"/>
          <c:order val="1"/>
          <c:tx>
            <c:strRef>
              <c:f>'3.13'!$D$5</c:f>
              <c:strCache>
                <c:ptCount val="1"/>
                <c:pt idx="0">
                  <c:v>GPG</c:v>
                </c:pt>
              </c:strCache>
            </c:strRef>
          </c:tx>
          <c:spPr>
            <a:ln w="28575" cap="rnd">
              <a:solidFill>
                <a:srgbClr val="56B4DF"/>
              </a:solidFill>
              <a:prstDash val="solid"/>
              <a:round/>
            </a:ln>
            <a:effectLst/>
          </c:spPr>
          <c:marker>
            <c:symbol val="none"/>
          </c:marker>
          <c:cat>
            <c:numRef>
              <c:f>'3.13'!$B$6:$B$16</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'3.13'!$D$6:$D$16</c:f>
              <c:numCache>
                <c:formatCode>0</c:formatCode>
                <c:ptCount val="11"/>
                <c:pt idx="0">
                  <c:v>90.563761110000002</c:v>
                </c:pt>
                <c:pt idx="1">
                  <c:v>88.920886243579417</c:v>
                </c:pt>
                <c:pt idx="2">
                  <c:v>87.41120598000002</c:v>
                </c:pt>
                <c:pt idx="3">
                  <c:v>81.022085959999998</c:v>
                </c:pt>
                <c:pt idx="4">
                  <c:v>76.147160229999841</c:v>
                </c:pt>
                <c:pt idx="5">
                  <c:v>80.737758531557546</c:v>
                </c:pt>
                <c:pt idx="6">
                  <c:v>80.81736249999993</c:v>
                </c:pt>
                <c:pt idx="7">
                  <c:v>85.922735440000039</c:v>
                </c:pt>
                <c:pt idx="8">
                  <c:v>117.2388245100001</c:v>
                </c:pt>
                <c:pt idx="9">
                  <c:v>130.98600462390718</c:v>
                </c:pt>
                <c:pt idx="10">
                  <c:v>125.84057066000004</c:v>
                </c:pt>
              </c:numCache>
            </c:numRef>
          </c:val>
          <c:smooth val="0"/>
          <c:extLst>
            <c:ext xmlns:c16="http://schemas.microsoft.com/office/drawing/2014/chart" uri="{C3380CC4-5D6E-409C-BE32-E72D297353CC}">
              <c16:uniqueId val="{00000001-EC1A-41B6-9D8E-3CDB65ECECA7}"/>
            </c:ext>
          </c:extLst>
        </c:ser>
        <c:ser>
          <c:idx val="2"/>
          <c:order val="2"/>
          <c:tx>
            <c:strRef>
              <c:f>'3.13'!$E$5</c:f>
              <c:strCache>
                <c:ptCount val="1"/>
                <c:pt idx="0">
                  <c:v>Mining</c:v>
                </c:pt>
              </c:strCache>
            </c:strRef>
          </c:tx>
          <c:spPr>
            <a:ln w="28575" cap="rnd">
              <a:solidFill>
                <a:srgbClr val="9ED9DF"/>
              </a:solidFill>
              <a:prstDash val="solid"/>
              <a:round/>
            </a:ln>
            <a:effectLst/>
          </c:spPr>
          <c:marker>
            <c:symbol val="none"/>
          </c:marker>
          <c:cat>
            <c:numRef>
              <c:f>'3.13'!$B$6:$B$16</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'3.13'!$E$6:$E$16</c:f>
              <c:numCache>
                <c:formatCode>0</c:formatCode>
                <c:ptCount val="11"/>
                <c:pt idx="0">
                  <c:v>103.40376779999987</c:v>
                </c:pt>
                <c:pt idx="1">
                  <c:v>115.69335388715847</c:v>
                </c:pt>
                <c:pt idx="2">
                  <c:v>115.44649457999999</c:v>
                </c:pt>
                <c:pt idx="3">
                  <c:v>119.17350558999998</c:v>
                </c:pt>
                <c:pt idx="4">
                  <c:v>118.68533245000003</c:v>
                </c:pt>
                <c:pt idx="5">
                  <c:v>118.63066989603827</c:v>
                </c:pt>
                <c:pt idx="6">
                  <c:v>116.60064799</c:v>
                </c:pt>
                <c:pt idx="7">
                  <c:v>113.60609465999997</c:v>
                </c:pt>
                <c:pt idx="8">
                  <c:v>113.87274427999996</c:v>
                </c:pt>
                <c:pt idx="9">
                  <c:v>114.094160419126</c:v>
                </c:pt>
                <c:pt idx="10">
                  <c:v>114.28583448000001</c:v>
                </c:pt>
              </c:numCache>
            </c:numRef>
          </c:val>
          <c:smooth val="0"/>
          <c:extLst>
            <c:ext xmlns:c16="http://schemas.microsoft.com/office/drawing/2014/chart" uri="{C3380CC4-5D6E-409C-BE32-E72D297353CC}">
              <c16:uniqueId val="{00000002-EC1A-41B6-9D8E-3CDB65ECECA7}"/>
            </c:ext>
          </c:extLst>
        </c:ser>
        <c:ser>
          <c:idx val="3"/>
          <c:order val="3"/>
          <c:tx>
            <c:strRef>
              <c:f>'3.13'!$F$5</c:f>
              <c:strCache>
                <c:ptCount val="1"/>
                <c:pt idx="0">
                  <c:v>Industrial</c:v>
                </c:pt>
              </c:strCache>
            </c:strRef>
          </c:tx>
          <c:spPr>
            <a:ln w="28575" cap="rnd">
              <a:solidFill>
                <a:srgbClr val="BCBFC1"/>
              </a:solidFill>
              <a:prstDash val="solid"/>
              <a:round/>
            </a:ln>
            <a:effectLst/>
          </c:spPr>
          <c:marker>
            <c:symbol val="none"/>
          </c:marker>
          <c:cat>
            <c:numRef>
              <c:f>'3.13'!$B$6:$B$16</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'3.13'!$F$6:$F$16</c:f>
              <c:numCache>
                <c:formatCode>0</c:formatCode>
                <c:ptCount val="11"/>
                <c:pt idx="0">
                  <c:v>59.162169369999994</c:v>
                </c:pt>
                <c:pt idx="1">
                  <c:v>60.227445839071059</c:v>
                </c:pt>
                <c:pt idx="2">
                  <c:v>61.328104349999997</c:v>
                </c:pt>
                <c:pt idx="3">
                  <c:v>61.850709990000006</c:v>
                </c:pt>
                <c:pt idx="4">
                  <c:v>59.181740729999994</c:v>
                </c:pt>
                <c:pt idx="5">
                  <c:v>101.2586796897541</c:v>
                </c:pt>
                <c:pt idx="6">
                  <c:v>101.01074072999999</c:v>
                </c:pt>
                <c:pt idx="7">
                  <c:v>101.01074072999999</c:v>
                </c:pt>
                <c:pt idx="8">
                  <c:v>101.01074072999999</c:v>
                </c:pt>
                <c:pt idx="9">
                  <c:v>100.23667968975411</c:v>
                </c:pt>
                <c:pt idx="10">
                  <c:v>100.31724073000001</c:v>
                </c:pt>
              </c:numCache>
            </c:numRef>
          </c:val>
          <c:smooth val="0"/>
          <c:extLst>
            <c:ext xmlns:c16="http://schemas.microsoft.com/office/drawing/2014/chart" uri="{C3380CC4-5D6E-409C-BE32-E72D297353CC}">
              <c16:uniqueId val="{00000003-EC1A-41B6-9D8E-3CDB65ECECA7}"/>
            </c:ext>
          </c:extLst>
        </c:ser>
        <c:ser>
          <c:idx val="4"/>
          <c:order val="4"/>
          <c:tx>
            <c:strRef>
              <c:f>'3.13'!$G$5</c:f>
              <c:strCache>
                <c:ptCount val="1"/>
                <c:pt idx="0">
                  <c:v>Distribution</c:v>
                </c:pt>
              </c:strCache>
            </c:strRef>
          </c:tx>
          <c:spPr>
            <a:ln w="28575" cap="rnd">
              <a:solidFill>
                <a:srgbClr val="51B7A4"/>
              </a:solidFill>
              <a:prstDash val="solid"/>
              <a:round/>
            </a:ln>
            <a:effectLst/>
          </c:spPr>
          <c:marker>
            <c:symbol val="none"/>
          </c:marker>
          <c:cat>
            <c:numRef>
              <c:f>'3.13'!$B$6:$B$16</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'3.13'!$G$6:$G$16</c:f>
              <c:numCache>
                <c:formatCode>0</c:formatCode>
                <c:ptCount val="11"/>
                <c:pt idx="0">
                  <c:v>27.821404493703088</c:v>
                </c:pt>
                <c:pt idx="1">
                  <c:v>28.417560521947102</c:v>
                </c:pt>
                <c:pt idx="2">
                  <c:v>29.163506051200297</c:v>
                </c:pt>
                <c:pt idx="3">
                  <c:v>29.438124227430688</c:v>
                </c:pt>
                <c:pt idx="4">
                  <c:v>29.533519876545899</c:v>
                </c:pt>
                <c:pt idx="5">
                  <c:v>29.298268910788344</c:v>
                </c:pt>
                <c:pt idx="6">
                  <c:v>29.800084717578905</c:v>
                </c:pt>
                <c:pt idx="7">
                  <c:v>30.224186962260934</c:v>
                </c:pt>
                <c:pt idx="8">
                  <c:v>30.640458440397527</c:v>
                </c:pt>
                <c:pt idx="9">
                  <c:v>30.968553668110641</c:v>
                </c:pt>
                <c:pt idx="10">
                  <c:v>31.464486044414411</c:v>
                </c:pt>
              </c:numCache>
            </c:numRef>
          </c:val>
          <c:smooth val="0"/>
          <c:extLst>
            <c:ext xmlns:c16="http://schemas.microsoft.com/office/drawing/2014/chart" uri="{C3380CC4-5D6E-409C-BE32-E72D297353CC}">
              <c16:uniqueId val="{00000004-EC1A-41B6-9D8E-3CDB65ECECA7}"/>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3"/>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valAx>
      <c:spPr>
        <a:noFill/>
        <a:ln w="25400">
          <a:noFill/>
        </a:ln>
        <a:effectLst/>
      </c:spPr>
    </c:plotArea>
    <c:legend>
      <c:legendPos val="b"/>
      <c:layout>
        <c:manualLayout>
          <c:xMode val="edge"/>
          <c:yMode val="edge"/>
          <c:x val="4.2564611499034316E-2"/>
          <c:y val="0.80442211198811753"/>
          <c:w val="0.92694601099390883"/>
          <c:h val="0.15930219272772281"/>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'3.14'!$C$5</c:f>
              <c:strCache>
                <c:ptCount val="1"/>
                <c:pt idx="0">
                  <c:v>Green Energy Exports</c:v>
                </c:pt>
              </c:strCache>
            </c:strRef>
          </c:tx>
          <c:spPr>
            <a:ln w="28575" cap="rnd">
              <a:solidFill>
                <a:srgbClr val="005CAF"/>
              </a:solidFill>
              <a:prstDash val="solid"/>
              <a:round/>
            </a:ln>
            <a:effectLst/>
          </c:spPr>
          <c:marker>
            <c:symbol val="none"/>
          </c:marker>
          <c:cat>
            <c:numRef>
              <c:f>'3.14'!$B$6:$B$25</c:f>
              <c:numCache>
                <c:formatCode>General</c:formatCode>
                <c:ptCount val="20"/>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numCache>
            </c:numRef>
          </c:cat>
          <c:val>
            <c:numRef>
              <c:f>'3.14'!$C$6:$C$25</c:f>
              <c:numCache>
                <c:formatCode>0</c:formatCode>
                <c:ptCount val="20"/>
                <c:pt idx="0">
                  <c:v>-0.32011733760000005</c:v>
                </c:pt>
                <c:pt idx="1">
                  <c:v>-3.6081201539000003</c:v>
                </c:pt>
                <c:pt idx="2">
                  <c:v>-7.4070511308999993</c:v>
                </c:pt>
                <c:pt idx="3">
                  <c:v>-25.600914443299999</c:v>
                </c:pt>
                <c:pt idx="4">
                  <c:v>-66.334386773499986</c:v>
                </c:pt>
                <c:pt idx="5">
                  <c:v>-95.203962354200002</c:v>
                </c:pt>
                <c:pt idx="6">
                  <c:v>-104.1671339856</c:v>
                </c:pt>
                <c:pt idx="7">
                  <c:v>-109.0168188599</c:v>
                </c:pt>
                <c:pt idx="8">
                  <c:v>-116.1117728161</c:v>
                </c:pt>
                <c:pt idx="9">
                  <c:v>-126.24499787650001</c:v>
                </c:pt>
                <c:pt idx="10">
                  <c:v>-133.4900378904</c:v>
                </c:pt>
                <c:pt idx="11">
                  <c:v>-135.01642876669999</c:v>
                </c:pt>
                <c:pt idx="12">
                  <c:v>-135.1948507811</c:v>
                </c:pt>
                <c:pt idx="13">
                  <c:v>-138.50090520629999</c:v>
                </c:pt>
                <c:pt idx="14">
                  <c:v>-140.65456906840001</c:v>
                </c:pt>
                <c:pt idx="15">
                  <c:v>-140.20131089310001</c:v>
                </c:pt>
                <c:pt idx="16">
                  <c:v>-140.7234407503</c:v>
                </c:pt>
                <c:pt idx="17">
                  <c:v>-142.756850515</c:v>
                </c:pt>
                <c:pt idx="18">
                  <c:v>-144.25529541629999</c:v>
                </c:pt>
                <c:pt idx="19">
                  <c:v>-146.36759227709999</c:v>
                </c:pt>
              </c:numCache>
            </c:numRef>
          </c:val>
          <c:smooth val="1"/>
          <c:extLst>
            <c:ext xmlns:c16="http://schemas.microsoft.com/office/drawing/2014/chart" uri="{C3380CC4-5D6E-409C-BE32-E72D297353CC}">
              <c16:uniqueId val="{00000000-80A4-4106-B16A-8EF01CA1A8F8}"/>
            </c:ext>
          </c:extLst>
        </c:ser>
        <c:ser>
          <c:idx val="1"/>
          <c:order val="1"/>
          <c:tx>
            <c:strRef>
              <c:f>'3.14'!$D$5</c:f>
              <c:strCache>
                <c:ptCount val="1"/>
                <c:pt idx="0">
                  <c:v>Diverse Step Change</c:v>
                </c:pt>
              </c:strCache>
            </c:strRef>
          </c:tx>
          <c:spPr>
            <a:ln w="28575" cap="rnd">
              <a:solidFill>
                <a:srgbClr val="56B4DF"/>
              </a:solidFill>
              <a:prstDash val="solid"/>
              <a:round/>
            </a:ln>
            <a:effectLst/>
          </c:spPr>
          <c:marker>
            <c:symbol val="none"/>
          </c:marker>
          <c:cat>
            <c:numRef>
              <c:f>'3.14'!$B$6:$B$25</c:f>
              <c:numCache>
                <c:formatCode>General</c:formatCode>
                <c:ptCount val="20"/>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numCache>
            </c:numRef>
          </c:cat>
          <c:val>
            <c:numRef>
              <c:f>'3.14'!$D$6:$D$25</c:f>
              <c:numCache>
                <c:formatCode>0</c:formatCode>
                <c:ptCount val="20"/>
                <c:pt idx="0">
                  <c:v>-5.6387802584999998</c:v>
                </c:pt>
                <c:pt idx="1">
                  <c:v>-12.981157731200001</c:v>
                </c:pt>
                <c:pt idx="2">
                  <c:v>-17.901871012099999</c:v>
                </c:pt>
                <c:pt idx="3">
                  <c:v>-22.153195995899999</c:v>
                </c:pt>
                <c:pt idx="4">
                  <c:v>-26.2303182464</c:v>
                </c:pt>
                <c:pt idx="5">
                  <c:v>-30.472033123999996</c:v>
                </c:pt>
                <c:pt idx="6">
                  <c:v>-34.738236100000002</c:v>
                </c:pt>
                <c:pt idx="7">
                  <c:v>-38.009547112500009</c:v>
                </c:pt>
                <c:pt idx="8">
                  <c:v>-42.068964253800004</c:v>
                </c:pt>
                <c:pt idx="9">
                  <c:v>-47.560001280700007</c:v>
                </c:pt>
                <c:pt idx="10">
                  <c:v>-52.016741183700006</c:v>
                </c:pt>
                <c:pt idx="11">
                  <c:v>-56.208988494099998</c:v>
                </c:pt>
                <c:pt idx="12">
                  <c:v>-58.575815155800001</c:v>
                </c:pt>
                <c:pt idx="13">
                  <c:v>-58.6949760332</c:v>
                </c:pt>
                <c:pt idx="14">
                  <c:v>-58.972029845999998</c:v>
                </c:pt>
                <c:pt idx="15">
                  <c:v>-59.2025410245</c:v>
                </c:pt>
                <c:pt idx="16">
                  <c:v>-59.345316469500005</c:v>
                </c:pt>
                <c:pt idx="17">
                  <c:v>-59.377701014400003</c:v>
                </c:pt>
                <c:pt idx="18">
                  <c:v>-59.381620617599999</c:v>
                </c:pt>
                <c:pt idx="19">
                  <c:v>-59.742150324000001</c:v>
                </c:pt>
              </c:numCache>
            </c:numRef>
          </c:val>
          <c:smooth val="1"/>
          <c:extLst>
            <c:ext xmlns:c16="http://schemas.microsoft.com/office/drawing/2014/chart" uri="{C3380CC4-5D6E-409C-BE32-E72D297353CC}">
              <c16:uniqueId val="{00000001-80A4-4106-B16A-8EF01CA1A8F8}"/>
            </c:ext>
          </c:extLst>
        </c:ser>
        <c:ser>
          <c:idx val="2"/>
          <c:order val="2"/>
          <c:tx>
            <c:strRef>
              <c:f>'3.14'!$E$5</c:f>
              <c:strCache>
                <c:ptCount val="1"/>
                <c:pt idx="0">
                  <c:v>Progressive Change</c:v>
                </c:pt>
              </c:strCache>
            </c:strRef>
          </c:tx>
          <c:spPr>
            <a:ln w="28575" cap="rnd">
              <a:solidFill>
                <a:srgbClr val="9ED9DF"/>
              </a:solidFill>
              <a:prstDash val="solid"/>
              <a:round/>
            </a:ln>
            <a:effectLst/>
          </c:spPr>
          <c:marker>
            <c:symbol val="none"/>
          </c:marker>
          <c:cat>
            <c:numRef>
              <c:f>'3.14'!$B$6:$B$25</c:f>
              <c:numCache>
                <c:formatCode>General</c:formatCode>
                <c:ptCount val="20"/>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numCache>
            </c:numRef>
          </c:cat>
          <c:val>
            <c:numRef>
              <c:f>'3.14'!$E$6:$E$25</c:f>
              <c:numCache>
                <c:formatCode>0</c:formatCode>
                <c:ptCount val="20"/>
                <c:pt idx="0">
                  <c:v>-2.2280561790000002</c:v>
                </c:pt>
                <c:pt idx="1">
                  <c:v>-6.1673679388999982</c:v>
                </c:pt>
                <c:pt idx="2">
                  <c:v>-9.702913109899999</c:v>
                </c:pt>
                <c:pt idx="3">
                  <c:v>-12.258682979300001</c:v>
                </c:pt>
                <c:pt idx="4">
                  <c:v>-15.251606090400001</c:v>
                </c:pt>
                <c:pt idx="5">
                  <c:v>-18.824362754100001</c:v>
                </c:pt>
                <c:pt idx="6">
                  <c:v>-18.0765100767</c:v>
                </c:pt>
                <c:pt idx="7">
                  <c:v>-14.601292430900001</c:v>
                </c:pt>
                <c:pt idx="8">
                  <c:v>-16.716123636200003</c:v>
                </c:pt>
                <c:pt idx="9">
                  <c:v>-23.1044892874</c:v>
                </c:pt>
                <c:pt idx="10">
                  <c:v>-27.660518376100001</c:v>
                </c:pt>
                <c:pt idx="11">
                  <c:v>-29.828779035699998</c:v>
                </c:pt>
                <c:pt idx="12">
                  <c:v>-30.332710675799998</c:v>
                </c:pt>
                <c:pt idx="13">
                  <c:v>-30.310013788999999</c:v>
                </c:pt>
                <c:pt idx="14">
                  <c:v>-30.3944911844</c:v>
                </c:pt>
                <c:pt idx="15">
                  <c:v>-30.4791825137</c:v>
                </c:pt>
                <c:pt idx="16">
                  <c:v>-30.514791661899999</c:v>
                </c:pt>
                <c:pt idx="17">
                  <c:v>-30.422430388899997</c:v>
                </c:pt>
                <c:pt idx="18">
                  <c:v>-30.2847835088</c:v>
                </c:pt>
                <c:pt idx="19">
                  <c:v>-30.267142254500001</c:v>
                </c:pt>
              </c:numCache>
            </c:numRef>
          </c:val>
          <c:smooth val="1"/>
          <c:extLst>
            <c:ext xmlns:c16="http://schemas.microsoft.com/office/drawing/2014/chart" uri="{C3380CC4-5D6E-409C-BE32-E72D297353CC}">
              <c16:uniqueId val="{00000002-80A4-4106-B16A-8EF01CA1A8F8}"/>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3"/>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4198484623388"/>
          <c:y val="6.1366806136680614E-2"/>
          <c:w val="0.83215046798395487"/>
          <c:h val="0.75318551708233128"/>
        </c:manualLayout>
      </c:layout>
      <c:barChart>
        <c:barDir val="col"/>
        <c:grouping val="clustered"/>
        <c:varyColors val="1"/>
        <c:ser>
          <c:idx val="0"/>
          <c:order val="0"/>
          <c:spPr>
            <a:solidFill>
              <a:srgbClr val="005CAF"/>
            </a:solidFill>
          </c:spPr>
          <c:invertIfNegative val="0"/>
          <c:dPt>
            <c:idx val="0"/>
            <c:invertIfNegative val="0"/>
            <c:bubble3D val="0"/>
            <c:spPr>
              <a:solidFill>
                <a:srgbClr val="005CAF"/>
              </a:solidFill>
              <a:ln>
                <a:noFill/>
              </a:ln>
              <a:effectLst/>
            </c:spPr>
            <c:extLst>
              <c:ext xmlns:c16="http://schemas.microsoft.com/office/drawing/2014/chart" uri="{C3380CC4-5D6E-409C-BE32-E72D297353CC}">
                <c16:uniqueId val="{00000001-8F43-4255-93C4-BD2CCAB807F5}"/>
              </c:ext>
            </c:extLst>
          </c:dPt>
          <c:dPt>
            <c:idx val="1"/>
            <c:invertIfNegative val="0"/>
            <c:bubble3D val="0"/>
            <c:spPr>
              <a:solidFill>
                <a:srgbClr val="56B4DF"/>
              </a:solidFill>
              <a:ln>
                <a:noFill/>
              </a:ln>
              <a:effectLst/>
            </c:spPr>
            <c:extLst>
              <c:ext xmlns:c16="http://schemas.microsoft.com/office/drawing/2014/chart" uri="{C3380CC4-5D6E-409C-BE32-E72D297353CC}">
                <c16:uniqueId val="{00000003-8F43-4255-93C4-BD2CCAB807F5}"/>
              </c:ext>
            </c:extLst>
          </c:dPt>
          <c:dPt>
            <c:idx val="2"/>
            <c:invertIfNegative val="0"/>
            <c:bubble3D val="0"/>
            <c:spPr>
              <a:solidFill>
                <a:srgbClr val="9ED9DF"/>
              </a:solidFill>
              <a:ln>
                <a:noFill/>
              </a:ln>
              <a:effectLst/>
            </c:spPr>
            <c:extLst>
              <c:ext xmlns:c16="http://schemas.microsoft.com/office/drawing/2014/chart" uri="{C3380CC4-5D6E-409C-BE32-E72D297353CC}">
                <c16:uniqueId val="{00000005-8F43-4255-93C4-BD2CCAB807F5}"/>
              </c:ext>
            </c:extLst>
          </c:dPt>
          <c:dPt>
            <c:idx val="3"/>
            <c:invertIfNegative val="0"/>
            <c:bubble3D val="0"/>
            <c:spPr>
              <a:solidFill>
                <a:srgbClr val="BCBFC1"/>
              </a:solidFill>
              <a:ln>
                <a:noFill/>
              </a:ln>
              <a:effectLst/>
            </c:spPr>
            <c:extLst>
              <c:ext xmlns:c16="http://schemas.microsoft.com/office/drawing/2014/chart" uri="{C3380CC4-5D6E-409C-BE32-E72D297353CC}">
                <c16:uniqueId val="{00000007-8F43-4255-93C4-BD2CCAB807F5}"/>
              </c:ext>
            </c:extLst>
          </c:dPt>
          <c:dPt>
            <c:idx val="4"/>
            <c:invertIfNegative val="0"/>
            <c:bubble3D val="0"/>
            <c:spPr>
              <a:solidFill>
                <a:srgbClr val="51B7A4"/>
              </a:solidFill>
              <a:ln>
                <a:noFill/>
              </a:ln>
              <a:effectLst/>
            </c:spPr>
            <c:extLst>
              <c:ext xmlns:c16="http://schemas.microsoft.com/office/drawing/2014/chart" uri="{C3380CC4-5D6E-409C-BE32-E72D297353CC}">
                <c16:uniqueId val="{00000009-8F43-4255-93C4-BD2CCAB807F5}"/>
              </c:ext>
            </c:extLst>
          </c:dPt>
          <c:dPt>
            <c:idx val="5"/>
            <c:invertIfNegative val="0"/>
            <c:bubble3D val="0"/>
            <c:spPr>
              <a:solidFill>
                <a:srgbClr val="0A7568"/>
              </a:solidFill>
              <a:ln>
                <a:noFill/>
              </a:ln>
              <a:effectLst/>
            </c:spPr>
            <c:extLst>
              <c:ext xmlns:c16="http://schemas.microsoft.com/office/drawing/2014/chart" uri="{C3380CC4-5D6E-409C-BE32-E72D297353CC}">
                <c16:uniqueId val="{0000000B-8F43-4255-93C4-BD2CCAB807F5}"/>
              </c:ext>
            </c:extLst>
          </c:dPt>
          <c:dPt>
            <c:idx val="6"/>
            <c:invertIfNegative val="0"/>
            <c:bubble3D val="0"/>
            <c:spPr>
              <a:solidFill>
                <a:srgbClr val="D1AAF7"/>
              </a:solidFill>
              <a:ln>
                <a:noFill/>
              </a:ln>
              <a:effectLst/>
            </c:spPr>
            <c:extLst>
              <c:ext xmlns:c16="http://schemas.microsoft.com/office/drawing/2014/chart" uri="{C3380CC4-5D6E-409C-BE32-E72D297353CC}">
                <c16:uniqueId val="{0000000D-8F43-4255-93C4-BD2CCAB807F5}"/>
              </c:ext>
            </c:extLst>
          </c:dPt>
          <c:cat>
            <c:strRef>
              <c:f>'4.1'!$B$6:$B$12</c:f>
              <c:strCache>
                <c:ptCount val="7"/>
                <c:pt idx="0">
                  <c:v>Qatar</c:v>
                </c:pt>
                <c:pt idx="1">
                  <c:v>Australia</c:v>
                </c:pt>
                <c:pt idx="2">
                  <c:v>United States</c:v>
                </c:pt>
                <c:pt idx="3">
                  <c:v>Russia</c:v>
                </c:pt>
                <c:pt idx="4">
                  <c:v>Malaysia</c:v>
                </c:pt>
                <c:pt idx="5">
                  <c:v>Nigeria</c:v>
                </c:pt>
                <c:pt idx="6">
                  <c:v>Indonesia</c:v>
                </c:pt>
              </c:strCache>
            </c:strRef>
          </c:cat>
          <c:val>
            <c:numRef>
              <c:f>'4.1'!$C$6:$C$12</c:f>
              <c:numCache>
                <c:formatCode>0.0</c:formatCode>
                <c:ptCount val="7"/>
                <c:pt idx="0">
                  <c:v>81.087663238260006</c:v>
                </c:pt>
                <c:pt idx="1">
                  <c:v>78.282409130600001</c:v>
                </c:pt>
                <c:pt idx="2">
                  <c:v>77.494366860000014</c:v>
                </c:pt>
                <c:pt idx="3">
                  <c:v>32.288177415010004</c:v>
                </c:pt>
                <c:pt idx="4">
                  <c:v>27.502652263060003</c:v>
                </c:pt>
                <c:pt idx="5">
                  <c:v>13.41967043076</c:v>
                </c:pt>
                <c:pt idx="6">
                  <c:v>12.485440549080002</c:v>
                </c:pt>
              </c:numCache>
            </c:numRef>
          </c:val>
          <c:extLst>
            <c:ext xmlns:c16="http://schemas.microsoft.com/office/drawing/2014/chart" uri="{C3380CC4-5D6E-409C-BE32-E72D297353CC}">
              <c16:uniqueId val="{0000000E-8F43-4255-93C4-BD2CCAB807F5}"/>
            </c:ext>
          </c:extLst>
        </c:ser>
        <c:dLbls>
          <c:showLegendKey val="0"/>
          <c:showVal val="0"/>
          <c:showCatName val="0"/>
          <c:showSerName val="0"/>
          <c:showPercent val="0"/>
          <c:showBubbleSize val="0"/>
        </c:dLbls>
        <c:gapWidth val="50"/>
        <c:overlap val="-27"/>
        <c:axId val="1156627232"/>
        <c:axId val="1110186560"/>
      </c:barChart>
      <c:catAx>
        <c:axId val="1156627232"/>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186560"/>
        <c:crosses val="autoZero"/>
        <c:auto val="1"/>
        <c:lblAlgn val="ctr"/>
        <c:lblOffset val="100"/>
        <c:noMultiLvlLbl val="0"/>
      </c:catAx>
      <c:valAx>
        <c:axId val="11101865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Million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56627232"/>
        <c:crosses val="autoZero"/>
        <c:crossBetween val="between"/>
        <c:majorUnit val="20"/>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spPr>
            <a:noFill/>
            <a:ln>
              <a:noFill/>
            </a:ln>
            <a:effectLst/>
          </c:spPr>
          <c:invertIfNegative val="0"/>
          <c:cat>
            <c:strRef>
              <c:f>'[1]1.4'!$B$6:$F$6</c:f>
              <c:strCache>
                <c:ptCount val="5"/>
                <c:pt idx="0">
                  <c:v>Global Gas Consumption</c:v>
                </c:pt>
                <c:pt idx="1">
                  <c:v>Consumed locally</c:v>
                </c:pt>
                <c:pt idx="2">
                  <c:v>Inter-regional pipeline</c:v>
                </c:pt>
                <c:pt idx="3">
                  <c:v>Contracted LNG</c:v>
                </c:pt>
                <c:pt idx="4">
                  <c:v>Short-term LNG</c:v>
                </c:pt>
              </c:strCache>
            </c:strRef>
          </c:cat>
          <c:val>
            <c:numRef>
              <c:f>'[1]1.4'!$B$8:$F$8</c:f>
              <c:numCache>
                <c:formatCode>General</c:formatCode>
                <c:ptCount val="5"/>
                <c:pt idx="1">
                  <c:v>968</c:v>
                </c:pt>
                <c:pt idx="2">
                  <c:v>542</c:v>
                </c:pt>
                <c:pt idx="3">
                  <c:v>163</c:v>
                </c:pt>
              </c:numCache>
            </c:numRef>
          </c:val>
          <c:extLst>
            <c:ext xmlns:c16="http://schemas.microsoft.com/office/drawing/2014/chart" uri="{C3380CC4-5D6E-409C-BE32-E72D297353CC}">
              <c16:uniqueId val="{00000000-6919-41B7-9BED-6E223B5BAFD7}"/>
            </c:ext>
          </c:extLst>
        </c:ser>
        <c:ser>
          <c:idx val="0"/>
          <c:order val="1"/>
          <c:spPr>
            <a:solidFill>
              <a:srgbClr val="005CAF"/>
            </a:solidFill>
            <a:ln>
              <a:noFill/>
            </a:ln>
            <a:effectLst/>
          </c:spPr>
          <c:invertIfNegative val="0"/>
          <c:dPt>
            <c:idx val="0"/>
            <c:invertIfNegative val="0"/>
            <c:bubble3D val="0"/>
            <c:spPr>
              <a:solidFill>
                <a:srgbClr val="005CAF"/>
              </a:solidFill>
              <a:ln>
                <a:noFill/>
              </a:ln>
              <a:effectLst/>
            </c:spPr>
            <c:extLst>
              <c:ext xmlns:c16="http://schemas.microsoft.com/office/drawing/2014/chart" uri="{C3380CC4-5D6E-409C-BE32-E72D297353CC}">
                <c16:uniqueId val="{00000002-6919-41B7-9BED-6E223B5BAFD7}"/>
              </c:ext>
            </c:extLst>
          </c:dPt>
          <c:dPt>
            <c:idx val="1"/>
            <c:invertIfNegative val="0"/>
            <c:bubble3D val="0"/>
            <c:spPr>
              <a:solidFill>
                <a:srgbClr val="56B4DF"/>
              </a:solidFill>
              <a:ln>
                <a:noFill/>
              </a:ln>
              <a:effectLst/>
            </c:spPr>
            <c:extLst>
              <c:ext xmlns:c16="http://schemas.microsoft.com/office/drawing/2014/chart" uri="{C3380CC4-5D6E-409C-BE32-E72D297353CC}">
                <c16:uniqueId val="{00000004-6919-41B7-9BED-6E223B5BAFD7}"/>
              </c:ext>
            </c:extLst>
          </c:dPt>
          <c:dPt>
            <c:idx val="2"/>
            <c:invertIfNegative val="0"/>
            <c:bubble3D val="0"/>
            <c:spPr>
              <a:solidFill>
                <a:srgbClr val="9ED9DF"/>
              </a:solidFill>
              <a:ln>
                <a:noFill/>
              </a:ln>
              <a:effectLst/>
            </c:spPr>
            <c:extLst>
              <c:ext xmlns:c16="http://schemas.microsoft.com/office/drawing/2014/chart" uri="{C3380CC4-5D6E-409C-BE32-E72D297353CC}">
                <c16:uniqueId val="{00000006-6919-41B7-9BED-6E223B5BAFD7}"/>
              </c:ext>
            </c:extLst>
          </c:dPt>
          <c:dPt>
            <c:idx val="3"/>
            <c:invertIfNegative val="0"/>
            <c:bubble3D val="0"/>
            <c:spPr>
              <a:solidFill>
                <a:srgbClr val="F36A5A"/>
              </a:solidFill>
              <a:ln>
                <a:noFill/>
              </a:ln>
              <a:effectLst/>
            </c:spPr>
            <c:extLst>
              <c:ext xmlns:c16="http://schemas.microsoft.com/office/drawing/2014/chart" uri="{C3380CC4-5D6E-409C-BE32-E72D297353CC}">
                <c16:uniqueId val="{00000008-6919-41B7-9BED-6E223B5BAFD7}"/>
              </c:ext>
            </c:extLst>
          </c:dPt>
          <c:dPt>
            <c:idx val="4"/>
            <c:invertIfNegative val="0"/>
            <c:bubble3D val="0"/>
            <c:spPr>
              <a:solidFill>
                <a:srgbClr val="FFB47B"/>
              </a:solidFill>
              <a:ln>
                <a:noFill/>
              </a:ln>
              <a:effectLst/>
            </c:spPr>
            <c:extLst>
              <c:ext xmlns:c16="http://schemas.microsoft.com/office/drawing/2014/chart" uri="{C3380CC4-5D6E-409C-BE32-E72D297353CC}">
                <c16:uniqueId val="{0000000A-6919-41B7-9BED-6E223B5BAFD7}"/>
              </c:ext>
            </c:extLst>
          </c:dPt>
          <c:dLbls>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6919-41B7-9BED-6E223B5BAFD7}"/>
                </c:ext>
              </c:extLst>
            </c:dLbl>
            <c:dLbl>
              <c:idx val="3"/>
              <c:tx>
                <c:rich>
                  <a:bodyPr/>
                  <a:lstStyle/>
                  <a:p>
                    <a:fld id="{0F71B13C-1352-4D0F-ABB0-3D873B6FF5E9}"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919-41B7-9BED-6E223B5BAFD7}"/>
                </c:ext>
              </c:extLst>
            </c:dLbl>
            <c:dLbl>
              <c:idx val="4"/>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F3FE10BF-EE58-4594-AE83-E8F4FD7F0D45}" type="VALUE">
                      <a:rPr lang="en-US">
                        <a:solidFill>
                          <a:sysClr val="windowText" lastClr="000000"/>
                        </a:solidFill>
                      </a:rPr>
                      <a:pPr>
                        <a:defRPr b="1">
                          <a:solidFill>
                            <a:sysClr val="windowText" lastClr="000000"/>
                          </a:solidFill>
                        </a:defRPr>
                      </a:pPr>
                      <a:t>[VALUE]</a:t>
                    </a:fld>
                    <a:endParaRPr lang="en-AU"/>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919-41B7-9BED-6E223B5BAFD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'[1]1.4'!$B$6:$F$6</c:f>
              <c:strCache>
                <c:ptCount val="5"/>
                <c:pt idx="0">
                  <c:v>Global Gas Consumption</c:v>
                </c:pt>
                <c:pt idx="1">
                  <c:v>Consumed locally</c:v>
                </c:pt>
                <c:pt idx="2">
                  <c:v>Inter-regional pipeline</c:v>
                </c:pt>
                <c:pt idx="3">
                  <c:v>Contracted LNG</c:v>
                </c:pt>
                <c:pt idx="4">
                  <c:v>Short-term LNG</c:v>
                </c:pt>
              </c:strCache>
            </c:strRef>
          </c:cat>
          <c:val>
            <c:numRef>
              <c:f>'[1]1.4'!$B$7:$F$7</c:f>
              <c:numCache>
                <c:formatCode>General</c:formatCode>
                <c:ptCount val="5"/>
                <c:pt idx="0">
                  <c:v>3941</c:v>
                </c:pt>
                <c:pt idx="1">
                  <c:v>2973</c:v>
                </c:pt>
                <c:pt idx="2">
                  <c:v>426</c:v>
                </c:pt>
                <c:pt idx="3">
                  <c:v>353</c:v>
                </c:pt>
                <c:pt idx="4">
                  <c:v>190</c:v>
                </c:pt>
              </c:numCache>
            </c:numRef>
          </c:val>
          <c:extLst>
            <c:ext xmlns:c16="http://schemas.microsoft.com/office/drawing/2014/chart" uri="{C3380CC4-5D6E-409C-BE32-E72D297353CC}">
              <c16:uniqueId val="{0000000B-6919-41B7-9BED-6E223B5BAFD7}"/>
            </c:ext>
          </c:extLst>
        </c:ser>
        <c:dLbls>
          <c:showLegendKey val="0"/>
          <c:showVal val="0"/>
          <c:showCatName val="0"/>
          <c:showSerName val="0"/>
          <c:showPercent val="0"/>
          <c:showBubbleSize val="0"/>
        </c:dLbls>
        <c:gapWidth val="150"/>
        <c:overlap val="100"/>
        <c:axId val="1304100688"/>
        <c:axId val="1138618016"/>
      </c:barChart>
      <c:catAx>
        <c:axId val="130410068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38618016"/>
        <c:crosses val="autoZero"/>
        <c:auto val="1"/>
        <c:lblAlgn val="ctr"/>
        <c:lblOffset val="100"/>
        <c:noMultiLvlLbl val="0"/>
      </c:catAx>
      <c:valAx>
        <c:axId val="1138618016"/>
        <c:scaling>
          <c:orientation val="minMax"/>
          <c:max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 metres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30410068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'4.2'!$B$6</c:f>
              <c:strCache>
                <c:ptCount val="1"/>
                <c:pt idx="0">
                  <c:v>Japan</c:v>
                </c:pt>
              </c:strCache>
            </c:strRef>
          </c:tx>
          <c:spPr>
            <a:solidFill>
              <a:srgbClr val="005C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'4.2'!$C$5</c:f>
              <c:strCache>
                <c:ptCount val="1"/>
                <c:pt idx="0">
                  <c:v>Share</c:v>
                </c:pt>
              </c:strCache>
            </c:strRef>
          </c:cat>
          <c:val>
            <c:numRef>
              <c:f>'4.2'!$C$6</c:f>
              <c:numCache>
                <c:formatCode>0%</c:formatCode>
                <c:ptCount val="1"/>
                <c:pt idx="0">
                  <c:v>0.35886859616464029</c:v>
                </c:pt>
              </c:numCache>
            </c:numRef>
          </c:val>
          <c:extLst>
            <c:ext xmlns:c16="http://schemas.microsoft.com/office/drawing/2014/chart" uri="{C3380CC4-5D6E-409C-BE32-E72D297353CC}">
              <c16:uniqueId val="{00000000-E212-4775-A079-E8E7848953E6}"/>
            </c:ext>
          </c:extLst>
        </c:ser>
        <c:ser>
          <c:idx val="1"/>
          <c:order val="1"/>
          <c:tx>
            <c:strRef>
              <c:f>'4.2'!$B$7</c:f>
              <c:strCache>
                <c:ptCount val="1"/>
                <c:pt idx="0">
                  <c:v>China</c:v>
                </c:pt>
              </c:strCache>
            </c:strRef>
          </c:tx>
          <c:spPr>
            <a:solidFill>
              <a:srgbClr val="56B4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'4.2'!$C$5</c:f>
              <c:strCache>
                <c:ptCount val="1"/>
                <c:pt idx="0">
                  <c:v>Share</c:v>
                </c:pt>
              </c:strCache>
            </c:strRef>
          </c:cat>
          <c:val>
            <c:numRef>
              <c:f>'4.2'!$C$7</c:f>
              <c:numCache>
                <c:formatCode>0%</c:formatCode>
                <c:ptCount val="1"/>
                <c:pt idx="0">
                  <c:v>0.28460481817403999</c:v>
                </c:pt>
              </c:numCache>
            </c:numRef>
          </c:val>
          <c:extLst>
            <c:ext xmlns:c16="http://schemas.microsoft.com/office/drawing/2014/chart" uri="{C3380CC4-5D6E-409C-BE32-E72D297353CC}">
              <c16:uniqueId val="{00000001-E212-4775-A079-E8E7848953E6}"/>
            </c:ext>
          </c:extLst>
        </c:ser>
        <c:ser>
          <c:idx val="2"/>
          <c:order val="2"/>
          <c:tx>
            <c:strRef>
              <c:f>'4.2'!$B$8</c:f>
              <c:strCache>
                <c:ptCount val="1"/>
                <c:pt idx="0">
                  <c:v>ROK</c:v>
                </c:pt>
              </c:strCache>
            </c:strRef>
          </c:tx>
          <c:spPr>
            <a:solidFill>
              <a:srgbClr val="9ED9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'4.2'!$C$5</c:f>
              <c:strCache>
                <c:ptCount val="1"/>
                <c:pt idx="0">
                  <c:v>Share</c:v>
                </c:pt>
              </c:strCache>
            </c:strRef>
          </c:cat>
          <c:val>
            <c:numRef>
              <c:f>'4.2'!$C$8</c:f>
              <c:numCache>
                <c:formatCode>0%</c:formatCode>
                <c:ptCount val="1"/>
                <c:pt idx="0">
                  <c:v>0.14391955939729481</c:v>
                </c:pt>
              </c:numCache>
            </c:numRef>
          </c:val>
          <c:extLst>
            <c:ext xmlns:c16="http://schemas.microsoft.com/office/drawing/2014/chart" uri="{C3380CC4-5D6E-409C-BE32-E72D297353CC}">
              <c16:uniqueId val="{00000002-E212-4775-A079-E8E7848953E6}"/>
            </c:ext>
          </c:extLst>
        </c:ser>
        <c:ser>
          <c:idx val="3"/>
          <c:order val="3"/>
          <c:tx>
            <c:strRef>
              <c:f>'4.2'!$B$9</c:f>
              <c:strCache>
                <c:ptCount val="1"/>
                <c:pt idx="0">
                  <c:v>Taiwan</c:v>
                </c:pt>
              </c:strCache>
            </c:strRef>
          </c:tx>
          <c:spPr>
            <a:solidFill>
              <a:srgbClr val="BCBFC1"/>
            </a:solidFill>
            <a:ln>
              <a:noFill/>
            </a:ln>
            <a:effectLst/>
          </c:spPr>
          <c:invertIfNegative val="0"/>
          <c:dLbls>
            <c:dLbl>
              <c:idx val="0"/>
              <c:layout>
                <c:manualLayout>
                  <c:x val="-9.11764705882354E-2"/>
                  <c:y val="-0.24456521739130435"/>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E212-4775-A079-E8E7848953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'4.2'!$C$5</c:f>
              <c:strCache>
                <c:ptCount val="1"/>
                <c:pt idx="0">
                  <c:v>Share</c:v>
                </c:pt>
              </c:strCache>
            </c:strRef>
          </c:cat>
          <c:val>
            <c:numRef>
              <c:f>'4.2'!$C$9</c:f>
              <c:numCache>
                <c:formatCode>0%</c:formatCode>
                <c:ptCount val="1"/>
                <c:pt idx="0">
                  <c:v>0.10519626000058677</c:v>
                </c:pt>
              </c:numCache>
            </c:numRef>
          </c:val>
          <c:extLst>
            <c:ext xmlns:c16="http://schemas.microsoft.com/office/drawing/2014/chart" uri="{C3380CC4-5D6E-409C-BE32-E72D297353CC}">
              <c16:uniqueId val="{00000004-E212-4775-A079-E8E7848953E6}"/>
            </c:ext>
          </c:extLst>
        </c:ser>
        <c:ser>
          <c:idx val="4"/>
          <c:order val="4"/>
          <c:tx>
            <c:strRef>
              <c:f>'4.2'!$B$10</c:f>
              <c:strCache>
                <c:ptCount val="1"/>
                <c:pt idx="0">
                  <c:v>ASEAN</c:v>
                </c:pt>
              </c:strCache>
            </c:strRef>
          </c:tx>
          <c:spPr>
            <a:solidFill>
              <a:srgbClr val="51B7A4"/>
            </a:solidFill>
            <a:ln>
              <a:noFill/>
            </a:ln>
            <a:effectLst/>
          </c:spPr>
          <c:invertIfNegative val="0"/>
          <c:dLbls>
            <c:dLbl>
              <c:idx val="0"/>
              <c:layout>
                <c:manualLayout>
                  <c:x val="-8.8235294117647065E-2"/>
                  <c:y val="0.2391304347826087"/>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E212-4775-A079-E8E7848953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'4.2'!$C$5</c:f>
              <c:strCache>
                <c:ptCount val="1"/>
                <c:pt idx="0">
                  <c:v>Share</c:v>
                </c:pt>
              </c:strCache>
            </c:strRef>
          </c:cat>
          <c:val>
            <c:numRef>
              <c:f>'4.2'!$C$10</c:f>
              <c:numCache>
                <c:formatCode>0%</c:formatCode>
                <c:ptCount val="1"/>
                <c:pt idx="0">
                  <c:v>9.7377996590069946E-2</c:v>
                </c:pt>
              </c:numCache>
            </c:numRef>
          </c:val>
          <c:extLst>
            <c:ext xmlns:c16="http://schemas.microsoft.com/office/drawing/2014/chart" uri="{C3380CC4-5D6E-409C-BE32-E72D297353CC}">
              <c16:uniqueId val="{00000006-E212-4775-A079-E8E7848953E6}"/>
            </c:ext>
          </c:extLst>
        </c:ser>
        <c:ser>
          <c:idx val="5"/>
          <c:order val="5"/>
          <c:tx>
            <c:strRef>
              <c:f>'4.2'!$B$11</c:f>
              <c:strCache>
                <c:ptCount val="1"/>
                <c:pt idx="0">
                  <c:v>India</c:v>
                </c:pt>
              </c:strCache>
            </c:strRef>
          </c:tx>
          <c:spPr>
            <a:solidFill>
              <a:srgbClr val="0A7568"/>
            </a:solidFill>
            <a:ln>
              <a:noFill/>
            </a:ln>
            <a:effectLst/>
          </c:spPr>
          <c:invertIfNegative val="0"/>
          <c:dLbls>
            <c:dLbl>
              <c:idx val="0"/>
              <c:layout>
                <c:manualLayout>
                  <c:x val="-1.7489711934156379E-2"/>
                  <c:y val="-0.25"/>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E212-4775-A079-E8E7848953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'4.2'!$C$5</c:f>
              <c:strCache>
                <c:ptCount val="1"/>
                <c:pt idx="0">
                  <c:v>Share</c:v>
                </c:pt>
              </c:strCache>
            </c:strRef>
          </c:cat>
          <c:val>
            <c:numRef>
              <c:f>'4.2'!$C$11</c:f>
              <c:numCache>
                <c:formatCode>0%</c:formatCode>
                <c:ptCount val="1"/>
                <c:pt idx="0">
                  <c:v>7.2163390995264899E-3</c:v>
                </c:pt>
              </c:numCache>
            </c:numRef>
          </c:val>
          <c:extLst>
            <c:ext xmlns:c16="http://schemas.microsoft.com/office/drawing/2014/chart" uri="{C3380CC4-5D6E-409C-BE32-E72D297353CC}">
              <c16:uniqueId val="{00000008-E212-4775-A079-E8E7848953E6}"/>
            </c:ext>
          </c:extLst>
        </c:ser>
        <c:ser>
          <c:idx val="6"/>
          <c:order val="6"/>
          <c:tx>
            <c:strRef>
              <c:f>'4.2'!$B$12</c:f>
              <c:strCache>
                <c:ptCount val="1"/>
                <c:pt idx="0">
                  <c:v>Other</c:v>
                </c:pt>
              </c:strCache>
            </c:strRef>
          </c:tx>
          <c:spPr>
            <a:solidFill>
              <a:srgbClr val="D1AAF7"/>
            </a:solidFill>
            <a:ln>
              <a:noFill/>
            </a:ln>
            <a:effectLst/>
          </c:spPr>
          <c:invertIfNegative val="0"/>
          <c:cat>
            <c:strRef>
              <c:f>'4.2'!$C$5</c:f>
              <c:strCache>
                <c:ptCount val="1"/>
                <c:pt idx="0">
                  <c:v>Share</c:v>
                </c:pt>
              </c:strCache>
            </c:strRef>
          </c:cat>
          <c:val>
            <c:numRef>
              <c:f>'4.2'!$C$12</c:f>
              <c:numCache>
                <c:formatCode>0%</c:formatCode>
                <c:ptCount val="1"/>
                <c:pt idx="0">
                  <c:v>2.8164305738416517E-3</c:v>
                </c:pt>
              </c:numCache>
            </c:numRef>
          </c:val>
          <c:extLst>
            <c:ext xmlns:c16="http://schemas.microsoft.com/office/drawing/2014/chart" uri="{C3380CC4-5D6E-409C-BE32-E72D297353CC}">
              <c16:uniqueId val="{00000009-E212-4775-A079-E8E7848953E6}"/>
            </c:ext>
          </c:extLst>
        </c:ser>
        <c:dLbls>
          <c:showLegendKey val="0"/>
          <c:showVal val="0"/>
          <c:showCatName val="0"/>
          <c:showSerName val="0"/>
          <c:showPercent val="0"/>
          <c:showBubbleSize val="0"/>
        </c:dLbls>
        <c:gapWidth val="150"/>
        <c:overlap val="100"/>
        <c:axId val="1156642544"/>
        <c:axId val="1110262400"/>
      </c:barChart>
      <c:catAx>
        <c:axId val="1156642544"/>
        <c:scaling>
          <c:orientation val="minMax"/>
        </c:scaling>
        <c:delete val="1"/>
        <c:axPos val="l"/>
        <c:numFmt formatCode="General" sourceLinked="1"/>
        <c:majorTickMark val="out"/>
        <c:minorTickMark val="none"/>
        <c:tickLblPos val="nextTo"/>
        <c:crossAx val="1110262400"/>
        <c:crosses val="autoZero"/>
        <c:auto val="1"/>
        <c:lblAlgn val="ctr"/>
        <c:lblOffset val="100"/>
        <c:noMultiLvlLbl val="0"/>
      </c:catAx>
      <c:valAx>
        <c:axId val="1110262400"/>
        <c:scaling>
          <c:orientation val="minMax"/>
        </c:scaling>
        <c:delete val="1"/>
        <c:axPos val="b"/>
        <c:numFmt formatCode="0%" sourceLinked="1"/>
        <c:majorTickMark val="out"/>
        <c:minorTickMark val="none"/>
        <c:tickLblPos val="nextTo"/>
        <c:crossAx val="1156642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'4.3'!$C$5</c:f>
              <c:strCache>
                <c:ptCount val="1"/>
                <c:pt idx="0">
                  <c:v>Japan</c:v>
                </c:pt>
              </c:strCache>
            </c:strRef>
          </c:tx>
          <c:spPr>
            <a:solidFill>
              <a:srgbClr val="005CAF"/>
            </a:solidFill>
            <a:ln>
              <a:noFill/>
            </a:ln>
            <a:effectLst/>
          </c:spPr>
          <c:cat>
            <c:strRef>
              <c:f>'4.3'!$B$6:$B$17</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'4.3'!$C$6:$C$17</c:f>
              <c:numCache>
                <c:formatCode>0</c:formatCode>
                <c:ptCount val="12"/>
                <c:pt idx="0">
                  <c:v>13.541456299999998</c:v>
                </c:pt>
                <c:pt idx="1">
                  <c:v>18.166672999999999</c:v>
                </c:pt>
                <c:pt idx="2">
                  <c:v>18.764041099999996</c:v>
                </c:pt>
                <c:pt idx="3">
                  <c:v>18.269563550000001</c:v>
                </c:pt>
                <c:pt idx="4">
                  <c:v>20.03267945</c:v>
                </c:pt>
                <c:pt idx="5">
                  <c:v>24.787908000000002</c:v>
                </c:pt>
                <c:pt idx="6">
                  <c:v>27.225141999999998</c:v>
                </c:pt>
                <c:pt idx="7">
                  <c:v>29.914079999999998</c:v>
                </c:pt>
                <c:pt idx="8">
                  <c:v>30.097348399999994</c:v>
                </c:pt>
                <c:pt idx="9">
                  <c:v>28.734700749999995</c:v>
                </c:pt>
                <c:pt idx="10">
                  <c:v>29.543390834999997</c:v>
                </c:pt>
                <c:pt idx="11">
                  <c:v>29.048183499999997</c:v>
                </c:pt>
              </c:numCache>
            </c:numRef>
          </c:val>
          <c:extLst>
            <c:ext xmlns:c16="http://schemas.microsoft.com/office/drawing/2014/chart" uri="{C3380CC4-5D6E-409C-BE32-E72D297353CC}">
              <c16:uniqueId val="{00000000-26C2-4613-A416-E59EECF162C7}"/>
            </c:ext>
          </c:extLst>
        </c:ser>
        <c:ser>
          <c:idx val="1"/>
          <c:order val="1"/>
          <c:tx>
            <c:strRef>
              <c:f>'4.3'!$D$5</c:f>
              <c:strCache>
                <c:ptCount val="1"/>
                <c:pt idx="0">
                  <c:v>China</c:v>
                </c:pt>
              </c:strCache>
            </c:strRef>
          </c:tx>
          <c:spPr>
            <a:solidFill>
              <a:srgbClr val="56B4DF"/>
            </a:solidFill>
            <a:ln>
              <a:noFill/>
            </a:ln>
            <a:effectLst/>
          </c:spPr>
          <c:cat>
            <c:strRef>
              <c:f>'4.3'!$B$6:$B$17</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'4.3'!$D$6:$D$17</c:f>
              <c:numCache>
                <c:formatCode>0</c:formatCode>
                <c:ptCount val="12"/>
                <c:pt idx="0">
                  <c:v>3.7520794499999996</c:v>
                </c:pt>
                <c:pt idx="1">
                  <c:v>3.7471769999999993</c:v>
                </c:pt>
                <c:pt idx="2">
                  <c:v>3.5384726999999998</c:v>
                </c:pt>
                <c:pt idx="3">
                  <c:v>4.800310549999999</c:v>
                </c:pt>
                <c:pt idx="4">
                  <c:v>8.1267700499999993</c:v>
                </c:pt>
                <c:pt idx="5">
                  <c:v>14.971968</c:v>
                </c:pt>
                <c:pt idx="6">
                  <c:v>20.453884149999997</c:v>
                </c:pt>
                <c:pt idx="7">
                  <c:v>27.589384899999999</c:v>
                </c:pt>
                <c:pt idx="8">
                  <c:v>28.989739799999995</c:v>
                </c:pt>
                <c:pt idx="9">
                  <c:v>31.146401649999998</c:v>
                </c:pt>
                <c:pt idx="10">
                  <c:v>27.178658044999999</c:v>
                </c:pt>
                <c:pt idx="11">
                  <c:v>22.464182999999998</c:v>
                </c:pt>
              </c:numCache>
            </c:numRef>
          </c:val>
          <c:extLst>
            <c:ext xmlns:c16="http://schemas.microsoft.com/office/drawing/2014/chart" uri="{C3380CC4-5D6E-409C-BE32-E72D297353CC}">
              <c16:uniqueId val="{00000001-26C2-4613-A416-E59EECF162C7}"/>
            </c:ext>
          </c:extLst>
        </c:ser>
        <c:ser>
          <c:idx val="2"/>
          <c:order val="2"/>
          <c:tx>
            <c:strRef>
              <c:f>'4.3'!$E$5</c:f>
              <c:strCache>
                <c:ptCount val="1"/>
                <c:pt idx="0">
                  <c:v>ROK</c:v>
                </c:pt>
              </c:strCache>
            </c:strRef>
          </c:tx>
          <c:spPr>
            <a:solidFill>
              <a:srgbClr val="9ED9DF"/>
            </a:solidFill>
            <a:ln>
              <a:noFill/>
            </a:ln>
            <a:effectLst/>
          </c:spPr>
          <c:cat>
            <c:strRef>
              <c:f>'4.3'!$B$6:$B$17</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'4.3'!$E$6:$E$17</c:f>
              <c:numCache>
                <c:formatCode>0</c:formatCode>
                <c:ptCount val="12"/>
                <c:pt idx="0">
                  <c:v>0.36331924999999998</c:v>
                </c:pt>
                <c:pt idx="1">
                  <c:v>1.02055205</c:v>
                </c:pt>
                <c:pt idx="2">
                  <c:v>0.59483059999999999</c:v>
                </c:pt>
                <c:pt idx="3">
                  <c:v>1.391159</c:v>
                </c:pt>
                <c:pt idx="4">
                  <c:v>3.5451716999999996</c:v>
                </c:pt>
                <c:pt idx="5">
                  <c:v>5.5621359999999997</c:v>
                </c:pt>
                <c:pt idx="6">
                  <c:v>6.9237920499999985</c:v>
                </c:pt>
                <c:pt idx="7">
                  <c:v>7.7306662999999993</c:v>
                </c:pt>
                <c:pt idx="8">
                  <c:v>7.9214456999999996</c:v>
                </c:pt>
                <c:pt idx="9">
                  <c:v>8.0568568499999991</c:v>
                </c:pt>
                <c:pt idx="10">
                  <c:v>11.208529289999998</c:v>
                </c:pt>
                <c:pt idx="11">
                  <c:v>11.5704113</c:v>
                </c:pt>
              </c:numCache>
            </c:numRef>
          </c:val>
          <c:extLst>
            <c:ext xmlns:c16="http://schemas.microsoft.com/office/drawing/2014/chart" uri="{C3380CC4-5D6E-409C-BE32-E72D297353CC}">
              <c16:uniqueId val="{00000002-26C2-4613-A416-E59EECF162C7}"/>
            </c:ext>
          </c:extLst>
        </c:ser>
        <c:ser>
          <c:idx val="3"/>
          <c:order val="3"/>
          <c:tx>
            <c:strRef>
              <c:f>'4.3'!$F$5</c:f>
              <c:strCache>
                <c:ptCount val="1"/>
                <c:pt idx="0">
                  <c:v>Taiwan</c:v>
                </c:pt>
              </c:strCache>
            </c:strRef>
          </c:tx>
          <c:spPr>
            <a:solidFill>
              <a:srgbClr val="BCBFC1"/>
            </a:solidFill>
            <a:ln>
              <a:noFill/>
            </a:ln>
            <a:effectLst/>
          </c:spPr>
          <c:cat>
            <c:strRef>
              <c:f>'4.3'!$B$6:$B$17</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'4.3'!$F$6:$F$17</c:f>
              <c:numCache>
                <c:formatCode>0</c:formatCode>
                <c:ptCount val="12"/>
                <c:pt idx="0">
                  <c:v>0</c:v>
                </c:pt>
                <c:pt idx="1">
                  <c:v>0.31911599999999996</c:v>
                </c:pt>
                <c:pt idx="2">
                  <c:v>0.19070834999999997</c:v>
                </c:pt>
                <c:pt idx="3">
                  <c:v>6.7274199999999992E-2</c:v>
                </c:pt>
                <c:pt idx="4">
                  <c:v>0.32565259999999996</c:v>
                </c:pt>
                <c:pt idx="5">
                  <c:v>0</c:v>
                </c:pt>
                <c:pt idx="6">
                  <c:v>1.4881523999999999</c:v>
                </c:pt>
                <c:pt idx="7">
                  <c:v>3.5176042999999995</c:v>
                </c:pt>
                <c:pt idx="8">
                  <c:v>5.7770044499999997</c:v>
                </c:pt>
                <c:pt idx="9">
                  <c:v>5.9669718499999993</c:v>
                </c:pt>
                <c:pt idx="10">
                  <c:v>6.7883910499999995</c:v>
                </c:pt>
                <c:pt idx="11">
                  <c:v>8.4770465500000007</c:v>
                </c:pt>
              </c:numCache>
            </c:numRef>
          </c:val>
          <c:extLst>
            <c:ext xmlns:c16="http://schemas.microsoft.com/office/drawing/2014/chart" uri="{C3380CC4-5D6E-409C-BE32-E72D297353CC}">
              <c16:uniqueId val="{00000003-26C2-4613-A416-E59EECF162C7}"/>
            </c:ext>
          </c:extLst>
        </c:ser>
        <c:ser>
          <c:idx val="4"/>
          <c:order val="4"/>
          <c:tx>
            <c:strRef>
              <c:f>'4.3'!$G$5</c:f>
              <c:strCache>
                <c:ptCount val="1"/>
                <c:pt idx="0">
                  <c:v>Thailand</c:v>
                </c:pt>
              </c:strCache>
            </c:strRef>
          </c:tx>
          <c:spPr>
            <a:solidFill>
              <a:srgbClr val="51B7A4"/>
            </a:solidFill>
            <a:ln>
              <a:noFill/>
            </a:ln>
            <a:effectLst/>
          </c:spPr>
          <c:cat>
            <c:strRef>
              <c:f>'4.3'!$B$6:$B$17</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'4.3'!$G$6:$G$17</c:f>
              <c:numCache>
                <c:formatCode>0</c:formatCode>
                <c:ptCount val="12"/>
                <c:pt idx="0">
                  <c:v>0</c:v>
                </c:pt>
                <c:pt idx="1">
                  <c:v>0</c:v>
                </c:pt>
                <c:pt idx="2">
                  <c:v>0</c:v>
                </c:pt>
                <c:pt idx="3">
                  <c:v>0</c:v>
                </c:pt>
                <c:pt idx="4">
                  <c:v>0</c:v>
                </c:pt>
                <c:pt idx="5">
                  <c:v>0</c:v>
                </c:pt>
                <c:pt idx="6">
                  <c:v>0</c:v>
                </c:pt>
                <c:pt idx="7">
                  <c:v>0</c:v>
                </c:pt>
                <c:pt idx="8">
                  <c:v>0.85868999999999995</c:v>
                </c:pt>
                <c:pt idx="9">
                  <c:v>0.42269674999999995</c:v>
                </c:pt>
                <c:pt idx="10">
                  <c:v>2.0898443999999996</c:v>
                </c:pt>
                <c:pt idx="11">
                  <c:v>2.3019489499999999</c:v>
                </c:pt>
              </c:numCache>
            </c:numRef>
          </c:val>
          <c:extLst>
            <c:ext xmlns:c16="http://schemas.microsoft.com/office/drawing/2014/chart" uri="{C3380CC4-5D6E-409C-BE32-E72D297353CC}">
              <c16:uniqueId val="{00000004-26C2-4613-A416-E59EECF162C7}"/>
            </c:ext>
          </c:extLst>
        </c:ser>
        <c:ser>
          <c:idx val="5"/>
          <c:order val="5"/>
          <c:tx>
            <c:strRef>
              <c:f>'4.3'!$H$5</c:f>
              <c:strCache>
                <c:ptCount val="1"/>
                <c:pt idx="0">
                  <c:v>India</c:v>
                </c:pt>
              </c:strCache>
            </c:strRef>
          </c:tx>
          <c:spPr>
            <a:solidFill>
              <a:srgbClr val="0A7568"/>
            </a:solidFill>
            <a:ln>
              <a:noFill/>
            </a:ln>
            <a:effectLst/>
          </c:spPr>
          <c:cat>
            <c:strRef>
              <c:f>'4.3'!$B$6:$B$17</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'4.3'!$H$6:$H$17</c:f>
              <c:numCache>
                <c:formatCode>0</c:formatCode>
                <c:ptCount val="12"/>
                <c:pt idx="0">
                  <c:v>0</c:v>
                </c:pt>
                <c:pt idx="1">
                  <c:v>0</c:v>
                </c:pt>
                <c:pt idx="2">
                  <c:v>0</c:v>
                </c:pt>
                <c:pt idx="3">
                  <c:v>0</c:v>
                </c:pt>
                <c:pt idx="4">
                  <c:v>1.0578126999999999</c:v>
                </c:pt>
                <c:pt idx="5">
                  <c:v>1.4879720000000001</c:v>
                </c:pt>
                <c:pt idx="6">
                  <c:v>1.6336526499999997</c:v>
                </c:pt>
                <c:pt idx="7">
                  <c:v>1.4055821499999999</c:v>
                </c:pt>
                <c:pt idx="8">
                  <c:v>0.93589089999999997</c:v>
                </c:pt>
                <c:pt idx="9">
                  <c:v>0.50623124999999991</c:v>
                </c:pt>
                <c:pt idx="10">
                  <c:v>0.29165009999999997</c:v>
                </c:pt>
                <c:pt idx="11">
                  <c:v>0.50036454999999991</c:v>
                </c:pt>
              </c:numCache>
            </c:numRef>
          </c:val>
          <c:extLst>
            <c:ext xmlns:c16="http://schemas.microsoft.com/office/drawing/2014/chart" uri="{C3380CC4-5D6E-409C-BE32-E72D297353CC}">
              <c16:uniqueId val="{00000005-26C2-4613-A416-E59EECF162C7}"/>
            </c:ext>
          </c:extLst>
        </c:ser>
        <c:ser>
          <c:idx val="6"/>
          <c:order val="6"/>
          <c:tx>
            <c:strRef>
              <c:f>'4.3'!$I$5</c:f>
              <c:strCache>
                <c:ptCount val="1"/>
                <c:pt idx="0">
                  <c:v>Other</c:v>
                </c:pt>
              </c:strCache>
            </c:strRef>
          </c:tx>
          <c:spPr>
            <a:solidFill>
              <a:srgbClr val="D1AAF7"/>
            </a:solidFill>
            <a:ln>
              <a:noFill/>
            </a:ln>
            <a:effectLst/>
          </c:spPr>
          <c:cat>
            <c:strRef>
              <c:f>'4.3'!$B$6:$B$17</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'4.3'!$I$6:$I$17</c:f>
              <c:numCache>
                <c:formatCode>0</c:formatCode>
                <c:ptCount val="12"/>
                <c:pt idx="0">
                  <c:v>1.2091450000000012</c:v>
                </c:pt>
                <c:pt idx="1">
                  <c:v>0.24948194999999984</c:v>
                </c:pt>
                <c:pt idx="2">
                  <c:v>0.15794725000000387</c:v>
                </c:pt>
                <c:pt idx="3">
                  <c:v>0.51909269999999985</c:v>
                </c:pt>
                <c:pt idx="4">
                  <c:v>3.7637852700000032</c:v>
                </c:pt>
                <c:pt idx="5">
                  <c:v>5.311613720000004</c:v>
                </c:pt>
                <c:pt idx="6">
                  <c:v>3.966251849000006</c:v>
                </c:pt>
                <c:pt idx="7">
                  <c:v>4.6432970500000117</c:v>
                </c:pt>
                <c:pt idx="8">
                  <c:v>4.6640950800000063</c:v>
                </c:pt>
                <c:pt idx="9">
                  <c:v>2.5923242800000068</c:v>
                </c:pt>
                <c:pt idx="10">
                  <c:v>6.1391315900000123</c:v>
                </c:pt>
                <c:pt idx="11">
                  <c:v>7.1847483300000157</c:v>
                </c:pt>
              </c:numCache>
            </c:numRef>
          </c:val>
          <c:extLst>
            <c:ext xmlns:c16="http://schemas.microsoft.com/office/drawing/2014/chart" uri="{C3380CC4-5D6E-409C-BE32-E72D297353CC}">
              <c16:uniqueId val="{00000006-26C2-4613-A416-E59EECF162C7}"/>
            </c:ext>
          </c:extLst>
        </c:ser>
        <c:dLbls>
          <c:showLegendKey val="0"/>
          <c:showVal val="0"/>
          <c:showCatName val="0"/>
          <c:showSerName val="0"/>
          <c:showPercent val="0"/>
          <c:showBubbleSize val="0"/>
        </c:dLbls>
        <c:axId val="1156634192"/>
        <c:axId val="1110261440"/>
      </c:areaChart>
      <c:catAx>
        <c:axId val="1156634192"/>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61440"/>
        <c:crosses val="autoZero"/>
        <c:auto val="1"/>
        <c:lblAlgn val="ctr"/>
        <c:lblOffset val="100"/>
        <c:noMultiLvlLbl val="0"/>
      </c:catAx>
      <c:valAx>
        <c:axId val="111026144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Million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56634192"/>
        <c:crosses val="autoZero"/>
        <c:crossBetween val="midCat"/>
        <c:majorUnit val="2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'2.4'!$C$31</c:f>
              <c:strCache>
                <c:ptCount val="1"/>
                <c:pt idx="0">
                  <c:v>Natural Gas</c:v>
                </c:pt>
              </c:strCache>
            </c:strRef>
          </c:tx>
          <c:spPr>
            <a:solidFill>
              <a:srgbClr val="005CAF"/>
            </a:solidFill>
            <a:ln>
              <a:noFill/>
            </a:ln>
            <a:effectLst/>
          </c:spPr>
          <c:invertIfNegative val="0"/>
          <c:cat>
            <c:strRef>
              <c:f>'2.4'!$A$32:$A$40</c:f>
              <c:strCache>
                <c:ptCount val="9"/>
                <c:pt idx="0">
                  <c:v>India</c:v>
                </c:pt>
                <c:pt idx="1">
                  <c:v>China</c:v>
                </c:pt>
                <c:pt idx="2">
                  <c:v>Indonesia</c:v>
                </c:pt>
                <c:pt idx="3">
                  <c:v>ROK</c:v>
                </c:pt>
                <c:pt idx="4">
                  <c:v>Japan</c:v>
                </c:pt>
                <c:pt idx="5">
                  <c:v>Malaysia</c:v>
                </c:pt>
                <c:pt idx="6">
                  <c:v>Taiwan</c:v>
                </c:pt>
                <c:pt idx="7">
                  <c:v>Thailand</c:v>
                </c:pt>
                <c:pt idx="8">
                  <c:v>Singapore</c:v>
                </c:pt>
              </c:strCache>
            </c:strRef>
          </c:cat>
          <c:val>
            <c:numRef>
              <c:f>'2.4'!$C$32:$C$40</c:f>
              <c:numCache>
                <c:formatCode>General</c:formatCode>
                <c:ptCount val="9"/>
                <c:pt idx="0">
                  <c:v>2.5319995131035323E-2</c:v>
                </c:pt>
                <c:pt idx="1">
                  <c:v>3.2838176412155008E-2</c:v>
                </c:pt>
                <c:pt idx="2">
                  <c:v>0.16834800206951125</c:v>
                </c:pt>
                <c:pt idx="3">
                  <c:v>0.27936488005942728</c:v>
                </c:pt>
                <c:pt idx="4">
                  <c:v>0.30934658000915533</c:v>
                </c:pt>
                <c:pt idx="5">
                  <c:v>0.37374205324542514</c:v>
                </c:pt>
                <c:pt idx="6">
                  <c:v>0.38809108607576109</c:v>
                </c:pt>
                <c:pt idx="7">
                  <c:v>0.63562866369263027</c:v>
                </c:pt>
                <c:pt idx="8">
                  <c:v>0.92</c:v>
                </c:pt>
              </c:numCache>
            </c:numRef>
          </c:val>
          <c:extLst>
            <c:ext xmlns:c16="http://schemas.microsoft.com/office/drawing/2014/chart" uri="{C3380CC4-5D6E-409C-BE32-E72D297353CC}">
              <c16:uniqueId val="{00000000-0400-4756-9E78-CBB4129B8153}"/>
            </c:ext>
          </c:extLst>
        </c:ser>
        <c:dLbls>
          <c:showLegendKey val="0"/>
          <c:showVal val="0"/>
          <c:showCatName val="0"/>
          <c:showSerName val="0"/>
          <c:showPercent val="0"/>
          <c:showBubbleSize val="0"/>
        </c:dLbls>
        <c:gapWidth val="219"/>
        <c:axId val="1722414064"/>
        <c:axId val="620107312"/>
      </c:barChart>
      <c:catAx>
        <c:axId val="1722414064"/>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20107312"/>
        <c:crosses val="autoZero"/>
        <c:auto val="1"/>
        <c:lblAlgn val="ctr"/>
        <c:lblOffset val="100"/>
        <c:noMultiLvlLbl val="0"/>
      </c:catAx>
      <c:valAx>
        <c:axId val="6201073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72241406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'2.5'!$B$3</c:f>
              <c:strCache>
                <c:ptCount val="1"/>
                <c:pt idx="0">
                  <c:v>Value</c:v>
                </c:pt>
              </c:strCache>
            </c:strRef>
          </c:tx>
          <c:spPr>
            <a:solidFill>
              <a:srgbClr val="005CAF"/>
            </a:solidFill>
            <a:ln>
              <a:noFill/>
            </a:ln>
            <a:effectLst/>
          </c:spPr>
          <c:invertIfNegative val="0"/>
          <c:cat>
            <c:strRef>
              <c:f>'2.5'!$A$4:$A$12</c:f>
              <c:strCache>
                <c:ptCount val="9"/>
                <c:pt idx="0">
                  <c:v>India</c:v>
                </c:pt>
                <c:pt idx="1">
                  <c:v>Indonesia</c:v>
                </c:pt>
                <c:pt idx="2">
                  <c:v>Malaysia</c:v>
                </c:pt>
                <c:pt idx="3">
                  <c:v>Thailand</c:v>
                </c:pt>
                <c:pt idx="4">
                  <c:v>China</c:v>
                </c:pt>
                <c:pt idx="5">
                  <c:v>ROK</c:v>
                </c:pt>
                <c:pt idx="6">
                  <c:v>Singapore</c:v>
                </c:pt>
                <c:pt idx="7">
                  <c:v>Taiwan</c:v>
                </c:pt>
                <c:pt idx="8">
                  <c:v>Japan</c:v>
                </c:pt>
              </c:strCache>
            </c:strRef>
          </c:cat>
          <c:val>
            <c:numRef>
              <c:f>'2.5'!$B$4:$B$12</c:f>
              <c:numCache>
                <c:formatCode>0%</c:formatCode>
                <c:ptCount val="9"/>
                <c:pt idx="0">
                  <c:v>9.3842419294755033E-3</c:v>
                </c:pt>
                <c:pt idx="1">
                  <c:v>1.0780480083633814E-2</c:v>
                </c:pt>
                <c:pt idx="2">
                  <c:v>3.32016802112549E-2</c:v>
                </c:pt>
                <c:pt idx="3">
                  <c:v>4.6660584691348449E-2</c:v>
                </c:pt>
                <c:pt idx="4">
                  <c:v>8.3580468016189527E-2</c:v>
                </c:pt>
                <c:pt idx="5">
                  <c:v>0.27633914367094969</c:v>
                </c:pt>
                <c:pt idx="6">
                  <c:v>0.28880115665564049</c:v>
                </c:pt>
                <c:pt idx="7">
                  <c:v>0.39594071237064876</c:v>
                </c:pt>
                <c:pt idx="8">
                  <c:v>0.39954665833071229</c:v>
                </c:pt>
              </c:numCache>
            </c:numRef>
          </c:val>
          <c:extLst>
            <c:ext xmlns:c16="http://schemas.microsoft.com/office/drawing/2014/chart" uri="{C3380CC4-5D6E-409C-BE32-E72D297353CC}">
              <c16:uniqueId val="{00000000-02CF-49CF-A22C-3BDA74EA9410}"/>
            </c:ext>
          </c:extLst>
        </c:ser>
        <c:dLbls>
          <c:showLegendKey val="0"/>
          <c:showVal val="0"/>
          <c:showCatName val="0"/>
          <c:showSerName val="0"/>
          <c:showPercent val="0"/>
          <c:showBubbleSize val="0"/>
        </c:dLbls>
        <c:gapWidth val="219"/>
        <c:axId val="655102031"/>
        <c:axId val="1602518607"/>
      </c:barChart>
      <c:catAx>
        <c:axId val="655102031"/>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602518607"/>
        <c:crosses val="autoZero"/>
        <c:auto val="1"/>
        <c:lblAlgn val="ctr"/>
        <c:lblOffset val="100"/>
        <c:noMultiLvlLbl val="0"/>
      </c:catAx>
      <c:valAx>
        <c:axId val="1602518607"/>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55102031"/>
        <c:crosses val="autoZero"/>
        <c:crossBetween val="between"/>
        <c:majorUnit val="0.1"/>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'4.6'!$C$5:$C$6</c:f>
              <c:strCache>
                <c:ptCount val="2"/>
                <c:pt idx="0">
                  <c:v>Japan</c:v>
                </c:pt>
              </c:strCache>
            </c:strRef>
          </c:tx>
          <c:spPr>
            <a:solidFill>
              <a:srgbClr val="005CAF"/>
            </a:solid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'4.6'!$C$7:$C$35</c:f>
              <c:numCache>
                <c:formatCode>0.0</c:formatCode>
                <c:ptCount val="29"/>
                <c:pt idx="0">
                  <c:v>34.557500000000005</c:v>
                </c:pt>
                <c:pt idx="1">
                  <c:v>31.557500000000001</c:v>
                </c:pt>
                <c:pt idx="2">
                  <c:v>30.857500000000002</c:v>
                </c:pt>
                <c:pt idx="3">
                  <c:v>28.9025</c:v>
                </c:pt>
                <c:pt idx="4">
                  <c:v>24.772500000000001</c:v>
                </c:pt>
                <c:pt idx="5">
                  <c:v>24.772500000000001</c:v>
                </c:pt>
                <c:pt idx="6">
                  <c:v>24.772500000000001</c:v>
                </c:pt>
                <c:pt idx="7">
                  <c:v>24.772500000000001</c:v>
                </c:pt>
                <c:pt idx="8">
                  <c:v>22.372499999999999</c:v>
                </c:pt>
                <c:pt idx="9">
                  <c:v>22.072499999999998</c:v>
                </c:pt>
                <c:pt idx="10">
                  <c:v>22.072499999999998</c:v>
                </c:pt>
                <c:pt idx="11">
                  <c:v>16.402499999999996</c:v>
                </c:pt>
                <c:pt idx="12">
                  <c:v>14.502499999999998</c:v>
                </c:pt>
                <c:pt idx="13">
                  <c:v>14.502499999999998</c:v>
                </c:pt>
                <c:pt idx="14">
                  <c:v>12.302499999999998</c:v>
                </c:pt>
                <c:pt idx="15">
                  <c:v>4.2524999999999995</c:v>
                </c:pt>
                <c:pt idx="16">
                  <c:v>4.2524999999999995</c:v>
                </c:pt>
                <c:pt idx="17">
                  <c:v>4.2524999999999995</c:v>
                </c:pt>
                <c:pt idx="18">
                  <c:v>0</c:v>
                </c:pt>
                <c:pt idx="19">
                  <c:v>0</c:v>
                </c:pt>
                <c:pt idx="20">
                  <c:v>0</c:v>
                </c:pt>
                <c:pt idx="21">
                  <c:v>0</c:v>
                </c:pt>
                <c:pt idx="22">
                  <c:v>0</c:v>
                </c:pt>
                <c:pt idx="23">
                  <c:v>0</c:v>
                </c:pt>
                <c:pt idx="24">
                  <c:v>0</c:v>
                </c:pt>
                <c:pt idx="25">
                  <c:v>0</c:v>
                </c:pt>
                <c:pt idx="26">
                  <c:v>0</c:v>
                </c:pt>
                <c:pt idx="27">
                  <c:v>0</c:v>
                </c:pt>
                <c:pt idx="28">
                  <c:v>0</c:v>
                </c:pt>
              </c:numCache>
            </c:numRef>
          </c:val>
          <c:extLst>
            <c:ext xmlns:c16="http://schemas.microsoft.com/office/drawing/2014/chart" uri="{C3380CC4-5D6E-409C-BE32-E72D297353CC}">
              <c16:uniqueId val="{00000000-6F80-4201-889A-8F563165B88C}"/>
            </c:ext>
          </c:extLst>
        </c:ser>
        <c:ser>
          <c:idx val="1"/>
          <c:order val="1"/>
          <c:tx>
            <c:strRef>
              <c:f>'4.6'!$D$5:$D$6</c:f>
              <c:strCache>
                <c:ptCount val="2"/>
                <c:pt idx="0">
                  <c:v>Japan</c:v>
                </c:pt>
                <c:pt idx="1">
                  <c:v>Extension</c:v>
                </c:pt>
              </c:strCache>
            </c:strRef>
          </c:tx>
          <c:spPr>
            <a:pattFill prst="pct60">
              <a:fgClr>
                <a:srgbClr val="005CAF"/>
              </a:fgClr>
              <a:bgClr>
                <a:schemeClr val="bg1"/>
              </a:bgClr>
            </a:patt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'4.6'!$D$7:$D$35</c:f>
              <c:numCache>
                <c:formatCode>General</c:formatCode>
                <c:ptCount val="29"/>
                <c:pt idx="8" formatCode="0.0">
                  <c:v>0</c:v>
                </c:pt>
                <c:pt idx="9" formatCode="0.0">
                  <c:v>0</c:v>
                </c:pt>
                <c:pt idx="10" formatCode="0.0">
                  <c:v>0</c:v>
                </c:pt>
                <c:pt idx="11" formatCode="0.0">
                  <c:v>4.7699999999999996</c:v>
                </c:pt>
                <c:pt idx="12" formatCode="0.0">
                  <c:v>4.7699999999999996</c:v>
                </c:pt>
                <c:pt idx="13" formatCode="0.0">
                  <c:v>4.7699999999999996</c:v>
                </c:pt>
                <c:pt idx="14" formatCode="0.0">
                  <c:v>5.77</c:v>
                </c:pt>
                <c:pt idx="15" formatCode="0.0">
                  <c:v>5.77</c:v>
                </c:pt>
                <c:pt idx="16" formatCode="0.0">
                  <c:v>5.77</c:v>
                </c:pt>
                <c:pt idx="17" formatCode="0.0">
                  <c:v>5.77</c:v>
                </c:pt>
                <c:pt idx="18" formatCode="0.0">
                  <c:v>5.77</c:v>
                </c:pt>
                <c:pt idx="19" formatCode="0.0">
                  <c:v>5.77</c:v>
                </c:pt>
                <c:pt idx="20" formatCode="0.0">
                  <c:v>5.77</c:v>
                </c:pt>
                <c:pt idx="21" formatCode="0.0">
                  <c:v>5.77</c:v>
                </c:pt>
                <c:pt idx="22" formatCode="0.0">
                  <c:v>5.77</c:v>
                </c:pt>
                <c:pt idx="23" formatCode="0.0">
                  <c:v>5.77</c:v>
                </c:pt>
                <c:pt idx="24" formatCode="0.0">
                  <c:v>5.77</c:v>
                </c:pt>
                <c:pt idx="25" formatCode="0.0">
                  <c:v>5.77</c:v>
                </c:pt>
                <c:pt idx="26" formatCode="0.0">
                  <c:v>5.77</c:v>
                </c:pt>
                <c:pt idx="27" formatCode="0.0">
                  <c:v>5.77</c:v>
                </c:pt>
                <c:pt idx="28" formatCode="0.0">
                  <c:v>5.77</c:v>
                </c:pt>
              </c:numCache>
            </c:numRef>
          </c:val>
          <c:extLst>
            <c:ext xmlns:c16="http://schemas.microsoft.com/office/drawing/2014/chart" uri="{C3380CC4-5D6E-409C-BE32-E72D297353CC}">
              <c16:uniqueId val="{00000001-6F80-4201-889A-8F563165B88C}"/>
            </c:ext>
          </c:extLst>
        </c:ser>
        <c:ser>
          <c:idx val="2"/>
          <c:order val="2"/>
          <c:tx>
            <c:strRef>
              <c:f>'4.6'!$E$5:$E$6</c:f>
              <c:strCache>
                <c:ptCount val="2"/>
                <c:pt idx="0">
                  <c:v>China</c:v>
                </c:pt>
              </c:strCache>
            </c:strRef>
          </c:tx>
          <c:spPr>
            <a:solidFill>
              <a:srgbClr val="56B4DF"/>
            </a:solid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'4.6'!$E$7:$E$35</c:f>
              <c:numCache>
                <c:formatCode>0.0</c:formatCode>
                <c:ptCount val="29"/>
                <c:pt idx="0">
                  <c:v>16.75</c:v>
                </c:pt>
                <c:pt idx="1">
                  <c:v>16.75</c:v>
                </c:pt>
                <c:pt idx="2">
                  <c:v>16.75</c:v>
                </c:pt>
                <c:pt idx="3">
                  <c:v>16.75</c:v>
                </c:pt>
                <c:pt idx="4">
                  <c:v>16.75</c:v>
                </c:pt>
                <c:pt idx="5">
                  <c:v>16.75</c:v>
                </c:pt>
                <c:pt idx="6">
                  <c:v>16.75</c:v>
                </c:pt>
                <c:pt idx="7">
                  <c:v>16.75</c:v>
                </c:pt>
                <c:pt idx="8">
                  <c:v>16.75</c:v>
                </c:pt>
                <c:pt idx="9">
                  <c:v>16.75</c:v>
                </c:pt>
                <c:pt idx="10">
                  <c:v>13.45</c:v>
                </c:pt>
                <c:pt idx="11">
                  <c:v>13.45</c:v>
                </c:pt>
                <c:pt idx="12">
                  <c:v>13.45</c:v>
                </c:pt>
                <c:pt idx="13">
                  <c:v>9.85</c:v>
                </c:pt>
                <c:pt idx="14">
                  <c:v>9.85</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val>
          <c:extLst>
            <c:ext xmlns:c16="http://schemas.microsoft.com/office/drawing/2014/chart" uri="{C3380CC4-5D6E-409C-BE32-E72D297353CC}">
              <c16:uniqueId val="{00000002-6F80-4201-889A-8F563165B88C}"/>
            </c:ext>
          </c:extLst>
        </c:ser>
        <c:ser>
          <c:idx val="3"/>
          <c:order val="3"/>
          <c:tx>
            <c:strRef>
              <c:f>'4.6'!$F$5:$F$6</c:f>
              <c:strCache>
                <c:ptCount val="2"/>
                <c:pt idx="0">
                  <c:v>China</c:v>
                </c:pt>
                <c:pt idx="1">
                  <c:v>Extension</c:v>
                </c:pt>
              </c:strCache>
            </c:strRef>
          </c:tx>
          <c:spPr>
            <a:pattFill prst="pct60">
              <a:fgClr>
                <a:srgbClr val="56B4DF"/>
              </a:fgClr>
              <a:bgClr>
                <a:schemeClr val="bg1"/>
              </a:bgClr>
            </a:patt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'4.6'!$F$7:$F$35</c:f>
              <c:numCache>
                <c:formatCode>General</c:formatCode>
                <c:ptCount val="29"/>
                <c:pt idx="8" formatCode="0.0">
                  <c:v>0</c:v>
                </c:pt>
                <c:pt idx="9" formatCode="0.0">
                  <c:v>0</c:v>
                </c:pt>
                <c:pt idx="10" formatCode="0.0">
                  <c:v>3.3</c:v>
                </c:pt>
                <c:pt idx="11" formatCode="0.0">
                  <c:v>3.3</c:v>
                </c:pt>
                <c:pt idx="12" formatCode="0.0">
                  <c:v>3.3</c:v>
                </c:pt>
                <c:pt idx="13" formatCode="0.0">
                  <c:v>3.3</c:v>
                </c:pt>
                <c:pt idx="14" formatCode="0.0">
                  <c:v>3.3</c:v>
                </c:pt>
                <c:pt idx="15" formatCode="0.0">
                  <c:v>13.149999999999999</c:v>
                </c:pt>
                <c:pt idx="16" formatCode="0.0">
                  <c:v>13.149999999999999</c:v>
                </c:pt>
                <c:pt idx="17" formatCode="0.0">
                  <c:v>13.149999999999999</c:v>
                </c:pt>
                <c:pt idx="18" formatCode="0.0">
                  <c:v>13.149999999999999</c:v>
                </c:pt>
                <c:pt idx="19" formatCode="0.0">
                  <c:v>13.149999999999999</c:v>
                </c:pt>
                <c:pt idx="20" formatCode="0.0">
                  <c:v>13.149999999999999</c:v>
                </c:pt>
                <c:pt idx="21" formatCode="0.0">
                  <c:v>13.149999999999999</c:v>
                </c:pt>
                <c:pt idx="22" formatCode="0.0">
                  <c:v>13.149999999999999</c:v>
                </c:pt>
                <c:pt idx="23" formatCode="0.0">
                  <c:v>13.149999999999999</c:v>
                </c:pt>
                <c:pt idx="24" formatCode="0.0">
                  <c:v>13.149999999999999</c:v>
                </c:pt>
                <c:pt idx="25" formatCode="0.0">
                  <c:v>13.149999999999999</c:v>
                </c:pt>
                <c:pt idx="26" formatCode="0.0">
                  <c:v>13.149999999999999</c:v>
                </c:pt>
                <c:pt idx="27" formatCode="0.0">
                  <c:v>13.149999999999999</c:v>
                </c:pt>
                <c:pt idx="28" formatCode="0.0">
                  <c:v>13.149999999999999</c:v>
                </c:pt>
              </c:numCache>
            </c:numRef>
          </c:val>
          <c:extLst>
            <c:ext xmlns:c16="http://schemas.microsoft.com/office/drawing/2014/chart" uri="{C3380CC4-5D6E-409C-BE32-E72D297353CC}">
              <c16:uniqueId val="{00000003-6F80-4201-889A-8F563165B88C}"/>
            </c:ext>
          </c:extLst>
        </c:ser>
        <c:ser>
          <c:idx val="4"/>
          <c:order val="4"/>
          <c:tx>
            <c:strRef>
              <c:f>'4.6'!$G$5:$G$6</c:f>
              <c:strCache>
                <c:ptCount val="2"/>
                <c:pt idx="0">
                  <c:v>ASEAN</c:v>
                </c:pt>
              </c:strCache>
            </c:strRef>
          </c:tx>
          <c:spPr>
            <a:solidFill>
              <a:srgbClr val="9ED9DF"/>
            </a:solid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'4.6'!$G$7:$G$35</c:f>
              <c:numCache>
                <c:formatCode>0.0</c:formatCode>
                <c:ptCount val="29"/>
                <c:pt idx="0">
                  <c:v>10.23</c:v>
                </c:pt>
                <c:pt idx="1">
                  <c:v>10.23</c:v>
                </c:pt>
                <c:pt idx="2">
                  <c:v>10.23</c:v>
                </c:pt>
                <c:pt idx="3">
                  <c:v>10.23</c:v>
                </c:pt>
                <c:pt idx="4">
                  <c:v>7.8</c:v>
                </c:pt>
                <c:pt idx="5">
                  <c:v>7.8</c:v>
                </c:pt>
                <c:pt idx="6">
                  <c:v>7.8</c:v>
                </c:pt>
                <c:pt idx="7">
                  <c:v>7.8</c:v>
                </c:pt>
                <c:pt idx="8">
                  <c:v>7.8</c:v>
                </c:pt>
                <c:pt idx="9">
                  <c:v>7.8</c:v>
                </c:pt>
                <c:pt idx="10">
                  <c:v>7.8</c:v>
                </c:pt>
                <c:pt idx="11">
                  <c:v>7.8</c:v>
                </c:pt>
                <c:pt idx="12">
                  <c:v>7.8</c:v>
                </c:pt>
                <c:pt idx="13">
                  <c:v>4</c:v>
                </c:pt>
                <c:pt idx="14">
                  <c:v>0.5</c:v>
                </c:pt>
                <c:pt idx="15">
                  <c:v>0</c:v>
                </c:pt>
                <c:pt idx="16">
                  <c:v>0</c:v>
                </c:pt>
                <c:pt idx="17">
                  <c:v>0</c:v>
                </c:pt>
                <c:pt idx="18">
                  <c:v>0</c:v>
                </c:pt>
              </c:numCache>
            </c:numRef>
          </c:val>
          <c:extLst>
            <c:ext xmlns:c16="http://schemas.microsoft.com/office/drawing/2014/chart" uri="{C3380CC4-5D6E-409C-BE32-E72D297353CC}">
              <c16:uniqueId val="{00000004-6F80-4201-889A-8F563165B88C}"/>
            </c:ext>
          </c:extLst>
        </c:ser>
        <c:ser>
          <c:idx val="5"/>
          <c:order val="5"/>
          <c:tx>
            <c:strRef>
              <c:f>'4.6'!$H$5:$H$6</c:f>
              <c:strCache>
                <c:ptCount val="2"/>
                <c:pt idx="0">
                  <c:v>ASEAN</c:v>
                </c:pt>
                <c:pt idx="1">
                  <c:v>Extension</c:v>
                </c:pt>
              </c:strCache>
            </c:strRef>
          </c:tx>
          <c:spPr>
            <a:solidFill>
              <a:srgbClr val="0A7568"/>
            </a:solid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'4.6'!$H$7:$H$35</c:f>
              <c:numCache>
                <c:formatCode>General</c:formatCode>
                <c:ptCount val="29"/>
              </c:numCache>
            </c:numRef>
          </c:val>
          <c:extLst>
            <c:ext xmlns:c16="http://schemas.microsoft.com/office/drawing/2014/chart" uri="{C3380CC4-5D6E-409C-BE32-E72D297353CC}">
              <c16:uniqueId val="{00000005-6F80-4201-889A-8F563165B88C}"/>
            </c:ext>
          </c:extLst>
        </c:ser>
        <c:ser>
          <c:idx val="6"/>
          <c:order val="6"/>
          <c:tx>
            <c:strRef>
              <c:f>'4.6'!$I$5:$I$6</c:f>
              <c:strCache>
                <c:ptCount val="2"/>
                <c:pt idx="0">
                  <c:v>ROK</c:v>
                </c:pt>
              </c:strCache>
            </c:strRef>
          </c:tx>
          <c:spPr>
            <a:solidFill>
              <a:srgbClr val="BCBFC1"/>
            </a:solid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'4.6'!$I$7:$I$35</c:f>
              <c:numCache>
                <c:formatCode>0.0</c:formatCode>
                <c:ptCount val="29"/>
                <c:pt idx="0">
                  <c:v>4.3600000000000003</c:v>
                </c:pt>
                <c:pt idx="1">
                  <c:v>4.3600000000000003</c:v>
                </c:pt>
                <c:pt idx="2">
                  <c:v>4.3600000000000003</c:v>
                </c:pt>
                <c:pt idx="3">
                  <c:v>4.3600000000000003</c:v>
                </c:pt>
                <c:pt idx="4">
                  <c:v>4</c:v>
                </c:pt>
                <c:pt idx="5">
                  <c:v>4</c:v>
                </c:pt>
                <c:pt idx="6">
                  <c:v>4</c:v>
                </c:pt>
                <c:pt idx="7">
                  <c:v>4</c:v>
                </c:pt>
                <c:pt idx="8">
                  <c:v>4</c:v>
                </c:pt>
                <c:pt idx="9">
                  <c:v>4</c:v>
                </c:pt>
                <c:pt idx="10">
                  <c:v>4</c:v>
                </c:pt>
                <c:pt idx="11">
                  <c:v>4</c:v>
                </c:pt>
                <c:pt idx="12">
                  <c:v>4</c:v>
                </c:pt>
                <c:pt idx="13">
                  <c:v>4</c:v>
                </c:pt>
                <c:pt idx="14">
                  <c:v>4</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val>
          <c:extLst>
            <c:ext xmlns:c16="http://schemas.microsoft.com/office/drawing/2014/chart" uri="{C3380CC4-5D6E-409C-BE32-E72D297353CC}">
              <c16:uniqueId val="{00000006-6F80-4201-889A-8F563165B88C}"/>
            </c:ext>
          </c:extLst>
        </c:ser>
        <c:ser>
          <c:idx val="7"/>
          <c:order val="7"/>
          <c:tx>
            <c:strRef>
              <c:f>'4.6'!$J$5:$J$6</c:f>
              <c:strCache>
                <c:ptCount val="2"/>
                <c:pt idx="0">
                  <c:v>ROK</c:v>
                </c:pt>
                <c:pt idx="1">
                  <c:v>Extension</c:v>
                </c:pt>
              </c:strCache>
            </c:strRef>
          </c:tx>
          <c:spPr>
            <a:pattFill prst="pct60">
              <a:fgClr>
                <a:srgbClr val="BCBFC1"/>
              </a:fgClr>
              <a:bgClr>
                <a:schemeClr val="bg1"/>
              </a:bgClr>
            </a:patt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'4.6'!$J$7:$J$35</c:f>
              <c:numCache>
                <c:formatCode>0.0</c:formatCode>
                <c:ptCount val="29"/>
                <c:pt idx="0">
                  <c:v>0</c:v>
                </c:pt>
                <c:pt idx="1">
                  <c:v>0</c:v>
                </c:pt>
                <c:pt idx="2">
                  <c:v>0</c:v>
                </c:pt>
                <c:pt idx="3">
                  <c:v>0</c:v>
                </c:pt>
                <c:pt idx="4">
                  <c:v>0.36</c:v>
                </c:pt>
                <c:pt idx="5">
                  <c:v>0.36</c:v>
                </c:pt>
                <c:pt idx="6">
                  <c:v>0.36</c:v>
                </c:pt>
                <c:pt idx="7">
                  <c:v>0.36</c:v>
                </c:pt>
                <c:pt idx="8">
                  <c:v>0.36</c:v>
                </c:pt>
                <c:pt idx="9">
                  <c:v>0.36</c:v>
                </c:pt>
                <c:pt idx="10">
                  <c:v>0.36</c:v>
                </c:pt>
                <c:pt idx="11">
                  <c:v>0.36</c:v>
                </c:pt>
                <c:pt idx="12">
                  <c:v>0.36</c:v>
                </c:pt>
                <c:pt idx="13">
                  <c:v>0.36</c:v>
                </c:pt>
                <c:pt idx="14">
                  <c:v>0.36</c:v>
                </c:pt>
                <c:pt idx="15">
                  <c:v>3.86</c:v>
                </c:pt>
                <c:pt idx="16">
                  <c:v>3.86</c:v>
                </c:pt>
                <c:pt idx="17">
                  <c:v>3.86</c:v>
                </c:pt>
                <c:pt idx="18">
                  <c:v>3.86</c:v>
                </c:pt>
                <c:pt idx="19">
                  <c:v>3.86</c:v>
                </c:pt>
                <c:pt idx="20">
                  <c:v>3.86</c:v>
                </c:pt>
                <c:pt idx="21">
                  <c:v>3.86</c:v>
                </c:pt>
                <c:pt idx="22">
                  <c:v>3.86</c:v>
                </c:pt>
                <c:pt idx="23">
                  <c:v>3.86</c:v>
                </c:pt>
                <c:pt idx="24">
                  <c:v>3.86</c:v>
                </c:pt>
                <c:pt idx="25">
                  <c:v>3.86</c:v>
                </c:pt>
                <c:pt idx="26">
                  <c:v>3.86</c:v>
                </c:pt>
                <c:pt idx="27">
                  <c:v>3.86</c:v>
                </c:pt>
                <c:pt idx="28">
                  <c:v>3.86</c:v>
                </c:pt>
              </c:numCache>
            </c:numRef>
          </c:val>
          <c:extLst>
            <c:ext xmlns:c16="http://schemas.microsoft.com/office/drawing/2014/chart" uri="{C3380CC4-5D6E-409C-BE32-E72D297353CC}">
              <c16:uniqueId val="{00000007-6F80-4201-889A-8F563165B88C}"/>
            </c:ext>
          </c:extLst>
        </c:ser>
        <c:ser>
          <c:idx val="8"/>
          <c:order val="8"/>
          <c:tx>
            <c:strRef>
              <c:f>'4.6'!$K$5:$K$6</c:f>
              <c:strCache>
                <c:ptCount val="2"/>
                <c:pt idx="0">
                  <c:v>Taiwan</c:v>
                </c:pt>
              </c:strCache>
            </c:strRef>
          </c:tx>
          <c:spPr>
            <a:solidFill>
              <a:srgbClr val="51B7A4"/>
            </a:solid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'4.6'!$K$7:$K$35</c:f>
              <c:numCache>
                <c:formatCode>0.0</c:formatCode>
                <c:ptCount val="29"/>
                <c:pt idx="0">
                  <c:v>1.93</c:v>
                </c:pt>
                <c:pt idx="1">
                  <c:v>1.93</c:v>
                </c:pt>
                <c:pt idx="2">
                  <c:v>1.93</c:v>
                </c:pt>
                <c:pt idx="3">
                  <c:v>1.93</c:v>
                </c:pt>
                <c:pt idx="4">
                  <c:v>1.75</c:v>
                </c:pt>
                <c:pt idx="5">
                  <c:v>1.75</c:v>
                </c:pt>
                <c:pt idx="6">
                  <c:v>1.75</c:v>
                </c:pt>
                <c:pt idx="7">
                  <c:v>1.75</c:v>
                </c:pt>
                <c:pt idx="8">
                  <c:v>1.75</c:v>
                </c:pt>
                <c:pt idx="9">
                  <c:v>1.75</c:v>
                </c:pt>
                <c:pt idx="10">
                  <c:v>1.75</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val>
          <c:extLst>
            <c:ext xmlns:c16="http://schemas.microsoft.com/office/drawing/2014/chart" uri="{C3380CC4-5D6E-409C-BE32-E72D297353CC}">
              <c16:uniqueId val="{00000008-6F80-4201-889A-8F563165B88C}"/>
            </c:ext>
          </c:extLst>
        </c:ser>
        <c:ser>
          <c:idx val="9"/>
          <c:order val="9"/>
          <c:tx>
            <c:strRef>
              <c:f>'4.6'!$L$5:$L$6</c:f>
              <c:strCache>
                <c:ptCount val="2"/>
                <c:pt idx="0">
                  <c:v>Taiwan</c:v>
                </c:pt>
                <c:pt idx="1">
                  <c:v>Extension</c:v>
                </c:pt>
              </c:strCache>
            </c:strRef>
          </c:tx>
          <c:spPr>
            <a:pattFill prst="pct60">
              <a:fgClr>
                <a:srgbClr val="51B7A4"/>
              </a:fgClr>
              <a:bgClr>
                <a:schemeClr val="bg1"/>
              </a:bgClr>
            </a:patt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'4.6'!$L$7:$L$35</c:f>
              <c:numCache>
                <c:formatCode>General</c:formatCode>
                <c:ptCount val="29"/>
                <c:pt idx="8" formatCode="0.0">
                  <c:v>0</c:v>
                </c:pt>
                <c:pt idx="9" formatCode="0.0">
                  <c:v>0</c:v>
                </c:pt>
                <c:pt idx="10" formatCode="0.0">
                  <c:v>0</c:v>
                </c:pt>
                <c:pt idx="11" formatCode="0.0">
                  <c:v>1.75</c:v>
                </c:pt>
                <c:pt idx="12" formatCode="0.0">
                  <c:v>1.75</c:v>
                </c:pt>
                <c:pt idx="13" formatCode="0.0">
                  <c:v>1.75</c:v>
                </c:pt>
                <c:pt idx="14" formatCode="0.0">
                  <c:v>1.75</c:v>
                </c:pt>
                <c:pt idx="15" formatCode="0.0">
                  <c:v>1.75</c:v>
                </c:pt>
                <c:pt idx="16" formatCode="0.0">
                  <c:v>1.75</c:v>
                </c:pt>
                <c:pt idx="17" formatCode="0.0">
                  <c:v>1.75</c:v>
                </c:pt>
                <c:pt idx="18" formatCode="0.0">
                  <c:v>1.75</c:v>
                </c:pt>
                <c:pt idx="19" formatCode="0.0">
                  <c:v>1.75</c:v>
                </c:pt>
                <c:pt idx="20" formatCode="0.0">
                  <c:v>1.75</c:v>
                </c:pt>
                <c:pt idx="21" formatCode="0.0">
                  <c:v>1.75</c:v>
                </c:pt>
                <c:pt idx="22" formatCode="0.0">
                  <c:v>1.75</c:v>
                </c:pt>
                <c:pt idx="23" formatCode="0.0">
                  <c:v>1.75</c:v>
                </c:pt>
                <c:pt idx="24" formatCode="0.0">
                  <c:v>1.75</c:v>
                </c:pt>
                <c:pt idx="25" formatCode="0.0">
                  <c:v>1.75</c:v>
                </c:pt>
                <c:pt idx="26" formatCode="0.0">
                  <c:v>1.75</c:v>
                </c:pt>
                <c:pt idx="27" formatCode="0.0">
                  <c:v>1.75</c:v>
                </c:pt>
                <c:pt idx="28" formatCode="0.0">
                  <c:v>1.75</c:v>
                </c:pt>
              </c:numCache>
            </c:numRef>
          </c:val>
          <c:extLst>
            <c:ext xmlns:c16="http://schemas.microsoft.com/office/drawing/2014/chart" uri="{C3380CC4-5D6E-409C-BE32-E72D297353CC}">
              <c16:uniqueId val="{00000009-6F80-4201-889A-8F563165B88C}"/>
            </c:ext>
          </c:extLst>
        </c:ser>
        <c:ser>
          <c:idx val="10"/>
          <c:order val="10"/>
          <c:tx>
            <c:strRef>
              <c:f>'4.6'!$M$5:$M$6</c:f>
              <c:strCache>
                <c:ptCount val="2"/>
                <c:pt idx="0">
                  <c:v>India</c:v>
                </c:pt>
              </c:strCache>
            </c:strRef>
          </c:tx>
          <c:spPr>
            <a:solidFill>
              <a:srgbClr val="0A7568"/>
            </a:solid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'4.6'!$M$7:$M$35</c:f>
              <c:numCache>
                <c:formatCode>0.0</c:formatCode>
                <c:ptCount val="29"/>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val>
          <c:extLst>
            <c:ext xmlns:c16="http://schemas.microsoft.com/office/drawing/2014/chart" uri="{C3380CC4-5D6E-409C-BE32-E72D297353CC}">
              <c16:uniqueId val="{0000000A-6F80-4201-889A-8F563165B88C}"/>
            </c:ext>
          </c:extLst>
        </c:ser>
        <c:ser>
          <c:idx val="11"/>
          <c:order val="11"/>
          <c:tx>
            <c:strRef>
              <c:f>'4.6'!$N$5:$N$6</c:f>
              <c:strCache>
                <c:ptCount val="2"/>
                <c:pt idx="0">
                  <c:v>India</c:v>
                </c:pt>
                <c:pt idx="1">
                  <c:v>Extension</c:v>
                </c:pt>
              </c:strCache>
            </c:strRef>
          </c:tx>
          <c:spPr>
            <a:pattFill prst="pct60">
              <a:fgClr>
                <a:srgbClr val="0A7568"/>
              </a:fgClr>
              <a:bgClr>
                <a:schemeClr val="bg1"/>
              </a:bgClr>
            </a:pattFill>
            <a:ln>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'4.6'!$N$7:$N$35</c:f>
              <c:numCache>
                <c:formatCode>General</c:formatCode>
                <c:ptCount val="29"/>
                <c:pt idx="8" formatCode="0.0">
                  <c:v>0</c:v>
                </c:pt>
                <c:pt idx="9" formatCode="0.0">
                  <c:v>0</c:v>
                </c:pt>
                <c:pt idx="10" formatCode="0.0">
                  <c:v>0</c:v>
                </c:pt>
                <c:pt idx="11" formatCode="0.0">
                  <c:v>0</c:v>
                </c:pt>
                <c:pt idx="12" formatCode="0.0">
                  <c:v>0</c:v>
                </c:pt>
                <c:pt idx="13" formatCode="0.0">
                  <c:v>0</c:v>
                </c:pt>
                <c:pt idx="14" formatCode="0.0">
                  <c:v>1.425</c:v>
                </c:pt>
                <c:pt idx="15" formatCode="0.0">
                  <c:v>1.425</c:v>
                </c:pt>
                <c:pt idx="16" formatCode="0.0">
                  <c:v>1.425</c:v>
                </c:pt>
                <c:pt idx="17" formatCode="0.0">
                  <c:v>1.425</c:v>
                </c:pt>
                <c:pt idx="18" formatCode="0.0">
                  <c:v>1.425</c:v>
                </c:pt>
                <c:pt idx="19" formatCode="0.0">
                  <c:v>1.425</c:v>
                </c:pt>
                <c:pt idx="20" formatCode="0.0">
                  <c:v>1.425</c:v>
                </c:pt>
                <c:pt idx="21" formatCode="0.0">
                  <c:v>1.425</c:v>
                </c:pt>
                <c:pt idx="22" formatCode="0.0">
                  <c:v>1.425</c:v>
                </c:pt>
                <c:pt idx="23" formatCode="0.0">
                  <c:v>1.425</c:v>
                </c:pt>
                <c:pt idx="24" formatCode="0.0">
                  <c:v>1.425</c:v>
                </c:pt>
                <c:pt idx="25" formatCode="0.0">
                  <c:v>1.425</c:v>
                </c:pt>
                <c:pt idx="26" formatCode="0.0">
                  <c:v>1.425</c:v>
                </c:pt>
                <c:pt idx="27" formatCode="0.0">
                  <c:v>1.425</c:v>
                </c:pt>
                <c:pt idx="28" formatCode="0.0">
                  <c:v>1.425</c:v>
                </c:pt>
              </c:numCache>
            </c:numRef>
          </c:val>
          <c:extLst>
            <c:ext xmlns:c16="http://schemas.microsoft.com/office/drawing/2014/chart" uri="{C3380CC4-5D6E-409C-BE32-E72D297353CC}">
              <c16:uniqueId val="{0000000B-6F80-4201-889A-8F563165B88C}"/>
            </c:ext>
          </c:extLst>
        </c:ser>
        <c:ser>
          <c:idx val="12"/>
          <c:order val="12"/>
          <c:tx>
            <c:strRef>
              <c:f>'4.6'!$O$5:$O$6</c:f>
              <c:strCache>
                <c:ptCount val="2"/>
                <c:pt idx="0">
                  <c:v>Extensions</c:v>
                </c:pt>
              </c:strCache>
            </c:strRef>
          </c:tx>
          <c:spPr>
            <a:pattFill prst="pct60">
              <a:fgClr>
                <a:srgbClr val="BCBFC1"/>
              </a:fgClr>
              <a:bgClr>
                <a:schemeClr val="bg1"/>
              </a:bgClr>
            </a:pattFill>
            <a:ln w="25400">
              <a:noFill/>
            </a:ln>
            <a:effectLst/>
          </c:spPr>
          <c:cat>
            <c:numRef>
              <c:f>'4.6'!$B$7:$B$35</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'4.6'!$O$7:$O$35</c:f>
              <c:numCache>
                <c:formatCode>General</c:formatCode>
                <c:ptCount val="29"/>
              </c:numCache>
            </c:numRef>
          </c:val>
          <c:extLst>
            <c:ext xmlns:c16="http://schemas.microsoft.com/office/drawing/2014/chart" uri="{C3380CC4-5D6E-409C-BE32-E72D297353CC}">
              <c16:uniqueId val="{0000000C-6F80-4201-889A-8F563165B88C}"/>
            </c:ext>
          </c:extLst>
        </c:ser>
        <c:dLbls>
          <c:showLegendKey val="0"/>
          <c:showVal val="0"/>
          <c:showCatName val="0"/>
          <c:showSerName val="0"/>
          <c:showPercent val="0"/>
          <c:showBubbleSize val="0"/>
        </c:dLbls>
        <c:axId val="2004211999"/>
        <c:axId val="998937087"/>
      </c:areaChart>
      <c:catAx>
        <c:axId val="2004211999"/>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998937087"/>
        <c:crosses val="autoZero"/>
        <c:auto val="1"/>
        <c:lblAlgn val="ctr"/>
        <c:lblOffset val="100"/>
        <c:tickLblSkip val="4"/>
        <c:tickMarkSkip val="1"/>
        <c:noMultiLvlLbl val="0"/>
      </c:catAx>
      <c:valAx>
        <c:axId val="998937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Million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2004211999"/>
        <c:crosses val="autoZero"/>
        <c:crossBetween val="midCat"/>
      </c:valAx>
      <c:spPr>
        <a:noFill/>
        <a:ln w="25400">
          <a:noFill/>
        </a:ln>
        <a:effectLst/>
      </c:spPr>
    </c:plotArea>
    <c:legend>
      <c:legendPos val="b"/>
      <c:legendEntry>
        <c:idx val="1"/>
        <c:delete val="1"/>
      </c:legendEntry>
      <c:legendEntry>
        <c:idx val="3"/>
        <c:delete val="1"/>
      </c:legendEntry>
      <c:legendEntry>
        <c:idx val="5"/>
        <c:delete val="1"/>
      </c:legendEntry>
      <c:legendEntry>
        <c:idx val="7"/>
        <c:delete val="1"/>
      </c:legendEntry>
      <c:legendEntry>
        <c:idx val="9"/>
        <c:delete val="1"/>
      </c:legendEntry>
      <c:legendEntry>
        <c:idx val="11"/>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'4.7'!$C$5</c:f>
              <c:strCache>
                <c:ptCount val="1"/>
                <c:pt idx="0">
                  <c:v>Americas</c:v>
                </c:pt>
              </c:strCache>
            </c:strRef>
          </c:tx>
          <c:spPr>
            <a:solidFill>
              <a:srgbClr val="005CAF"/>
            </a:solidFill>
            <a:ln>
              <a:noFill/>
            </a:ln>
            <a:effectLst/>
          </c:spPr>
          <c:invertIfNegative val="0"/>
          <c:cat>
            <c:numRef>
              <c:f>'4.7'!$B$6:$B$10</c:f>
              <c:numCache>
                <c:formatCode>General</c:formatCode>
                <c:ptCount val="5"/>
                <c:pt idx="0">
                  <c:v>2018</c:v>
                </c:pt>
                <c:pt idx="1">
                  <c:v>2019</c:v>
                </c:pt>
                <c:pt idx="2">
                  <c:v>2020</c:v>
                </c:pt>
                <c:pt idx="3">
                  <c:v>2021</c:v>
                </c:pt>
                <c:pt idx="4">
                  <c:v>2022</c:v>
                </c:pt>
              </c:numCache>
            </c:numRef>
          </c:cat>
          <c:val>
            <c:numRef>
              <c:f>'4.7'!$C$6:$C$10</c:f>
              <c:numCache>
                <c:formatCode>0.0</c:formatCode>
                <c:ptCount val="5"/>
                <c:pt idx="0">
                  <c:v>16.45</c:v>
                </c:pt>
                <c:pt idx="1">
                  <c:v>8.5300000000000011</c:v>
                </c:pt>
                <c:pt idx="2">
                  <c:v>3.5</c:v>
                </c:pt>
                <c:pt idx="3">
                  <c:v>22.45</c:v>
                </c:pt>
                <c:pt idx="4">
                  <c:v>68.91</c:v>
                </c:pt>
              </c:numCache>
            </c:numRef>
          </c:val>
          <c:extLst>
            <c:ext xmlns:c16="http://schemas.microsoft.com/office/drawing/2014/chart" uri="{C3380CC4-5D6E-409C-BE32-E72D297353CC}">
              <c16:uniqueId val="{00000000-3A5D-4F2B-BA8A-FD2DAB0EA630}"/>
            </c:ext>
          </c:extLst>
        </c:ser>
        <c:ser>
          <c:idx val="1"/>
          <c:order val="1"/>
          <c:tx>
            <c:strRef>
              <c:f>'4.7'!$D$5</c:f>
              <c:strCache>
                <c:ptCount val="1"/>
                <c:pt idx="0">
                  <c:v>Africa &amp; Middle East</c:v>
                </c:pt>
              </c:strCache>
            </c:strRef>
          </c:tx>
          <c:spPr>
            <a:solidFill>
              <a:srgbClr val="56B4DF"/>
            </a:solidFill>
            <a:ln>
              <a:noFill/>
            </a:ln>
            <a:effectLst/>
          </c:spPr>
          <c:invertIfNegative val="0"/>
          <c:cat>
            <c:numRef>
              <c:f>'4.7'!$B$6:$B$10</c:f>
              <c:numCache>
                <c:formatCode>General</c:formatCode>
                <c:ptCount val="5"/>
                <c:pt idx="0">
                  <c:v>2018</c:v>
                </c:pt>
                <c:pt idx="1">
                  <c:v>2019</c:v>
                </c:pt>
                <c:pt idx="2">
                  <c:v>2020</c:v>
                </c:pt>
                <c:pt idx="3">
                  <c:v>2021</c:v>
                </c:pt>
                <c:pt idx="4">
                  <c:v>2022</c:v>
                </c:pt>
              </c:numCache>
            </c:numRef>
          </c:cat>
          <c:val>
            <c:numRef>
              <c:f>'4.7'!$D$6:$D$10</c:f>
              <c:numCache>
                <c:formatCode>0.0</c:formatCode>
                <c:ptCount val="5"/>
                <c:pt idx="0">
                  <c:v>8.58</c:v>
                </c:pt>
                <c:pt idx="1">
                  <c:v>25.4</c:v>
                </c:pt>
                <c:pt idx="2">
                  <c:v>17.150000000000002</c:v>
                </c:pt>
                <c:pt idx="3">
                  <c:v>17.100000000000001</c:v>
                </c:pt>
                <c:pt idx="4">
                  <c:v>6.8</c:v>
                </c:pt>
              </c:numCache>
            </c:numRef>
          </c:val>
          <c:extLst>
            <c:ext xmlns:c16="http://schemas.microsoft.com/office/drawing/2014/chart" uri="{C3380CC4-5D6E-409C-BE32-E72D297353CC}">
              <c16:uniqueId val="{00000001-3A5D-4F2B-BA8A-FD2DAB0EA630}"/>
            </c:ext>
          </c:extLst>
        </c:ser>
        <c:ser>
          <c:idx val="2"/>
          <c:order val="2"/>
          <c:tx>
            <c:strRef>
              <c:f>'4.7'!$E$5</c:f>
              <c:strCache>
                <c:ptCount val="1"/>
                <c:pt idx="0">
                  <c:v>Russia</c:v>
                </c:pt>
              </c:strCache>
            </c:strRef>
          </c:tx>
          <c:spPr>
            <a:solidFill>
              <a:srgbClr val="BCBFC1"/>
            </a:solidFill>
            <a:ln>
              <a:noFill/>
            </a:ln>
            <a:effectLst/>
          </c:spPr>
          <c:invertIfNegative val="0"/>
          <c:cat>
            <c:numRef>
              <c:f>'4.7'!$B$6:$B$10</c:f>
              <c:numCache>
                <c:formatCode>General</c:formatCode>
                <c:ptCount val="5"/>
                <c:pt idx="0">
                  <c:v>2018</c:v>
                </c:pt>
                <c:pt idx="1">
                  <c:v>2019</c:v>
                </c:pt>
                <c:pt idx="2">
                  <c:v>2020</c:v>
                </c:pt>
                <c:pt idx="3">
                  <c:v>2021</c:v>
                </c:pt>
                <c:pt idx="4">
                  <c:v>2022</c:v>
                </c:pt>
              </c:numCache>
            </c:numRef>
          </c:cat>
          <c:val>
            <c:numRef>
              <c:f>'4.7'!$E$6:$E$10</c:f>
              <c:numCache>
                <c:formatCode>General</c:formatCode>
                <c:ptCount val="5"/>
                <c:pt idx="3" formatCode="0.0">
                  <c:v>19.32</c:v>
                </c:pt>
                <c:pt idx="4" formatCode="0.0">
                  <c:v>1.6</c:v>
                </c:pt>
              </c:numCache>
            </c:numRef>
          </c:val>
          <c:extLst>
            <c:ext xmlns:c16="http://schemas.microsoft.com/office/drawing/2014/chart" uri="{C3380CC4-5D6E-409C-BE32-E72D297353CC}">
              <c16:uniqueId val="{00000002-3A5D-4F2B-BA8A-FD2DAB0EA630}"/>
            </c:ext>
          </c:extLst>
        </c:ser>
        <c:ser>
          <c:idx val="3"/>
          <c:order val="3"/>
          <c:tx>
            <c:strRef>
              <c:f>'4.7'!$F$5</c:f>
              <c:strCache>
                <c:ptCount val="1"/>
                <c:pt idx="0">
                  <c:v>ASEAN</c:v>
                </c:pt>
              </c:strCache>
            </c:strRef>
          </c:tx>
          <c:spPr>
            <a:solidFill>
              <a:srgbClr val="51B7A4"/>
            </a:solidFill>
            <a:ln>
              <a:noFill/>
            </a:ln>
            <a:effectLst/>
          </c:spPr>
          <c:invertIfNegative val="0"/>
          <c:cat>
            <c:numRef>
              <c:f>'4.7'!$B$6:$B$10</c:f>
              <c:numCache>
                <c:formatCode>General</c:formatCode>
                <c:ptCount val="5"/>
                <c:pt idx="0">
                  <c:v>2018</c:v>
                </c:pt>
                <c:pt idx="1">
                  <c:v>2019</c:v>
                </c:pt>
                <c:pt idx="2">
                  <c:v>2020</c:v>
                </c:pt>
                <c:pt idx="3">
                  <c:v>2021</c:v>
                </c:pt>
                <c:pt idx="4">
                  <c:v>2022</c:v>
                </c:pt>
              </c:numCache>
            </c:numRef>
          </c:cat>
          <c:val>
            <c:numRef>
              <c:f>'4.7'!$F$6:$F$10</c:f>
              <c:numCache>
                <c:formatCode>General</c:formatCode>
                <c:ptCount val="5"/>
                <c:pt idx="0" formatCode="0.0">
                  <c:v>0.72000000000000008</c:v>
                </c:pt>
                <c:pt idx="3" formatCode="0.0">
                  <c:v>0.5</c:v>
                </c:pt>
              </c:numCache>
            </c:numRef>
          </c:val>
          <c:extLst>
            <c:ext xmlns:c16="http://schemas.microsoft.com/office/drawing/2014/chart" uri="{C3380CC4-5D6E-409C-BE32-E72D297353CC}">
              <c16:uniqueId val="{00000003-3A5D-4F2B-BA8A-FD2DAB0EA630}"/>
            </c:ext>
          </c:extLst>
        </c:ser>
        <c:ser>
          <c:idx val="4"/>
          <c:order val="4"/>
          <c:tx>
            <c:strRef>
              <c:f>'4.7'!$G$5</c:f>
              <c:strCache>
                <c:ptCount val="1"/>
                <c:pt idx="0">
                  <c:v>Other</c:v>
                </c:pt>
              </c:strCache>
            </c:strRef>
          </c:tx>
          <c:spPr>
            <a:solidFill>
              <a:srgbClr val="9ED9DF"/>
            </a:solidFill>
            <a:ln>
              <a:noFill/>
            </a:ln>
            <a:effectLst/>
          </c:spPr>
          <c:invertIfNegative val="0"/>
          <c:cat>
            <c:numRef>
              <c:f>'4.7'!$B$6:$B$10</c:f>
              <c:numCache>
                <c:formatCode>General</c:formatCode>
                <c:ptCount val="5"/>
                <c:pt idx="0">
                  <c:v>2018</c:v>
                </c:pt>
                <c:pt idx="1">
                  <c:v>2019</c:v>
                </c:pt>
                <c:pt idx="2">
                  <c:v>2020</c:v>
                </c:pt>
                <c:pt idx="3">
                  <c:v>2021</c:v>
                </c:pt>
                <c:pt idx="4">
                  <c:v>2022</c:v>
                </c:pt>
              </c:numCache>
            </c:numRef>
          </c:cat>
          <c:val>
            <c:numRef>
              <c:f>'4.7'!$G$6:$G$10</c:f>
              <c:numCache>
                <c:formatCode>0.0</c:formatCode>
                <c:ptCount val="5"/>
                <c:pt idx="0">
                  <c:v>8.0300000000000011</c:v>
                </c:pt>
                <c:pt idx="1">
                  <c:v>5.0999999999999996</c:v>
                </c:pt>
                <c:pt idx="2">
                  <c:v>3.13</c:v>
                </c:pt>
                <c:pt idx="3">
                  <c:v>9.19</c:v>
                </c:pt>
                <c:pt idx="4">
                  <c:v>3.21</c:v>
                </c:pt>
              </c:numCache>
            </c:numRef>
          </c:val>
          <c:extLst>
            <c:ext xmlns:c16="http://schemas.microsoft.com/office/drawing/2014/chart" uri="{C3380CC4-5D6E-409C-BE32-E72D297353CC}">
              <c16:uniqueId val="{00000004-3A5D-4F2B-BA8A-FD2DAB0EA630}"/>
            </c:ext>
          </c:extLst>
        </c:ser>
        <c:ser>
          <c:idx val="5"/>
          <c:order val="5"/>
          <c:tx>
            <c:strRef>
              <c:f>'4.7'!$H$5</c:f>
              <c:strCache>
                <c:ptCount val="1"/>
                <c:pt idx="0">
                  <c:v>Australia</c:v>
                </c:pt>
              </c:strCache>
            </c:strRef>
          </c:tx>
          <c:spPr>
            <a:solidFill>
              <a:srgbClr val="F36A5A"/>
            </a:solidFill>
            <a:ln>
              <a:noFill/>
            </a:ln>
            <a:effectLst/>
          </c:spPr>
          <c:invertIfNegative val="0"/>
          <c:cat>
            <c:numRef>
              <c:f>'4.7'!$B$6:$B$10</c:f>
              <c:numCache>
                <c:formatCode>General</c:formatCode>
                <c:ptCount val="5"/>
                <c:pt idx="0">
                  <c:v>2018</c:v>
                </c:pt>
                <c:pt idx="1">
                  <c:v>2019</c:v>
                </c:pt>
                <c:pt idx="2">
                  <c:v>2020</c:v>
                </c:pt>
                <c:pt idx="3">
                  <c:v>2021</c:v>
                </c:pt>
                <c:pt idx="4">
                  <c:v>2022</c:v>
                </c:pt>
              </c:numCache>
            </c:numRef>
          </c:cat>
          <c:val>
            <c:numRef>
              <c:f>'4.7'!$H$6:$H$10</c:f>
              <c:numCache>
                <c:formatCode>General</c:formatCode>
                <c:ptCount val="5"/>
                <c:pt idx="2" formatCode="0.0">
                  <c:v>1.5</c:v>
                </c:pt>
                <c:pt idx="4" formatCode="0.0">
                  <c:v>0.75</c:v>
                </c:pt>
              </c:numCache>
            </c:numRef>
          </c:val>
          <c:extLst>
            <c:ext xmlns:c16="http://schemas.microsoft.com/office/drawing/2014/chart" uri="{C3380CC4-5D6E-409C-BE32-E72D297353CC}">
              <c16:uniqueId val="{00000005-3A5D-4F2B-BA8A-FD2DAB0EA630}"/>
            </c:ext>
          </c:extLst>
        </c:ser>
        <c:dLbls>
          <c:showLegendKey val="0"/>
          <c:showVal val="0"/>
          <c:showCatName val="0"/>
          <c:showSerName val="0"/>
          <c:showPercent val="0"/>
          <c:showBubbleSize val="0"/>
        </c:dLbls>
        <c:gapWidth val="150"/>
        <c:overlap val="100"/>
        <c:axId val="693783327"/>
        <c:axId val="706898303"/>
      </c:barChart>
      <c:catAx>
        <c:axId val="693783327"/>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706898303"/>
        <c:crosses val="autoZero"/>
        <c:auto val="1"/>
        <c:lblAlgn val="ctr"/>
        <c:lblOffset val="100"/>
        <c:noMultiLvlLbl val="0"/>
      </c:catAx>
      <c:valAx>
        <c:axId val="706898303"/>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Million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93783327"/>
        <c:crosses val="autoZero"/>
        <c:crossBetween val="between"/>
        <c:majorUnit val="2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'4.8'!$C$5</c:f>
              <c:strCache>
                <c:ptCount val="1"/>
                <c:pt idx="0">
                  <c:v>Consumption</c:v>
                </c:pt>
              </c:strCache>
            </c:strRef>
          </c:tx>
          <c:spPr>
            <a:solidFill>
              <a:srgbClr val="005CAF"/>
            </a:solidFill>
            <a:ln>
              <a:noFill/>
            </a:ln>
            <a:effectLst/>
          </c:spPr>
          <c:invertIfNegative val="0"/>
          <c:cat>
            <c:numRef>
              <c:f>'4.8'!$B$6:$B$31</c:f>
              <c:numCache>
                <c:formatCode>General</c:formatCode>
                <c:ptCount val="2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numCache>
            </c:numRef>
          </c:cat>
          <c:val>
            <c:numRef>
              <c:f>'4.8'!$C$6:$C$31</c:f>
              <c:numCache>
                <c:formatCode>0.0</c:formatCode>
                <c:ptCount val="26"/>
                <c:pt idx="0">
                  <c:v>139.09999027027027</c:v>
                </c:pt>
                <c:pt idx="1">
                  <c:v>138.55300000000003</c:v>
                </c:pt>
                <c:pt idx="2">
                  <c:v>144.99100000000001</c:v>
                </c:pt>
                <c:pt idx="3">
                  <c:v>161.786</c:v>
                </c:pt>
                <c:pt idx="4">
                  <c:v>168.21799999999999</c:v>
                </c:pt>
                <c:pt idx="5">
                  <c:v>165.10600000000005</c:v>
                </c:pt>
                <c:pt idx="6">
                  <c:v>165.20399999999995</c:v>
                </c:pt>
                <c:pt idx="7">
                  <c:v>162.0856</c:v>
                </c:pt>
                <c:pt idx="8">
                  <c:v>158.96719999999999</c:v>
                </c:pt>
                <c:pt idx="9">
                  <c:v>155.84880000000001</c:v>
                </c:pt>
                <c:pt idx="10">
                  <c:v>152.73040000000003</c:v>
                </c:pt>
                <c:pt idx="11">
                  <c:v>155.0127</c:v>
                </c:pt>
                <c:pt idx="12">
                  <c:v>163.96991852087325</c:v>
                </c:pt>
                <c:pt idx="13">
                  <c:v>164.68006205135484</c:v>
                </c:pt>
                <c:pt idx="14">
                  <c:v>172.50382298840779</c:v>
                </c:pt>
                <c:pt idx="15">
                  <c:v>177.01223022733618</c:v>
                </c:pt>
                <c:pt idx="16">
                  <c:v>185.66546898867472</c:v>
                </c:pt>
                <c:pt idx="17">
                  <c:v>194.05280687531959</c:v>
                </c:pt>
                <c:pt idx="18">
                  <c:v>202.03253934561207</c:v>
                </c:pt>
                <c:pt idx="19">
                  <c:v>209.46604814248278</c:v>
                </c:pt>
                <c:pt idx="20">
                  <c:v>216.90591780259393</c:v>
                </c:pt>
                <c:pt idx="21">
                  <c:v>220.96151014666233</c:v>
                </c:pt>
                <c:pt idx="22">
                  <c:v>225.08433912595382</c:v>
                </c:pt>
                <c:pt idx="23">
                  <c:v>229.23418018962343</c:v>
                </c:pt>
                <c:pt idx="24">
                  <c:v>233.459201115496</c:v>
                </c:pt>
                <c:pt idx="25">
                  <c:v>237.70187753828287</c:v>
                </c:pt>
              </c:numCache>
            </c:numRef>
          </c:val>
          <c:extLst>
            <c:ext xmlns:c16="http://schemas.microsoft.com/office/drawing/2014/chart" uri="{C3380CC4-5D6E-409C-BE32-E72D297353CC}">
              <c16:uniqueId val="{00000000-A272-49BC-B654-3273379A9CD7}"/>
            </c:ext>
          </c:extLst>
        </c:ser>
        <c:ser>
          <c:idx val="1"/>
          <c:order val="1"/>
          <c:tx>
            <c:strRef>
              <c:f>'4.8'!$D$5</c:f>
              <c:strCache>
                <c:ptCount val="1"/>
                <c:pt idx="0">
                  <c:v>LNG exports</c:v>
                </c:pt>
              </c:strCache>
            </c:strRef>
          </c:tx>
          <c:spPr>
            <a:solidFill>
              <a:srgbClr val="56B4DF"/>
            </a:solidFill>
            <a:ln>
              <a:noFill/>
            </a:ln>
            <a:effectLst/>
          </c:spPr>
          <c:invertIfNegative val="0"/>
          <c:cat>
            <c:numRef>
              <c:f>'4.8'!$B$6:$B$31</c:f>
              <c:numCache>
                <c:formatCode>General</c:formatCode>
                <c:ptCount val="2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numCache>
            </c:numRef>
          </c:cat>
          <c:val>
            <c:numRef>
              <c:f>'4.8'!$D$6:$D$31</c:f>
              <c:numCache>
                <c:formatCode>0.0</c:formatCode>
                <c:ptCount val="26"/>
                <c:pt idx="0">
                  <c:v>76.489000000000004</c:v>
                </c:pt>
                <c:pt idx="1">
                  <c:v>71.268999999999977</c:v>
                </c:pt>
                <c:pt idx="2">
                  <c:v>64.956999999999994</c:v>
                </c:pt>
                <c:pt idx="3">
                  <c:v>58.237999999999992</c:v>
                </c:pt>
                <c:pt idx="4">
                  <c:v>55.518000000000008</c:v>
                </c:pt>
                <c:pt idx="5">
                  <c:v>53.209999999999994</c:v>
                </c:pt>
                <c:pt idx="6">
                  <c:v>53.573999999999998</c:v>
                </c:pt>
                <c:pt idx="7">
                  <c:v>50.398399999999995</c:v>
                </c:pt>
                <c:pt idx="8">
                  <c:v>47.222799999999999</c:v>
                </c:pt>
                <c:pt idx="9">
                  <c:v>44.047200000000004</c:v>
                </c:pt>
                <c:pt idx="10">
                  <c:v>40.871600000000001</c:v>
                </c:pt>
                <c:pt idx="11">
                  <c:v>39.6023</c:v>
                </c:pt>
                <c:pt idx="12">
                  <c:v>38.915833095527503</c:v>
                </c:pt>
                <c:pt idx="13">
                  <c:v>28.64959126374022</c:v>
                </c:pt>
                <c:pt idx="14">
                  <c:v>26.12765712558614</c:v>
                </c:pt>
                <c:pt idx="15">
                  <c:v>16.123685214177513</c:v>
                </c:pt>
                <c:pt idx="16">
                  <c:v>0.56768118898912689</c:v>
                </c:pt>
              </c:numCache>
            </c:numRef>
          </c:val>
          <c:extLst>
            <c:ext xmlns:c16="http://schemas.microsoft.com/office/drawing/2014/chart" uri="{C3380CC4-5D6E-409C-BE32-E72D297353CC}">
              <c16:uniqueId val="{00000001-A272-49BC-B654-3273379A9CD7}"/>
            </c:ext>
          </c:extLst>
        </c:ser>
        <c:ser>
          <c:idx val="2"/>
          <c:order val="2"/>
          <c:tx>
            <c:strRef>
              <c:f>'4.8'!$E$5</c:f>
              <c:strCache>
                <c:ptCount val="1"/>
                <c:pt idx="0">
                  <c:v>LNG imports</c:v>
                </c:pt>
              </c:strCache>
            </c:strRef>
          </c:tx>
          <c:spPr>
            <a:pattFill prst="pct60">
              <a:fgClr>
                <a:srgbClr val="56B4DF"/>
              </a:fgClr>
              <a:bgClr>
                <a:schemeClr val="bg1"/>
              </a:bgClr>
            </a:pattFill>
            <a:ln>
              <a:noFill/>
            </a:ln>
            <a:effectLst/>
          </c:spPr>
          <c:invertIfNegative val="0"/>
          <c:cat>
            <c:numRef>
              <c:f>'4.8'!$B$6:$B$31</c:f>
              <c:numCache>
                <c:formatCode>General</c:formatCode>
                <c:ptCount val="2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numCache>
            </c:numRef>
          </c:cat>
          <c:val>
            <c:numRef>
              <c:f>'4.8'!$E$6:$E$31</c:f>
              <c:numCache>
                <c:formatCode>General</c:formatCode>
                <c:ptCount val="26"/>
                <c:pt idx="17" formatCode="0.0">
                  <c:v>22.351102662836425</c:v>
                </c:pt>
                <c:pt idx="18" formatCode="0.0">
                  <c:v>31.543439306891926</c:v>
                </c:pt>
                <c:pt idx="19" formatCode="0.0">
                  <c:v>41.315949080669881</c:v>
                </c:pt>
                <c:pt idx="20" formatCode="0.0">
                  <c:v>46.84877019583606</c:v>
                </c:pt>
                <c:pt idx="21" formatCode="0.0">
                  <c:v>63.524515328067821</c:v>
                </c:pt>
                <c:pt idx="22" formatCode="0.0">
                  <c:v>73.081329687505416</c:v>
                </c:pt>
                <c:pt idx="23" formatCode="0.0">
                  <c:v>84.642270945921837</c:v>
                </c:pt>
                <c:pt idx="24" formatCode="0.0">
                  <c:v>93.795028752341381</c:v>
                </c:pt>
                <c:pt idx="25" formatCode="0.0">
                  <c:v>97.524517843321902</c:v>
                </c:pt>
              </c:numCache>
            </c:numRef>
          </c:val>
          <c:extLst>
            <c:ext xmlns:c16="http://schemas.microsoft.com/office/drawing/2014/chart" uri="{C3380CC4-5D6E-409C-BE32-E72D297353CC}">
              <c16:uniqueId val="{00000002-A272-49BC-B654-3273379A9CD7}"/>
            </c:ext>
          </c:extLst>
        </c:ser>
        <c:dLbls>
          <c:showLegendKey val="0"/>
          <c:showVal val="0"/>
          <c:showCatName val="0"/>
          <c:showSerName val="0"/>
          <c:showPercent val="0"/>
          <c:showBubbleSize val="0"/>
        </c:dLbls>
        <c:gapWidth val="150"/>
        <c:overlap val="100"/>
        <c:axId val="693883551"/>
        <c:axId val="1186148767"/>
      </c:barChart>
      <c:catAx>
        <c:axId val="693883551"/>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86148767"/>
        <c:crosses val="autoZero"/>
        <c:auto val="1"/>
        <c:lblAlgn val="ctr"/>
        <c:lblOffset val="100"/>
        <c:tickLblSkip val="5"/>
        <c:noMultiLvlLbl val="0"/>
      </c:catAx>
      <c:valAx>
        <c:axId val="1186148767"/>
        <c:scaling>
          <c:orientation val="minMax"/>
          <c:max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a:t>
                </a:r>
                <a:r>
                  <a:rPr lang="en-AU" baseline="0"/>
                  <a:t> metres</a:t>
                </a:r>
                <a:endParaRPr lang="en-AU"/>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93883551"/>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'4.9'!$B$6</c:f>
              <c:strCache>
                <c:ptCount val="1"/>
                <c:pt idx="0">
                  <c:v>Unabated natural gas</c:v>
                </c:pt>
              </c:strCache>
            </c:strRef>
          </c:tx>
          <c:spPr>
            <a:solidFill>
              <a:srgbClr val="005CAF"/>
            </a:solidFill>
            <a:ln>
              <a:noFill/>
            </a:ln>
            <a:effectLst/>
          </c:spPr>
          <c:invertIfNegative val="0"/>
          <c:cat>
            <c:strRef>
              <c:f>'4.9'!$C$5:$E$5</c:f>
              <c:strCache>
                <c:ptCount val="3"/>
                <c:pt idx="0">
                  <c:v>STEPS</c:v>
                </c:pt>
                <c:pt idx="1">
                  <c:v>APS</c:v>
                </c:pt>
                <c:pt idx="2">
                  <c:v>NZE</c:v>
                </c:pt>
              </c:strCache>
            </c:strRef>
          </c:cat>
          <c:val>
            <c:numRef>
              <c:f>'4.9'!$C$6:$E$6</c:f>
              <c:numCache>
                <c:formatCode>0</c:formatCode>
                <c:ptCount val="3"/>
                <c:pt idx="0">
                  <c:v>4094</c:v>
                </c:pt>
                <c:pt idx="1">
                  <c:v>2063</c:v>
                </c:pt>
                <c:pt idx="2">
                  <c:v>407</c:v>
                </c:pt>
              </c:numCache>
            </c:numRef>
          </c:val>
          <c:extLst>
            <c:ext xmlns:c16="http://schemas.microsoft.com/office/drawing/2014/chart" uri="{C3380CC4-5D6E-409C-BE32-E72D297353CC}">
              <c16:uniqueId val="{00000000-D318-4850-9A65-DD1E8ED93DA6}"/>
            </c:ext>
          </c:extLst>
        </c:ser>
        <c:ser>
          <c:idx val="1"/>
          <c:order val="1"/>
          <c:tx>
            <c:strRef>
              <c:f>'4.9'!$B$7</c:f>
              <c:strCache>
                <c:ptCount val="1"/>
                <c:pt idx="0">
                  <c:v>CCUS-abated natural gas</c:v>
                </c:pt>
              </c:strCache>
            </c:strRef>
          </c:tx>
          <c:spPr>
            <a:solidFill>
              <a:srgbClr val="56B4DF"/>
            </a:solidFill>
            <a:ln>
              <a:noFill/>
            </a:ln>
            <a:effectLst/>
          </c:spPr>
          <c:invertIfNegative val="0"/>
          <c:cat>
            <c:strRef>
              <c:f>'4.9'!$C$5:$E$5</c:f>
              <c:strCache>
                <c:ptCount val="3"/>
                <c:pt idx="0">
                  <c:v>STEPS</c:v>
                </c:pt>
                <c:pt idx="1">
                  <c:v>APS</c:v>
                </c:pt>
                <c:pt idx="2">
                  <c:v>NZE</c:v>
                </c:pt>
              </c:strCache>
            </c:strRef>
          </c:cat>
          <c:val>
            <c:numRef>
              <c:f>'4.9'!$C$7:$E$7</c:f>
              <c:numCache>
                <c:formatCode>0</c:formatCode>
                <c:ptCount val="3"/>
                <c:pt idx="0">
                  <c:v>79</c:v>
                </c:pt>
                <c:pt idx="1">
                  <c:v>359</c:v>
                </c:pt>
                <c:pt idx="2">
                  <c:v>512</c:v>
                </c:pt>
              </c:numCache>
            </c:numRef>
          </c:val>
          <c:extLst>
            <c:ext xmlns:c16="http://schemas.microsoft.com/office/drawing/2014/chart" uri="{C3380CC4-5D6E-409C-BE32-E72D297353CC}">
              <c16:uniqueId val="{00000001-D318-4850-9A65-DD1E8ED93DA6}"/>
            </c:ext>
          </c:extLst>
        </c:ser>
        <c:ser>
          <c:idx val="2"/>
          <c:order val="2"/>
          <c:tx>
            <c:strRef>
              <c:f>'4.9'!$B$8</c:f>
              <c:strCache>
                <c:ptCount val="1"/>
                <c:pt idx="0">
                  <c:v>Low-emission hydrogen</c:v>
                </c:pt>
              </c:strCache>
            </c:strRef>
          </c:tx>
          <c:spPr>
            <a:solidFill>
              <a:srgbClr val="9ED9DF"/>
            </a:solidFill>
            <a:ln>
              <a:noFill/>
            </a:ln>
            <a:effectLst/>
          </c:spPr>
          <c:invertIfNegative val="0"/>
          <c:cat>
            <c:strRef>
              <c:f>'4.9'!$C$5:$E$5</c:f>
              <c:strCache>
                <c:ptCount val="3"/>
                <c:pt idx="0">
                  <c:v>STEPS</c:v>
                </c:pt>
                <c:pt idx="1">
                  <c:v>APS</c:v>
                </c:pt>
                <c:pt idx="2">
                  <c:v>NZE</c:v>
                </c:pt>
              </c:strCache>
            </c:strRef>
          </c:cat>
          <c:val>
            <c:numRef>
              <c:f>'4.9'!$C$8:$E$8</c:f>
              <c:numCache>
                <c:formatCode>0</c:formatCode>
                <c:ptCount val="3"/>
                <c:pt idx="0">
                  <c:v>99</c:v>
                </c:pt>
                <c:pt idx="1">
                  <c:v>809</c:v>
                </c:pt>
                <c:pt idx="2">
                  <c:v>1385</c:v>
                </c:pt>
              </c:numCache>
            </c:numRef>
          </c:val>
          <c:extLst>
            <c:ext xmlns:c16="http://schemas.microsoft.com/office/drawing/2014/chart" uri="{C3380CC4-5D6E-409C-BE32-E72D297353CC}">
              <c16:uniqueId val="{00000002-D318-4850-9A65-DD1E8ED93DA6}"/>
            </c:ext>
          </c:extLst>
        </c:ser>
        <c:ser>
          <c:idx val="3"/>
          <c:order val="3"/>
          <c:tx>
            <c:strRef>
              <c:f>'4.9'!$B$9</c:f>
              <c:strCache>
                <c:ptCount val="1"/>
                <c:pt idx="0">
                  <c:v>Biogas </c:v>
                </c:pt>
              </c:strCache>
            </c:strRef>
          </c:tx>
          <c:spPr>
            <a:solidFill>
              <a:srgbClr val="BCBFC1"/>
            </a:solidFill>
            <a:ln>
              <a:noFill/>
            </a:ln>
            <a:effectLst/>
          </c:spPr>
          <c:invertIfNegative val="0"/>
          <c:cat>
            <c:strRef>
              <c:f>'4.9'!$C$5:$E$5</c:f>
              <c:strCache>
                <c:ptCount val="3"/>
                <c:pt idx="0">
                  <c:v>STEPS</c:v>
                </c:pt>
                <c:pt idx="1">
                  <c:v>APS</c:v>
                </c:pt>
                <c:pt idx="2">
                  <c:v>NZE</c:v>
                </c:pt>
              </c:strCache>
            </c:strRef>
          </c:cat>
          <c:val>
            <c:numRef>
              <c:f>'4.9'!$C$9:$E$9</c:f>
              <c:numCache>
                <c:formatCode>0</c:formatCode>
                <c:ptCount val="3"/>
                <c:pt idx="0">
                  <c:v>89</c:v>
                </c:pt>
                <c:pt idx="1">
                  <c:v>117</c:v>
                </c:pt>
                <c:pt idx="2">
                  <c:v>129</c:v>
                </c:pt>
              </c:numCache>
            </c:numRef>
          </c:val>
          <c:extLst>
            <c:ext xmlns:c16="http://schemas.microsoft.com/office/drawing/2014/chart" uri="{C3380CC4-5D6E-409C-BE32-E72D297353CC}">
              <c16:uniqueId val="{00000003-D318-4850-9A65-DD1E8ED93DA6}"/>
            </c:ext>
          </c:extLst>
        </c:ser>
        <c:ser>
          <c:idx val="4"/>
          <c:order val="4"/>
          <c:tx>
            <c:strRef>
              <c:f>'4.9'!$B$10</c:f>
              <c:strCache>
                <c:ptCount val="1"/>
                <c:pt idx="0">
                  <c:v>Biomethane</c:v>
                </c:pt>
              </c:strCache>
            </c:strRef>
          </c:tx>
          <c:spPr>
            <a:solidFill>
              <a:srgbClr val="51B7A4"/>
            </a:solidFill>
            <a:ln>
              <a:noFill/>
            </a:ln>
            <a:effectLst/>
          </c:spPr>
          <c:invertIfNegative val="0"/>
          <c:cat>
            <c:strRef>
              <c:f>'4.9'!$C$5:$E$5</c:f>
              <c:strCache>
                <c:ptCount val="3"/>
                <c:pt idx="0">
                  <c:v>STEPS</c:v>
                </c:pt>
                <c:pt idx="1">
                  <c:v>APS</c:v>
                </c:pt>
                <c:pt idx="2">
                  <c:v>NZE</c:v>
                </c:pt>
              </c:strCache>
            </c:strRef>
          </c:cat>
          <c:val>
            <c:numRef>
              <c:f>'4.9'!$C$10:$E$10</c:f>
              <c:numCache>
                <c:formatCode>0</c:formatCode>
                <c:ptCount val="3"/>
                <c:pt idx="0">
                  <c:v>136</c:v>
                </c:pt>
                <c:pt idx="1">
                  <c:v>235</c:v>
                </c:pt>
                <c:pt idx="2">
                  <c:v>283</c:v>
                </c:pt>
              </c:numCache>
            </c:numRef>
          </c:val>
          <c:extLst>
            <c:ext xmlns:c16="http://schemas.microsoft.com/office/drawing/2014/chart" uri="{C3380CC4-5D6E-409C-BE32-E72D297353CC}">
              <c16:uniqueId val="{00000004-D318-4850-9A65-DD1E8ED93DA6}"/>
            </c:ext>
          </c:extLst>
        </c:ser>
        <c:dLbls>
          <c:showLegendKey val="0"/>
          <c:showVal val="0"/>
          <c:showCatName val="0"/>
          <c:showSerName val="0"/>
          <c:showPercent val="0"/>
          <c:showBubbleSize val="0"/>
        </c:dLbls>
        <c:gapWidth val="150"/>
        <c:overlap val="100"/>
        <c:axId val="693783327"/>
        <c:axId val="706898303"/>
      </c:barChart>
      <c:catAx>
        <c:axId val="693783327"/>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706898303"/>
        <c:crosses val="autoZero"/>
        <c:auto val="1"/>
        <c:lblAlgn val="ctr"/>
        <c:lblOffset val="100"/>
        <c:noMultiLvlLbl val="0"/>
      </c:catAx>
      <c:valAx>
        <c:axId val="706898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 metres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93783327"/>
        <c:crosses val="autoZero"/>
        <c:crossBetween val="between"/>
        <c:majorUnit val="50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'4.10'!$C$5</c:f>
              <c:strCache>
                <c:ptCount val="1"/>
                <c:pt idx="0">
                  <c:v>STEPS</c:v>
                </c:pt>
              </c:strCache>
            </c:strRef>
          </c:tx>
          <c:spPr>
            <a:ln w="28575" cap="rnd">
              <a:solidFill>
                <a:srgbClr val="005CAF"/>
              </a:solidFill>
              <a:prstDash val="solid"/>
              <a:round/>
            </a:ln>
            <a:effectLst/>
          </c:spPr>
          <c:marker>
            <c:symbol val="none"/>
          </c:marker>
          <c:dPt>
            <c:idx val="8"/>
            <c:marker>
              <c:symbol val="none"/>
            </c:marker>
            <c:bubble3D val="0"/>
            <c:extLst>
              <c:ext xmlns:c16="http://schemas.microsoft.com/office/drawing/2014/chart" uri="{C3380CC4-5D6E-409C-BE32-E72D297353CC}">
                <c16:uniqueId val="{00000000-B061-43CC-B86D-8E7178B21894}"/>
              </c:ext>
            </c:extLst>
          </c:dPt>
          <c:dPt>
            <c:idx val="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B061-43CC-B86D-8E7178B21894}"/>
              </c:ext>
            </c:extLst>
          </c:dPt>
          <c:dPt>
            <c:idx val="28"/>
            <c:marker>
              <c:symbol val="none"/>
            </c:marker>
            <c:bubble3D val="0"/>
            <c:extLst>
              <c:ext xmlns:c16="http://schemas.microsoft.com/office/drawing/2014/chart" uri="{C3380CC4-5D6E-409C-BE32-E72D297353CC}">
                <c16:uniqueId val="{00000002-B061-43CC-B86D-8E7178B21894}"/>
              </c:ext>
            </c:extLst>
          </c:dPt>
          <c:dPt>
            <c:idx val="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3-B061-43CC-B86D-8E7178B21894}"/>
              </c:ext>
            </c:extLst>
          </c:dPt>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61-43CC-B86D-8E7178B21894}"/>
                </c:ext>
              </c:extLst>
            </c:dLbl>
            <c:dLbl>
              <c:idx val="3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61-43CC-B86D-8E7178B218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'4.10'!$B$6:$B$36</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'4.10'!$C$6:$C$36</c:f>
              <c:numCache>
                <c:formatCode>General</c:formatCode>
                <c:ptCount val="31"/>
                <c:pt idx="2" formatCode="#,##0">
                  <c:v>4159.1369934082031</c:v>
                </c:pt>
                <c:pt idx="3" formatCode="#,##0">
                  <c:v>4207.4085388183594</c:v>
                </c:pt>
                <c:pt idx="4" formatCode="#,##0">
                  <c:v>4243.9285583496094</c:v>
                </c:pt>
                <c:pt idx="5" formatCode="#,##0">
                  <c:v>4270.2760925292969</c:v>
                </c:pt>
                <c:pt idx="6" formatCode="#,##0">
                  <c:v>4287.9291687011719</c:v>
                </c:pt>
                <c:pt idx="7" formatCode="#,##0">
                  <c:v>4298.2645568847656</c:v>
                </c:pt>
                <c:pt idx="8" formatCode="#,##0">
                  <c:v>4302.5581970214844</c:v>
                </c:pt>
                <c:pt idx="9" formatCode="#,##0">
                  <c:v>4301.9849853515625</c:v>
                </c:pt>
                <c:pt idx="10" formatCode="#,##0">
                  <c:v>4297.6185607910156</c:v>
                </c:pt>
                <c:pt idx="11" formatCode="#,##0">
                  <c:v>4290.4317626953125</c:v>
                </c:pt>
                <c:pt idx="12" formatCode="#,##0">
                  <c:v>4281.2962951660156</c:v>
                </c:pt>
                <c:pt idx="13" formatCode="#,##0">
                  <c:v>4270.9827575683594</c:v>
                </c:pt>
                <c:pt idx="14" formatCode="#,##0">
                  <c:v>4260.1606140136719</c:v>
                </c:pt>
                <c:pt idx="15" formatCode="#,##0">
                  <c:v>4249.3987731933594</c:v>
                </c:pt>
                <c:pt idx="16" formatCode="#,##0">
                  <c:v>4239.1645202636719</c:v>
                </c:pt>
                <c:pt idx="17" formatCode="#,##0">
                  <c:v>4229.8242492675781</c:v>
                </c:pt>
                <c:pt idx="18" formatCode="#,##0">
                  <c:v>4221.6434631347656</c:v>
                </c:pt>
                <c:pt idx="19" formatCode="#,##0">
                  <c:v>4214.7865905761719</c:v>
                </c:pt>
                <c:pt idx="20" formatCode="#,##0">
                  <c:v>4209.3170471191406</c:v>
                </c:pt>
                <c:pt idx="21" formatCode="#,##0">
                  <c:v>4205.1968688964844</c:v>
                </c:pt>
                <c:pt idx="22" formatCode="#,##0">
                  <c:v>4202.2875366210938</c:v>
                </c:pt>
                <c:pt idx="23" formatCode="#,##0">
                  <c:v>4200.3491516113281</c:v>
                </c:pt>
                <c:pt idx="24" formatCode="#,##0">
                  <c:v>4199.0408630371094</c:v>
                </c:pt>
                <c:pt idx="25" formatCode="#,##0">
                  <c:v>4197.9208068847656</c:v>
                </c:pt>
                <c:pt idx="26" formatCode="#,##0">
                  <c:v>4196.4460754394531</c:v>
                </c:pt>
                <c:pt idx="27" formatCode="#,##0">
                  <c:v>4193.9726257324219</c:v>
                </c:pt>
                <c:pt idx="28" formatCode="#,##0">
                  <c:v>4189.7555541992188</c:v>
                </c:pt>
                <c:pt idx="29" formatCode="#,##0">
                  <c:v>4182.9486999511719</c:v>
                </c:pt>
                <c:pt idx="30" formatCode="#,##0">
                  <c:v>4172.6049499511719</c:v>
                </c:pt>
              </c:numCache>
            </c:numRef>
          </c:val>
          <c:smooth val="1"/>
          <c:extLst>
            <c:ext xmlns:c16="http://schemas.microsoft.com/office/drawing/2014/chart" uri="{C3380CC4-5D6E-409C-BE32-E72D297353CC}">
              <c16:uniqueId val="{00000004-B061-43CC-B86D-8E7178B21894}"/>
            </c:ext>
          </c:extLst>
        </c:ser>
        <c:ser>
          <c:idx val="1"/>
          <c:order val="1"/>
          <c:tx>
            <c:strRef>
              <c:f>'4.10'!$D$5</c:f>
              <c:strCache>
                <c:ptCount val="1"/>
                <c:pt idx="0">
                  <c:v>APS</c:v>
                </c:pt>
              </c:strCache>
            </c:strRef>
          </c:tx>
          <c:spPr>
            <a:ln w="28575" cap="rnd">
              <a:solidFill>
                <a:srgbClr val="56B4DF"/>
              </a:solidFill>
              <a:prstDash val="solid"/>
              <a:round/>
            </a:ln>
            <a:effectLst/>
          </c:spPr>
          <c:marker>
            <c:symbol val="none"/>
          </c:marker>
          <c:dPt>
            <c:idx val="2"/>
            <c:marker>
              <c:symbol val="none"/>
            </c:marker>
            <c:bubble3D val="0"/>
            <c:extLst>
              <c:ext xmlns:c16="http://schemas.microsoft.com/office/drawing/2014/chart" uri="{C3380CC4-5D6E-409C-BE32-E72D297353CC}">
                <c16:uniqueId val="{00000005-B061-43CC-B86D-8E7178B21894}"/>
              </c:ext>
            </c:extLst>
          </c:dPt>
          <c:dPt>
            <c:idx val="8"/>
            <c:marker>
              <c:symbol val="none"/>
            </c:marker>
            <c:bubble3D val="0"/>
            <c:extLst>
              <c:ext xmlns:c16="http://schemas.microsoft.com/office/drawing/2014/chart" uri="{C3380CC4-5D6E-409C-BE32-E72D297353CC}">
                <c16:uniqueId val="{00000006-B061-43CC-B86D-8E7178B21894}"/>
              </c:ext>
            </c:extLst>
          </c:dPt>
          <c:dPt>
            <c:idx val="10"/>
            <c:marker>
              <c:symbol val="circle"/>
              <c:size val="5"/>
              <c:spPr>
                <a:solidFill>
                  <a:srgbClr val="56B4DF"/>
                </a:solidFill>
                <a:ln w="9525">
                  <a:solidFill>
                    <a:srgbClr val="56B4DF"/>
                  </a:solidFill>
                </a:ln>
                <a:effectLst/>
              </c:spPr>
            </c:marker>
            <c:bubble3D val="0"/>
            <c:extLst>
              <c:ext xmlns:c16="http://schemas.microsoft.com/office/drawing/2014/chart" uri="{C3380CC4-5D6E-409C-BE32-E72D297353CC}">
                <c16:uniqueId val="{00000007-B061-43CC-B86D-8E7178B21894}"/>
              </c:ext>
            </c:extLst>
          </c:dPt>
          <c:dPt>
            <c:idx val="28"/>
            <c:marker>
              <c:symbol val="none"/>
            </c:marker>
            <c:bubble3D val="0"/>
            <c:extLst>
              <c:ext xmlns:c16="http://schemas.microsoft.com/office/drawing/2014/chart" uri="{C3380CC4-5D6E-409C-BE32-E72D297353CC}">
                <c16:uniqueId val="{00000008-B061-43CC-B86D-8E7178B21894}"/>
              </c:ext>
            </c:extLst>
          </c:dPt>
          <c:dPt>
            <c:idx val="30"/>
            <c:marker>
              <c:symbol val="circle"/>
              <c:size val="5"/>
              <c:spPr>
                <a:solidFill>
                  <a:srgbClr val="56B4DF"/>
                </a:solidFill>
                <a:ln w="9525">
                  <a:solidFill>
                    <a:srgbClr val="56B4DF"/>
                  </a:solidFill>
                </a:ln>
                <a:effectLst/>
              </c:spPr>
            </c:marker>
            <c:bubble3D val="0"/>
            <c:extLst>
              <c:ext xmlns:c16="http://schemas.microsoft.com/office/drawing/2014/chart" uri="{C3380CC4-5D6E-409C-BE32-E72D297353CC}">
                <c16:uniqueId val="{00000009-B061-43CC-B86D-8E7178B21894}"/>
              </c:ext>
            </c:extLst>
          </c:dPt>
          <c:dLbls>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61-43CC-B86D-8E7178B21894}"/>
                </c:ext>
              </c:extLst>
            </c:dLbl>
            <c:dLbl>
              <c:idx val="3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61-43CC-B86D-8E7178B218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'4.10'!$B$6:$B$36</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'4.10'!$D$6:$D$36</c:f>
              <c:numCache>
                <c:formatCode>General</c:formatCode>
                <c:ptCount val="31"/>
                <c:pt idx="2" formatCode="#,##0">
                  <c:v>4159.3588256835938</c:v>
                </c:pt>
                <c:pt idx="3" formatCode="#,##0">
                  <c:v>4192.9141235351563</c:v>
                </c:pt>
                <c:pt idx="4" formatCode="#,##0">
                  <c:v>4198.7409057617188</c:v>
                </c:pt>
                <c:pt idx="5" formatCode="#,##0">
                  <c:v>4180.8406372070313</c:v>
                </c:pt>
                <c:pt idx="6" formatCode="#,##0">
                  <c:v>4142.9562377929688</c:v>
                </c:pt>
                <c:pt idx="7" formatCode="#,##0">
                  <c:v>4088.5707397460938</c:v>
                </c:pt>
                <c:pt idx="8" formatCode="#,##0">
                  <c:v>4020.9089965820313</c:v>
                </c:pt>
                <c:pt idx="9" formatCode="#,##0">
                  <c:v>3942.9360961914063</c:v>
                </c:pt>
                <c:pt idx="10" formatCode="#,##0">
                  <c:v>3857.3576049804688</c:v>
                </c:pt>
                <c:pt idx="11" formatCode="#,##0">
                  <c:v>3766.6206665039063</c:v>
                </c:pt>
                <c:pt idx="12" formatCode="#,##0">
                  <c:v>3672.9129028320313</c:v>
                </c:pt>
                <c:pt idx="13" formatCode="#,##0">
                  <c:v>3578.1627807617188</c:v>
                </c:pt>
                <c:pt idx="14" formatCode="#,##0">
                  <c:v>3484.0398559570313</c:v>
                </c:pt>
                <c:pt idx="15" formatCode="#,##0">
                  <c:v>3391.9536743164063</c:v>
                </c:pt>
                <c:pt idx="16" formatCode="#,##0">
                  <c:v>3303.0556030273438</c:v>
                </c:pt>
                <c:pt idx="17" formatCode="#,##0">
                  <c:v>3218.2374877929688</c:v>
                </c:pt>
                <c:pt idx="18" formatCode="#,##0">
                  <c:v>3138.1318969726563</c:v>
                </c:pt>
                <c:pt idx="19" formatCode="#,##0">
                  <c:v>3063.1122436523438</c:v>
                </c:pt>
                <c:pt idx="20" formatCode="#,##0">
                  <c:v>2993.2926635742188</c:v>
                </c:pt>
                <c:pt idx="21" formatCode="#,##0">
                  <c:v>2928.5287475585938</c:v>
                </c:pt>
                <c:pt idx="22" formatCode="#,##0">
                  <c:v>2868.4163208007813</c:v>
                </c:pt>
                <c:pt idx="23" formatCode="#,##0">
                  <c:v>2812.2919311523438</c:v>
                </c:pt>
                <c:pt idx="24" formatCode="#,##0">
                  <c:v>2759.2334594726563</c:v>
                </c:pt>
                <c:pt idx="25" formatCode="#,##0">
                  <c:v>2708.0590209960938</c:v>
                </c:pt>
                <c:pt idx="26" formatCode="#,##0">
                  <c:v>2657.3285522460938</c:v>
                </c:pt>
                <c:pt idx="27" formatCode="#,##0">
                  <c:v>2605.3413696289063</c:v>
                </c:pt>
                <c:pt idx="28" formatCode="#,##0">
                  <c:v>2550.1392211914063</c:v>
                </c:pt>
                <c:pt idx="29" formatCode="#,##0">
                  <c:v>2489.5036010742188</c:v>
                </c:pt>
                <c:pt idx="30" formatCode="#,##0">
                  <c:v>2420.9567260742188</c:v>
                </c:pt>
              </c:numCache>
            </c:numRef>
          </c:val>
          <c:smooth val="1"/>
          <c:extLst>
            <c:ext xmlns:c16="http://schemas.microsoft.com/office/drawing/2014/chart" uri="{C3380CC4-5D6E-409C-BE32-E72D297353CC}">
              <c16:uniqueId val="{0000000A-B061-43CC-B86D-8E7178B21894}"/>
            </c:ext>
          </c:extLst>
        </c:ser>
        <c:ser>
          <c:idx val="2"/>
          <c:order val="2"/>
          <c:tx>
            <c:strRef>
              <c:f>'4.10'!$E$5</c:f>
              <c:strCache>
                <c:ptCount val="1"/>
                <c:pt idx="0">
                  <c:v>NZE</c:v>
                </c:pt>
              </c:strCache>
            </c:strRef>
          </c:tx>
          <c:spPr>
            <a:ln w="28575" cap="rnd">
              <a:solidFill>
                <a:srgbClr val="9ED9DF"/>
              </a:solidFill>
              <a:prstDash val="solid"/>
              <a:round/>
            </a:ln>
            <a:effectLst/>
          </c:spPr>
          <c:marker>
            <c:symbol val="none"/>
          </c:marker>
          <c:dPt>
            <c:idx val="8"/>
            <c:marker>
              <c:symbol val="none"/>
            </c:marker>
            <c:bubble3D val="0"/>
            <c:extLst>
              <c:ext xmlns:c16="http://schemas.microsoft.com/office/drawing/2014/chart" uri="{C3380CC4-5D6E-409C-BE32-E72D297353CC}">
                <c16:uniqueId val="{0000000B-B061-43CC-B86D-8E7178B21894}"/>
              </c:ext>
            </c:extLst>
          </c:dPt>
          <c:dPt>
            <c:idx val="10"/>
            <c:marker>
              <c:symbol val="circle"/>
              <c:size val="5"/>
              <c:spPr>
                <a:solidFill>
                  <a:srgbClr val="9ED9DF"/>
                </a:solidFill>
                <a:ln w="9525">
                  <a:solidFill>
                    <a:srgbClr val="9ED9DF"/>
                  </a:solidFill>
                </a:ln>
                <a:effectLst/>
              </c:spPr>
            </c:marker>
            <c:bubble3D val="0"/>
            <c:extLst>
              <c:ext xmlns:c16="http://schemas.microsoft.com/office/drawing/2014/chart" uri="{C3380CC4-5D6E-409C-BE32-E72D297353CC}">
                <c16:uniqueId val="{0000000C-B061-43CC-B86D-8E7178B21894}"/>
              </c:ext>
            </c:extLst>
          </c:dPt>
          <c:dPt>
            <c:idx val="28"/>
            <c:marker>
              <c:symbol val="none"/>
            </c:marker>
            <c:bubble3D val="0"/>
            <c:extLst>
              <c:ext xmlns:c16="http://schemas.microsoft.com/office/drawing/2014/chart" uri="{C3380CC4-5D6E-409C-BE32-E72D297353CC}">
                <c16:uniqueId val="{0000000D-B061-43CC-B86D-8E7178B21894}"/>
              </c:ext>
            </c:extLst>
          </c:dPt>
          <c:dPt>
            <c:idx val="30"/>
            <c:marker>
              <c:symbol val="circle"/>
              <c:size val="5"/>
              <c:spPr>
                <a:solidFill>
                  <a:srgbClr val="9ED9DF"/>
                </a:solidFill>
                <a:ln w="9525">
                  <a:solidFill>
                    <a:srgbClr val="9ED9DF"/>
                  </a:solidFill>
                </a:ln>
                <a:effectLst/>
              </c:spPr>
            </c:marker>
            <c:bubble3D val="0"/>
            <c:extLst>
              <c:ext xmlns:c16="http://schemas.microsoft.com/office/drawing/2014/chart" uri="{C3380CC4-5D6E-409C-BE32-E72D297353CC}">
                <c16:uniqueId val="{0000000E-B061-43CC-B86D-8E7178B21894}"/>
              </c:ext>
            </c:extLst>
          </c:dPt>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061-43CC-B86D-8E7178B21894}"/>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061-43CC-B86D-8E7178B21894}"/>
                </c:ext>
              </c:extLst>
            </c:dLbl>
            <c:dLbl>
              <c:idx val="3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061-43CC-B86D-8E7178B218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'4.10'!$B$6:$B$36</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'4.10'!$E$6:$E$36</c:f>
              <c:numCache>
                <c:formatCode>General</c:formatCode>
                <c:ptCount val="31"/>
                <c:pt idx="2" formatCode="#,##0">
                  <c:v>4159.1896057128906</c:v>
                </c:pt>
                <c:pt idx="3" formatCode="#,##0">
                  <c:v>4101.9764709472656</c:v>
                </c:pt>
                <c:pt idx="4" formatCode="#,##0">
                  <c:v>4020.2778625488281</c:v>
                </c:pt>
                <c:pt idx="5" formatCode="#,##0">
                  <c:v>3917.8168029785156</c:v>
                </c:pt>
                <c:pt idx="6" formatCode="#,##0">
                  <c:v>3798.0928039550781</c:v>
                </c:pt>
                <c:pt idx="7" formatCode="#,##0">
                  <c:v>3664.3795471191406</c:v>
                </c:pt>
                <c:pt idx="8" formatCode="#,##0">
                  <c:v>3519.7263488769531</c:v>
                </c:pt>
                <c:pt idx="9" formatCode="#,##0">
                  <c:v>3366.9580383300781</c:v>
                </c:pt>
                <c:pt idx="10" formatCode="#,##0">
                  <c:v>3208.6741027832031</c:v>
                </c:pt>
                <c:pt idx="11" formatCode="#,##0">
                  <c:v>3047.2496643066406</c:v>
                </c:pt>
                <c:pt idx="12" formatCode="#,##0">
                  <c:v>2884.8352966308594</c:v>
                </c:pt>
                <c:pt idx="13" formatCode="#,##0">
                  <c:v>2723.3562316894531</c:v>
                </c:pt>
                <c:pt idx="14" formatCode="#,##0">
                  <c:v>2564.5133361816406</c:v>
                </c:pt>
                <c:pt idx="15" formatCode="#,##0">
                  <c:v>2409.7825012207031</c:v>
                </c:pt>
                <c:pt idx="16" formatCode="#,##0">
                  <c:v>2260.4153137207031</c:v>
                </c:pt>
                <c:pt idx="17" formatCode="#,##0">
                  <c:v>2117.4381408691406</c:v>
                </c:pt>
                <c:pt idx="18" formatCode="#,##0">
                  <c:v>1981.6524963378906</c:v>
                </c:pt>
                <c:pt idx="19" formatCode="#,##0">
                  <c:v>1853.6355285644531</c:v>
                </c:pt>
                <c:pt idx="20" formatCode="#,##0">
                  <c:v>1733.7395935058594</c:v>
                </c:pt>
                <c:pt idx="21" formatCode="#,##0">
                  <c:v>1622.0918884277344</c:v>
                </c:pt>
                <c:pt idx="22" formatCode="#,##0">
                  <c:v>1518.5954284667969</c:v>
                </c:pt>
                <c:pt idx="23" formatCode="#,##0">
                  <c:v>1422.9277648925781</c:v>
                </c:pt>
                <c:pt idx="24" formatCode="#,##0">
                  <c:v>1334.5422668457031</c:v>
                </c:pt>
                <c:pt idx="25" formatCode="#,##0">
                  <c:v>1252.6676330566406</c:v>
                </c:pt>
                <c:pt idx="26" formatCode="#,##0">
                  <c:v>1176.3070983886719</c:v>
                </c:pt>
                <c:pt idx="27" formatCode="#,##0">
                  <c:v>1104.2399597167969</c:v>
                </c:pt>
                <c:pt idx="28" formatCode="#,##0">
                  <c:v>1035.0200500488281</c:v>
                </c:pt>
                <c:pt idx="29" formatCode="#,##0">
                  <c:v>966.97689819335938</c:v>
                </c:pt>
                <c:pt idx="30" formatCode="#,##0">
                  <c:v>898.21511840820313</c:v>
                </c:pt>
              </c:numCache>
            </c:numRef>
          </c:val>
          <c:smooth val="1"/>
          <c:extLst>
            <c:ext xmlns:c16="http://schemas.microsoft.com/office/drawing/2014/chart" uri="{C3380CC4-5D6E-409C-BE32-E72D297353CC}">
              <c16:uniqueId val="{00000010-B061-43CC-B86D-8E7178B21894}"/>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5"/>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a:t>
                </a:r>
                <a:r>
                  <a:rPr lang="en-AU" baseline="0"/>
                  <a:t> Cubic Metres</a:t>
                </a:r>
                <a:endParaRPr lang="en-AU"/>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majorUnit val="100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'4.11'!$C$5</c:f>
              <c:strCache>
                <c:ptCount val="1"/>
                <c:pt idx="0">
                  <c:v>STEPS</c:v>
                </c:pt>
              </c:strCache>
            </c:strRef>
          </c:tx>
          <c:spPr>
            <a:ln w="28575" cap="rnd">
              <a:solidFill>
                <a:srgbClr val="005CAF"/>
              </a:solidFill>
              <a:prstDash val="solid"/>
              <a:round/>
            </a:ln>
            <a:effectLst/>
          </c:spPr>
          <c:marker>
            <c:symbol val="none"/>
          </c:marker>
          <c:dPt>
            <c:idx val="10"/>
            <c:marker>
              <c:symbol val="circle"/>
              <c:size val="5"/>
              <c:spPr>
                <a:solidFill>
                  <a:srgbClr val="005CAF"/>
                </a:solidFill>
                <a:ln w="9525">
                  <a:solidFill>
                    <a:srgbClr val="005CAF"/>
                  </a:solidFill>
                </a:ln>
                <a:effectLst/>
              </c:spPr>
            </c:marker>
            <c:bubble3D val="0"/>
            <c:extLst>
              <c:ext xmlns:c16="http://schemas.microsoft.com/office/drawing/2014/chart" uri="{C3380CC4-5D6E-409C-BE32-E72D297353CC}">
                <c16:uniqueId val="{00000000-65BA-44F9-A769-62FF27BAE6CA}"/>
              </c:ext>
            </c:extLst>
          </c:dPt>
          <c:dPt>
            <c:idx val="30"/>
            <c:marker>
              <c:symbol val="circle"/>
              <c:size val="5"/>
              <c:spPr>
                <a:solidFill>
                  <a:srgbClr val="005CAF"/>
                </a:solidFill>
                <a:ln w="9525">
                  <a:solidFill>
                    <a:srgbClr val="005CAF"/>
                  </a:solidFill>
                </a:ln>
                <a:effectLst/>
              </c:spPr>
            </c:marker>
            <c:bubble3D val="0"/>
            <c:extLst>
              <c:ext xmlns:c16="http://schemas.microsoft.com/office/drawing/2014/chart" uri="{C3380CC4-5D6E-409C-BE32-E72D297353CC}">
                <c16:uniqueId val="{00000001-65BA-44F9-A769-62FF27BAE6CA}"/>
              </c:ext>
            </c:extLst>
          </c:dPt>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BA-44F9-A769-62FF27BAE6CA}"/>
                </c:ext>
              </c:extLst>
            </c:dLbl>
            <c:dLbl>
              <c:idx val="3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BA-44F9-A769-62FF27BAE6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'4.11'!$B$6:$B$36</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'4.11'!$C$6:$C$36</c:f>
              <c:numCache>
                <c:formatCode>#,##0</c:formatCode>
                <c:ptCount val="31"/>
                <c:pt idx="1">
                  <c:v>900</c:v>
                </c:pt>
                <c:pt idx="2">
                  <c:v>918.65239072474651</c:v>
                </c:pt>
                <c:pt idx="3">
                  <c:v>934.8260741843842</c:v>
                </c:pt>
                <c:pt idx="4">
                  <c:v>950.32637389749289</c:v>
                </c:pt>
                <c:pt idx="5">
                  <c:v>965.1532898650039</c:v>
                </c:pt>
                <c:pt idx="6">
                  <c:v>979.30682208645158</c:v>
                </c:pt>
                <c:pt idx="7">
                  <c:v>992.78697056160308</c:v>
                </c:pt>
                <c:pt idx="8">
                  <c:v>1005.5937352911569</c:v>
                </c:pt>
                <c:pt idx="9">
                  <c:v>1019</c:v>
                </c:pt>
                <c:pt idx="10">
                  <c:v>1034</c:v>
                </c:pt>
                <c:pt idx="11">
                  <c:v>1041</c:v>
                </c:pt>
                <c:pt idx="12">
                  <c:v>1050.0869567489717</c:v>
                </c:pt>
                <c:pt idx="13">
                  <c:v>1059.526802747976</c:v>
                </c:pt>
                <c:pt idx="14">
                  <c:v>1068.2932650016155</c:v>
                </c:pt>
                <c:pt idx="15">
                  <c:v>1076.3863435091916</c:v>
                </c:pt>
                <c:pt idx="16">
                  <c:v>1083.8060382702388</c:v>
                </c:pt>
                <c:pt idx="17">
                  <c:v>1090.5523492859211</c:v>
                </c:pt>
                <c:pt idx="18">
                  <c:v>1096.6252765553072</c:v>
                </c:pt>
                <c:pt idx="19">
                  <c:v>1102.0248200783972</c:v>
                </c:pt>
                <c:pt idx="20">
                  <c:v>1106.7509798561223</c:v>
                </c:pt>
                <c:pt idx="21">
                  <c:v>1110.8037558870856</c:v>
                </c:pt>
                <c:pt idx="22">
                  <c:v>1114.183148172684</c:v>
                </c:pt>
                <c:pt idx="23">
                  <c:v>1116.8891567122191</c:v>
                </c:pt>
                <c:pt idx="24">
                  <c:v>1118.9217815054581</c:v>
                </c:pt>
                <c:pt idx="25">
                  <c:v>1119</c:v>
                </c:pt>
                <c:pt idx="26">
                  <c:v>1119</c:v>
                </c:pt>
                <c:pt idx="27">
                  <c:v>1119</c:v>
                </c:pt>
                <c:pt idx="28">
                  <c:v>1119</c:v>
                </c:pt>
                <c:pt idx="29">
                  <c:v>1118.9841492827982</c:v>
                </c:pt>
                <c:pt idx="30">
                  <c:v>1119</c:v>
                </c:pt>
              </c:numCache>
            </c:numRef>
          </c:val>
          <c:smooth val="1"/>
          <c:extLst>
            <c:ext xmlns:c16="http://schemas.microsoft.com/office/drawing/2014/chart" uri="{C3380CC4-5D6E-409C-BE32-E72D297353CC}">
              <c16:uniqueId val="{00000002-65BA-44F9-A769-62FF27BAE6CA}"/>
            </c:ext>
          </c:extLst>
        </c:ser>
        <c:ser>
          <c:idx val="1"/>
          <c:order val="1"/>
          <c:tx>
            <c:strRef>
              <c:f>'4.11'!$D$5</c:f>
              <c:strCache>
                <c:ptCount val="1"/>
                <c:pt idx="0">
                  <c:v>APS</c:v>
                </c:pt>
              </c:strCache>
            </c:strRef>
          </c:tx>
          <c:spPr>
            <a:ln w="28575" cap="rnd">
              <a:solidFill>
                <a:srgbClr val="56B4DF"/>
              </a:solidFill>
              <a:prstDash val="solid"/>
              <a:round/>
            </a:ln>
            <a:effectLst/>
          </c:spPr>
          <c:marker>
            <c:symbol val="none"/>
          </c:marker>
          <c:dPt>
            <c:idx val="1"/>
            <c:marker>
              <c:symbol val="circle"/>
              <c:size val="5"/>
              <c:spPr>
                <a:solidFill>
                  <a:srgbClr val="56B4DF"/>
                </a:solidFill>
                <a:ln w="9525">
                  <a:solidFill>
                    <a:srgbClr val="56B4DF"/>
                  </a:solidFill>
                </a:ln>
                <a:effectLst/>
              </c:spPr>
            </c:marker>
            <c:bubble3D val="0"/>
            <c:extLst>
              <c:ext xmlns:c16="http://schemas.microsoft.com/office/drawing/2014/chart" uri="{C3380CC4-5D6E-409C-BE32-E72D297353CC}">
                <c16:uniqueId val="{00000003-65BA-44F9-A769-62FF27BAE6CA}"/>
              </c:ext>
            </c:extLst>
          </c:dPt>
          <c:dPt>
            <c:idx val="2"/>
            <c:marker>
              <c:symbol val="none"/>
            </c:marker>
            <c:bubble3D val="0"/>
            <c:extLst>
              <c:ext xmlns:c16="http://schemas.microsoft.com/office/drawing/2014/chart" uri="{C3380CC4-5D6E-409C-BE32-E72D297353CC}">
                <c16:uniqueId val="{00000004-65BA-44F9-A769-62FF27BAE6CA}"/>
              </c:ext>
            </c:extLst>
          </c:dPt>
          <c:dPt>
            <c:idx val="8"/>
            <c:marker>
              <c:symbol val="none"/>
            </c:marker>
            <c:bubble3D val="0"/>
            <c:extLst>
              <c:ext xmlns:c16="http://schemas.microsoft.com/office/drawing/2014/chart" uri="{C3380CC4-5D6E-409C-BE32-E72D297353CC}">
                <c16:uniqueId val="{00000005-65BA-44F9-A769-62FF27BAE6CA}"/>
              </c:ext>
            </c:extLst>
          </c:dPt>
          <c:dPt>
            <c:idx val="10"/>
            <c:marker>
              <c:symbol val="none"/>
            </c:marker>
            <c:bubble3D val="0"/>
            <c:extLst>
              <c:ext xmlns:c16="http://schemas.microsoft.com/office/drawing/2014/chart" uri="{C3380CC4-5D6E-409C-BE32-E72D297353CC}">
                <c16:uniqueId val="{00000006-65BA-44F9-A769-62FF27BAE6CA}"/>
              </c:ext>
            </c:extLst>
          </c:dPt>
          <c:dPt>
            <c:idx val="13"/>
            <c:marker>
              <c:symbol val="none"/>
            </c:marker>
            <c:bubble3D val="0"/>
            <c:extLst>
              <c:ext xmlns:c16="http://schemas.microsoft.com/office/drawing/2014/chart" uri="{C3380CC4-5D6E-409C-BE32-E72D297353CC}">
                <c16:uniqueId val="{00000007-65BA-44F9-A769-62FF27BAE6CA}"/>
              </c:ext>
            </c:extLst>
          </c:dPt>
          <c:dPt>
            <c:idx val="15"/>
            <c:marker>
              <c:symbol val="circle"/>
              <c:size val="5"/>
              <c:spPr>
                <a:solidFill>
                  <a:srgbClr val="56B4DF"/>
                </a:solidFill>
                <a:ln w="9525">
                  <a:solidFill>
                    <a:srgbClr val="56B4DF"/>
                  </a:solidFill>
                </a:ln>
                <a:effectLst/>
              </c:spPr>
            </c:marker>
            <c:bubble3D val="0"/>
            <c:extLst>
              <c:ext xmlns:c16="http://schemas.microsoft.com/office/drawing/2014/chart" uri="{C3380CC4-5D6E-409C-BE32-E72D297353CC}">
                <c16:uniqueId val="{00000008-65BA-44F9-A769-62FF27BAE6CA}"/>
              </c:ext>
            </c:extLst>
          </c:dPt>
          <c:dPt>
            <c:idx val="28"/>
            <c:marker>
              <c:symbol val="none"/>
            </c:marker>
            <c:bubble3D val="0"/>
            <c:extLst>
              <c:ext xmlns:c16="http://schemas.microsoft.com/office/drawing/2014/chart" uri="{C3380CC4-5D6E-409C-BE32-E72D297353CC}">
                <c16:uniqueId val="{00000009-65BA-44F9-A769-62FF27BAE6CA}"/>
              </c:ext>
            </c:extLst>
          </c:dPt>
          <c:dPt>
            <c:idx val="30"/>
            <c:marker>
              <c:symbol val="circle"/>
              <c:size val="5"/>
              <c:spPr>
                <a:solidFill>
                  <a:srgbClr val="56B4DF"/>
                </a:solidFill>
                <a:ln w="9525">
                  <a:solidFill>
                    <a:srgbClr val="56B4DF"/>
                  </a:solidFill>
                </a:ln>
                <a:effectLst/>
              </c:spPr>
            </c:marker>
            <c:bubble3D val="0"/>
            <c:extLst>
              <c:ext xmlns:c16="http://schemas.microsoft.com/office/drawing/2014/chart" uri="{C3380CC4-5D6E-409C-BE32-E72D297353CC}">
                <c16:uniqueId val="{0000000A-65BA-44F9-A769-62FF27BAE6CA}"/>
              </c:ext>
            </c:extLst>
          </c:dPt>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BA-44F9-A769-62FF27BAE6CA}"/>
                </c:ext>
              </c:extLst>
            </c:dLbl>
            <c:dLbl>
              <c:idx val="10"/>
              <c:delete val="1"/>
              <c:extLst>
                <c:ext xmlns:c15="http://schemas.microsoft.com/office/drawing/2012/chart" uri="{CE6537A1-D6FC-4f65-9D91-7224C49458BB}"/>
                <c:ext xmlns:c16="http://schemas.microsoft.com/office/drawing/2014/chart" uri="{C3380CC4-5D6E-409C-BE32-E72D297353CC}">
                  <c16:uniqueId val="{00000006-65BA-44F9-A769-62FF27BAE6CA}"/>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BA-44F9-A769-62FF27BAE6CA}"/>
                </c:ext>
              </c:extLst>
            </c:dLbl>
            <c:dLbl>
              <c:idx val="3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BA-44F9-A769-62FF27BAE6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'4.11'!$B$6:$B$36</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'4.11'!$D$6:$D$36</c:f>
              <c:numCache>
                <c:formatCode>#,##0</c:formatCode>
                <c:ptCount val="31"/>
                <c:pt idx="1">
                  <c:v>900</c:v>
                </c:pt>
                <c:pt idx="2">
                  <c:v>918.09560819668695</c:v>
                </c:pt>
                <c:pt idx="3">
                  <c:v>925.61034247372299</c:v>
                </c:pt>
                <c:pt idx="4">
                  <c:v>931.50715893320739</c:v>
                </c:pt>
                <c:pt idx="5">
                  <c:v>935.78605757467449</c:v>
                </c:pt>
                <c:pt idx="6">
                  <c:v>938.4470383990556</c:v>
                </c:pt>
                <c:pt idx="7">
                  <c:v>939.49010140588507</c:v>
                </c:pt>
                <c:pt idx="8">
                  <c:v>938.91524659423158</c:v>
                </c:pt>
                <c:pt idx="9">
                  <c:v>936.72247396595776</c:v>
                </c:pt>
                <c:pt idx="10">
                  <c:v>932.91178351966664</c:v>
                </c:pt>
                <c:pt idx="11">
                  <c:v>927.48317525628954</c:v>
                </c:pt>
                <c:pt idx="12">
                  <c:v>920.43664917442948</c:v>
                </c:pt>
                <c:pt idx="13">
                  <c:v>911.77220527548343</c:v>
                </c:pt>
                <c:pt idx="14">
                  <c:v>901.48984355898574</c:v>
                </c:pt>
                <c:pt idx="15">
                  <c:v>889</c:v>
                </c:pt>
                <c:pt idx="16">
                  <c:v>876.07136667286977</c:v>
                </c:pt>
                <c:pt idx="17">
                  <c:v>860.93525150371715</c:v>
                </c:pt>
                <c:pt idx="18">
                  <c:v>844.18121851701289</c:v>
                </c:pt>
                <c:pt idx="19">
                  <c:v>825.80926771136001</c:v>
                </c:pt>
                <c:pt idx="20">
                  <c:v>800</c:v>
                </c:pt>
                <c:pt idx="21">
                  <c:v>775</c:v>
                </c:pt>
                <c:pt idx="22">
                  <c:v>752</c:v>
                </c:pt>
                <c:pt idx="23">
                  <c:v>722</c:v>
                </c:pt>
                <c:pt idx="24">
                  <c:v>685</c:v>
                </c:pt>
                <c:pt idx="25">
                  <c:v>651</c:v>
                </c:pt>
                <c:pt idx="26">
                  <c:v>622</c:v>
                </c:pt>
                <c:pt idx="27">
                  <c:v>599</c:v>
                </c:pt>
                <c:pt idx="28">
                  <c:v>578</c:v>
                </c:pt>
                <c:pt idx="29">
                  <c:v>555</c:v>
                </c:pt>
                <c:pt idx="30">
                  <c:v>536</c:v>
                </c:pt>
              </c:numCache>
            </c:numRef>
          </c:val>
          <c:smooth val="1"/>
          <c:extLst>
            <c:ext xmlns:c16="http://schemas.microsoft.com/office/drawing/2014/chart" uri="{C3380CC4-5D6E-409C-BE32-E72D297353CC}">
              <c16:uniqueId val="{0000000B-65BA-44F9-A769-62FF27BAE6CA}"/>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5"/>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 metres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'1.5'!$C$5</c:f>
              <c:strCache>
                <c:ptCount val="1"/>
                <c:pt idx="0">
                  <c:v>Pipeline trade</c:v>
                </c:pt>
              </c:strCache>
            </c:strRef>
          </c:tx>
          <c:spPr>
            <a:ln w="28575" cap="rnd">
              <a:solidFill>
                <a:srgbClr val="005CAF"/>
              </a:solidFill>
              <a:prstDash val="solid"/>
              <a:round/>
            </a:ln>
            <a:effectLst/>
          </c:spPr>
          <c:marker>
            <c:symbol val="none"/>
          </c:marker>
          <c:cat>
            <c:numRef>
              <c:f>'1.5'!$B$6:$B$28</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'1.5'!$C$6:$C$28</c:f>
              <c:numCache>
                <c:formatCode>0</c:formatCode>
                <c:ptCount val="23"/>
                <c:pt idx="0">
                  <c:v>387.3</c:v>
                </c:pt>
                <c:pt idx="1">
                  <c:v>388.9</c:v>
                </c:pt>
                <c:pt idx="2">
                  <c:v>404.3</c:v>
                </c:pt>
                <c:pt idx="3">
                  <c:v>408.1</c:v>
                </c:pt>
                <c:pt idx="4">
                  <c:v>450.1</c:v>
                </c:pt>
                <c:pt idx="5">
                  <c:v>470.8</c:v>
                </c:pt>
                <c:pt idx="6">
                  <c:v>481.7</c:v>
                </c:pt>
                <c:pt idx="7">
                  <c:v>500.2</c:v>
                </c:pt>
                <c:pt idx="8">
                  <c:v>526.79999999999995</c:v>
                </c:pt>
                <c:pt idx="9">
                  <c:v>422.1</c:v>
                </c:pt>
                <c:pt idx="10">
                  <c:v>435.3</c:v>
                </c:pt>
                <c:pt idx="11">
                  <c:v>466.3</c:v>
                </c:pt>
                <c:pt idx="12">
                  <c:v>460.1</c:v>
                </c:pt>
                <c:pt idx="13">
                  <c:v>459.1</c:v>
                </c:pt>
                <c:pt idx="14">
                  <c:v>435.5</c:v>
                </c:pt>
                <c:pt idx="15">
                  <c:v>444.7</c:v>
                </c:pt>
                <c:pt idx="16">
                  <c:v>478.6</c:v>
                </c:pt>
                <c:pt idx="17">
                  <c:v>508.7</c:v>
                </c:pt>
                <c:pt idx="18">
                  <c:v>509.3</c:v>
                </c:pt>
                <c:pt idx="19">
                  <c:v>507.7</c:v>
                </c:pt>
                <c:pt idx="20">
                  <c:v>454.7</c:v>
                </c:pt>
                <c:pt idx="21">
                  <c:v>504.5</c:v>
                </c:pt>
                <c:pt idx="22">
                  <c:v>426.1</c:v>
                </c:pt>
              </c:numCache>
            </c:numRef>
          </c:val>
          <c:smooth val="1"/>
          <c:extLst>
            <c:ext xmlns:c16="http://schemas.microsoft.com/office/drawing/2014/chart" uri="{C3380CC4-5D6E-409C-BE32-E72D297353CC}">
              <c16:uniqueId val="{00000000-8C53-40D3-A0D7-F18712FA281E}"/>
            </c:ext>
          </c:extLst>
        </c:ser>
        <c:ser>
          <c:idx val="1"/>
          <c:order val="1"/>
          <c:tx>
            <c:strRef>
              <c:f>'1.5'!$D$5</c:f>
              <c:strCache>
                <c:ptCount val="1"/>
                <c:pt idx="0">
                  <c:v>LNG trade</c:v>
                </c:pt>
              </c:strCache>
            </c:strRef>
          </c:tx>
          <c:spPr>
            <a:ln w="28575" cap="rnd">
              <a:solidFill>
                <a:srgbClr val="56B4DF"/>
              </a:solidFill>
              <a:prstDash val="solid"/>
              <a:round/>
            </a:ln>
            <a:effectLst/>
          </c:spPr>
          <c:marker>
            <c:symbol val="none"/>
          </c:marker>
          <c:cat>
            <c:numRef>
              <c:f>'1.5'!$B$6:$B$28</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'1.5'!$D$6:$D$28</c:f>
              <c:numCache>
                <c:formatCode>0</c:formatCode>
                <c:ptCount val="23"/>
                <c:pt idx="0">
                  <c:v>140.5</c:v>
                </c:pt>
                <c:pt idx="1">
                  <c:v>147.30000000000001</c:v>
                </c:pt>
                <c:pt idx="2">
                  <c:v>155.9</c:v>
                </c:pt>
                <c:pt idx="3">
                  <c:v>172</c:v>
                </c:pt>
                <c:pt idx="4">
                  <c:v>180.7</c:v>
                </c:pt>
                <c:pt idx="5">
                  <c:v>195.1</c:v>
                </c:pt>
                <c:pt idx="6">
                  <c:v>217.5</c:v>
                </c:pt>
                <c:pt idx="7">
                  <c:v>233.2</c:v>
                </c:pt>
                <c:pt idx="8">
                  <c:v>234.9</c:v>
                </c:pt>
                <c:pt idx="9">
                  <c:v>249.7</c:v>
                </c:pt>
                <c:pt idx="10">
                  <c:v>302.39999999999998</c:v>
                </c:pt>
                <c:pt idx="11">
                  <c:v>328.3</c:v>
                </c:pt>
                <c:pt idx="12">
                  <c:v>324.89999999999998</c:v>
                </c:pt>
                <c:pt idx="13">
                  <c:v>326.8</c:v>
                </c:pt>
                <c:pt idx="14">
                  <c:v>333.6</c:v>
                </c:pt>
                <c:pt idx="15">
                  <c:v>337.1</c:v>
                </c:pt>
                <c:pt idx="16">
                  <c:v>358.3</c:v>
                </c:pt>
                <c:pt idx="17">
                  <c:v>393.3</c:v>
                </c:pt>
                <c:pt idx="18">
                  <c:v>430.4</c:v>
                </c:pt>
                <c:pt idx="19">
                  <c:v>484.2</c:v>
                </c:pt>
                <c:pt idx="20">
                  <c:v>490</c:v>
                </c:pt>
                <c:pt idx="21">
                  <c:v>515.70000000000005</c:v>
                </c:pt>
                <c:pt idx="22">
                  <c:v>542.4</c:v>
                </c:pt>
              </c:numCache>
            </c:numRef>
          </c:val>
          <c:smooth val="1"/>
          <c:extLst>
            <c:ext xmlns:c16="http://schemas.microsoft.com/office/drawing/2014/chart" uri="{C3380CC4-5D6E-409C-BE32-E72D297353CC}">
              <c16:uniqueId val="{00000001-8C53-40D3-A0D7-F18712FA281E}"/>
            </c:ext>
          </c:extLst>
        </c:ser>
        <c:dLbls>
          <c:showLegendKey val="0"/>
          <c:showVal val="0"/>
          <c:showCatName val="0"/>
          <c:showSerName val="0"/>
          <c:showPercent val="0"/>
          <c:showBubbleSize val="0"/>
        </c:dLbls>
        <c:smooth val="0"/>
        <c:axId val="393390591"/>
        <c:axId val="398469791"/>
      </c:lineChart>
      <c:catAx>
        <c:axId val="393390591"/>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8469791"/>
        <c:crosses val="autoZero"/>
        <c:auto val="1"/>
        <c:lblAlgn val="ctr"/>
        <c:lblOffset val="100"/>
        <c:tickLblSkip val="5"/>
        <c:noMultiLvlLbl val="0"/>
      </c:catAx>
      <c:valAx>
        <c:axId val="398469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 metres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3390591"/>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'4.12'!$C$5</c:f>
              <c:strCache>
                <c:ptCount val="1"/>
                <c:pt idx="0">
                  <c:v>STEPS</c:v>
                </c:pt>
              </c:strCache>
            </c:strRef>
          </c:tx>
          <c:spPr>
            <a:ln w="28575" cap="rnd">
              <a:solidFill>
                <a:srgbClr val="005CAF"/>
              </a:solidFill>
              <a:prstDash val="solid"/>
              <a:round/>
            </a:ln>
            <a:effectLst/>
          </c:spPr>
          <c:marker>
            <c:symbol val="none"/>
          </c:marker>
          <c:dPt>
            <c:idx val="10"/>
            <c:marker>
              <c:symbol val="circle"/>
              <c:size val="5"/>
              <c:spPr>
                <a:solidFill>
                  <a:srgbClr val="005CAF"/>
                </a:solidFill>
                <a:ln w="9525">
                  <a:solidFill>
                    <a:srgbClr val="005CAF"/>
                  </a:solidFill>
                </a:ln>
                <a:effectLst/>
              </c:spPr>
            </c:marker>
            <c:bubble3D val="0"/>
            <c:extLst>
              <c:ext xmlns:c16="http://schemas.microsoft.com/office/drawing/2014/chart" uri="{C3380CC4-5D6E-409C-BE32-E72D297353CC}">
                <c16:uniqueId val="{00000000-D755-4965-835A-AF97048B68D1}"/>
              </c:ext>
            </c:extLst>
          </c:dPt>
          <c:dPt>
            <c:idx val="30"/>
            <c:marker>
              <c:symbol val="circle"/>
              <c:size val="5"/>
              <c:spPr>
                <a:solidFill>
                  <a:srgbClr val="005CAF"/>
                </a:solidFill>
                <a:ln w="9525">
                  <a:solidFill>
                    <a:srgbClr val="005CAF"/>
                  </a:solidFill>
                </a:ln>
                <a:effectLst/>
              </c:spPr>
            </c:marker>
            <c:bubble3D val="0"/>
            <c:extLst>
              <c:ext xmlns:c16="http://schemas.microsoft.com/office/drawing/2014/chart" uri="{C3380CC4-5D6E-409C-BE32-E72D297353CC}">
                <c16:uniqueId val="{00000001-D755-4965-835A-AF97048B68D1}"/>
              </c:ext>
            </c:extLst>
          </c:dPt>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5-4965-835A-AF97048B68D1}"/>
                </c:ext>
              </c:extLst>
            </c:dLbl>
            <c:dLbl>
              <c:idx val="3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55-4965-835A-AF97048B68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'4.12'!$B$6:$B$36</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'4.12'!$C$6:$C$36</c:f>
              <c:numCache>
                <c:formatCode>General</c:formatCode>
                <c:ptCount val="31"/>
                <c:pt idx="2" formatCode="#,##0">
                  <c:v>489.73115620366298</c:v>
                </c:pt>
                <c:pt idx="3" formatCode="#,##0">
                  <c:v>504.31825392413884</c:v>
                </c:pt>
                <c:pt idx="4" formatCode="#,##0">
                  <c:v>518.25628005806357</c:v>
                </c:pt>
                <c:pt idx="5" formatCode="#,##0">
                  <c:v>531.54523460520431</c:v>
                </c:pt>
                <c:pt idx="6" formatCode="#,##0">
                  <c:v>544.18511756532826</c:v>
                </c:pt>
                <c:pt idx="7" formatCode="#,##0">
                  <c:v>556.17592893890105</c:v>
                </c:pt>
                <c:pt idx="8" formatCode="#,##0">
                  <c:v>567.51766872545704</c:v>
                </c:pt>
                <c:pt idx="9" formatCode="#,##0">
                  <c:v>578.21033692546189</c:v>
                </c:pt>
                <c:pt idx="10" formatCode="#,##0">
                  <c:v>588.25393353798427</c:v>
                </c:pt>
                <c:pt idx="11" formatCode="#,##0">
                  <c:v>597.64845856418833</c:v>
                </c:pt>
                <c:pt idx="12" formatCode="#,##0">
                  <c:v>606.39391200360842</c:v>
                </c:pt>
                <c:pt idx="13" formatCode="#,##0">
                  <c:v>614.49029385647736</c:v>
                </c:pt>
                <c:pt idx="14" formatCode="#,##0">
                  <c:v>621.9376041223295</c:v>
                </c:pt>
                <c:pt idx="15" formatCode="#,##0">
                  <c:v>628.73584280139767</c:v>
                </c:pt>
                <c:pt idx="16" formatCode="#,##0">
                  <c:v>634.88500989344902</c:v>
                </c:pt>
                <c:pt idx="17" formatCode="#,##0">
                  <c:v>640.38510539848357</c:v>
                </c:pt>
                <c:pt idx="18" formatCode="#,##0">
                  <c:v>645.23612931719981</c:v>
                </c:pt>
                <c:pt idx="19" formatCode="#,##0">
                  <c:v>649.43808164913207</c:v>
                </c:pt>
                <c:pt idx="20" formatCode="#,##0">
                  <c:v>652.99096239404753</c:v>
                </c:pt>
                <c:pt idx="21" formatCode="#,##0">
                  <c:v>655.89477155241184</c:v>
                </c:pt>
                <c:pt idx="22" formatCode="#,##0">
                  <c:v>658.14950912375934</c:v>
                </c:pt>
                <c:pt idx="23" formatCode="#,##0">
                  <c:v>659.7551751085557</c:v>
                </c:pt>
                <c:pt idx="24" formatCode="#,##0">
                  <c:v>660.71176950633526</c:v>
                </c:pt>
                <c:pt idx="25" formatCode="#,##0">
                  <c:v>661.01929231709801</c:v>
                </c:pt>
                <c:pt idx="26" formatCode="#,##0">
                  <c:v>660.67774354130961</c:v>
                </c:pt>
                <c:pt idx="27" formatCode="#,##0">
                  <c:v>659.68712317873724</c:v>
                </c:pt>
                <c:pt idx="28" formatCode="#,##0">
                  <c:v>658.04743122938089</c:v>
                </c:pt>
                <c:pt idx="29" formatCode="#,##0">
                  <c:v>656.56491375133999</c:v>
                </c:pt>
                <c:pt idx="30" formatCode="#,##0">
                  <c:v>656.00033165496995</c:v>
                </c:pt>
              </c:numCache>
            </c:numRef>
          </c:val>
          <c:smooth val="1"/>
          <c:extLst>
            <c:ext xmlns:c16="http://schemas.microsoft.com/office/drawing/2014/chart" uri="{C3380CC4-5D6E-409C-BE32-E72D297353CC}">
              <c16:uniqueId val="{00000002-D755-4965-835A-AF97048B68D1}"/>
            </c:ext>
          </c:extLst>
        </c:ser>
        <c:ser>
          <c:idx val="1"/>
          <c:order val="1"/>
          <c:tx>
            <c:strRef>
              <c:f>'4.12'!$D$5</c:f>
              <c:strCache>
                <c:ptCount val="1"/>
                <c:pt idx="0">
                  <c:v>APS</c:v>
                </c:pt>
              </c:strCache>
            </c:strRef>
          </c:tx>
          <c:spPr>
            <a:ln w="28575" cap="rnd">
              <a:solidFill>
                <a:srgbClr val="56B4DF"/>
              </a:solidFill>
              <a:prstDash val="solid"/>
              <a:round/>
            </a:ln>
            <a:effectLst/>
          </c:spPr>
          <c:marker>
            <c:symbol val="none"/>
          </c:marker>
          <c:dPt>
            <c:idx val="1"/>
            <c:marker>
              <c:symbol val="circle"/>
              <c:size val="5"/>
              <c:spPr>
                <a:solidFill>
                  <a:srgbClr val="56B4DF"/>
                </a:solidFill>
                <a:ln w="9525">
                  <a:solidFill>
                    <a:srgbClr val="56B4DF"/>
                  </a:solidFill>
                </a:ln>
                <a:effectLst/>
              </c:spPr>
            </c:marker>
            <c:bubble3D val="0"/>
            <c:extLst>
              <c:ext xmlns:c16="http://schemas.microsoft.com/office/drawing/2014/chart" uri="{C3380CC4-5D6E-409C-BE32-E72D297353CC}">
                <c16:uniqueId val="{00000003-D755-4965-835A-AF97048B68D1}"/>
              </c:ext>
            </c:extLst>
          </c:dPt>
          <c:dPt>
            <c:idx val="2"/>
            <c:marker>
              <c:symbol val="circle"/>
              <c:size val="5"/>
              <c:spPr>
                <a:solidFill>
                  <a:srgbClr val="56B4DF"/>
                </a:solidFill>
                <a:ln w="9525">
                  <a:solidFill>
                    <a:srgbClr val="56B4DF"/>
                  </a:solidFill>
                </a:ln>
                <a:effectLst/>
              </c:spPr>
            </c:marker>
            <c:bubble3D val="0"/>
            <c:extLst>
              <c:ext xmlns:c16="http://schemas.microsoft.com/office/drawing/2014/chart" uri="{C3380CC4-5D6E-409C-BE32-E72D297353CC}">
                <c16:uniqueId val="{00000004-D755-4965-835A-AF97048B68D1}"/>
              </c:ext>
            </c:extLst>
          </c:dPt>
          <c:dPt>
            <c:idx val="8"/>
            <c:marker>
              <c:symbol val="none"/>
            </c:marker>
            <c:bubble3D val="0"/>
            <c:extLst>
              <c:ext xmlns:c16="http://schemas.microsoft.com/office/drawing/2014/chart" uri="{C3380CC4-5D6E-409C-BE32-E72D297353CC}">
                <c16:uniqueId val="{00000005-D755-4965-835A-AF97048B68D1}"/>
              </c:ext>
            </c:extLst>
          </c:dPt>
          <c:dPt>
            <c:idx val="10"/>
            <c:marker>
              <c:symbol val="none"/>
            </c:marker>
            <c:bubble3D val="0"/>
            <c:extLst>
              <c:ext xmlns:c16="http://schemas.microsoft.com/office/drawing/2014/chart" uri="{C3380CC4-5D6E-409C-BE32-E72D297353CC}">
                <c16:uniqueId val="{00000006-D755-4965-835A-AF97048B68D1}"/>
              </c:ext>
            </c:extLst>
          </c:dPt>
          <c:dPt>
            <c:idx val="13"/>
            <c:marker>
              <c:symbol val="none"/>
            </c:marker>
            <c:bubble3D val="0"/>
            <c:extLst>
              <c:ext xmlns:c16="http://schemas.microsoft.com/office/drawing/2014/chart" uri="{C3380CC4-5D6E-409C-BE32-E72D297353CC}">
                <c16:uniqueId val="{00000007-D755-4965-835A-AF97048B68D1}"/>
              </c:ext>
            </c:extLst>
          </c:dPt>
          <c:dPt>
            <c:idx val="15"/>
            <c:marker>
              <c:symbol val="circle"/>
              <c:size val="5"/>
              <c:spPr>
                <a:solidFill>
                  <a:srgbClr val="56B4DF"/>
                </a:solidFill>
                <a:ln w="9525">
                  <a:solidFill>
                    <a:srgbClr val="56B4DF"/>
                  </a:solidFill>
                </a:ln>
                <a:effectLst/>
              </c:spPr>
            </c:marker>
            <c:bubble3D val="0"/>
            <c:extLst>
              <c:ext xmlns:c16="http://schemas.microsoft.com/office/drawing/2014/chart" uri="{C3380CC4-5D6E-409C-BE32-E72D297353CC}">
                <c16:uniqueId val="{00000008-D755-4965-835A-AF97048B68D1}"/>
              </c:ext>
            </c:extLst>
          </c:dPt>
          <c:dPt>
            <c:idx val="28"/>
            <c:marker>
              <c:symbol val="none"/>
            </c:marker>
            <c:bubble3D val="0"/>
            <c:extLst>
              <c:ext xmlns:c16="http://schemas.microsoft.com/office/drawing/2014/chart" uri="{C3380CC4-5D6E-409C-BE32-E72D297353CC}">
                <c16:uniqueId val="{00000009-D755-4965-835A-AF97048B68D1}"/>
              </c:ext>
            </c:extLst>
          </c:dPt>
          <c:dPt>
            <c:idx val="30"/>
            <c:marker>
              <c:symbol val="circle"/>
              <c:size val="5"/>
              <c:spPr>
                <a:solidFill>
                  <a:srgbClr val="56B4DF"/>
                </a:solidFill>
                <a:ln w="9525">
                  <a:solidFill>
                    <a:srgbClr val="56B4DF"/>
                  </a:solidFill>
                </a:ln>
                <a:effectLst/>
              </c:spPr>
            </c:marker>
            <c:bubble3D val="0"/>
            <c:extLst>
              <c:ext xmlns:c16="http://schemas.microsoft.com/office/drawing/2014/chart" uri="{C3380CC4-5D6E-409C-BE32-E72D297353CC}">
                <c16:uniqueId val="{0000000A-D755-4965-835A-AF97048B68D1}"/>
              </c:ext>
            </c:extLst>
          </c:dPt>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55-4965-835A-AF97048B68D1}"/>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55-4965-835A-AF97048B68D1}"/>
                </c:ext>
              </c:extLst>
            </c:dLbl>
            <c:dLbl>
              <c:idx val="1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55-4965-835A-AF97048B68D1}"/>
                </c:ext>
              </c:extLst>
            </c:dLbl>
            <c:dLbl>
              <c:idx val="3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55-4965-835A-AF97048B68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'4.12'!$B$6:$B$36</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'4.12'!$D$6:$D$36</c:f>
              <c:numCache>
                <c:formatCode>General</c:formatCode>
                <c:ptCount val="31"/>
                <c:pt idx="2" formatCode="#,##0">
                  <c:v>490</c:v>
                </c:pt>
                <c:pt idx="3" formatCode="#,##0">
                  <c:v>506.65132618322968</c:v>
                </c:pt>
                <c:pt idx="4" formatCode="#,##0">
                  <c:v>522.68357676826417</c:v>
                </c:pt>
                <c:pt idx="5" formatCode="#,##0">
                  <c:v>536.66856129374355</c:v>
                </c:pt>
                <c:pt idx="6" formatCode="#,##0">
                  <c:v>548.60627976153046</c:v>
                </c:pt>
                <c:pt idx="7" formatCode="#,##0">
                  <c:v>558.49673217069358</c:v>
                </c:pt>
                <c:pt idx="8" formatCode="#,##0">
                  <c:v>566.3399185212329</c:v>
                </c:pt>
                <c:pt idx="9" formatCode="#,##0">
                  <c:v>572.13583881314844</c:v>
                </c:pt>
                <c:pt idx="10" formatCode="#,##0">
                  <c:v>575.88449304550886</c:v>
                </c:pt>
                <c:pt idx="11" formatCode="#,##0">
                  <c:v>577.58588122203946</c:v>
                </c:pt>
                <c:pt idx="12" formatCode="#,##0">
                  <c:v>577.24000333808362</c:v>
                </c:pt>
                <c:pt idx="13" formatCode="#,##0">
                  <c:v>574.846859395504</c:v>
                </c:pt>
                <c:pt idx="14" formatCode="#,##0">
                  <c:v>570.40644939430058</c:v>
                </c:pt>
                <c:pt idx="15" formatCode="#,##0">
                  <c:v>563.91877333447337</c:v>
                </c:pt>
                <c:pt idx="16" formatCode="#,##0">
                  <c:v>555.38383121602237</c:v>
                </c:pt>
                <c:pt idx="17" formatCode="#,##0">
                  <c:v>544.80162303894758</c:v>
                </c:pt>
                <c:pt idx="18" formatCode="#,##0">
                  <c:v>532.172148803249</c:v>
                </c:pt>
                <c:pt idx="19" formatCode="#,##0">
                  <c:v>517.49540850892663</c:v>
                </c:pt>
                <c:pt idx="20" formatCode="#,##0">
                  <c:v>500.77140215598047</c:v>
                </c:pt>
                <c:pt idx="21" formatCode="#,##0">
                  <c:v>482.00012974441051</c:v>
                </c:pt>
                <c:pt idx="22" formatCode="#,##0">
                  <c:v>461.18159127514809</c:v>
                </c:pt>
                <c:pt idx="23" formatCode="#,##0">
                  <c:v>438.31578674633056</c:v>
                </c:pt>
                <c:pt idx="24" formatCode="#,##0">
                  <c:v>416</c:v>
                </c:pt>
                <c:pt idx="25" formatCode="#,##0">
                  <c:v>386.44237951282412</c:v>
                </c:pt>
                <c:pt idx="26" formatCode="#,##0">
                  <c:v>361</c:v>
                </c:pt>
                <c:pt idx="27" formatCode="#,##0">
                  <c:v>333</c:v>
                </c:pt>
                <c:pt idx="28" formatCode="#,##0">
                  <c:v>305</c:v>
                </c:pt>
                <c:pt idx="29" formatCode="#,##0">
                  <c:v>272</c:v>
                </c:pt>
                <c:pt idx="30" formatCode="#,##0">
                  <c:v>242</c:v>
                </c:pt>
              </c:numCache>
            </c:numRef>
          </c:val>
          <c:smooth val="1"/>
          <c:extLst>
            <c:ext xmlns:c16="http://schemas.microsoft.com/office/drawing/2014/chart" uri="{C3380CC4-5D6E-409C-BE32-E72D297353CC}">
              <c16:uniqueId val="{0000000B-D755-4965-835A-AF97048B68D1}"/>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5"/>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 metres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'4.13'!$C$5</c:f>
              <c:strCache>
                <c:ptCount val="1"/>
                <c:pt idx="0">
                  <c:v>STEPS</c:v>
                </c:pt>
              </c:strCache>
            </c:strRef>
          </c:tx>
          <c:spPr>
            <a:ln w="28575" cap="rnd">
              <a:solidFill>
                <a:srgbClr val="005CAF"/>
              </a:solidFill>
              <a:prstDash val="solid"/>
              <a:round/>
            </a:ln>
            <a:effectLst/>
          </c:spPr>
          <c:marker>
            <c:symbol val="none"/>
          </c:marker>
          <c:cat>
            <c:numRef>
              <c:f>'4.13'!$B$7:$B$34</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cat>
          <c:val>
            <c:numRef>
              <c:f>'4.13'!$C$7:$C$34</c:f>
              <c:numCache>
                <c:formatCode>0</c:formatCode>
                <c:ptCount val="28"/>
                <c:pt idx="1">
                  <c:v>95.088282189487515</c:v>
                </c:pt>
                <c:pt idx="2">
                  <c:v>93.459906773803425</c:v>
                </c:pt>
                <c:pt idx="3">
                  <c:v>92.894371944040302</c:v>
                </c:pt>
                <c:pt idx="4">
                  <c:v>92.640252015367011</c:v>
                </c:pt>
                <c:pt idx="5">
                  <c:v>91.971859503658791</c:v>
                </c:pt>
                <c:pt idx="6">
                  <c:v>90.324904612293921</c:v>
                </c:pt>
                <c:pt idx="7">
                  <c:v>88.786374230681076</c:v>
                </c:pt>
                <c:pt idx="8">
                  <c:v>87.40983356831299</c:v>
                </c:pt>
                <c:pt idx="9">
                  <c:v>86.286797411242475</c:v>
                </c:pt>
                <c:pt idx="10">
                  <c:v>85.179520379228933</c:v>
                </c:pt>
                <c:pt idx="11">
                  <c:v>83.384679803310448</c:v>
                </c:pt>
                <c:pt idx="12">
                  <c:v>82.057693191488568</c:v>
                </c:pt>
                <c:pt idx="13">
                  <c:v>81.239496216715779</c:v>
                </c:pt>
                <c:pt idx="14">
                  <c:v>79.541510500755379</c:v>
                </c:pt>
                <c:pt idx="15">
                  <c:v>77.324345835995146</c:v>
                </c:pt>
                <c:pt idx="16">
                  <c:v>75.501979020286981</c:v>
                </c:pt>
                <c:pt idx="17">
                  <c:v>72.702975517648937</c:v>
                </c:pt>
                <c:pt idx="18">
                  <c:v>69.969566768530925</c:v>
                </c:pt>
                <c:pt idx="19">
                  <c:v>67.289008278269733</c:v>
                </c:pt>
                <c:pt idx="20">
                  <c:v>65.457823176598382</c:v>
                </c:pt>
                <c:pt idx="21">
                  <c:v>63.659546124734028</c:v>
                </c:pt>
                <c:pt idx="22">
                  <c:v>62.155988302071663</c:v>
                </c:pt>
                <c:pt idx="23">
                  <c:v>61.142890233473494</c:v>
                </c:pt>
                <c:pt idx="24">
                  <c:v>60.931282812193139</c:v>
                </c:pt>
                <c:pt idx="25">
                  <c:v>60.313139873625303</c:v>
                </c:pt>
                <c:pt idx="26">
                  <c:v>61.503441781168569</c:v>
                </c:pt>
                <c:pt idx="27">
                  <c:v>63.310593900774279</c:v>
                </c:pt>
              </c:numCache>
            </c:numRef>
          </c:val>
          <c:smooth val="1"/>
          <c:extLst>
            <c:ext xmlns:c16="http://schemas.microsoft.com/office/drawing/2014/chart" uri="{C3380CC4-5D6E-409C-BE32-E72D297353CC}">
              <c16:uniqueId val="{00000000-2A44-483E-9F92-D812A2200113}"/>
            </c:ext>
          </c:extLst>
        </c:ser>
        <c:ser>
          <c:idx val="1"/>
          <c:order val="1"/>
          <c:tx>
            <c:strRef>
              <c:f>'4.13'!$D$5</c:f>
              <c:strCache>
                <c:ptCount val="1"/>
                <c:pt idx="0">
                  <c:v>APS</c:v>
                </c:pt>
              </c:strCache>
            </c:strRef>
          </c:tx>
          <c:spPr>
            <a:ln w="28575" cap="rnd">
              <a:solidFill>
                <a:srgbClr val="56B4DF"/>
              </a:solidFill>
              <a:prstDash val="solid"/>
              <a:round/>
            </a:ln>
            <a:effectLst/>
          </c:spPr>
          <c:marker>
            <c:symbol val="none"/>
          </c:marker>
          <c:cat>
            <c:numRef>
              <c:f>'4.13'!$B$7:$B$34</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cat>
          <c:val>
            <c:numRef>
              <c:f>'4.13'!$D$7:$D$34</c:f>
              <c:numCache>
                <c:formatCode>0</c:formatCode>
                <c:ptCount val="28"/>
                <c:pt idx="1">
                  <c:v>92.371780254809821</c:v>
                </c:pt>
                <c:pt idx="2">
                  <c:v>90.795202039449663</c:v>
                </c:pt>
                <c:pt idx="3">
                  <c:v>92.043049428191836</c:v>
                </c:pt>
                <c:pt idx="4">
                  <c:v>91.985253652815913</c:v>
                </c:pt>
                <c:pt idx="5">
                  <c:v>90.937795083122026</c:v>
                </c:pt>
                <c:pt idx="6">
                  <c:v>88.998623379269702</c:v>
                </c:pt>
                <c:pt idx="7">
                  <c:v>87.845135582260951</c:v>
                </c:pt>
                <c:pt idx="8">
                  <c:v>84.971779066883798</c:v>
                </c:pt>
                <c:pt idx="9">
                  <c:v>82.500194058153582</c:v>
                </c:pt>
                <c:pt idx="10">
                  <c:v>79.892114860856736</c:v>
                </c:pt>
                <c:pt idx="11">
                  <c:v>77.482514428632228</c:v>
                </c:pt>
                <c:pt idx="12">
                  <c:v>74.110911911987046</c:v>
                </c:pt>
                <c:pt idx="13">
                  <c:v>69.874206002722289</c:v>
                </c:pt>
                <c:pt idx="14">
                  <c:v>63.586747554468047</c:v>
                </c:pt>
                <c:pt idx="15">
                  <c:v>58.097786709606453</c:v>
                </c:pt>
                <c:pt idx="16">
                  <c:v>52.182594171191774</c:v>
                </c:pt>
                <c:pt idx="17">
                  <c:v>46.984176787858907</c:v>
                </c:pt>
                <c:pt idx="18">
                  <c:v>43.30677430093084</c:v>
                </c:pt>
                <c:pt idx="19">
                  <c:v>41.692547237954344</c:v>
                </c:pt>
                <c:pt idx="20">
                  <c:v>38.807293087162606</c:v>
                </c:pt>
                <c:pt idx="21">
                  <c:v>35.796615076655151</c:v>
                </c:pt>
                <c:pt idx="22">
                  <c:v>32.384734351376565</c:v>
                </c:pt>
                <c:pt idx="23">
                  <c:v>30.759532231151447</c:v>
                </c:pt>
                <c:pt idx="24">
                  <c:v>29.411832835019208</c:v>
                </c:pt>
                <c:pt idx="25">
                  <c:v>29.456436144315411</c:v>
                </c:pt>
                <c:pt idx="26">
                  <c:v>30.458521674940719</c:v>
                </c:pt>
                <c:pt idx="27">
                  <c:v>30.587125055788448</c:v>
                </c:pt>
              </c:numCache>
            </c:numRef>
          </c:val>
          <c:smooth val="1"/>
          <c:extLst>
            <c:ext xmlns:c16="http://schemas.microsoft.com/office/drawing/2014/chart" uri="{C3380CC4-5D6E-409C-BE32-E72D297353CC}">
              <c16:uniqueId val="{00000001-2A44-483E-9F92-D812A2200113}"/>
            </c:ext>
          </c:extLst>
        </c:ser>
        <c:ser>
          <c:idx val="2"/>
          <c:order val="2"/>
          <c:tx>
            <c:strRef>
              <c:f>'4.13'!$E$5</c:f>
              <c:strCache>
                <c:ptCount val="1"/>
                <c:pt idx="0">
                  <c:v>NZE</c:v>
                </c:pt>
              </c:strCache>
            </c:strRef>
          </c:tx>
          <c:spPr>
            <a:ln w="28575" cap="rnd">
              <a:solidFill>
                <a:srgbClr val="9ED9DF"/>
              </a:solidFill>
              <a:prstDash val="solid"/>
              <a:round/>
            </a:ln>
            <a:effectLst/>
          </c:spPr>
          <c:marker>
            <c:symbol val="none"/>
          </c:marker>
          <c:cat>
            <c:numRef>
              <c:f>'4.13'!$B$7:$B$34</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cat>
          <c:val>
            <c:numRef>
              <c:f>'4.13'!$E$7:$E$34</c:f>
              <c:numCache>
                <c:formatCode>0</c:formatCode>
                <c:ptCount val="28"/>
                <c:pt idx="1">
                  <c:v>86.419691342085514</c:v>
                </c:pt>
                <c:pt idx="2">
                  <c:v>85.882245757405812</c:v>
                </c:pt>
                <c:pt idx="3">
                  <c:v>85.939535278997383</c:v>
                </c:pt>
                <c:pt idx="4">
                  <c:v>84.668769965541358</c:v>
                </c:pt>
                <c:pt idx="5">
                  <c:v>82.112802713709669</c:v>
                </c:pt>
                <c:pt idx="6">
                  <c:v>79.689276185070668</c:v>
                </c:pt>
                <c:pt idx="7">
                  <c:v>77.119079414403799</c:v>
                </c:pt>
                <c:pt idx="8">
                  <c:v>72.523236668298793</c:v>
                </c:pt>
                <c:pt idx="9">
                  <c:v>66.456003170668509</c:v>
                </c:pt>
                <c:pt idx="10">
                  <c:v>60.184305034998786</c:v>
                </c:pt>
                <c:pt idx="11">
                  <c:v>54.101061016405609</c:v>
                </c:pt>
                <c:pt idx="12">
                  <c:v>48.315758538845792</c:v>
                </c:pt>
                <c:pt idx="13">
                  <c:v>41.590744420742077</c:v>
                </c:pt>
                <c:pt idx="14">
                  <c:v>35.801660052782267</c:v>
                </c:pt>
                <c:pt idx="15">
                  <c:v>30.011719776671661</c:v>
                </c:pt>
                <c:pt idx="16">
                  <c:v>24.433170055486748</c:v>
                </c:pt>
                <c:pt idx="17">
                  <c:v>20.064817381299058</c:v>
                </c:pt>
                <c:pt idx="18">
                  <c:v>17.084315524875695</c:v>
                </c:pt>
                <c:pt idx="19">
                  <c:v>15.656983586694428</c:v>
                </c:pt>
                <c:pt idx="20">
                  <c:v>14.272211602601057</c:v>
                </c:pt>
                <c:pt idx="21">
                  <c:v>13.237503857635199</c:v>
                </c:pt>
                <c:pt idx="22">
                  <c:v>11.558169354294499</c:v>
                </c:pt>
                <c:pt idx="23">
                  <c:v>10.590953957377057</c:v>
                </c:pt>
                <c:pt idx="24">
                  <c:v>9.7660516681204399</c:v>
                </c:pt>
                <c:pt idx="25">
                  <c:v>9.3378892522138095</c:v>
                </c:pt>
                <c:pt idx="26">
                  <c:v>9.131032042294251</c:v>
                </c:pt>
                <c:pt idx="27">
                  <c:v>9.4257384499793009</c:v>
                </c:pt>
              </c:numCache>
            </c:numRef>
          </c:val>
          <c:smooth val="1"/>
          <c:extLst>
            <c:ext xmlns:c16="http://schemas.microsoft.com/office/drawing/2014/chart" uri="{C3380CC4-5D6E-409C-BE32-E72D297353CC}">
              <c16:uniqueId val="{00000002-2A44-483E-9F92-D812A2200113}"/>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3"/>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 metres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majorUnit val="2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'4.14'!$C$5</c:f>
              <c:strCache>
                <c:ptCount val="1"/>
                <c:pt idx="0">
                  <c:v>STEPS</c:v>
                </c:pt>
              </c:strCache>
            </c:strRef>
          </c:tx>
          <c:spPr>
            <a:ln w="28575" cap="rnd">
              <a:solidFill>
                <a:srgbClr val="005CAF"/>
              </a:solidFill>
              <a:prstDash val="solid"/>
              <a:round/>
            </a:ln>
            <a:effectLst/>
          </c:spPr>
          <c:marker>
            <c:symbol val="none"/>
          </c:marker>
          <c:cat>
            <c:numRef>
              <c:f>'4.14'!$B$7:$B$34</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cat>
          <c:val>
            <c:numRef>
              <c:f>'4.14'!$C$7:$C$34</c:f>
              <c:numCache>
                <c:formatCode>0</c:formatCode>
                <c:ptCount val="28"/>
                <c:pt idx="1">
                  <c:v>10.380314274871985</c:v>
                </c:pt>
                <c:pt idx="2">
                  <c:v>12.689142777776997</c:v>
                </c:pt>
                <c:pt idx="3">
                  <c:v>13.933062022847563</c:v>
                </c:pt>
                <c:pt idx="4">
                  <c:v>15.95392912141034</c:v>
                </c:pt>
                <c:pt idx="5">
                  <c:v>18.730528177035989</c:v>
                </c:pt>
                <c:pt idx="6">
                  <c:v>22.390502361867494</c:v>
                </c:pt>
                <c:pt idx="7">
                  <c:v>25.794327764750882</c:v>
                </c:pt>
                <c:pt idx="8">
                  <c:v>28.150545810948948</c:v>
                </c:pt>
                <c:pt idx="9">
                  <c:v>28.972327604152593</c:v>
                </c:pt>
                <c:pt idx="10">
                  <c:v>29.684693931507031</c:v>
                </c:pt>
                <c:pt idx="11">
                  <c:v>31.180495914213953</c:v>
                </c:pt>
                <c:pt idx="12">
                  <c:v>32.119387626644674</c:v>
                </c:pt>
                <c:pt idx="13">
                  <c:v>32.509155841752232</c:v>
                </c:pt>
                <c:pt idx="14">
                  <c:v>33.47344924112646</c:v>
                </c:pt>
                <c:pt idx="15">
                  <c:v>34.36180734897502</c:v>
                </c:pt>
                <c:pt idx="16">
                  <c:v>34.703350470141643</c:v>
                </c:pt>
                <c:pt idx="17">
                  <c:v>35.714509629610163</c:v>
                </c:pt>
                <c:pt idx="18">
                  <c:v>36.362700819656965</c:v>
                </c:pt>
                <c:pt idx="19">
                  <c:v>36.830090316124007</c:v>
                </c:pt>
                <c:pt idx="20">
                  <c:v>36.781750160256749</c:v>
                </c:pt>
                <c:pt idx="21">
                  <c:v>36.698542119183351</c:v>
                </c:pt>
                <c:pt idx="22">
                  <c:v>36.458215285103989</c:v>
                </c:pt>
                <c:pt idx="23">
                  <c:v>35.444874626539551</c:v>
                </c:pt>
                <c:pt idx="24">
                  <c:v>33.98523967206755</c:v>
                </c:pt>
                <c:pt idx="25">
                  <c:v>32.755381636141074</c:v>
                </c:pt>
                <c:pt idx="26">
                  <c:v>29.937137360779058</c:v>
                </c:pt>
                <c:pt idx="27">
                  <c:v>26.427115656226597</c:v>
                </c:pt>
              </c:numCache>
            </c:numRef>
          </c:val>
          <c:smooth val="1"/>
          <c:extLst>
            <c:ext xmlns:c16="http://schemas.microsoft.com/office/drawing/2014/chart" uri="{C3380CC4-5D6E-409C-BE32-E72D297353CC}">
              <c16:uniqueId val="{00000000-D94C-4E1B-B0B5-0D5CF71F1C04}"/>
            </c:ext>
          </c:extLst>
        </c:ser>
        <c:ser>
          <c:idx val="1"/>
          <c:order val="1"/>
          <c:tx>
            <c:strRef>
              <c:f>'4.14'!$D$5</c:f>
              <c:strCache>
                <c:ptCount val="1"/>
                <c:pt idx="0">
                  <c:v>APS</c:v>
                </c:pt>
              </c:strCache>
            </c:strRef>
          </c:tx>
          <c:spPr>
            <a:ln w="28575" cap="rnd">
              <a:solidFill>
                <a:srgbClr val="56B4DF"/>
              </a:solidFill>
              <a:prstDash val="solid"/>
              <a:round/>
            </a:ln>
            <a:effectLst/>
          </c:spPr>
          <c:marker>
            <c:symbol val="none"/>
          </c:marker>
          <c:cat>
            <c:numRef>
              <c:f>'4.14'!$B$7:$B$34</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cat>
          <c:val>
            <c:numRef>
              <c:f>'4.14'!$D$7:$D$34</c:f>
              <c:numCache>
                <c:formatCode>0</c:formatCode>
                <c:ptCount val="28"/>
                <c:pt idx="1">
                  <c:v>9.4415745532952098</c:v>
                </c:pt>
                <c:pt idx="2">
                  <c:v>9.9653894360629653</c:v>
                </c:pt>
                <c:pt idx="3">
                  <c:v>11.135134644901221</c:v>
                </c:pt>
                <c:pt idx="4">
                  <c:v>11.7347127856748</c:v>
                </c:pt>
                <c:pt idx="5">
                  <c:v>12.454603796084786</c:v>
                </c:pt>
                <c:pt idx="6">
                  <c:v>13.218611019408169</c:v>
                </c:pt>
                <c:pt idx="7">
                  <c:v>13.39513446454718</c:v>
                </c:pt>
                <c:pt idx="8">
                  <c:v>13.181281411135178</c:v>
                </c:pt>
                <c:pt idx="9">
                  <c:v>11.909991677877988</c:v>
                </c:pt>
                <c:pt idx="10">
                  <c:v>10.122905813164669</c:v>
                </c:pt>
                <c:pt idx="11">
                  <c:v>9.0145363922804513</c:v>
                </c:pt>
                <c:pt idx="12">
                  <c:v>7.8646630599288496</c:v>
                </c:pt>
                <c:pt idx="13">
                  <c:v>6.048116456087234</c:v>
                </c:pt>
                <c:pt idx="14">
                  <c:v>4.8257291195906014</c:v>
                </c:pt>
                <c:pt idx="15">
                  <c:v>3.609047657547495</c:v>
                </c:pt>
                <c:pt idx="16">
                  <c:v>2.4275479615473845</c:v>
                </c:pt>
                <c:pt idx="17">
                  <c:v>1.7407479615473846</c:v>
                </c:pt>
                <c:pt idx="18">
                  <c:v>1.6941650170980971</c:v>
                </c:pt>
                <c:pt idx="19">
                  <c:v>1.6941650170980971</c:v>
                </c:pt>
                <c:pt idx="20">
                  <c:v>1.6941650170980971</c:v>
                </c:pt>
                <c:pt idx="21">
                  <c:v>1.72244</c:v>
                </c:pt>
                <c:pt idx="22">
                  <c:v>1.72244</c:v>
                </c:pt>
                <c:pt idx="23">
                  <c:v>1.72244</c:v>
                </c:pt>
                <c:pt idx="24">
                  <c:v>1.72244</c:v>
                </c:pt>
                <c:pt idx="25">
                  <c:v>1.72244</c:v>
                </c:pt>
                <c:pt idx="26">
                  <c:v>1.6646399999999999</c:v>
                </c:pt>
                <c:pt idx="27">
                  <c:v>1.6646399999999999</c:v>
                </c:pt>
              </c:numCache>
            </c:numRef>
          </c:val>
          <c:smooth val="1"/>
          <c:extLst>
            <c:ext xmlns:c16="http://schemas.microsoft.com/office/drawing/2014/chart" uri="{C3380CC4-5D6E-409C-BE32-E72D297353CC}">
              <c16:uniqueId val="{00000001-D94C-4E1B-B0B5-0D5CF71F1C04}"/>
            </c:ext>
          </c:extLst>
        </c:ser>
        <c:ser>
          <c:idx val="2"/>
          <c:order val="2"/>
          <c:tx>
            <c:strRef>
              <c:f>'4.14'!$E$5</c:f>
              <c:strCache>
                <c:ptCount val="1"/>
                <c:pt idx="0">
                  <c:v>NZE</c:v>
                </c:pt>
              </c:strCache>
            </c:strRef>
          </c:tx>
          <c:spPr>
            <a:ln w="28575" cap="rnd">
              <a:solidFill>
                <a:srgbClr val="9ED9DF"/>
              </a:solidFill>
              <a:prstDash val="solid"/>
              <a:round/>
            </a:ln>
            <a:effectLst/>
          </c:spPr>
          <c:marker>
            <c:symbol val="none"/>
          </c:marker>
          <c:cat>
            <c:numRef>
              <c:f>'4.14'!$B$7:$B$34</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cat>
          <c:val>
            <c:numRef>
              <c:f>'4.14'!$E$7:$E$34</c:f>
              <c:numCache>
                <c:formatCode>0</c:formatCode>
                <c:ptCount val="28"/>
                <c:pt idx="1">
                  <c:v>15.146083392721707</c:v>
                </c:pt>
                <c:pt idx="2">
                  <c:v>15.937490796434366</c:v>
                </c:pt>
                <c:pt idx="3">
                  <c:v>15.937777389869026</c:v>
                </c:pt>
                <c:pt idx="4">
                  <c:v>17.785606677373778</c:v>
                </c:pt>
                <c:pt idx="5">
                  <c:v>19.936110893099755</c:v>
                </c:pt>
                <c:pt idx="6">
                  <c:v>21.244082383168809</c:v>
                </c:pt>
                <c:pt idx="7">
                  <c:v>21.207838601162639</c:v>
                </c:pt>
                <c:pt idx="8">
                  <c:v>20.58780840347675</c:v>
                </c:pt>
                <c:pt idx="9">
                  <c:v>17.624899919294705</c:v>
                </c:pt>
                <c:pt idx="10">
                  <c:v>14.610913974747344</c:v>
                </c:pt>
                <c:pt idx="11">
                  <c:v>11.815252511574526</c:v>
                </c:pt>
                <c:pt idx="12">
                  <c:v>9.3374801769669151</c:v>
                </c:pt>
                <c:pt idx="13">
                  <c:v>7.318017647657979</c:v>
                </c:pt>
                <c:pt idx="14">
                  <c:v>5.7717075197635808</c:v>
                </c:pt>
                <c:pt idx="15">
                  <c:v>4.2442177792028328</c:v>
                </c:pt>
                <c:pt idx="16">
                  <c:v>3.0356190737622564</c:v>
                </c:pt>
                <c:pt idx="17">
                  <c:v>2.0731848604418914</c:v>
                </c:pt>
                <c:pt idx="18">
                  <c:v>1.8578781534021089</c:v>
                </c:pt>
                <c:pt idx="19">
                  <c:v>1.6646399999999999</c:v>
                </c:pt>
                <c:pt idx="20">
                  <c:v>1.6646399999999999</c:v>
                </c:pt>
                <c:pt idx="21">
                  <c:v>1.6646399999999999</c:v>
                </c:pt>
                <c:pt idx="22">
                  <c:v>1.6646399999999999</c:v>
                </c:pt>
                <c:pt idx="23">
                  <c:v>1.6646399999999999</c:v>
                </c:pt>
                <c:pt idx="24">
                  <c:v>1.6646399999999999</c:v>
                </c:pt>
                <c:pt idx="25">
                  <c:v>1.6646399999999999</c:v>
                </c:pt>
                <c:pt idx="26">
                  <c:v>1.6646399999999999</c:v>
                </c:pt>
                <c:pt idx="27">
                  <c:v>1.6646399999999999</c:v>
                </c:pt>
              </c:numCache>
            </c:numRef>
          </c:val>
          <c:smooth val="1"/>
          <c:extLst>
            <c:ext xmlns:c16="http://schemas.microsoft.com/office/drawing/2014/chart" uri="{C3380CC4-5D6E-409C-BE32-E72D297353CC}">
              <c16:uniqueId val="{00000002-D94C-4E1B-B0B5-0D5CF71F1C04}"/>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3"/>
        <c:noMultiLvlLbl val="0"/>
      </c:catAx>
      <c:valAx>
        <c:axId val="11102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 metres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'4.15'!$C$5</c:f>
              <c:strCache>
                <c:ptCount val="1"/>
                <c:pt idx="0">
                  <c:v>Variable costs</c:v>
                </c:pt>
              </c:strCache>
            </c:strRef>
          </c:tx>
          <c:spPr>
            <a:solidFill>
              <a:srgbClr val="005CAF"/>
            </a:solidFill>
            <a:ln>
              <a:noFill/>
            </a:ln>
            <a:effectLst/>
          </c:spPr>
          <c:invertIfNegative val="0"/>
          <c:cat>
            <c:strRef>
              <c:f>'4.15'!$B$6:$B$12</c:f>
              <c:strCache>
                <c:ptCount val="7"/>
                <c:pt idx="0">
                  <c:v>Australia</c:v>
                </c:pt>
                <c:pt idx="1">
                  <c:v>Indonesia</c:v>
                </c:pt>
                <c:pt idx="2">
                  <c:v>USA</c:v>
                </c:pt>
                <c:pt idx="3">
                  <c:v>Russia</c:v>
                </c:pt>
                <c:pt idx="4">
                  <c:v>Nigeria</c:v>
                </c:pt>
                <c:pt idx="5">
                  <c:v>Malaysia</c:v>
                </c:pt>
                <c:pt idx="6">
                  <c:v>Qatar</c:v>
                </c:pt>
              </c:strCache>
            </c:strRef>
          </c:cat>
          <c:val>
            <c:numRef>
              <c:f>'4.15'!$C$6:$C$12</c:f>
              <c:numCache>
                <c:formatCode>0.00</c:formatCode>
                <c:ptCount val="7"/>
                <c:pt idx="0">
                  <c:v>2.739194859294007</c:v>
                </c:pt>
                <c:pt idx="1">
                  <c:v>2.8543433906199196</c:v>
                </c:pt>
                <c:pt idx="2">
                  <c:v>2.8565050341388325</c:v>
                </c:pt>
                <c:pt idx="3">
                  <c:v>1.5191299231055926</c:v>
                </c:pt>
                <c:pt idx="4">
                  <c:v>1.1803345211731751</c:v>
                </c:pt>
                <c:pt idx="5">
                  <c:v>1.3602642147087125</c:v>
                </c:pt>
                <c:pt idx="6">
                  <c:v>1.1035961679716437</c:v>
                </c:pt>
              </c:numCache>
            </c:numRef>
          </c:val>
          <c:extLst>
            <c:ext xmlns:c16="http://schemas.microsoft.com/office/drawing/2014/chart" uri="{C3380CC4-5D6E-409C-BE32-E72D297353CC}">
              <c16:uniqueId val="{00000000-E974-4EE2-A50F-E5D542C90ECE}"/>
            </c:ext>
          </c:extLst>
        </c:ser>
        <c:ser>
          <c:idx val="1"/>
          <c:order val="1"/>
          <c:tx>
            <c:strRef>
              <c:f>'4.15'!$D$5</c:f>
              <c:strCache>
                <c:ptCount val="1"/>
                <c:pt idx="0">
                  <c:v>Fixed costs</c:v>
                </c:pt>
              </c:strCache>
            </c:strRef>
          </c:tx>
          <c:spPr>
            <a:solidFill>
              <a:srgbClr val="56B4DF"/>
            </a:solidFill>
            <a:ln>
              <a:noFill/>
            </a:ln>
            <a:effectLst/>
          </c:spPr>
          <c:invertIfNegative val="0"/>
          <c:cat>
            <c:strRef>
              <c:f>'4.15'!$B$6:$B$12</c:f>
              <c:strCache>
                <c:ptCount val="7"/>
                <c:pt idx="0">
                  <c:v>Australia</c:v>
                </c:pt>
                <c:pt idx="1">
                  <c:v>Indonesia</c:v>
                </c:pt>
                <c:pt idx="2">
                  <c:v>USA</c:v>
                </c:pt>
                <c:pt idx="3">
                  <c:v>Russia</c:v>
                </c:pt>
                <c:pt idx="4">
                  <c:v>Nigeria</c:v>
                </c:pt>
                <c:pt idx="5">
                  <c:v>Malaysia</c:v>
                </c:pt>
                <c:pt idx="6">
                  <c:v>Qatar</c:v>
                </c:pt>
              </c:strCache>
            </c:strRef>
          </c:cat>
          <c:val>
            <c:numRef>
              <c:f>'4.15'!$D$6:$D$12</c:f>
              <c:numCache>
                <c:formatCode>0.00</c:formatCode>
                <c:ptCount val="7"/>
                <c:pt idx="0">
                  <c:v>7.5448327565879403</c:v>
                </c:pt>
                <c:pt idx="1">
                  <c:v>4.6783951363114777</c:v>
                </c:pt>
                <c:pt idx="2">
                  <c:v>4.3502552884436598</c:v>
                </c:pt>
                <c:pt idx="3">
                  <c:v>3.7852396775042929</c:v>
                </c:pt>
                <c:pt idx="4">
                  <c:v>2.9622584980702924</c:v>
                </c:pt>
                <c:pt idx="5">
                  <c:v>2.6638880904140105</c:v>
                </c:pt>
                <c:pt idx="6">
                  <c:v>2.1831658082970331</c:v>
                </c:pt>
              </c:numCache>
            </c:numRef>
          </c:val>
          <c:extLst>
            <c:ext xmlns:c16="http://schemas.microsoft.com/office/drawing/2014/chart" uri="{C3380CC4-5D6E-409C-BE32-E72D297353CC}">
              <c16:uniqueId val="{00000001-E974-4EE2-A50F-E5D542C90ECE}"/>
            </c:ext>
          </c:extLst>
        </c:ser>
        <c:dLbls>
          <c:showLegendKey val="0"/>
          <c:showVal val="0"/>
          <c:showCatName val="0"/>
          <c:showSerName val="0"/>
          <c:showPercent val="0"/>
          <c:showBubbleSize val="0"/>
        </c:dLbls>
        <c:gapWidth val="182"/>
        <c:overlap val="100"/>
        <c:axId val="1148289583"/>
        <c:axId val="1110164480"/>
      </c:barChart>
      <c:catAx>
        <c:axId val="1148289583"/>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164480"/>
        <c:crosses val="autoZero"/>
        <c:auto val="1"/>
        <c:lblAlgn val="ctr"/>
        <c:lblOffset val="100"/>
        <c:noMultiLvlLbl val="0"/>
      </c:catAx>
      <c:valAx>
        <c:axId val="111016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US$/MMBtu</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4828958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37417917099984"/>
          <c:y val="2.843846949327818E-2"/>
          <c:w val="0.76719916802852473"/>
          <c:h val="0.79788736981817288"/>
        </c:manualLayout>
      </c:layout>
      <c:lineChart>
        <c:grouping val="standard"/>
        <c:varyColors val="0"/>
        <c:ser>
          <c:idx val="0"/>
          <c:order val="0"/>
          <c:tx>
            <c:strRef>
              <c:f>'4.16'!$C$5</c:f>
              <c:strCache>
                <c:ptCount val="1"/>
                <c:pt idx="0">
                  <c:v>STEPS</c:v>
                </c:pt>
              </c:strCache>
            </c:strRef>
          </c:tx>
          <c:spPr>
            <a:ln w="28575" cap="rnd">
              <a:solidFill>
                <a:srgbClr val="005CAF"/>
              </a:solidFill>
              <a:prstDash val="sysDot"/>
              <a:round/>
            </a:ln>
            <a:effectLst/>
          </c:spPr>
          <c:marker>
            <c:symbol val="none"/>
          </c:marker>
          <c:dPt>
            <c:idx val="8"/>
            <c:marker>
              <c:symbol val="circle"/>
              <c:size val="5"/>
              <c:spPr>
                <a:solidFill>
                  <a:srgbClr val="005CAF"/>
                </a:solidFill>
                <a:ln w="9525">
                  <a:solidFill>
                    <a:srgbClr val="005CAF"/>
                  </a:solidFill>
                </a:ln>
                <a:effectLst/>
              </c:spPr>
            </c:marker>
            <c:bubble3D val="0"/>
            <c:extLst>
              <c:ext xmlns:c16="http://schemas.microsoft.com/office/drawing/2014/chart" uri="{C3380CC4-5D6E-409C-BE32-E72D297353CC}">
                <c16:uniqueId val="{00000000-3A97-4083-83E0-146F1C1423F4}"/>
              </c:ext>
            </c:extLst>
          </c:dPt>
          <c:cat>
            <c:numRef>
              <c:f>'4.16'!$B$6:$B$14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'4.16'!$C$6:$C$14</c:f>
              <c:numCache>
                <c:formatCode>General</c:formatCode>
                <c:ptCount val="9"/>
                <c:pt idx="0" formatCode="#,##0">
                  <c:v>4159.2</c:v>
                </c:pt>
                <c:pt idx="8" formatCode="#,##0">
                  <c:v>4299.1000000000004</c:v>
                </c:pt>
              </c:numCache>
            </c:numRef>
          </c:val>
          <c:smooth val="1"/>
          <c:extLst>
            <c:ext xmlns:c16="http://schemas.microsoft.com/office/drawing/2014/chart" uri="{C3380CC4-5D6E-409C-BE32-E72D297353CC}">
              <c16:uniqueId val="{00000001-3A97-4083-83E0-146F1C1423F4}"/>
            </c:ext>
          </c:extLst>
        </c:ser>
        <c:ser>
          <c:idx val="1"/>
          <c:order val="1"/>
          <c:tx>
            <c:strRef>
              <c:f>'4.16'!$D$5</c:f>
              <c:strCache>
                <c:ptCount val="1"/>
                <c:pt idx="0">
                  <c:v>APS</c:v>
                </c:pt>
              </c:strCache>
            </c:strRef>
          </c:tx>
          <c:spPr>
            <a:ln w="28575" cap="rnd">
              <a:solidFill>
                <a:srgbClr val="56B4DF"/>
              </a:solidFill>
              <a:prstDash val="sysDot"/>
              <a:round/>
            </a:ln>
            <a:effectLst/>
          </c:spPr>
          <c:marker>
            <c:symbol val="none"/>
          </c:marker>
          <c:dPt>
            <c:idx val="8"/>
            <c:marker>
              <c:symbol val="circle"/>
              <c:size val="5"/>
              <c:spPr>
                <a:solidFill>
                  <a:srgbClr val="56B4DF"/>
                </a:solidFill>
                <a:ln w="9525">
                  <a:solidFill>
                    <a:srgbClr val="9ED9DF"/>
                  </a:solidFill>
                </a:ln>
                <a:effectLst/>
              </c:spPr>
            </c:marker>
            <c:bubble3D val="0"/>
            <c:extLst>
              <c:ext xmlns:c16="http://schemas.microsoft.com/office/drawing/2014/chart" uri="{C3380CC4-5D6E-409C-BE32-E72D297353CC}">
                <c16:uniqueId val="{00000002-3A97-4083-83E0-146F1C1423F4}"/>
              </c:ext>
            </c:extLst>
          </c:dPt>
          <c:cat>
            <c:numRef>
              <c:f>'4.16'!$B$6:$B$14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'4.16'!$D$6:$D$14</c:f>
              <c:numCache>
                <c:formatCode>General</c:formatCode>
                <c:ptCount val="9"/>
                <c:pt idx="0" formatCode="#,##0">
                  <c:v>4159.2</c:v>
                </c:pt>
                <c:pt idx="8" formatCode="#,##0">
                  <c:v>3861.3</c:v>
                </c:pt>
              </c:numCache>
            </c:numRef>
          </c:val>
          <c:smooth val="1"/>
          <c:extLst>
            <c:ext xmlns:c16="http://schemas.microsoft.com/office/drawing/2014/chart" uri="{C3380CC4-5D6E-409C-BE32-E72D297353CC}">
              <c16:uniqueId val="{00000003-3A97-4083-83E0-146F1C1423F4}"/>
            </c:ext>
          </c:extLst>
        </c:ser>
        <c:ser>
          <c:idx val="2"/>
          <c:order val="2"/>
          <c:tx>
            <c:strRef>
              <c:f>'4.16'!$E$5</c:f>
              <c:strCache>
                <c:ptCount val="1"/>
                <c:pt idx="0">
                  <c:v>NZE</c:v>
                </c:pt>
              </c:strCache>
            </c:strRef>
          </c:tx>
          <c:spPr>
            <a:ln w="28575" cap="rnd">
              <a:solidFill>
                <a:srgbClr val="9ED9DF"/>
              </a:solidFill>
              <a:prstDash val="sysDot"/>
              <a:round/>
            </a:ln>
            <a:effectLst/>
          </c:spPr>
          <c:marker>
            <c:symbol val="none"/>
          </c:marker>
          <c:dPt>
            <c:idx val="8"/>
            <c:marker>
              <c:symbol val="circle"/>
              <c:size val="5"/>
              <c:spPr>
                <a:solidFill>
                  <a:srgbClr val="9ED9DF"/>
                </a:solidFill>
                <a:ln w="9525">
                  <a:solidFill>
                    <a:srgbClr val="9ED9DF"/>
                  </a:solidFill>
                </a:ln>
                <a:effectLst/>
              </c:spPr>
            </c:marker>
            <c:bubble3D val="0"/>
            <c:extLst>
              <c:ext xmlns:c16="http://schemas.microsoft.com/office/drawing/2014/chart" uri="{C3380CC4-5D6E-409C-BE32-E72D297353CC}">
                <c16:uniqueId val="{00000004-3A97-4083-83E0-146F1C1423F4}"/>
              </c:ext>
            </c:extLst>
          </c:dPt>
          <c:cat>
            <c:numRef>
              <c:f>'4.16'!$B$6:$B$14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'4.16'!$E$6:$E$14</c:f>
              <c:numCache>
                <c:formatCode>General</c:formatCode>
                <c:ptCount val="9"/>
                <c:pt idx="0" formatCode="#,##0">
                  <c:v>4159.2</c:v>
                </c:pt>
                <c:pt idx="8" formatCode="#,##0">
                  <c:v>3403</c:v>
                </c:pt>
              </c:numCache>
            </c:numRef>
          </c:val>
          <c:smooth val="1"/>
          <c:extLst>
            <c:ext xmlns:c16="http://schemas.microsoft.com/office/drawing/2014/chart" uri="{C3380CC4-5D6E-409C-BE32-E72D297353CC}">
              <c16:uniqueId val="{00000005-3A97-4083-83E0-146F1C1423F4}"/>
            </c:ext>
          </c:extLst>
        </c:ser>
        <c:ser>
          <c:idx val="3"/>
          <c:order val="3"/>
          <c:tx>
            <c:strRef>
              <c:f>'4.16'!$F$5</c:f>
              <c:strCache>
                <c:ptCount val="1"/>
                <c:pt idx="0">
                  <c:v>IEEJ</c:v>
                </c:pt>
              </c:strCache>
            </c:strRef>
          </c:tx>
          <c:spPr>
            <a:ln w="28575" cap="rnd">
              <a:solidFill>
                <a:srgbClr val="0A7568"/>
              </a:solidFill>
              <a:prstDash val="sysDot"/>
              <a:round/>
            </a:ln>
            <a:effectLst/>
          </c:spPr>
          <c:marker>
            <c:symbol val="circle"/>
            <c:size val="5"/>
            <c:spPr>
              <a:solidFill>
                <a:srgbClr val="0A7568"/>
              </a:solidFill>
              <a:ln w="9525">
                <a:solidFill>
                  <a:srgbClr val="0A7568"/>
                </a:solidFill>
              </a:ln>
              <a:effectLst/>
            </c:spPr>
          </c:marker>
          <c:cat>
            <c:numRef>
              <c:f>'4.16'!$B$6:$B$14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'4.16'!$F$6:$F$14</c:f>
              <c:numCache>
                <c:formatCode>General</c:formatCode>
                <c:ptCount val="9"/>
                <c:pt idx="0" formatCode="#,##0">
                  <c:v>4159.2</c:v>
                </c:pt>
                <c:pt idx="8" formatCode="#,##0">
                  <c:v>4426.3779999999997</c:v>
                </c:pt>
              </c:numCache>
            </c:numRef>
          </c:val>
          <c:smooth val="0"/>
          <c:extLst>
            <c:ext xmlns:c16="http://schemas.microsoft.com/office/drawing/2014/chart" uri="{C3380CC4-5D6E-409C-BE32-E72D297353CC}">
              <c16:uniqueId val="{00000006-3A97-4083-83E0-146F1C1423F4}"/>
            </c:ext>
          </c:extLst>
        </c:ser>
        <c:ser>
          <c:idx val="4"/>
          <c:order val="4"/>
          <c:tx>
            <c:strRef>
              <c:f>'4.16'!$G$5</c:f>
              <c:strCache>
                <c:ptCount val="1"/>
                <c:pt idx="0">
                  <c:v>IEA Medium-Term Gas Report</c:v>
                </c:pt>
              </c:strCache>
            </c:strRef>
          </c:tx>
          <c:spPr>
            <a:ln w="28575" cap="rnd">
              <a:solidFill>
                <a:srgbClr val="51B7A4"/>
              </a:solidFill>
              <a:prstDash val="solid"/>
              <a:round/>
            </a:ln>
            <a:effectLst/>
          </c:spPr>
          <c:marker>
            <c:symbol val="circle"/>
            <c:size val="5"/>
            <c:spPr>
              <a:solidFill>
                <a:srgbClr val="51B7A4"/>
              </a:solidFill>
              <a:ln w="9525">
                <a:solidFill>
                  <a:srgbClr val="51B7A4"/>
                </a:solidFill>
              </a:ln>
              <a:effectLst/>
            </c:spPr>
          </c:marker>
          <c:cat>
            <c:numRef>
              <c:f>'4.16'!$B$6:$B$14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'4.16'!$G$6:$G$14</c:f>
              <c:numCache>
                <c:formatCode>#,##0</c:formatCode>
                <c:ptCount val="9"/>
                <c:pt idx="0">
                  <c:v>4159.2</c:v>
                </c:pt>
                <c:pt idx="1">
                  <c:v>4071</c:v>
                </c:pt>
                <c:pt idx="2">
                  <c:v>4135</c:v>
                </c:pt>
                <c:pt idx="3">
                  <c:v>4214</c:v>
                </c:pt>
                <c:pt idx="4">
                  <c:v>4325</c:v>
                </c:pt>
              </c:numCache>
            </c:numRef>
          </c:val>
          <c:smooth val="1"/>
          <c:extLst>
            <c:ext xmlns:c16="http://schemas.microsoft.com/office/drawing/2014/chart" uri="{C3380CC4-5D6E-409C-BE32-E72D297353CC}">
              <c16:uniqueId val="{00000007-3A97-4083-83E0-146F1C1423F4}"/>
            </c:ext>
          </c:extLst>
        </c:ser>
        <c:ser>
          <c:idx val="5"/>
          <c:order val="5"/>
          <c:tx>
            <c:strRef>
              <c:f>'4.16'!$H$5</c:f>
              <c:strCache>
                <c:ptCount val="1"/>
                <c:pt idx="0">
                  <c:v>REQ: March 2024</c:v>
                </c:pt>
              </c:strCache>
            </c:strRef>
          </c:tx>
          <c:spPr>
            <a:ln w="28575" cap="rnd">
              <a:solidFill>
                <a:srgbClr val="BCBFC1"/>
              </a:solidFill>
              <a:prstDash val="solid"/>
              <a:round/>
            </a:ln>
            <a:effectLst/>
          </c:spPr>
          <c:marker>
            <c:symbol val="circle"/>
            <c:size val="5"/>
            <c:spPr>
              <a:solidFill>
                <a:srgbClr val="BCBFC1"/>
              </a:solidFill>
              <a:ln w="9525">
                <a:solidFill>
                  <a:srgbClr val="BCBFC1"/>
                </a:solidFill>
              </a:ln>
              <a:effectLst/>
            </c:spPr>
          </c:marker>
          <c:cat>
            <c:numRef>
              <c:f>'4.16'!$B$6:$B$14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'4.16'!$H$6:$H$14</c:f>
              <c:numCache>
                <c:formatCode>#,##0</c:formatCode>
                <c:ptCount val="9"/>
                <c:pt idx="0">
                  <c:v>4159.2</c:v>
                </c:pt>
                <c:pt idx="1">
                  <c:v>4035.65407515477</c:v>
                </c:pt>
                <c:pt idx="2">
                  <c:v>4131.6925182676896</c:v>
                </c:pt>
                <c:pt idx="3">
                  <c:v>4222.5250520354102</c:v>
                </c:pt>
                <c:pt idx="4">
                  <c:v>4300.9066198638702</c:v>
                </c:pt>
                <c:pt idx="5">
                  <c:v>4356.8932144153296</c:v>
                </c:pt>
                <c:pt idx="6">
                  <c:v>4405.4823834628696</c:v>
                </c:pt>
                <c:pt idx="7">
                  <c:v>4445.8374345728698</c:v>
                </c:pt>
              </c:numCache>
            </c:numRef>
          </c:val>
          <c:smooth val="1"/>
          <c:extLst>
            <c:ext xmlns:c16="http://schemas.microsoft.com/office/drawing/2014/chart" uri="{C3380CC4-5D6E-409C-BE32-E72D297353CC}">
              <c16:uniqueId val="{00000008-3A97-4083-83E0-146F1C1423F4}"/>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2"/>
        <c:noMultiLvlLbl val="0"/>
      </c:catAx>
      <c:valAx>
        <c:axId val="1110255200"/>
        <c:scaling>
          <c:orientation val="minMax"/>
          <c:max val="4600"/>
          <c:min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a:t>
                </a:r>
                <a:r>
                  <a:rPr lang="en-AU" baseline="0"/>
                  <a:t> cubic metres</a:t>
                </a:r>
                <a:endParaRPr lang="en-AU"/>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midCat"/>
        <c:majorUnit val="200"/>
      </c:valAx>
      <c:spPr>
        <a:noFill/>
        <a:ln w="25400">
          <a:noFill/>
        </a:ln>
        <a:effectLst/>
      </c:spPr>
    </c:plotArea>
    <c:legend>
      <c:legendPos val="b"/>
      <c:layout>
        <c:manualLayout>
          <c:xMode val="edge"/>
          <c:yMode val="edge"/>
          <c:x val="3.364968058238002E-3"/>
          <c:y val="0.87539512576439837"/>
          <c:w val="0.99025095825285991"/>
          <c:h val="0.10909298178472261"/>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'4.17'!$C$5</c:f>
              <c:strCache>
                <c:ptCount val="1"/>
                <c:pt idx="0">
                  <c:v>STEPS</c:v>
                </c:pt>
              </c:strCache>
            </c:strRef>
          </c:tx>
          <c:spPr>
            <a:ln w="28575" cap="rnd">
              <a:solidFill>
                <a:srgbClr val="005CAF"/>
              </a:solidFill>
              <a:prstDash val="solid"/>
              <a:round/>
            </a:ln>
            <a:effectLst/>
          </c:spPr>
          <c:marker>
            <c:symbol val="none"/>
          </c:marker>
          <c:cat>
            <c:numRef>
              <c:f>'4.17'!$B$6:$B$34</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'4.17'!$C$6:$C$34</c:f>
              <c:numCache>
                <c:formatCode>#,##0</c:formatCode>
                <c:ptCount val="29"/>
                <c:pt idx="0">
                  <c:v>488.40190372802317</c:v>
                </c:pt>
                <c:pt idx="1">
                  <c:v>503.45282594510354</c:v>
                </c:pt>
                <c:pt idx="2">
                  <c:v>517.80408045533113</c:v>
                </c:pt>
                <c:pt idx="3">
                  <c:v>531.45566725730896</c:v>
                </c:pt>
                <c:pt idx="4">
                  <c:v>544.40758635220118</c:v>
                </c:pt>
                <c:pt idx="5">
                  <c:v>556.65983773954213</c:v>
                </c:pt>
                <c:pt idx="6">
                  <c:v>568.21242141886614</c:v>
                </c:pt>
                <c:pt idx="7">
                  <c:v>579.06533739087172</c:v>
                </c:pt>
                <c:pt idx="8">
                  <c:v>589.21858565486036</c:v>
                </c:pt>
                <c:pt idx="9">
                  <c:v>598.6721662117634</c:v>
                </c:pt>
                <c:pt idx="10">
                  <c:v>607.4260790606495</c:v>
                </c:pt>
                <c:pt idx="11">
                  <c:v>615.48032420244999</c:v>
                </c:pt>
                <c:pt idx="12">
                  <c:v>622.83490163600072</c:v>
                </c:pt>
                <c:pt idx="13">
                  <c:v>629.48981136246584</c:v>
                </c:pt>
                <c:pt idx="14">
                  <c:v>635.44505338091403</c:v>
                </c:pt>
                <c:pt idx="15">
                  <c:v>640.70062769227661</c:v>
                </c:pt>
                <c:pt idx="16">
                  <c:v>645.25653429608792</c:v>
                </c:pt>
                <c:pt idx="17">
                  <c:v>649.11277319164947</c:v>
                </c:pt>
                <c:pt idx="18">
                  <c:v>652.2693443801254</c:v>
                </c:pt>
                <c:pt idx="19">
                  <c:v>654.72624786058441</c:v>
                </c:pt>
                <c:pt idx="20">
                  <c:v>656.4834836339578</c:v>
                </c:pt>
                <c:pt idx="21">
                  <c:v>657.54105169931427</c:v>
                </c:pt>
                <c:pt idx="22">
                  <c:v>657.89895205735229</c:v>
                </c:pt>
                <c:pt idx="23">
                  <c:v>657.55718470737338</c:v>
                </c:pt>
                <c:pt idx="24">
                  <c:v>656.51574965030886</c:v>
                </c:pt>
                <c:pt idx="25">
                  <c:v>654.77464688522741</c:v>
                </c:pt>
                <c:pt idx="26">
                  <c:v>652.33387641282752</c:v>
                </c:pt>
                <c:pt idx="27">
                  <c:v>649.19343823287636</c:v>
                </c:pt>
                <c:pt idx="28">
                  <c:v>645.35333234490827</c:v>
                </c:pt>
              </c:numCache>
            </c:numRef>
          </c:val>
          <c:smooth val="0"/>
          <c:extLst>
            <c:ext xmlns:c16="http://schemas.microsoft.com/office/drawing/2014/chart" uri="{C3380CC4-5D6E-409C-BE32-E72D297353CC}">
              <c16:uniqueId val="{00000000-CF83-41B8-8312-C76F2D6C858C}"/>
            </c:ext>
          </c:extLst>
        </c:ser>
        <c:ser>
          <c:idx val="1"/>
          <c:order val="1"/>
          <c:tx>
            <c:strRef>
              <c:f>'4.17'!$D$5</c:f>
              <c:strCache>
                <c:ptCount val="1"/>
                <c:pt idx="0">
                  <c:v>APS</c:v>
                </c:pt>
              </c:strCache>
            </c:strRef>
          </c:tx>
          <c:spPr>
            <a:ln w="28575" cap="rnd">
              <a:solidFill>
                <a:srgbClr val="56B4DF"/>
              </a:solidFill>
              <a:prstDash val="solid"/>
              <a:round/>
            </a:ln>
            <a:effectLst/>
          </c:spPr>
          <c:marker>
            <c:symbol val="none"/>
          </c:marker>
          <c:cat>
            <c:numRef>
              <c:f>'4.17'!$B$6:$B$34</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'4.17'!$D$6:$D$34</c:f>
              <c:numCache>
                <c:formatCode>#,##0</c:formatCode>
                <c:ptCount val="29"/>
                <c:pt idx="0">
                  <c:v>488.33266841806471</c:v>
                </c:pt>
                <c:pt idx="1">
                  <c:v>506.50724268238991</c:v>
                </c:pt>
                <c:pt idx="2">
                  <c:v>522.61935811303556</c:v>
                </c:pt>
                <c:pt idx="3">
                  <c:v>536.66901471093297</c:v>
                </c:pt>
                <c:pt idx="4">
                  <c:v>548.65621247980744</c:v>
                </c:pt>
                <c:pt idx="5">
                  <c:v>558.58095141500235</c:v>
                </c:pt>
                <c:pt idx="6">
                  <c:v>566.44323152024299</c:v>
                </c:pt>
                <c:pt idx="7">
                  <c:v>572.24305279180408</c:v>
                </c:pt>
                <c:pt idx="8">
                  <c:v>575.98041523154825</c:v>
                </c:pt>
                <c:pt idx="9">
                  <c:v>577.65531884040684</c:v>
                </c:pt>
                <c:pt idx="10">
                  <c:v>577.26776361651719</c:v>
                </c:pt>
                <c:pt idx="11">
                  <c:v>574.81774956081063</c:v>
                </c:pt>
                <c:pt idx="12">
                  <c:v>570.3052766751498</c:v>
                </c:pt>
                <c:pt idx="13">
                  <c:v>563.73034495580941</c:v>
                </c:pt>
                <c:pt idx="14">
                  <c:v>555.09295440651476</c:v>
                </c:pt>
                <c:pt idx="15">
                  <c:v>544.39310502354056</c:v>
                </c:pt>
                <c:pt idx="16">
                  <c:v>531.63079680874944</c:v>
                </c:pt>
                <c:pt idx="17">
                  <c:v>516.80602976400405</c:v>
                </c:pt>
                <c:pt idx="18">
                  <c:v>499.91880388557911</c:v>
                </c:pt>
                <c:pt idx="19">
                  <c:v>480.96911917533726</c:v>
                </c:pt>
                <c:pt idx="20">
                  <c:v>459.95697563514113</c:v>
                </c:pt>
                <c:pt idx="21">
                  <c:v>436.88237326126546</c:v>
                </c:pt>
                <c:pt idx="22">
                  <c:v>411.74531205743551</c:v>
                </c:pt>
                <c:pt idx="23">
                  <c:v>384.54579202085733</c:v>
                </c:pt>
                <c:pt idx="24">
                  <c:v>355.28381315153092</c:v>
                </c:pt>
                <c:pt idx="25">
                  <c:v>323.95937545225024</c:v>
                </c:pt>
                <c:pt idx="26">
                  <c:v>290.57247891929001</c:v>
                </c:pt>
                <c:pt idx="27">
                  <c:v>255.12312355451286</c:v>
                </c:pt>
                <c:pt idx="28">
                  <c:v>217.61130935978144</c:v>
                </c:pt>
              </c:numCache>
            </c:numRef>
          </c:val>
          <c:smooth val="0"/>
          <c:extLst>
            <c:ext xmlns:c16="http://schemas.microsoft.com/office/drawing/2014/chart" uri="{C3380CC4-5D6E-409C-BE32-E72D297353CC}">
              <c16:uniqueId val="{00000001-CF83-41B8-8312-C76F2D6C858C}"/>
            </c:ext>
          </c:extLst>
        </c:ser>
        <c:ser>
          <c:idx val="2"/>
          <c:order val="2"/>
          <c:tx>
            <c:strRef>
              <c:f>'4.17'!$E$5</c:f>
              <c:strCache>
                <c:ptCount val="1"/>
                <c:pt idx="0">
                  <c:v>Net Zero</c:v>
                </c:pt>
              </c:strCache>
            </c:strRef>
          </c:tx>
          <c:spPr>
            <a:ln w="28575" cap="rnd">
              <a:solidFill>
                <a:srgbClr val="9ED9DF"/>
              </a:solidFill>
              <a:prstDash val="solid"/>
              <a:round/>
            </a:ln>
            <a:effectLst/>
          </c:spPr>
          <c:marker>
            <c:symbol val="none"/>
          </c:marker>
          <c:cat>
            <c:numRef>
              <c:f>'4.17'!$B$6:$B$34</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'4.17'!$E$6:$E$34</c:f>
              <c:numCache>
                <c:formatCode>#,##0</c:formatCode>
                <c:ptCount val="29"/>
                <c:pt idx="0">
                  <c:v>479.20017531700432</c:v>
                </c:pt>
                <c:pt idx="1">
                  <c:v>488.36892549041659</c:v>
                </c:pt>
                <c:pt idx="2">
                  <c:v>495.91088994964957</c:v>
                </c:pt>
                <c:pt idx="3">
                  <c:v>501.82606869423762</c:v>
                </c:pt>
                <c:pt idx="4">
                  <c:v>506.11446172511205</c:v>
                </c:pt>
                <c:pt idx="5">
                  <c:v>508.7760690418072</c:v>
                </c:pt>
                <c:pt idx="6">
                  <c:v>509.81089064432308</c:v>
                </c:pt>
                <c:pt idx="7">
                  <c:v>509.21892653265968</c:v>
                </c:pt>
                <c:pt idx="8">
                  <c:v>507.00017670635134</c:v>
                </c:pt>
                <c:pt idx="9">
                  <c:v>503.15464116632938</c:v>
                </c:pt>
                <c:pt idx="10">
                  <c:v>497.68231991212815</c:v>
                </c:pt>
                <c:pt idx="11">
                  <c:v>490.58321294328198</c:v>
                </c:pt>
                <c:pt idx="12">
                  <c:v>481.85732026072219</c:v>
                </c:pt>
                <c:pt idx="13">
                  <c:v>471.50464186351746</c:v>
                </c:pt>
                <c:pt idx="14">
                  <c:v>459.52517775213346</c:v>
                </c:pt>
                <c:pt idx="15">
                  <c:v>445.91892792703584</c:v>
                </c:pt>
                <c:pt idx="16">
                  <c:v>430.68589238729328</c:v>
                </c:pt>
                <c:pt idx="17">
                  <c:v>413.82607113337144</c:v>
                </c:pt>
                <c:pt idx="18">
                  <c:v>395.33946416573599</c:v>
                </c:pt>
                <c:pt idx="19">
                  <c:v>375.2260714834556</c:v>
                </c:pt>
                <c:pt idx="20">
                  <c:v>353.48589308699593</c:v>
                </c:pt>
                <c:pt idx="21">
                  <c:v>330.11892897635698</c:v>
                </c:pt>
                <c:pt idx="22">
                  <c:v>305.12517915153876</c:v>
                </c:pt>
                <c:pt idx="23">
                  <c:v>278.50464361254126</c:v>
                </c:pt>
                <c:pt idx="24">
                  <c:v>250.25732235936448</c:v>
                </c:pt>
                <c:pt idx="25">
                  <c:v>220.38321539200842</c:v>
                </c:pt>
                <c:pt idx="26">
                  <c:v>188.88232271047309</c:v>
                </c:pt>
                <c:pt idx="27">
                  <c:v>155.75464431475848</c:v>
                </c:pt>
                <c:pt idx="28">
                  <c:v>121.00018020486459</c:v>
                </c:pt>
              </c:numCache>
            </c:numRef>
          </c:val>
          <c:smooth val="0"/>
          <c:extLst>
            <c:ext xmlns:c16="http://schemas.microsoft.com/office/drawing/2014/chart" uri="{C3380CC4-5D6E-409C-BE32-E72D297353CC}">
              <c16:uniqueId val="{00000002-CF83-41B8-8312-C76F2D6C858C}"/>
            </c:ext>
          </c:extLst>
        </c:ser>
        <c:ser>
          <c:idx val="3"/>
          <c:order val="3"/>
          <c:tx>
            <c:strRef>
              <c:f>'4.17'!$F$5</c:f>
              <c:strCache>
                <c:ptCount val="1"/>
                <c:pt idx="0">
                  <c:v>Shell-Base</c:v>
                </c:pt>
              </c:strCache>
            </c:strRef>
          </c:tx>
          <c:spPr>
            <a:ln w="28575" cap="rnd">
              <a:solidFill>
                <a:srgbClr val="F36A5A"/>
              </a:solidFill>
              <a:prstDash val="sysDash"/>
              <a:round/>
            </a:ln>
            <a:effectLst/>
          </c:spPr>
          <c:marker>
            <c:symbol val="none"/>
          </c:marker>
          <c:cat>
            <c:numRef>
              <c:f>'4.17'!$B$6:$B$34</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'4.17'!$F$6:$F$34</c:f>
              <c:numCache>
                <c:formatCode>#,##0</c:formatCode>
                <c:ptCount val="29"/>
                <c:pt idx="0">
                  <c:v>541.79705377295613</c:v>
                </c:pt>
                <c:pt idx="1">
                  <c:v>583.01275507872924</c:v>
                </c:pt>
                <c:pt idx="2">
                  <c:v>622.46311505977064</c:v>
                </c:pt>
                <c:pt idx="3">
                  <c:v>660.14813371701166</c:v>
                </c:pt>
                <c:pt idx="4">
                  <c:v>696.06781104998663</c:v>
                </c:pt>
                <c:pt idx="5">
                  <c:v>730.22214705822989</c:v>
                </c:pt>
                <c:pt idx="6">
                  <c:v>762.61114174174145</c:v>
                </c:pt>
                <c:pt idx="7">
                  <c:v>793.23479510191828</c:v>
                </c:pt>
                <c:pt idx="8">
                  <c:v>822.09310713689774</c:v>
                </c:pt>
                <c:pt idx="9">
                  <c:v>849.1860778471455</c:v>
                </c:pt>
                <c:pt idx="10">
                  <c:v>874.51370723312721</c:v>
                </c:pt>
                <c:pt idx="11">
                  <c:v>898.07599529577419</c:v>
                </c:pt>
                <c:pt idx="12">
                  <c:v>919.87294203322381</c:v>
                </c:pt>
                <c:pt idx="13">
                  <c:v>939.90454744594172</c:v>
                </c:pt>
                <c:pt idx="14">
                  <c:v>958.1708115353249</c:v>
                </c:pt>
                <c:pt idx="15">
                  <c:v>974.67173429951072</c:v>
                </c:pt>
                <c:pt idx="16">
                  <c:v>989.40731573896483</c:v>
                </c:pt>
                <c:pt idx="17">
                  <c:v>1002.3775558541529</c:v>
                </c:pt>
                <c:pt idx="18">
                  <c:v>1013.5824546460062</c:v>
                </c:pt>
                <c:pt idx="19">
                  <c:v>1023.0220121121965</c:v>
                </c:pt>
                <c:pt idx="20">
                  <c:v>1030.6962282545865</c:v>
                </c:pt>
                <c:pt idx="21">
                  <c:v>1036.605103073176</c:v>
                </c:pt>
                <c:pt idx="22">
                  <c:v>1040.7486365661025</c:v>
                </c:pt>
                <c:pt idx="23">
                  <c:v>1043.1268287352286</c:v>
                </c:pt>
                <c:pt idx="24">
                  <c:v>1043.739679579623</c:v>
                </c:pt>
                <c:pt idx="25">
                  <c:v>1042.5871891002171</c:v>
                </c:pt>
                <c:pt idx="26">
                  <c:v>1039.6693572960794</c:v>
                </c:pt>
                <c:pt idx="27">
                  <c:v>1034.98618416721</c:v>
                </c:pt>
                <c:pt idx="28">
                  <c:v>1028.5376697150059</c:v>
                </c:pt>
              </c:numCache>
            </c:numRef>
          </c:val>
          <c:smooth val="0"/>
          <c:extLst>
            <c:ext xmlns:c16="http://schemas.microsoft.com/office/drawing/2014/chart" uri="{C3380CC4-5D6E-409C-BE32-E72D297353CC}">
              <c16:uniqueId val="{00000003-CF83-41B8-8312-C76F2D6C858C}"/>
            </c:ext>
          </c:extLst>
        </c:ser>
        <c:ser>
          <c:idx val="4"/>
          <c:order val="4"/>
          <c:tx>
            <c:strRef>
              <c:f>'4.17'!$G$5</c:f>
              <c:strCache>
                <c:ptCount val="1"/>
                <c:pt idx="0">
                  <c:v>Shell-NZE</c:v>
                </c:pt>
              </c:strCache>
            </c:strRef>
          </c:tx>
          <c:spPr>
            <a:ln w="28575" cap="rnd">
              <a:solidFill>
                <a:srgbClr val="BCBFC1"/>
              </a:solidFill>
              <a:prstDash val="sysDash"/>
              <a:round/>
            </a:ln>
            <a:effectLst/>
          </c:spPr>
          <c:marker>
            <c:symbol val="none"/>
          </c:marker>
          <c:cat>
            <c:numRef>
              <c:f>'4.17'!$B$6:$B$34</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'4.17'!$G$6:$G$34</c:f>
              <c:numCache>
                <c:formatCode>#,##0</c:formatCode>
                <c:ptCount val="29"/>
                <c:pt idx="0">
                  <c:v>555.88542077830061</c:v>
                </c:pt>
                <c:pt idx="1">
                  <c:v>575.37282724957913</c:v>
                </c:pt>
                <c:pt idx="2">
                  <c:v>593.02355630509555</c:v>
                </c:pt>
                <c:pt idx="3">
                  <c:v>608.83760794391856</c:v>
                </c:pt>
                <c:pt idx="4">
                  <c:v>622.81498216884211</c:v>
                </c:pt>
                <c:pt idx="5">
                  <c:v>634.95567897800356</c:v>
                </c:pt>
                <c:pt idx="6">
                  <c:v>645.25969837093726</c:v>
                </c:pt>
                <c:pt idx="7">
                  <c:v>653.72704034950584</c:v>
                </c:pt>
                <c:pt idx="8">
                  <c:v>660.35770491277799</c:v>
                </c:pt>
                <c:pt idx="9">
                  <c:v>665.15169205935672</c:v>
                </c:pt>
                <c:pt idx="10">
                  <c:v>668.10900179157034</c:v>
                </c:pt>
                <c:pt idx="11">
                  <c:v>669.22963410848752</c:v>
                </c:pt>
                <c:pt idx="12">
                  <c:v>668.51358901010826</c:v>
                </c:pt>
                <c:pt idx="13">
                  <c:v>665.96086649503559</c:v>
                </c:pt>
                <c:pt idx="14">
                  <c:v>661.57146656606346</c:v>
                </c:pt>
                <c:pt idx="15">
                  <c:v>655.34538922132924</c:v>
                </c:pt>
                <c:pt idx="16">
                  <c:v>647.28263446036726</c:v>
                </c:pt>
                <c:pt idx="17">
                  <c:v>637.38320228457451</c:v>
                </c:pt>
                <c:pt idx="18">
                  <c:v>625.64709269395098</c:v>
                </c:pt>
                <c:pt idx="19">
                  <c:v>612.07430568663403</c:v>
                </c:pt>
                <c:pt idx="20">
                  <c:v>596.66484126495197</c:v>
                </c:pt>
                <c:pt idx="21">
                  <c:v>579.41869942797348</c:v>
                </c:pt>
                <c:pt idx="22">
                  <c:v>560.33588017430156</c:v>
                </c:pt>
                <c:pt idx="23">
                  <c:v>539.41638350626454</c:v>
                </c:pt>
                <c:pt idx="24">
                  <c:v>516.66020942339674</c:v>
                </c:pt>
                <c:pt idx="25">
                  <c:v>492.06735792336985</c:v>
                </c:pt>
                <c:pt idx="26">
                  <c:v>465.63782900944352</c:v>
                </c:pt>
                <c:pt idx="27">
                  <c:v>437.37162267975509</c:v>
                </c:pt>
                <c:pt idx="28">
                  <c:v>407.26873893430457</c:v>
                </c:pt>
              </c:numCache>
            </c:numRef>
          </c:val>
          <c:smooth val="0"/>
          <c:extLst>
            <c:ext xmlns:c16="http://schemas.microsoft.com/office/drawing/2014/chart" uri="{C3380CC4-5D6E-409C-BE32-E72D297353CC}">
              <c16:uniqueId val="{00000004-CF83-41B8-8312-C76F2D6C858C}"/>
            </c:ext>
          </c:extLst>
        </c:ser>
        <c:dLbls>
          <c:showLegendKey val="0"/>
          <c:showVal val="0"/>
          <c:showCatName val="0"/>
          <c:showSerName val="0"/>
          <c:showPercent val="0"/>
          <c:showBubbleSize val="0"/>
        </c:dLbls>
        <c:smooth val="0"/>
        <c:axId val="1094775631"/>
        <c:axId val="1570724607"/>
      </c:lineChart>
      <c:catAx>
        <c:axId val="1094775631"/>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570724607"/>
        <c:crosses val="autoZero"/>
        <c:auto val="1"/>
        <c:lblAlgn val="ctr"/>
        <c:lblOffset val="100"/>
        <c:tickLblSkip val="4"/>
        <c:noMultiLvlLbl val="0"/>
      </c:catAx>
      <c:valAx>
        <c:axId val="1570724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 metres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94775631"/>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'5.1'!$C$5</c:f>
              <c:strCache>
                <c:ptCount val="1"/>
                <c:pt idx="0">
                  <c:v>Supply</c:v>
                </c:pt>
              </c:strCache>
            </c:strRef>
          </c:tx>
          <c:spPr>
            <a:ln w="28575" cap="rnd">
              <a:solidFill>
                <a:srgbClr val="005CAF"/>
              </a:solidFill>
              <a:prstDash val="solid"/>
              <a:round/>
            </a:ln>
            <a:effectLst/>
          </c:spPr>
          <c:marker>
            <c:symbol val="none"/>
          </c:marker>
          <c:dPt>
            <c:idx val="8"/>
            <c:marker>
              <c:symbol val="none"/>
            </c:marker>
            <c:bubble3D val="0"/>
            <c:extLst>
              <c:ext xmlns:c16="http://schemas.microsoft.com/office/drawing/2014/chart" uri="{C3380CC4-5D6E-409C-BE32-E72D297353CC}">
                <c16:uniqueId val="{00000000-5E93-4567-967C-F49E616B5A49}"/>
              </c:ext>
            </c:extLst>
          </c:dPt>
          <c:cat>
            <c:numRef>
              <c:f>'5.1'!$B$6:$B$16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'5.1'!$C$6:$C$16</c:f>
              <c:numCache>
                <c:formatCode>#,##0</c:formatCode>
                <c:ptCount val="11"/>
                <c:pt idx="0">
                  <c:v>1977.2462715560619</c:v>
                </c:pt>
                <c:pt idx="1">
                  <c:v>1953.1133494699773</c:v>
                </c:pt>
                <c:pt idx="2">
                  <c:v>1892.8049539582203</c:v>
                </c:pt>
                <c:pt idx="3">
                  <c:v>1777.6003369766618</c:v>
                </c:pt>
                <c:pt idx="4">
                  <c:v>1658.5665562032125</c:v>
                </c:pt>
                <c:pt idx="5">
                  <c:v>1547.907536129665</c:v>
                </c:pt>
                <c:pt idx="6">
                  <c:v>1444.1571159453983</c:v>
                </c:pt>
                <c:pt idx="7">
                  <c:v>1340.4497102016612</c:v>
                </c:pt>
                <c:pt idx="8">
                  <c:v>1228.6488865480105</c:v>
                </c:pt>
                <c:pt idx="9">
                  <c:v>1164.7031817596846</c:v>
                </c:pt>
                <c:pt idx="10">
                  <c:v>1078.3675990091951</c:v>
                </c:pt>
              </c:numCache>
            </c:numRef>
          </c:val>
          <c:smooth val="1"/>
          <c:extLst>
            <c:ext xmlns:c16="http://schemas.microsoft.com/office/drawing/2014/chart" uri="{C3380CC4-5D6E-409C-BE32-E72D297353CC}">
              <c16:uniqueId val="{00000001-5E93-4567-967C-F49E616B5A49}"/>
            </c:ext>
          </c:extLst>
        </c:ser>
        <c:ser>
          <c:idx val="1"/>
          <c:order val="1"/>
          <c:tx>
            <c:strRef>
              <c:f>'5.1'!$D$5</c:f>
              <c:strCache>
                <c:ptCount val="1"/>
                <c:pt idx="0">
                  <c:v>Demand</c:v>
                </c:pt>
              </c:strCache>
            </c:strRef>
          </c:tx>
          <c:spPr>
            <a:ln w="28575" cap="rnd">
              <a:solidFill>
                <a:srgbClr val="56B4DF"/>
              </a:solidFill>
              <a:prstDash val="solid"/>
              <a:round/>
            </a:ln>
            <a:effectLst/>
          </c:spPr>
          <c:marker>
            <c:symbol val="none"/>
          </c:marker>
          <c:dPt>
            <c:idx val="0"/>
            <c:marker>
              <c:symbol val="none"/>
            </c:marker>
            <c:bubble3D val="0"/>
            <c:extLst>
              <c:ext xmlns:c16="http://schemas.microsoft.com/office/drawing/2014/chart" uri="{C3380CC4-5D6E-409C-BE32-E72D297353CC}">
                <c16:uniqueId val="{00000002-5E93-4567-967C-F49E616B5A49}"/>
              </c:ext>
            </c:extLst>
          </c:dPt>
          <c:dPt>
            <c:idx val="8"/>
            <c:marker>
              <c:symbol val="none"/>
            </c:marker>
            <c:bubble3D val="0"/>
            <c:extLst>
              <c:ext xmlns:c16="http://schemas.microsoft.com/office/drawing/2014/chart" uri="{C3380CC4-5D6E-409C-BE32-E72D297353CC}">
                <c16:uniqueId val="{00000003-5E93-4567-967C-F49E616B5A49}"/>
              </c:ext>
            </c:extLst>
          </c:dPt>
          <c:cat>
            <c:numRef>
              <c:f>'5.1'!$B$6:$B$16</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'5.1'!$D$6:$D$16</c:f>
              <c:numCache>
                <c:formatCode>#,##0</c:formatCode>
                <c:ptCount val="11"/>
                <c:pt idx="0">
                  <c:v>1871.79212512</c:v>
                </c:pt>
                <c:pt idx="1">
                  <c:v>1916.4256252800001</c:v>
                </c:pt>
                <c:pt idx="2">
                  <c:v>1893.82448211</c:v>
                </c:pt>
                <c:pt idx="3">
                  <c:v>1865.00754201</c:v>
                </c:pt>
                <c:pt idx="4">
                  <c:v>1852.9934547399998</c:v>
                </c:pt>
                <c:pt idx="5">
                  <c:v>1805.9848473</c:v>
                </c:pt>
                <c:pt idx="6">
                  <c:v>1802.9925425599999</c:v>
                </c:pt>
                <c:pt idx="7">
                  <c:v>1800.3221332600001</c:v>
                </c:pt>
                <c:pt idx="8">
                  <c:v>1796.45076423</c:v>
                </c:pt>
                <c:pt idx="9">
                  <c:v>1809.0442611500002</c:v>
                </c:pt>
                <c:pt idx="10">
                  <c:v>1808.78788235</c:v>
                </c:pt>
              </c:numCache>
            </c:numRef>
          </c:val>
          <c:smooth val="1"/>
          <c:extLst>
            <c:ext xmlns:c16="http://schemas.microsoft.com/office/drawing/2014/chart" uri="{C3380CC4-5D6E-409C-BE32-E72D297353CC}">
              <c16:uniqueId val="{00000004-5E93-4567-967C-F49E616B5A49}"/>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1"/>
        <c:noMultiLvlLbl val="0"/>
      </c:catAx>
      <c:valAx>
        <c:axId val="11102552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'5.2'!$C$5</c:f>
              <c:strCache>
                <c:ptCount val="1"/>
                <c:pt idx="0">
                  <c:v>Supply</c:v>
                </c:pt>
              </c:strCache>
            </c:strRef>
          </c:tx>
          <c:spPr>
            <a:ln w="28575" cap="rnd">
              <a:solidFill>
                <a:srgbClr val="005CAF"/>
              </a:solidFill>
              <a:prstDash val="solid"/>
              <a:round/>
            </a:ln>
            <a:effectLst/>
          </c:spPr>
          <c:marker>
            <c:symbol val="none"/>
          </c:marker>
          <c:dPt>
            <c:idx val="8"/>
            <c:marker>
              <c:symbol val="none"/>
            </c:marker>
            <c:bubble3D val="0"/>
            <c:extLst>
              <c:ext xmlns:c16="http://schemas.microsoft.com/office/drawing/2014/chart" uri="{C3380CC4-5D6E-409C-BE32-E72D297353CC}">
                <c16:uniqueId val="{00000000-8763-4D2E-AF5C-F0391E5F7521}"/>
              </c:ext>
            </c:extLst>
          </c:dPt>
          <c:cat>
            <c:numRef>
              <c:f>'5.2'!$B$6:$B$16</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'5.2'!$C$6:$C$16</c:f>
              <c:numCache>
                <c:formatCode>#,##0</c:formatCode>
                <c:ptCount val="11"/>
                <c:pt idx="0">
                  <c:v>384.34500000000003</c:v>
                </c:pt>
                <c:pt idx="1">
                  <c:v>393.10500000000002</c:v>
                </c:pt>
                <c:pt idx="2">
                  <c:v>381.06</c:v>
                </c:pt>
                <c:pt idx="3">
                  <c:v>373.39499999999998</c:v>
                </c:pt>
                <c:pt idx="4">
                  <c:v>400.77</c:v>
                </c:pt>
                <c:pt idx="5">
                  <c:v>434.71499999999997</c:v>
                </c:pt>
                <c:pt idx="6">
                  <c:v>452.96499999999997</c:v>
                </c:pt>
                <c:pt idx="7">
                  <c:v>423.4</c:v>
                </c:pt>
                <c:pt idx="8">
                  <c:v>409.53</c:v>
                </c:pt>
                <c:pt idx="9">
                  <c:v>359.52499999999998</c:v>
                </c:pt>
                <c:pt idx="10">
                  <c:v>351.495</c:v>
                </c:pt>
              </c:numCache>
            </c:numRef>
          </c:val>
          <c:smooth val="1"/>
          <c:extLst>
            <c:ext xmlns:c16="http://schemas.microsoft.com/office/drawing/2014/chart" uri="{C3380CC4-5D6E-409C-BE32-E72D297353CC}">
              <c16:uniqueId val="{00000001-8763-4D2E-AF5C-F0391E5F7521}"/>
            </c:ext>
          </c:extLst>
        </c:ser>
        <c:ser>
          <c:idx val="1"/>
          <c:order val="1"/>
          <c:tx>
            <c:strRef>
              <c:f>'5.2'!$D$5</c:f>
              <c:strCache>
                <c:ptCount val="1"/>
                <c:pt idx="0">
                  <c:v>Demand</c:v>
                </c:pt>
              </c:strCache>
            </c:strRef>
          </c:tx>
          <c:spPr>
            <a:ln w="28575" cap="rnd">
              <a:solidFill>
                <a:srgbClr val="56B4DF"/>
              </a:solidFill>
              <a:prstDash val="solid"/>
              <a:round/>
            </a:ln>
            <a:effectLst/>
          </c:spPr>
          <c:marker>
            <c:symbol val="none"/>
          </c:marker>
          <c:dPt>
            <c:idx val="0"/>
            <c:marker>
              <c:symbol val="none"/>
            </c:marker>
            <c:bubble3D val="0"/>
            <c:extLst>
              <c:ext xmlns:c16="http://schemas.microsoft.com/office/drawing/2014/chart" uri="{C3380CC4-5D6E-409C-BE32-E72D297353CC}">
                <c16:uniqueId val="{00000002-8763-4D2E-AF5C-F0391E5F7521}"/>
              </c:ext>
            </c:extLst>
          </c:dPt>
          <c:dPt>
            <c:idx val="8"/>
            <c:marker>
              <c:symbol val="none"/>
            </c:marker>
            <c:bubble3D val="0"/>
            <c:extLst>
              <c:ext xmlns:c16="http://schemas.microsoft.com/office/drawing/2014/chart" uri="{C3380CC4-5D6E-409C-BE32-E72D297353CC}">
                <c16:uniqueId val="{00000003-8763-4D2E-AF5C-F0391E5F7521}"/>
              </c:ext>
            </c:extLst>
          </c:dPt>
          <c:cat>
            <c:numRef>
              <c:f>'5.2'!$B$6:$B$16</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'5.2'!$D$6:$D$16</c:f>
              <c:numCache>
                <c:formatCode>#,##0</c:formatCode>
                <c:ptCount val="11"/>
                <c:pt idx="0">
                  <c:v>389.09</c:v>
                </c:pt>
                <c:pt idx="1">
                  <c:v>413.54500000000002</c:v>
                </c:pt>
                <c:pt idx="2">
                  <c:v>420.84500000000003</c:v>
                </c:pt>
                <c:pt idx="3">
                  <c:v>418.65499999999997</c:v>
                </c:pt>
                <c:pt idx="4">
                  <c:v>410.26</c:v>
                </c:pt>
                <c:pt idx="5">
                  <c:v>455.88499999999999</c:v>
                </c:pt>
                <c:pt idx="6">
                  <c:v>452.96499999999997</c:v>
                </c:pt>
                <c:pt idx="7">
                  <c:v>451.505</c:v>
                </c:pt>
                <c:pt idx="8">
                  <c:v>478.15</c:v>
                </c:pt>
                <c:pt idx="9">
                  <c:v>489.1</c:v>
                </c:pt>
                <c:pt idx="10">
                  <c:v>483.625</c:v>
                </c:pt>
              </c:numCache>
            </c:numRef>
          </c:val>
          <c:smooth val="1"/>
          <c:extLst>
            <c:ext xmlns:c16="http://schemas.microsoft.com/office/drawing/2014/chart" uri="{C3380CC4-5D6E-409C-BE32-E72D297353CC}">
              <c16:uniqueId val="{00000004-8763-4D2E-AF5C-F0391E5F7521}"/>
            </c:ext>
          </c:extLst>
        </c:ser>
        <c:dLbls>
          <c:showLegendKey val="0"/>
          <c:showVal val="0"/>
          <c:showCatName val="0"/>
          <c:showSerName val="0"/>
          <c:showPercent val="0"/>
          <c:showBubbleSize val="0"/>
        </c:dLbls>
        <c:smooth val="0"/>
        <c:axId val="1060608208"/>
        <c:axId val="1110255200"/>
      </c:lineChart>
      <c:catAx>
        <c:axId val="1060608208"/>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55200"/>
        <c:crosses val="autoZero"/>
        <c:auto val="1"/>
        <c:lblAlgn val="ctr"/>
        <c:lblOffset val="100"/>
        <c:tickLblSkip val="1"/>
        <c:noMultiLvlLbl val="0"/>
      </c:catAx>
      <c:valAx>
        <c:axId val="11102552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08208"/>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78347660670858"/>
          <c:y val="3.3562166285278416E-2"/>
          <c:w val="0.80857737966240462"/>
          <c:h val="0.67744829768619352"/>
        </c:manualLayout>
      </c:layout>
      <c:barChart>
        <c:barDir val="col"/>
        <c:grouping val="clustered"/>
        <c:varyColors val="0"/>
        <c:ser>
          <c:idx val="1"/>
          <c:order val="0"/>
          <c:tx>
            <c:strRef>
              <c:f>'5.3'!$A$10</c:f>
              <c:strCache>
                <c:ptCount val="1"/>
                <c:pt idx="0">
                  <c:v>Southern states 2P reserves minus Demand </c:v>
                </c:pt>
              </c:strCache>
            </c:strRef>
          </c:tx>
          <c:spPr>
            <a:solidFill>
              <a:srgbClr val="44B4DF"/>
            </a:solidFill>
            <a:ln>
              <a:noFill/>
            </a:ln>
            <a:effectLst/>
          </c:spPr>
          <c:invertIfNegative val="0"/>
          <c:cat>
            <c:numRef>
              <c:f>'5.3'!$B$4:$L$4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'5.3'!$B$35:$L$35</c:f>
              <c:numCache>
                <c:formatCode>General</c:formatCode>
                <c:ptCount val="11"/>
                <c:pt idx="0">
                  <c:v>-0.232342420510804</c:v>
                </c:pt>
                <c:pt idx="1">
                  <c:v>-60.741792722570949</c:v>
                </c:pt>
                <c:pt idx="2">
                  <c:v>-118.9342756386161</c:v>
                </c:pt>
                <c:pt idx="3">
                  <c:v>-151.10514028250614</c:v>
                </c:pt>
                <c:pt idx="4">
                  <c:v>-190.50997657503495</c:v>
                </c:pt>
                <c:pt idx="5">
                  <c:v>-173.66705074006671</c:v>
                </c:pt>
                <c:pt idx="6">
                  <c:v>-181.00072802500176</c:v>
                </c:pt>
                <c:pt idx="7">
                  <c:v>-209.40955197430489</c:v>
                </c:pt>
                <c:pt idx="8">
                  <c:v>-269.85409129247569</c:v>
                </c:pt>
                <c:pt idx="9">
                  <c:v>-313.39025940429559</c:v>
                </c:pt>
                <c:pt idx="10">
                  <c:v>-305.24969148702911</c:v>
                </c:pt>
              </c:numCache>
            </c:numRef>
          </c:val>
          <c:extLst>
            <c:ext xmlns:c16="http://schemas.microsoft.com/office/drawing/2014/chart" uri="{C3380CC4-5D6E-409C-BE32-E72D297353CC}">
              <c16:uniqueId val="{00000000-646E-424C-891E-D76B649ED908}"/>
            </c:ext>
          </c:extLst>
        </c:ser>
        <c:ser>
          <c:idx val="0"/>
          <c:order val="1"/>
          <c:tx>
            <c:strRef>
              <c:f>'5.3'!$A$9</c:f>
              <c:strCache>
                <c:ptCount val="1"/>
                <c:pt idx="0">
                  <c:v>Queensland 2P reserves minus Demand </c:v>
                </c:pt>
              </c:strCache>
            </c:strRef>
          </c:tx>
          <c:spPr>
            <a:solidFill>
              <a:srgbClr val="005CAF"/>
            </a:solidFill>
            <a:ln>
              <a:noFill/>
            </a:ln>
            <a:effectLst/>
          </c:spPr>
          <c:invertIfNegative val="0"/>
          <c:cat>
            <c:numRef>
              <c:f>'5.3'!$B$4:$L$4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'5.3'!$B$5:$L$5</c:f>
              <c:numCache>
                <c:formatCode>0</c:formatCode>
                <c:ptCount val="11"/>
                <c:pt idx="0">
                  <c:v>153.04289324549154</c:v>
                </c:pt>
                <c:pt idx="1">
                  <c:v>121.3337787235082</c:v>
                </c:pt>
                <c:pt idx="2">
                  <c:v>139.62187570394576</c:v>
                </c:pt>
                <c:pt idx="3">
                  <c:v>84.615654663813302</c:v>
                </c:pt>
                <c:pt idx="4">
                  <c:v>-1.6527024776962662</c:v>
                </c:pt>
                <c:pt idx="5">
                  <c:v>-29.690145519706675</c:v>
                </c:pt>
                <c:pt idx="6">
                  <c:v>-101.69784281823445</c:v>
                </c:pt>
                <c:pt idx="7">
                  <c:v>-164.01143483296505</c:v>
                </c:pt>
                <c:pt idx="8">
                  <c:v>-205.51781781362683</c:v>
                </c:pt>
                <c:pt idx="9">
                  <c:v>-229.95899718873466</c:v>
                </c:pt>
                <c:pt idx="10">
                  <c:v>-316.80293099108849</c:v>
                </c:pt>
              </c:numCache>
            </c:numRef>
          </c:val>
          <c:extLst>
            <c:ext xmlns:c16="http://schemas.microsoft.com/office/drawing/2014/chart" uri="{C3380CC4-5D6E-409C-BE32-E72D297353CC}">
              <c16:uniqueId val="{00000001-646E-424C-891E-D76B649ED908}"/>
            </c:ext>
          </c:extLst>
        </c:ser>
        <c:dLbls>
          <c:showLegendKey val="0"/>
          <c:showVal val="0"/>
          <c:showCatName val="0"/>
          <c:showSerName val="0"/>
          <c:showPercent val="0"/>
          <c:showBubbleSize val="0"/>
        </c:dLbls>
        <c:gapWidth val="219"/>
        <c:overlap val="-27"/>
        <c:axId val="955322264"/>
        <c:axId val="955317944"/>
      </c:barChart>
      <c:lineChart>
        <c:grouping val="standard"/>
        <c:varyColors val="0"/>
        <c:ser>
          <c:idx val="2"/>
          <c:order val="2"/>
          <c:tx>
            <c:strRef>
              <c:f>'5.3'!$A$7</c:f>
              <c:strCache>
                <c:ptCount val="1"/>
                <c:pt idx="0">
                  <c:v>Queensland supply balance after covering Southern States shortfall</c:v>
                </c:pt>
              </c:strCache>
            </c:strRef>
          </c:tx>
          <c:spPr>
            <a:ln w="28575" cap="rnd">
              <a:solidFill>
                <a:srgbClr val="9ED9DF"/>
              </a:solidFill>
              <a:round/>
            </a:ln>
            <a:effectLst/>
          </c:spPr>
          <c:marker>
            <c:symbol val="none"/>
          </c:marker>
          <c:cat>
            <c:numRef>
              <c:f>'5.3'!$B$4:$L$4</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'5.3'!$B$37:$L$37</c:f>
              <c:numCache>
                <c:formatCode>0</c:formatCode>
                <c:ptCount val="11"/>
                <c:pt idx="0">
                  <c:v>152.81055082498074</c:v>
                </c:pt>
                <c:pt idx="1">
                  <c:v>60.591986000937254</c:v>
                </c:pt>
                <c:pt idx="2">
                  <c:v>20.687600065329661</c:v>
                </c:pt>
                <c:pt idx="3">
                  <c:v>-66.489485618692839</c:v>
                </c:pt>
                <c:pt idx="4">
                  <c:v>-192.16267905273122</c:v>
                </c:pt>
                <c:pt idx="5">
                  <c:v>-203.35719625977339</c:v>
                </c:pt>
                <c:pt idx="6">
                  <c:v>-282.69857084323621</c:v>
                </c:pt>
                <c:pt idx="7">
                  <c:v>-373.42098680726997</c:v>
                </c:pt>
                <c:pt idx="8">
                  <c:v>-475.37190910610252</c:v>
                </c:pt>
                <c:pt idx="9">
                  <c:v>-543.3492565930303</c:v>
                </c:pt>
                <c:pt idx="10">
                  <c:v>-622.05262247811766</c:v>
                </c:pt>
              </c:numCache>
            </c:numRef>
          </c:val>
          <c:smooth val="0"/>
          <c:extLst>
            <c:ext xmlns:c16="http://schemas.microsoft.com/office/drawing/2014/chart" uri="{C3380CC4-5D6E-409C-BE32-E72D297353CC}">
              <c16:uniqueId val="{00000002-646E-424C-891E-D76B649ED908}"/>
            </c:ext>
          </c:extLst>
        </c:ser>
        <c:dLbls>
          <c:showLegendKey val="0"/>
          <c:showVal val="0"/>
          <c:showCatName val="0"/>
          <c:showSerName val="0"/>
          <c:showPercent val="0"/>
          <c:showBubbleSize val="0"/>
        </c:dLbls>
        <c:marker val="1"/>
        <c:smooth val="0"/>
        <c:axId val="955322264"/>
        <c:axId val="955317944"/>
      </c:lineChart>
      <c:catAx>
        <c:axId val="955322264"/>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955317944"/>
        <c:crosses val="autoZero"/>
        <c:auto val="1"/>
        <c:lblAlgn val="ctr"/>
        <c:lblOffset val="100"/>
        <c:noMultiLvlLbl val="0"/>
      </c:catAx>
      <c:valAx>
        <c:axId val="955317944"/>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Petajoules</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955322264"/>
        <c:crosses val="autoZero"/>
        <c:crossBetween val="between"/>
      </c:valAx>
      <c:spPr>
        <a:noFill/>
        <a:ln w="25400">
          <a:noFill/>
        </a:ln>
        <a:effectLst/>
      </c:spPr>
    </c:plotArea>
    <c:legend>
      <c:legendPos val="b"/>
      <c:layout>
        <c:manualLayout>
          <c:xMode val="edge"/>
          <c:yMode val="edge"/>
          <c:x val="6.277540995448963E-2"/>
          <c:y val="0.81750488635729046"/>
          <c:w val="0.91990994244985436"/>
          <c:h val="0.17366728095158318"/>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01528485409911"/>
          <c:y val="2.7707808564231738E-2"/>
          <c:w val="0.80263177396943031"/>
          <c:h val="0.6154438685670619"/>
        </c:manualLayout>
      </c:layout>
      <c:barChart>
        <c:barDir val="col"/>
        <c:grouping val="stacked"/>
        <c:varyColors val="0"/>
        <c:ser>
          <c:idx val="0"/>
          <c:order val="0"/>
          <c:tx>
            <c:strRef>
              <c:f>'5.4'!$C$5</c:f>
              <c:strCache>
                <c:ptCount val="1"/>
                <c:pt idx="0">
                  <c:v>Forecast southern demand (residential, commercial and industrial customers)</c:v>
                </c:pt>
              </c:strCache>
            </c:strRef>
          </c:tx>
          <c:spPr>
            <a:solidFill>
              <a:srgbClr val="005CAF"/>
            </a:solidFill>
            <a:ln>
              <a:noFill/>
            </a:ln>
            <a:effectLst/>
          </c:spPr>
          <c:invertIfNegative val="0"/>
          <c:cat>
            <c:numRef>
              <c:f>'5.4'!$B$6:$B$1680</c:f>
              <c:numCache>
                <c:formatCode>m/d/yyyy</c:formatCode>
                <c:ptCount val="1675"/>
                <c:pt idx="0">
                  <c:v>45444</c:v>
                </c:pt>
                <c:pt idx="1">
                  <c:v>45445</c:v>
                </c:pt>
                <c:pt idx="2">
                  <c:v>45446</c:v>
                </c:pt>
                <c:pt idx="3">
                  <c:v>45447</c:v>
                </c:pt>
                <c:pt idx="4">
                  <c:v>45448</c:v>
                </c:pt>
                <c:pt idx="5">
                  <c:v>45449</c:v>
                </c:pt>
                <c:pt idx="6">
                  <c:v>45450</c:v>
                </c:pt>
                <c:pt idx="7">
                  <c:v>45451</c:v>
                </c:pt>
                <c:pt idx="8">
                  <c:v>45452</c:v>
                </c:pt>
                <c:pt idx="9">
                  <c:v>45453</c:v>
                </c:pt>
                <c:pt idx="10">
                  <c:v>45454</c:v>
                </c:pt>
                <c:pt idx="11">
                  <c:v>45455</c:v>
                </c:pt>
                <c:pt idx="12">
                  <c:v>45456</c:v>
                </c:pt>
                <c:pt idx="13">
                  <c:v>45457</c:v>
                </c:pt>
                <c:pt idx="14">
                  <c:v>45458</c:v>
                </c:pt>
                <c:pt idx="15">
                  <c:v>45459</c:v>
                </c:pt>
                <c:pt idx="16">
                  <c:v>45460</c:v>
                </c:pt>
                <c:pt idx="17">
                  <c:v>45461</c:v>
                </c:pt>
                <c:pt idx="18">
                  <c:v>45462</c:v>
                </c:pt>
                <c:pt idx="19">
                  <c:v>45463</c:v>
                </c:pt>
                <c:pt idx="20">
                  <c:v>45464</c:v>
                </c:pt>
                <c:pt idx="21">
                  <c:v>45465</c:v>
                </c:pt>
                <c:pt idx="22">
                  <c:v>45466</c:v>
                </c:pt>
                <c:pt idx="23">
                  <c:v>45467</c:v>
                </c:pt>
                <c:pt idx="24">
                  <c:v>45468</c:v>
                </c:pt>
                <c:pt idx="25">
                  <c:v>45469</c:v>
                </c:pt>
                <c:pt idx="26">
                  <c:v>45470</c:v>
                </c:pt>
                <c:pt idx="27">
                  <c:v>45471</c:v>
                </c:pt>
                <c:pt idx="28">
                  <c:v>45472</c:v>
                </c:pt>
                <c:pt idx="29">
                  <c:v>45473</c:v>
                </c:pt>
                <c:pt idx="30">
                  <c:v>45474</c:v>
                </c:pt>
                <c:pt idx="31">
                  <c:v>45475</c:v>
                </c:pt>
                <c:pt idx="32">
                  <c:v>45476</c:v>
                </c:pt>
                <c:pt idx="33">
                  <c:v>45477</c:v>
                </c:pt>
                <c:pt idx="34">
                  <c:v>45478</c:v>
                </c:pt>
                <c:pt idx="35">
                  <c:v>45479</c:v>
                </c:pt>
                <c:pt idx="36">
                  <c:v>45480</c:v>
                </c:pt>
                <c:pt idx="37">
                  <c:v>45481</c:v>
                </c:pt>
                <c:pt idx="38">
                  <c:v>45482</c:v>
                </c:pt>
                <c:pt idx="39">
                  <c:v>45483</c:v>
                </c:pt>
                <c:pt idx="40">
                  <c:v>45484</c:v>
                </c:pt>
                <c:pt idx="41">
                  <c:v>45485</c:v>
                </c:pt>
                <c:pt idx="42">
                  <c:v>45486</c:v>
                </c:pt>
                <c:pt idx="43">
                  <c:v>45487</c:v>
                </c:pt>
                <c:pt idx="44">
                  <c:v>45488</c:v>
                </c:pt>
                <c:pt idx="45">
                  <c:v>45489</c:v>
                </c:pt>
                <c:pt idx="46">
                  <c:v>45490</c:v>
                </c:pt>
                <c:pt idx="47">
                  <c:v>45491</c:v>
                </c:pt>
                <c:pt idx="48">
                  <c:v>45492</c:v>
                </c:pt>
                <c:pt idx="49">
                  <c:v>45493</c:v>
                </c:pt>
                <c:pt idx="50">
                  <c:v>45494</c:v>
                </c:pt>
                <c:pt idx="51">
                  <c:v>45495</c:v>
                </c:pt>
                <c:pt idx="52">
                  <c:v>45496</c:v>
                </c:pt>
                <c:pt idx="53">
                  <c:v>45497</c:v>
                </c:pt>
                <c:pt idx="54">
                  <c:v>45498</c:v>
                </c:pt>
                <c:pt idx="55">
                  <c:v>45499</c:v>
                </c:pt>
                <c:pt idx="56">
                  <c:v>45500</c:v>
                </c:pt>
                <c:pt idx="57">
                  <c:v>45501</c:v>
                </c:pt>
                <c:pt idx="58">
                  <c:v>45502</c:v>
                </c:pt>
                <c:pt idx="59">
                  <c:v>45503</c:v>
                </c:pt>
                <c:pt idx="60">
                  <c:v>45504</c:v>
                </c:pt>
                <c:pt idx="61">
                  <c:v>45505</c:v>
                </c:pt>
                <c:pt idx="62">
                  <c:v>45506</c:v>
                </c:pt>
                <c:pt idx="63">
                  <c:v>45507</c:v>
                </c:pt>
                <c:pt idx="64">
                  <c:v>45508</c:v>
                </c:pt>
                <c:pt idx="65">
                  <c:v>45509</c:v>
                </c:pt>
                <c:pt idx="66">
                  <c:v>45510</c:v>
                </c:pt>
                <c:pt idx="67">
                  <c:v>45511</c:v>
                </c:pt>
                <c:pt idx="68">
                  <c:v>45512</c:v>
                </c:pt>
                <c:pt idx="69">
                  <c:v>45513</c:v>
                </c:pt>
                <c:pt idx="70">
                  <c:v>45514</c:v>
                </c:pt>
                <c:pt idx="71">
                  <c:v>45515</c:v>
                </c:pt>
                <c:pt idx="72">
                  <c:v>45516</c:v>
                </c:pt>
                <c:pt idx="73">
                  <c:v>45517</c:v>
                </c:pt>
                <c:pt idx="74">
                  <c:v>45518</c:v>
                </c:pt>
                <c:pt idx="75">
                  <c:v>45519</c:v>
                </c:pt>
                <c:pt idx="76">
                  <c:v>45520</c:v>
                </c:pt>
                <c:pt idx="77">
                  <c:v>45521</c:v>
                </c:pt>
                <c:pt idx="78">
                  <c:v>45522</c:v>
                </c:pt>
                <c:pt idx="79">
                  <c:v>45523</c:v>
                </c:pt>
                <c:pt idx="80">
                  <c:v>45524</c:v>
                </c:pt>
                <c:pt idx="81">
                  <c:v>45525</c:v>
                </c:pt>
                <c:pt idx="82">
                  <c:v>45526</c:v>
                </c:pt>
                <c:pt idx="83">
                  <c:v>45527</c:v>
                </c:pt>
                <c:pt idx="84">
                  <c:v>45528</c:v>
                </c:pt>
                <c:pt idx="85">
                  <c:v>45529</c:v>
                </c:pt>
                <c:pt idx="86">
                  <c:v>45530</c:v>
                </c:pt>
                <c:pt idx="87">
                  <c:v>45531</c:v>
                </c:pt>
                <c:pt idx="88">
                  <c:v>45532</c:v>
                </c:pt>
                <c:pt idx="89">
                  <c:v>45533</c:v>
                </c:pt>
                <c:pt idx="90">
                  <c:v>45534</c:v>
                </c:pt>
                <c:pt idx="91">
                  <c:v>45535</c:v>
                </c:pt>
                <c:pt idx="92">
                  <c:v>45536</c:v>
                </c:pt>
                <c:pt idx="93">
                  <c:v>45537</c:v>
                </c:pt>
                <c:pt idx="94">
                  <c:v>45538</c:v>
                </c:pt>
                <c:pt idx="95">
                  <c:v>45539</c:v>
                </c:pt>
                <c:pt idx="96">
                  <c:v>45540</c:v>
                </c:pt>
                <c:pt idx="97">
                  <c:v>45541</c:v>
                </c:pt>
                <c:pt idx="98">
                  <c:v>45542</c:v>
                </c:pt>
                <c:pt idx="99">
                  <c:v>45543</c:v>
                </c:pt>
                <c:pt idx="100">
                  <c:v>45544</c:v>
                </c:pt>
                <c:pt idx="101">
                  <c:v>45545</c:v>
                </c:pt>
                <c:pt idx="102">
                  <c:v>45546</c:v>
                </c:pt>
                <c:pt idx="103">
                  <c:v>45547</c:v>
                </c:pt>
                <c:pt idx="104">
                  <c:v>45548</c:v>
                </c:pt>
                <c:pt idx="105">
                  <c:v>45549</c:v>
                </c:pt>
                <c:pt idx="106">
                  <c:v>45550</c:v>
                </c:pt>
                <c:pt idx="107">
                  <c:v>45551</c:v>
                </c:pt>
                <c:pt idx="108">
                  <c:v>45552</c:v>
                </c:pt>
                <c:pt idx="109">
                  <c:v>45553</c:v>
                </c:pt>
                <c:pt idx="110">
                  <c:v>45554</c:v>
                </c:pt>
                <c:pt idx="111">
                  <c:v>45555</c:v>
                </c:pt>
                <c:pt idx="112">
                  <c:v>45556</c:v>
                </c:pt>
                <c:pt idx="113">
                  <c:v>45557</c:v>
                </c:pt>
                <c:pt idx="114">
                  <c:v>45558</c:v>
                </c:pt>
                <c:pt idx="115">
                  <c:v>45559</c:v>
                </c:pt>
                <c:pt idx="116">
                  <c:v>45560</c:v>
                </c:pt>
                <c:pt idx="117">
                  <c:v>45561</c:v>
                </c:pt>
                <c:pt idx="118">
                  <c:v>45562</c:v>
                </c:pt>
                <c:pt idx="119">
                  <c:v>45563</c:v>
                </c:pt>
                <c:pt idx="120">
                  <c:v>45564</c:v>
                </c:pt>
                <c:pt idx="121">
                  <c:v>45565</c:v>
                </c:pt>
                <c:pt idx="122">
                  <c:v>45566</c:v>
                </c:pt>
                <c:pt idx="123">
                  <c:v>45567</c:v>
                </c:pt>
                <c:pt idx="124">
                  <c:v>45568</c:v>
                </c:pt>
                <c:pt idx="125">
                  <c:v>45569</c:v>
                </c:pt>
                <c:pt idx="126">
                  <c:v>45570</c:v>
                </c:pt>
                <c:pt idx="127">
                  <c:v>45571</c:v>
                </c:pt>
                <c:pt idx="128">
                  <c:v>45572</c:v>
                </c:pt>
                <c:pt idx="129">
                  <c:v>45573</c:v>
                </c:pt>
                <c:pt idx="130">
                  <c:v>45574</c:v>
                </c:pt>
                <c:pt idx="131">
                  <c:v>45575</c:v>
                </c:pt>
                <c:pt idx="132">
                  <c:v>45576</c:v>
                </c:pt>
                <c:pt idx="133">
                  <c:v>45577</c:v>
                </c:pt>
                <c:pt idx="134">
                  <c:v>45578</c:v>
                </c:pt>
                <c:pt idx="135">
                  <c:v>45579</c:v>
                </c:pt>
                <c:pt idx="136">
                  <c:v>45580</c:v>
                </c:pt>
                <c:pt idx="137">
                  <c:v>45581</c:v>
                </c:pt>
                <c:pt idx="138">
                  <c:v>45582</c:v>
                </c:pt>
                <c:pt idx="139">
                  <c:v>45583</c:v>
                </c:pt>
                <c:pt idx="140">
                  <c:v>45584</c:v>
                </c:pt>
                <c:pt idx="141">
                  <c:v>45585</c:v>
                </c:pt>
                <c:pt idx="142">
                  <c:v>45586</c:v>
                </c:pt>
                <c:pt idx="143">
                  <c:v>45587</c:v>
                </c:pt>
                <c:pt idx="144">
                  <c:v>45588</c:v>
                </c:pt>
                <c:pt idx="145">
                  <c:v>45589</c:v>
                </c:pt>
                <c:pt idx="146">
                  <c:v>45590</c:v>
                </c:pt>
                <c:pt idx="147">
                  <c:v>45591</c:v>
                </c:pt>
                <c:pt idx="148">
                  <c:v>45592</c:v>
                </c:pt>
                <c:pt idx="149">
                  <c:v>45593</c:v>
                </c:pt>
                <c:pt idx="150">
                  <c:v>45594</c:v>
                </c:pt>
                <c:pt idx="151">
                  <c:v>45595</c:v>
                </c:pt>
                <c:pt idx="152">
                  <c:v>45596</c:v>
                </c:pt>
                <c:pt idx="153">
                  <c:v>45597</c:v>
                </c:pt>
                <c:pt idx="154">
                  <c:v>45598</c:v>
                </c:pt>
                <c:pt idx="155">
                  <c:v>45599</c:v>
                </c:pt>
                <c:pt idx="156">
                  <c:v>45600</c:v>
                </c:pt>
                <c:pt idx="157">
                  <c:v>45601</c:v>
                </c:pt>
                <c:pt idx="158">
                  <c:v>45602</c:v>
                </c:pt>
                <c:pt idx="159">
                  <c:v>45603</c:v>
                </c:pt>
                <c:pt idx="160">
                  <c:v>45604</c:v>
                </c:pt>
                <c:pt idx="161">
                  <c:v>45605</c:v>
                </c:pt>
                <c:pt idx="162">
                  <c:v>45606</c:v>
                </c:pt>
                <c:pt idx="163">
                  <c:v>45607</c:v>
                </c:pt>
                <c:pt idx="164">
                  <c:v>45608</c:v>
                </c:pt>
                <c:pt idx="165">
                  <c:v>45609</c:v>
                </c:pt>
                <c:pt idx="166">
                  <c:v>45610</c:v>
                </c:pt>
                <c:pt idx="167">
                  <c:v>45611</c:v>
                </c:pt>
                <c:pt idx="168">
                  <c:v>45612</c:v>
                </c:pt>
                <c:pt idx="169">
                  <c:v>45613</c:v>
                </c:pt>
                <c:pt idx="170">
                  <c:v>45614</c:v>
                </c:pt>
                <c:pt idx="171">
                  <c:v>45615</c:v>
                </c:pt>
                <c:pt idx="172">
                  <c:v>45616</c:v>
                </c:pt>
                <c:pt idx="173">
                  <c:v>45617</c:v>
                </c:pt>
                <c:pt idx="174">
                  <c:v>45618</c:v>
                </c:pt>
                <c:pt idx="175">
                  <c:v>45619</c:v>
                </c:pt>
                <c:pt idx="176">
                  <c:v>45620</c:v>
                </c:pt>
                <c:pt idx="177">
                  <c:v>45621</c:v>
                </c:pt>
                <c:pt idx="178">
                  <c:v>45622</c:v>
                </c:pt>
                <c:pt idx="179">
                  <c:v>45623</c:v>
                </c:pt>
                <c:pt idx="180">
                  <c:v>45624</c:v>
                </c:pt>
                <c:pt idx="181">
                  <c:v>45625</c:v>
                </c:pt>
                <c:pt idx="182">
                  <c:v>45626</c:v>
                </c:pt>
                <c:pt idx="183">
                  <c:v>45627</c:v>
                </c:pt>
                <c:pt idx="184">
                  <c:v>45628</c:v>
                </c:pt>
                <c:pt idx="185">
                  <c:v>45629</c:v>
                </c:pt>
                <c:pt idx="186">
                  <c:v>45630</c:v>
                </c:pt>
                <c:pt idx="187">
                  <c:v>45631</c:v>
                </c:pt>
                <c:pt idx="188">
                  <c:v>45632</c:v>
                </c:pt>
                <c:pt idx="189">
                  <c:v>45633</c:v>
                </c:pt>
                <c:pt idx="190">
                  <c:v>45634</c:v>
                </c:pt>
                <c:pt idx="191">
                  <c:v>45635</c:v>
                </c:pt>
                <c:pt idx="192">
                  <c:v>45636</c:v>
                </c:pt>
                <c:pt idx="193">
                  <c:v>45637</c:v>
                </c:pt>
                <c:pt idx="194">
                  <c:v>45638</c:v>
                </c:pt>
                <c:pt idx="195">
                  <c:v>45639</c:v>
                </c:pt>
                <c:pt idx="196">
                  <c:v>45640</c:v>
                </c:pt>
                <c:pt idx="197">
                  <c:v>45641</c:v>
                </c:pt>
                <c:pt idx="198">
                  <c:v>45642</c:v>
                </c:pt>
                <c:pt idx="199">
                  <c:v>45643</c:v>
                </c:pt>
                <c:pt idx="200">
                  <c:v>45644</c:v>
                </c:pt>
                <c:pt idx="201">
                  <c:v>45645</c:v>
                </c:pt>
                <c:pt idx="202">
                  <c:v>45646</c:v>
                </c:pt>
                <c:pt idx="203">
                  <c:v>45647</c:v>
                </c:pt>
                <c:pt idx="204">
                  <c:v>45648</c:v>
                </c:pt>
                <c:pt idx="205">
                  <c:v>45649</c:v>
                </c:pt>
                <c:pt idx="206">
                  <c:v>45650</c:v>
                </c:pt>
                <c:pt idx="207">
                  <c:v>45651</c:v>
                </c:pt>
                <c:pt idx="208">
                  <c:v>45652</c:v>
                </c:pt>
                <c:pt idx="209">
                  <c:v>45653</c:v>
                </c:pt>
                <c:pt idx="210">
                  <c:v>45654</c:v>
                </c:pt>
                <c:pt idx="211">
                  <c:v>45655</c:v>
                </c:pt>
                <c:pt idx="212">
                  <c:v>45656</c:v>
                </c:pt>
                <c:pt idx="213">
                  <c:v>45657</c:v>
                </c:pt>
                <c:pt idx="214">
                  <c:v>45658</c:v>
                </c:pt>
                <c:pt idx="215">
                  <c:v>45659</c:v>
                </c:pt>
                <c:pt idx="216">
                  <c:v>45660</c:v>
                </c:pt>
                <c:pt idx="217">
                  <c:v>45661</c:v>
                </c:pt>
                <c:pt idx="218">
                  <c:v>45662</c:v>
                </c:pt>
                <c:pt idx="219">
                  <c:v>45663</c:v>
                </c:pt>
                <c:pt idx="220">
                  <c:v>45664</c:v>
                </c:pt>
                <c:pt idx="221">
                  <c:v>45665</c:v>
                </c:pt>
                <c:pt idx="222">
                  <c:v>45666</c:v>
                </c:pt>
                <c:pt idx="223">
                  <c:v>45667</c:v>
                </c:pt>
                <c:pt idx="224">
                  <c:v>45668</c:v>
                </c:pt>
                <c:pt idx="225">
                  <c:v>45669</c:v>
                </c:pt>
                <c:pt idx="226">
                  <c:v>45670</c:v>
                </c:pt>
                <c:pt idx="227">
                  <c:v>45671</c:v>
                </c:pt>
                <c:pt idx="228">
                  <c:v>45672</c:v>
                </c:pt>
                <c:pt idx="229">
                  <c:v>45673</c:v>
                </c:pt>
                <c:pt idx="230">
                  <c:v>45674</c:v>
                </c:pt>
                <c:pt idx="231">
                  <c:v>45675</c:v>
                </c:pt>
                <c:pt idx="232">
                  <c:v>45676</c:v>
                </c:pt>
                <c:pt idx="233">
                  <c:v>45677</c:v>
                </c:pt>
                <c:pt idx="234">
                  <c:v>45678</c:v>
                </c:pt>
                <c:pt idx="235">
                  <c:v>45679</c:v>
                </c:pt>
                <c:pt idx="236">
                  <c:v>45680</c:v>
                </c:pt>
                <c:pt idx="237">
                  <c:v>45681</c:v>
                </c:pt>
                <c:pt idx="238">
                  <c:v>45682</c:v>
                </c:pt>
                <c:pt idx="239">
                  <c:v>45683</c:v>
                </c:pt>
                <c:pt idx="240">
                  <c:v>45684</c:v>
                </c:pt>
                <c:pt idx="241">
                  <c:v>45685</c:v>
                </c:pt>
                <c:pt idx="242">
                  <c:v>45686</c:v>
                </c:pt>
                <c:pt idx="243">
                  <c:v>45687</c:v>
                </c:pt>
                <c:pt idx="244">
                  <c:v>45688</c:v>
                </c:pt>
                <c:pt idx="245">
                  <c:v>45689</c:v>
                </c:pt>
                <c:pt idx="246">
                  <c:v>45690</c:v>
                </c:pt>
                <c:pt idx="247">
                  <c:v>45691</c:v>
                </c:pt>
                <c:pt idx="248">
                  <c:v>45692</c:v>
                </c:pt>
                <c:pt idx="249">
                  <c:v>45693</c:v>
                </c:pt>
                <c:pt idx="250">
                  <c:v>45694</c:v>
                </c:pt>
                <c:pt idx="251">
                  <c:v>45695</c:v>
                </c:pt>
                <c:pt idx="252">
                  <c:v>45696</c:v>
                </c:pt>
                <c:pt idx="253">
                  <c:v>45697</c:v>
                </c:pt>
                <c:pt idx="254">
                  <c:v>45698</c:v>
                </c:pt>
                <c:pt idx="255">
                  <c:v>45699</c:v>
                </c:pt>
                <c:pt idx="256">
                  <c:v>45700</c:v>
                </c:pt>
                <c:pt idx="257">
                  <c:v>45701</c:v>
                </c:pt>
                <c:pt idx="258">
                  <c:v>45702</c:v>
                </c:pt>
                <c:pt idx="259">
                  <c:v>45703</c:v>
                </c:pt>
                <c:pt idx="260">
                  <c:v>45704</c:v>
                </c:pt>
                <c:pt idx="261">
                  <c:v>45705</c:v>
                </c:pt>
                <c:pt idx="262">
                  <c:v>45706</c:v>
                </c:pt>
                <c:pt idx="263">
                  <c:v>45707</c:v>
                </c:pt>
                <c:pt idx="264">
                  <c:v>45708</c:v>
                </c:pt>
                <c:pt idx="265">
                  <c:v>45709</c:v>
                </c:pt>
                <c:pt idx="266">
                  <c:v>45710</c:v>
                </c:pt>
                <c:pt idx="267">
                  <c:v>45711</c:v>
                </c:pt>
                <c:pt idx="268">
                  <c:v>45712</c:v>
                </c:pt>
                <c:pt idx="269">
                  <c:v>45713</c:v>
                </c:pt>
                <c:pt idx="270">
                  <c:v>45714</c:v>
                </c:pt>
                <c:pt idx="271">
                  <c:v>45715</c:v>
                </c:pt>
                <c:pt idx="272">
                  <c:v>45716</c:v>
                </c:pt>
                <c:pt idx="273">
                  <c:v>45717</c:v>
                </c:pt>
                <c:pt idx="274">
                  <c:v>45718</c:v>
                </c:pt>
                <c:pt idx="275">
                  <c:v>45719</c:v>
                </c:pt>
                <c:pt idx="276">
                  <c:v>45720</c:v>
                </c:pt>
                <c:pt idx="277">
                  <c:v>45721</c:v>
                </c:pt>
                <c:pt idx="278">
                  <c:v>45722</c:v>
                </c:pt>
                <c:pt idx="279">
                  <c:v>45723</c:v>
                </c:pt>
                <c:pt idx="280">
                  <c:v>45724</c:v>
                </c:pt>
                <c:pt idx="281">
                  <c:v>45725</c:v>
                </c:pt>
                <c:pt idx="282">
                  <c:v>45726</c:v>
                </c:pt>
                <c:pt idx="283">
                  <c:v>45727</c:v>
                </c:pt>
                <c:pt idx="284">
                  <c:v>45728</c:v>
                </c:pt>
                <c:pt idx="285">
                  <c:v>45729</c:v>
                </c:pt>
                <c:pt idx="286">
                  <c:v>45730</c:v>
                </c:pt>
                <c:pt idx="287">
                  <c:v>45731</c:v>
                </c:pt>
                <c:pt idx="288">
                  <c:v>45732</c:v>
                </c:pt>
                <c:pt idx="289">
                  <c:v>45733</c:v>
                </c:pt>
                <c:pt idx="290">
                  <c:v>45734</c:v>
                </c:pt>
                <c:pt idx="291">
                  <c:v>45735</c:v>
                </c:pt>
                <c:pt idx="292">
                  <c:v>45736</c:v>
                </c:pt>
                <c:pt idx="293">
                  <c:v>45737</c:v>
                </c:pt>
                <c:pt idx="294">
                  <c:v>45738</c:v>
                </c:pt>
                <c:pt idx="295">
                  <c:v>45739</c:v>
                </c:pt>
                <c:pt idx="296">
                  <c:v>45740</c:v>
                </c:pt>
                <c:pt idx="297">
                  <c:v>45741</c:v>
                </c:pt>
                <c:pt idx="298">
                  <c:v>45742</c:v>
                </c:pt>
                <c:pt idx="299">
                  <c:v>45743</c:v>
                </c:pt>
                <c:pt idx="300">
                  <c:v>45744</c:v>
                </c:pt>
                <c:pt idx="301">
                  <c:v>45745</c:v>
                </c:pt>
                <c:pt idx="302">
                  <c:v>45746</c:v>
                </c:pt>
                <c:pt idx="303">
                  <c:v>45747</c:v>
                </c:pt>
                <c:pt idx="304">
                  <c:v>45748</c:v>
                </c:pt>
                <c:pt idx="305">
                  <c:v>45749</c:v>
                </c:pt>
                <c:pt idx="306">
                  <c:v>45750</c:v>
                </c:pt>
                <c:pt idx="307">
                  <c:v>45751</c:v>
                </c:pt>
                <c:pt idx="308">
                  <c:v>45752</c:v>
                </c:pt>
                <c:pt idx="309">
                  <c:v>45753</c:v>
                </c:pt>
                <c:pt idx="310">
                  <c:v>45754</c:v>
                </c:pt>
                <c:pt idx="311">
                  <c:v>45755</c:v>
                </c:pt>
                <c:pt idx="312">
                  <c:v>45756</c:v>
                </c:pt>
                <c:pt idx="313">
                  <c:v>45757</c:v>
                </c:pt>
                <c:pt idx="314">
                  <c:v>45758</c:v>
                </c:pt>
                <c:pt idx="315">
                  <c:v>45759</c:v>
                </c:pt>
                <c:pt idx="316">
                  <c:v>45760</c:v>
                </c:pt>
                <c:pt idx="317">
                  <c:v>45761</c:v>
                </c:pt>
                <c:pt idx="318">
                  <c:v>45762</c:v>
                </c:pt>
                <c:pt idx="319">
                  <c:v>45763</c:v>
                </c:pt>
                <c:pt idx="320">
                  <c:v>45764</c:v>
                </c:pt>
                <c:pt idx="321">
                  <c:v>45765</c:v>
                </c:pt>
                <c:pt idx="322">
                  <c:v>45766</c:v>
                </c:pt>
                <c:pt idx="323">
                  <c:v>45767</c:v>
                </c:pt>
                <c:pt idx="324">
                  <c:v>45768</c:v>
                </c:pt>
                <c:pt idx="325">
                  <c:v>45769</c:v>
                </c:pt>
                <c:pt idx="326">
                  <c:v>45770</c:v>
                </c:pt>
                <c:pt idx="327">
                  <c:v>45771</c:v>
                </c:pt>
                <c:pt idx="328">
                  <c:v>45772</c:v>
                </c:pt>
                <c:pt idx="329">
                  <c:v>45773</c:v>
                </c:pt>
                <c:pt idx="330">
                  <c:v>45774</c:v>
                </c:pt>
                <c:pt idx="331">
                  <c:v>45775</c:v>
                </c:pt>
                <c:pt idx="332">
                  <c:v>45776</c:v>
                </c:pt>
                <c:pt idx="333">
                  <c:v>45777</c:v>
                </c:pt>
                <c:pt idx="334">
                  <c:v>45778</c:v>
                </c:pt>
                <c:pt idx="335">
                  <c:v>45779</c:v>
                </c:pt>
                <c:pt idx="336">
                  <c:v>45780</c:v>
                </c:pt>
                <c:pt idx="337">
                  <c:v>45781</c:v>
                </c:pt>
                <c:pt idx="338">
                  <c:v>45782</c:v>
                </c:pt>
                <c:pt idx="339">
                  <c:v>45783</c:v>
                </c:pt>
                <c:pt idx="340">
                  <c:v>45784</c:v>
                </c:pt>
                <c:pt idx="341">
                  <c:v>45785</c:v>
                </c:pt>
                <c:pt idx="342">
                  <c:v>45786</c:v>
                </c:pt>
                <c:pt idx="343">
                  <c:v>45787</c:v>
                </c:pt>
                <c:pt idx="344">
                  <c:v>45788</c:v>
                </c:pt>
                <c:pt idx="345">
                  <c:v>45789</c:v>
                </c:pt>
                <c:pt idx="346">
                  <c:v>45790</c:v>
                </c:pt>
                <c:pt idx="347">
                  <c:v>45791</c:v>
                </c:pt>
                <c:pt idx="348">
                  <c:v>45792</c:v>
                </c:pt>
                <c:pt idx="349">
                  <c:v>45793</c:v>
                </c:pt>
                <c:pt idx="350">
                  <c:v>45794</c:v>
                </c:pt>
                <c:pt idx="351">
                  <c:v>45795</c:v>
                </c:pt>
                <c:pt idx="352">
                  <c:v>45796</c:v>
                </c:pt>
                <c:pt idx="353">
                  <c:v>45797</c:v>
                </c:pt>
                <c:pt idx="354">
                  <c:v>45798</c:v>
                </c:pt>
                <c:pt idx="355">
                  <c:v>45799</c:v>
                </c:pt>
                <c:pt idx="356">
                  <c:v>45800</c:v>
                </c:pt>
                <c:pt idx="357">
                  <c:v>45801</c:v>
                </c:pt>
                <c:pt idx="358">
                  <c:v>45802</c:v>
                </c:pt>
                <c:pt idx="359">
                  <c:v>45803</c:v>
                </c:pt>
                <c:pt idx="360">
                  <c:v>45804</c:v>
                </c:pt>
                <c:pt idx="361">
                  <c:v>45805</c:v>
                </c:pt>
                <c:pt idx="362">
                  <c:v>45806</c:v>
                </c:pt>
                <c:pt idx="363">
                  <c:v>45807</c:v>
                </c:pt>
                <c:pt idx="364">
                  <c:v>45808</c:v>
                </c:pt>
                <c:pt idx="365">
                  <c:v>45809</c:v>
                </c:pt>
                <c:pt idx="366">
                  <c:v>45810</c:v>
                </c:pt>
                <c:pt idx="367">
                  <c:v>45811</c:v>
                </c:pt>
                <c:pt idx="368">
                  <c:v>45812</c:v>
                </c:pt>
                <c:pt idx="369">
                  <c:v>45813</c:v>
                </c:pt>
                <c:pt idx="370">
                  <c:v>45814</c:v>
                </c:pt>
                <c:pt idx="371">
                  <c:v>45815</c:v>
                </c:pt>
                <c:pt idx="372">
                  <c:v>45816</c:v>
                </c:pt>
                <c:pt idx="373">
                  <c:v>45817</c:v>
                </c:pt>
                <c:pt idx="374">
                  <c:v>45818</c:v>
                </c:pt>
                <c:pt idx="375">
                  <c:v>45819</c:v>
                </c:pt>
                <c:pt idx="376">
                  <c:v>45820</c:v>
                </c:pt>
                <c:pt idx="377">
                  <c:v>45821</c:v>
                </c:pt>
                <c:pt idx="378">
                  <c:v>45822</c:v>
                </c:pt>
                <c:pt idx="379">
                  <c:v>45823</c:v>
                </c:pt>
                <c:pt idx="380">
                  <c:v>45824</c:v>
                </c:pt>
                <c:pt idx="381">
                  <c:v>45825</c:v>
                </c:pt>
                <c:pt idx="382">
                  <c:v>45826</c:v>
                </c:pt>
                <c:pt idx="383">
                  <c:v>45827</c:v>
                </c:pt>
                <c:pt idx="384">
                  <c:v>45828</c:v>
                </c:pt>
                <c:pt idx="385">
                  <c:v>45829</c:v>
                </c:pt>
                <c:pt idx="386">
                  <c:v>45830</c:v>
                </c:pt>
                <c:pt idx="387">
                  <c:v>45831</c:v>
                </c:pt>
                <c:pt idx="388">
                  <c:v>45832</c:v>
                </c:pt>
                <c:pt idx="389">
                  <c:v>45833</c:v>
                </c:pt>
                <c:pt idx="390">
                  <c:v>45834</c:v>
                </c:pt>
                <c:pt idx="391">
                  <c:v>45835</c:v>
                </c:pt>
                <c:pt idx="392">
                  <c:v>45836</c:v>
                </c:pt>
                <c:pt idx="393">
                  <c:v>45837</c:v>
                </c:pt>
                <c:pt idx="394">
                  <c:v>45838</c:v>
                </c:pt>
                <c:pt idx="395">
                  <c:v>45839</c:v>
                </c:pt>
                <c:pt idx="396">
                  <c:v>45840</c:v>
                </c:pt>
                <c:pt idx="397">
                  <c:v>45841</c:v>
                </c:pt>
                <c:pt idx="398">
                  <c:v>45842</c:v>
                </c:pt>
                <c:pt idx="399">
                  <c:v>45843</c:v>
                </c:pt>
                <c:pt idx="400">
                  <c:v>45844</c:v>
                </c:pt>
                <c:pt idx="401">
                  <c:v>45845</c:v>
                </c:pt>
                <c:pt idx="402">
                  <c:v>45846</c:v>
                </c:pt>
                <c:pt idx="403">
                  <c:v>45847</c:v>
                </c:pt>
                <c:pt idx="404">
                  <c:v>45848</c:v>
                </c:pt>
                <c:pt idx="405">
                  <c:v>45849</c:v>
                </c:pt>
                <c:pt idx="406">
                  <c:v>45850</c:v>
                </c:pt>
                <c:pt idx="407">
                  <c:v>45851</c:v>
                </c:pt>
                <c:pt idx="408">
                  <c:v>45852</c:v>
                </c:pt>
                <c:pt idx="409">
                  <c:v>45853</c:v>
                </c:pt>
                <c:pt idx="410">
                  <c:v>45854</c:v>
                </c:pt>
                <c:pt idx="411">
                  <c:v>45855</c:v>
                </c:pt>
                <c:pt idx="412">
                  <c:v>45856</c:v>
                </c:pt>
                <c:pt idx="413">
                  <c:v>45857</c:v>
                </c:pt>
                <c:pt idx="414">
                  <c:v>45858</c:v>
                </c:pt>
                <c:pt idx="415">
                  <c:v>45859</c:v>
                </c:pt>
                <c:pt idx="416">
                  <c:v>45860</c:v>
                </c:pt>
                <c:pt idx="417">
                  <c:v>45861</c:v>
                </c:pt>
                <c:pt idx="418">
                  <c:v>45862</c:v>
                </c:pt>
                <c:pt idx="419">
                  <c:v>45863</c:v>
                </c:pt>
                <c:pt idx="420">
                  <c:v>45864</c:v>
                </c:pt>
                <c:pt idx="421">
                  <c:v>45865</c:v>
                </c:pt>
                <c:pt idx="422">
                  <c:v>45866</c:v>
                </c:pt>
                <c:pt idx="423">
                  <c:v>45867</c:v>
                </c:pt>
                <c:pt idx="424">
                  <c:v>45868</c:v>
                </c:pt>
                <c:pt idx="425">
                  <c:v>45869</c:v>
                </c:pt>
                <c:pt idx="426">
                  <c:v>45870</c:v>
                </c:pt>
                <c:pt idx="427">
                  <c:v>45871</c:v>
                </c:pt>
                <c:pt idx="428">
                  <c:v>45872</c:v>
                </c:pt>
                <c:pt idx="429">
                  <c:v>45873</c:v>
                </c:pt>
                <c:pt idx="430">
                  <c:v>45874</c:v>
                </c:pt>
                <c:pt idx="431">
                  <c:v>45875</c:v>
                </c:pt>
                <c:pt idx="432">
                  <c:v>45876</c:v>
                </c:pt>
                <c:pt idx="433">
                  <c:v>45877</c:v>
                </c:pt>
                <c:pt idx="434">
                  <c:v>45878</c:v>
                </c:pt>
                <c:pt idx="435">
                  <c:v>45879</c:v>
                </c:pt>
                <c:pt idx="436">
                  <c:v>45880</c:v>
                </c:pt>
                <c:pt idx="437">
                  <c:v>45881</c:v>
                </c:pt>
                <c:pt idx="438">
                  <c:v>45882</c:v>
                </c:pt>
                <c:pt idx="439">
                  <c:v>45883</c:v>
                </c:pt>
                <c:pt idx="440">
                  <c:v>45884</c:v>
                </c:pt>
                <c:pt idx="441">
                  <c:v>45885</c:v>
                </c:pt>
                <c:pt idx="442">
                  <c:v>45886</c:v>
                </c:pt>
                <c:pt idx="443">
                  <c:v>45887</c:v>
                </c:pt>
                <c:pt idx="444">
                  <c:v>45888</c:v>
                </c:pt>
                <c:pt idx="445">
                  <c:v>45889</c:v>
                </c:pt>
                <c:pt idx="446">
                  <c:v>45890</c:v>
                </c:pt>
                <c:pt idx="447">
                  <c:v>45891</c:v>
                </c:pt>
                <c:pt idx="448">
                  <c:v>45892</c:v>
                </c:pt>
                <c:pt idx="449">
                  <c:v>45893</c:v>
                </c:pt>
                <c:pt idx="450">
                  <c:v>45894</c:v>
                </c:pt>
                <c:pt idx="451">
                  <c:v>45895</c:v>
                </c:pt>
                <c:pt idx="452">
                  <c:v>45896</c:v>
                </c:pt>
                <c:pt idx="453">
                  <c:v>45897</c:v>
                </c:pt>
                <c:pt idx="454">
                  <c:v>45898</c:v>
                </c:pt>
                <c:pt idx="455">
                  <c:v>45899</c:v>
                </c:pt>
                <c:pt idx="456">
                  <c:v>45900</c:v>
                </c:pt>
                <c:pt idx="457">
                  <c:v>45901</c:v>
                </c:pt>
                <c:pt idx="458">
                  <c:v>45902</c:v>
                </c:pt>
                <c:pt idx="459">
                  <c:v>45903</c:v>
                </c:pt>
                <c:pt idx="460">
                  <c:v>45904</c:v>
                </c:pt>
                <c:pt idx="461">
                  <c:v>45905</c:v>
                </c:pt>
                <c:pt idx="462">
                  <c:v>45906</c:v>
                </c:pt>
                <c:pt idx="463">
                  <c:v>45907</c:v>
                </c:pt>
                <c:pt idx="464">
                  <c:v>45908</c:v>
                </c:pt>
                <c:pt idx="465">
                  <c:v>45909</c:v>
                </c:pt>
                <c:pt idx="466">
                  <c:v>45910</c:v>
                </c:pt>
                <c:pt idx="467">
                  <c:v>45911</c:v>
                </c:pt>
                <c:pt idx="468">
                  <c:v>45912</c:v>
                </c:pt>
                <c:pt idx="469">
                  <c:v>45913</c:v>
                </c:pt>
                <c:pt idx="470">
                  <c:v>45914</c:v>
                </c:pt>
                <c:pt idx="471">
                  <c:v>45915</c:v>
                </c:pt>
                <c:pt idx="472">
                  <c:v>45916</c:v>
                </c:pt>
                <c:pt idx="473">
                  <c:v>45917</c:v>
                </c:pt>
                <c:pt idx="474">
                  <c:v>45918</c:v>
                </c:pt>
                <c:pt idx="475">
                  <c:v>45919</c:v>
                </c:pt>
                <c:pt idx="476">
                  <c:v>45920</c:v>
                </c:pt>
                <c:pt idx="477">
                  <c:v>45921</c:v>
                </c:pt>
                <c:pt idx="478">
                  <c:v>45922</c:v>
                </c:pt>
                <c:pt idx="479">
                  <c:v>45923</c:v>
                </c:pt>
                <c:pt idx="480">
                  <c:v>45924</c:v>
                </c:pt>
                <c:pt idx="481">
                  <c:v>45925</c:v>
                </c:pt>
                <c:pt idx="482">
                  <c:v>45926</c:v>
                </c:pt>
                <c:pt idx="483">
                  <c:v>45927</c:v>
                </c:pt>
                <c:pt idx="484">
                  <c:v>45928</c:v>
                </c:pt>
                <c:pt idx="485">
                  <c:v>45929</c:v>
                </c:pt>
                <c:pt idx="486">
                  <c:v>45930</c:v>
                </c:pt>
                <c:pt idx="487">
                  <c:v>45931</c:v>
                </c:pt>
                <c:pt idx="488">
                  <c:v>45932</c:v>
                </c:pt>
                <c:pt idx="489">
                  <c:v>45933</c:v>
                </c:pt>
                <c:pt idx="490">
                  <c:v>45934</c:v>
                </c:pt>
                <c:pt idx="491">
                  <c:v>45935</c:v>
                </c:pt>
                <c:pt idx="492">
                  <c:v>45936</c:v>
                </c:pt>
                <c:pt idx="493">
                  <c:v>45937</c:v>
                </c:pt>
                <c:pt idx="494">
                  <c:v>45938</c:v>
                </c:pt>
                <c:pt idx="495">
                  <c:v>45939</c:v>
                </c:pt>
                <c:pt idx="496">
                  <c:v>45940</c:v>
                </c:pt>
                <c:pt idx="497">
                  <c:v>45941</c:v>
                </c:pt>
                <c:pt idx="498">
                  <c:v>45942</c:v>
                </c:pt>
                <c:pt idx="499">
                  <c:v>45943</c:v>
                </c:pt>
                <c:pt idx="500">
                  <c:v>45944</c:v>
                </c:pt>
                <c:pt idx="501">
                  <c:v>45945</c:v>
                </c:pt>
                <c:pt idx="502">
                  <c:v>45946</c:v>
                </c:pt>
                <c:pt idx="503">
                  <c:v>45947</c:v>
                </c:pt>
                <c:pt idx="504">
                  <c:v>45948</c:v>
                </c:pt>
                <c:pt idx="505">
                  <c:v>45949</c:v>
                </c:pt>
                <c:pt idx="506">
                  <c:v>45950</c:v>
                </c:pt>
                <c:pt idx="507">
                  <c:v>45951</c:v>
                </c:pt>
                <c:pt idx="508">
                  <c:v>45952</c:v>
                </c:pt>
                <c:pt idx="509">
                  <c:v>45953</c:v>
                </c:pt>
                <c:pt idx="510">
                  <c:v>45954</c:v>
                </c:pt>
                <c:pt idx="511">
                  <c:v>45955</c:v>
                </c:pt>
                <c:pt idx="512">
                  <c:v>45956</c:v>
                </c:pt>
                <c:pt idx="513">
                  <c:v>45957</c:v>
                </c:pt>
                <c:pt idx="514">
                  <c:v>45958</c:v>
                </c:pt>
                <c:pt idx="515">
                  <c:v>45959</c:v>
                </c:pt>
                <c:pt idx="516">
                  <c:v>45960</c:v>
                </c:pt>
                <c:pt idx="517">
                  <c:v>45961</c:v>
                </c:pt>
                <c:pt idx="518">
                  <c:v>45962</c:v>
                </c:pt>
                <c:pt idx="519">
                  <c:v>45963</c:v>
                </c:pt>
                <c:pt idx="520">
                  <c:v>45964</c:v>
                </c:pt>
                <c:pt idx="521">
                  <c:v>45965</c:v>
                </c:pt>
                <c:pt idx="522">
                  <c:v>45966</c:v>
                </c:pt>
                <c:pt idx="523">
                  <c:v>45967</c:v>
                </c:pt>
                <c:pt idx="524">
                  <c:v>45968</c:v>
                </c:pt>
                <c:pt idx="525">
                  <c:v>45969</c:v>
                </c:pt>
                <c:pt idx="526">
                  <c:v>45970</c:v>
                </c:pt>
                <c:pt idx="527">
                  <c:v>45971</c:v>
                </c:pt>
                <c:pt idx="528">
                  <c:v>45972</c:v>
                </c:pt>
                <c:pt idx="529">
                  <c:v>45973</c:v>
                </c:pt>
                <c:pt idx="530">
                  <c:v>45974</c:v>
                </c:pt>
                <c:pt idx="531">
                  <c:v>45975</c:v>
                </c:pt>
                <c:pt idx="532">
                  <c:v>45976</c:v>
                </c:pt>
                <c:pt idx="533">
                  <c:v>45977</c:v>
                </c:pt>
                <c:pt idx="534">
                  <c:v>45978</c:v>
                </c:pt>
                <c:pt idx="535">
                  <c:v>45979</c:v>
                </c:pt>
                <c:pt idx="536">
                  <c:v>45980</c:v>
                </c:pt>
                <c:pt idx="537">
                  <c:v>45981</c:v>
                </c:pt>
                <c:pt idx="538">
                  <c:v>45982</c:v>
                </c:pt>
                <c:pt idx="539">
                  <c:v>45983</c:v>
                </c:pt>
                <c:pt idx="540">
                  <c:v>45984</c:v>
                </c:pt>
                <c:pt idx="541">
                  <c:v>45985</c:v>
                </c:pt>
                <c:pt idx="542">
                  <c:v>45986</c:v>
                </c:pt>
                <c:pt idx="543">
                  <c:v>45987</c:v>
                </c:pt>
                <c:pt idx="544">
                  <c:v>45988</c:v>
                </c:pt>
                <c:pt idx="545">
                  <c:v>45989</c:v>
                </c:pt>
                <c:pt idx="546">
                  <c:v>45990</c:v>
                </c:pt>
                <c:pt idx="547">
                  <c:v>45991</c:v>
                </c:pt>
                <c:pt idx="548">
                  <c:v>45992</c:v>
                </c:pt>
                <c:pt idx="549">
                  <c:v>45993</c:v>
                </c:pt>
                <c:pt idx="550">
                  <c:v>45994</c:v>
                </c:pt>
                <c:pt idx="551">
                  <c:v>45995</c:v>
                </c:pt>
                <c:pt idx="552">
                  <c:v>45996</c:v>
                </c:pt>
                <c:pt idx="553">
                  <c:v>45997</c:v>
                </c:pt>
                <c:pt idx="554">
                  <c:v>45998</c:v>
                </c:pt>
                <c:pt idx="555">
                  <c:v>45999</c:v>
                </c:pt>
                <c:pt idx="556">
                  <c:v>46000</c:v>
                </c:pt>
                <c:pt idx="557">
                  <c:v>46001</c:v>
                </c:pt>
                <c:pt idx="558">
                  <c:v>46002</c:v>
                </c:pt>
                <c:pt idx="559">
                  <c:v>46003</c:v>
                </c:pt>
                <c:pt idx="560">
                  <c:v>46004</c:v>
                </c:pt>
                <c:pt idx="561">
                  <c:v>46005</c:v>
                </c:pt>
                <c:pt idx="562">
                  <c:v>46006</c:v>
                </c:pt>
                <c:pt idx="563">
                  <c:v>46007</c:v>
                </c:pt>
                <c:pt idx="564">
                  <c:v>46008</c:v>
                </c:pt>
                <c:pt idx="565">
                  <c:v>46009</c:v>
                </c:pt>
                <c:pt idx="566">
                  <c:v>46010</c:v>
                </c:pt>
                <c:pt idx="567">
                  <c:v>46011</c:v>
                </c:pt>
                <c:pt idx="568">
                  <c:v>46012</c:v>
                </c:pt>
                <c:pt idx="569">
                  <c:v>46013</c:v>
                </c:pt>
                <c:pt idx="570">
                  <c:v>46014</c:v>
                </c:pt>
                <c:pt idx="571">
                  <c:v>46015</c:v>
                </c:pt>
                <c:pt idx="572">
                  <c:v>46016</c:v>
                </c:pt>
                <c:pt idx="573">
                  <c:v>46017</c:v>
                </c:pt>
                <c:pt idx="574">
                  <c:v>46018</c:v>
                </c:pt>
                <c:pt idx="575">
                  <c:v>46019</c:v>
                </c:pt>
                <c:pt idx="576">
                  <c:v>46020</c:v>
                </c:pt>
                <c:pt idx="577">
                  <c:v>46021</c:v>
                </c:pt>
                <c:pt idx="578">
                  <c:v>46022</c:v>
                </c:pt>
                <c:pt idx="579">
                  <c:v>46023</c:v>
                </c:pt>
                <c:pt idx="580">
                  <c:v>46024</c:v>
                </c:pt>
                <c:pt idx="581">
                  <c:v>46025</c:v>
                </c:pt>
                <c:pt idx="582">
                  <c:v>46026</c:v>
                </c:pt>
                <c:pt idx="583">
                  <c:v>46027</c:v>
                </c:pt>
                <c:pt idx="584">
                  <c:v>46028</c:v>
                </c:pt>
                <c:pt idx="585">
                  <c:v>46029</c:v>
                </c:pt>
                <c:pt idx="586">
                  <c:v>46030</c:v>
                </c:pt>
                <c:pt idx="587">
                  <c:v>46031</c:v>
                </c:pt>
                <c:pt idx="588">
                  <c:v>46032</c:v>
                </c:pt>
                <c:pt idx="589">
                  <c:v>46033</c:v>
                </c:pt>
                <c:pt idx="590">
                  <c:v>46034</c:v>
                </c:pt>
                <c:pt idx="591">
                  <c:v>46035</c:v>
                </c:pt>
                <c:pt idx="592">
                  <c:v>46036</c:v>
                </c:pt>
                <c:pt idx="593">
                  <c:v>46037</c:v>
                </c:pt>
                <c:pt idx="594">
                  <c:v>46038</c:v>
                </c:pt>
                <c:pt idx="595">
                  <c:v>46039</c:v>
                </c:pt>
                <c:pt idx="596">
                  <c:v>46040</c:v>
                </c:pt>
                <c:pt idx="597">
                  <c:v>46041</c:v>
                </c:pt>
                <c:pt idx="598">
                  <c:v>46042</c:v>
                </c:pt>
                <c:pt idx="599">
                  <c:v>46043</c:v>
                </c:pt>
                <c:pt idx="600">
                  <c:v>46044</c:v>
                </c:pt>
                <c:pt idx="601">
                  <c:v>46045</c:v>
                </c:pt>
                <c:pt idx="602">
                  <c:v>46046</c:v>
                </c:pt>
                <c:pt idx="603">
                  <c:v>46047</c:v>
                </c:pt>
                <c:pt idx="604">
                  <c:v>46048</c:v>
                </c:pt>
                <c:pt idx="605">
                  <c:v>46049</c:v>
                </c:pt>
                <c:pt idx="606">
                  <c:v>46050</c:v>
                </c:pt>
                <c:pt idx="607">
                  <c:v>46051</c:v>
                </c:pt>
                <c:pt idx="608">
                  <c:v>46052</c:v>
                </c:pt>
                <c:pt idx="609">
                  <c:v>46053</c:v>
                </c:pt>
                <c:pt idx="610">
                  <c:v>46054</c:v>
                </c:pt>
                <c:pt idx="611">
                  <c:v>46055</c:v>
                </c:pt>
                <c:pt idx="612">
                  <c:v>46056</c:v>
                </c:pt>
                <c:pt idx="613">
                  <c:v>46057</c:v>
                </c:pt>
                <c:pt idx="614">
                  <c:v>46058</c:v>
                </c:pt>
                <c:pt idx="615">
                  <c:v>46059</c:v>
                </c:pt>
                <c:pt idx="616">
                  <c:v>46060</c:v>
                </c:pt>
                <c:pt idx="617">
                  <c:v>46061</c:v>
                </c:pt>
                <c:pt idx="618">
                  <c:v>46062</c:v>
                </c:pt>
                <c:pt idx="619">
                  <c:v>46063</c:v>
                </c:pt>
                <c:pt idx="620">
                  <c:v>46064</c:v>
                </c:pt>
                <c:pt idx="621">
                  <c:v>46065</c:v>
                </c:pt>
                <c:pt idx="622">
                  <c:v>46066</c:v>
                </c:pt>
                <c:pt idx="623">
                  <c:v>46067</c:v>
                </c:pt>
                <c:pt idx="624">
                  <c:v>46068</c:v>
                </c:pt>
                <c:pt idx="625">
                  <c:v>46069</c:v>
                </c:pt>
                <c:pt idx="626">
                  <c:v>46070</c:v>
                </c:pt>
                <c:pt idx="627">
                  <c:v>46071</c:v>
                </c:pt>
                <c:pt idx="628">
                  <c:v>46072</c:v>
                </c:pt>
                <c:pt idx="629">
                  <c:v>46073</c:v>
                </c:pt>
                <c:pt idx="630">
                  <c:v>46074</c:v>
                </c:pt>
                <c:pt idx="631">
                  <c:v>46075</c:v>
                </c:pt>
                <c:pt idx="632">
                  <c:v>46076</c:v>
                </c:pt>
                <c:pt idx="633">
                  <c:v>46077</c:v>
                </c:pt>
                <c:pt idx="634">
                  <c:v>46078</c:v>
                </c:pt>
                <c:pt idx="635">
                  <c:v>46079</c:v>
                </c:pt>
                <c:pt idx="636">
                  <c:v>46080</c:v>
                </c:pt>
                <c:pt idx="637">
                  <c:v>46081</c:v>
                </c:pt>
                <c:pt idx="638">
                  <c:v>46082</c:v>
                </c:pt>
                <c:pt idx="639">
                  <c:v>46083</c:v>
                </c:pt>
                <c:pt idx="640">
                  <c:v>46084</c:v>
                </c:pt>
                <c:pt idx="641">
                  <c:v>46085</c:v>
                </c:pt>
                <c:pt idx="642">
                  <c:v>46086</c:v>
                </c:pt>
                <c:pt idx="643">
                  <c:v>46087</c:v>
                </c:pt>
                <c:pt idx="644">
                  <c:v>46088</c:v>
                </c:pt>
                <c:pt idx="645">
                  <c:v>46089</c:v>
                </c:pt>
                <c:pt idx="646">
                  <c:v>46090</c:v>
                </c:pt>
                <c:pt idx="647">
                  <c:v>46091</c:v>
                </c:pt>
                <c:pt idx="648">
                  <c:v>46092</c:v>
                </c:pt>
                <c:pt idx="649">
                  <c:v>46093</c:v>
                </c:pt>
                <c:pt idx="650">
                  <c:v>46094</c:v>
                </c:pt>
                <c:pt idx="651">
                  <c:v>46095</c:v>
                </c:pt>
                <c:pt idx="652">
                  <c:v>46096</c:v>
                </c:pt>
                <c:pt idx="653">
                  <c:v>46097</c:v>
                </c:pt>
                <c:pt idx="654">
                  <c:v>46098</c:v>
                </c:pt>
                <c:pt idx="655">
                  <c:v>46099</c:v>
                </c:pt>
                <c:pt idx="656">
                  <c:v>46100</c:v>
                </c:pt>
                <c:pt idx="657">
                  <c:v>46101</c:v>
                </c:pt>
                <c:pt idx="658">
                  <c:v>46102</c:v>
                </c:pt>
                <c:pt idx="659">
                  <c:v>46103</c:v>
                </c:pt>
                <c:pt idx="660">
                  <c:v>46104</c:v>
                </c:pt>
                <c:pt idx="661">
                  <c:v>46105</c:v>
                </c:pt>
                <c:pt idx="662">
                  <c:v>46106</c:v>
                </c:pt>
                <c:pt idx="663">
                  <c:v>46107</c:v>
                </c:pt>
                <c:pt idx="664">
                  <c:v>46108</c:v>
                </c:pt>
                <c:pt idx="665">
                  <c:v>46109</c:v>
                </c:pt>
                <c:pt idx="666">
                  <c:v>46110</c:v>
                </c:pt>
                <c:pt idx="667">
                  <c:v>46111</c:v>
                </c:pt>
                <c:pt idx="668">
                  <c:v>46112</c:v>
                </c:pt>
                <c:pt idx="669">
                  <c:v>46113</c:v>
                </c:pt>
                <c:pt idx="670">
                  <c:v>46114</c:v>
                </c:pt>
                <c:pt idx="671">
                  <c:v>46115</c:v>
                </c:pt>
                <c:pt idx="672">
                  <c:v>46116</c:v>
                </c:pt>
                <c:pt idx="673">
                  <c:v>46117</c:v>
                </c:pt>
                <c:pt idx="674">
                  <c:v>46118</c:v>
                </c:pt>
                <c:pt idx="675">
                  <c:v>46119</c:v>
                </c:pt>
                <c:pt idx="676">
                  <c:v>46120</c:v>
                </c:pt>
                <c:pt idx="677">
                  <c:v>46121</c:v>
                </c:pt>
                <c:pt idx="678">
                  <c:v>46122</c:v>
                </c:pt>
                <c:pt idx="679">
                  <c:v>46123</c:v>
                </c:pt>
                <c:pt idx="680">
                  <c:v>46124</c:v>
                </c:pt>
                <c:pt idx="681">
                  <c:v>46125</c:v>
                </c:pt>
                <c:pt idx="682">
                  <c:v>46126</c:v>
                </c:pt>
                <c:pt idx="683">
                  <c:v>46127</c:v>
                </c:pt>
                <c:pt idx="684">
                  <c:v>46128</c:v>
                </c:pt>
                <c:pt idx="685">
                  <c:v>46129</c:v>
                </c:pt>
                <c:pt idx="686">
                  <c:v>46130</c:v>
                </c:pt>
                <c:pt idx="687">
                  <c:v>46131</c:v>
                </c:pt>
                <c:pt idx="688">
                  <c:v>46132</c:v>
                </c:pt>
                <c:pt idx="689">
                  <c:v>46133</c:v>
                </c:pt>
                <c:pt idx="690">
                  <c:v>46134</c:v>
                </c:pt>
                <c:pt idx="691">
                  <c:v>46135</c:v>
                </c:pt>
                <c:pt idx="692">
                  <c:v>46136</c:v>
                </c:pt>
                <c:pt idx="693">
                  <c:v>46137</c:v>
                </c:pt>
                <c:pt idx="694">
                  <c:v>46138</c:v>
                </c:pt>
                <c:pt idx="695">
                  <c:v>46139</c:v>
                </c:pt>
                <c:pt idx="696">
                  <c:v>46140</c:v>
                </c:pt>
                <c:pt idx="697">
                  <c:v>46141</c:v>
                </c:pt>
                <c:pt idx="698">
                  <c:v>46142</c:v>
                </c:pt>
                <c:pt idx="699">
                  <c:v>46143</c:v>
                </c:pt>
                <c:pt idx="700">
                  <c:v>46144</c:v>
                </c:pt>
                <c:pt idx="701">
                  <c:v>46145</c:v>
                </c:pt>
                <c:pt idx="702">
                  <c:v>46146</c:v>
                </c:pt>
                <c:pt idx="703">
                  <c:v>46147</c:v>
                </c:pt>
                <c:pt idx="704">
                  <c:v>46148</c:v>
                </c:pt>
                <c:pt idx="705">
                  <c:v>46149</c:v>
                </c:pt>
                <c:pt idx="706">
                  <c:v>46150</c:v>
                </c:pt>
                <c:pt idx="707">
                  <c:v>46151</c:v>
                </c:pt>
                <c:pt idx="708">
                  <c:v>46152</c:v>
                </c:pt>
                <c:pt idx="709">
                  <c:v>46153</c:v>
                </c:pt>
                <c:pt idx="710">
                  <c:v>46154</c:v>
                </c:pt>
                <c:pt idx="711">
                  <c:v>46155</c:v>
                </c:pt>
                <c:pt idx="712">
                  <c:v>46156</c:v>
                </c:pt>
                <c:pt idx="713">
                  <c:v>46157</c:v>
                </c:pt>
                <c:pt idx="714">
                  <c:v>46158</c:v>
                </c:pt>
                <c:pt idx="715">
                  <c:v>46159</c:v>
                </c:pt>
                <c:pt idx="716">
                  <c:v>46160</c:v>
                </c:pt>
                <c:pt idx="717">
                  <c:v>46161</c:v>
                </c:pt>
                <c:pt idx="718">
                  <c:v>46162</c:v>
                </c:pt>
                <c:pt idx="719">
                  <c:v>46163</c:v>
                </c:pt>
                <c:pt idx="720">
                  <c:v>46164</c:v>
                </c:pt>
                <c:pt idx="721">
                  <c:v>46165</c:v>
                </c:pt>
                <c:pt idx="722">
                  <c:v>46166</c:v>
                </c:pt>
                <c:pt idx="723">
                  <c:v>46167</c:v>
                </c:pt>
                <c:pt idx="724">
                  <c:v>46168</c:v>
                </c:pt>
                <c:pt idx="725">
                  <c:v>46169</c:v>
                </c:pt>
                <c:pt idx="726">
                  <c:v>46170</c:v>
                </c:pt>
                <c:pt idx="727">
                  <c:v>46171</c:v>
                </c:pt>
                <c:pt idx="728">
                  <c:v>46172</c:v>
                </c:pt>
                <c:pt idx="729">
                  <c:v>46173</c:v>
                </c:pt>
                <c:pt idx="730">
                  <c:v>46174</c:v>
                </c:pt>
                <c:pt idx="731">
                  <c:v>46175</c:v>
                </c:pt>
                <c:pt idx="732">
                  <c:v>46176</c:v>
                </c:pt>
                <c:pt idx="733">
                  <c:v>46177</c:v>
                </c:pt>
                <c:pt idx="734">
                  <c:v>46178</c:v>
                </c:pt>
                <c:pt idx="735">
                  <c:v>46179</c:v>
                </c:pt>
                <c:pt idx="736">
                  <c:v>46180</c:v>
                </c:pt>
                <c:pt idx="737">
                  <c:v>46181</c:v>
                </c:pt>
                <c:pt idx="738">
                  <c:v>46182</c:v>
                </c:pt>
                <c:pt idx="739">
                  <c:v>46183</c:v>
                </c:pt>
                <c:pt idx="740">
                  <c:v>46184</c:v>
                </c:pt>
                <c:pt idx="741">
                  <c:v>46185</c:v>
                </c:pt>
                <c:pt idx="742">
                  <c:v>46186</c:v>
                </c:pt>
                <c:pt idx="743">
                  <c:v>46187</c:v>
                </c:pt>
                <c:pt idx="744">
                  <c:v>46188</c:v>
                </c:pt>
                <c:pt idx="745">
                  <c:v>46189</c:v>
                </c:pt>
                <c:pt idx="746">
                  <c:v>46190</c:v>
                </c:pt>
                <c:pt idx="747">
                  <c:v>46191</c:v>
                </c:pt>
                <c:pt idx="748">
                  <c:v>46192</c:v>
                </c:pt>
                <c:pt idx="749">
                  <c:v>46193</c:v>
                </c:pt>
                <c:pt idx="750">
                  <c:v>46194</c:v>
                </c:pt>
                <c:pt idx="751">
                  <c:v>46195</c:v>
                </c:pt>
                <c:pt idx="752">
                  <c:v>46196</c:v>
                </c:pt>
                <c:pt idx="753">
                  <c:v>46197</c:v>
                </c:pt>
                <c:pt idx="754">
                  <c:v>46198</c:v>
                </c:pt>
                <c:pt idx="755">
                  <c:v>46199</c:v>
                </c:pt>
                <c:pt idx="756">
                  <c:v>46200</c:v>
                </c:pt>
                <c:pt idx="757">
                  <c:v>46201</c:v>
                </c:pt>
                <c:pt idx="758">
                  <c:v>46202</c:v>
                </c:pt>
                <c:pt idx="759">
                  <c:v>46203</c:v>
                </c:pt>
                <c:pt idx="760">
                  <c:v>46204</c:v>
                </c:pt>
                <c:pt idx="761">
                  <c:v>46205</c:v>
                </c:pt>
                <c:pt idx="762">
                  <c:v>46206</c:v>
                </c:pt>
                <c:pt idx="763">
                  <c:v>46207</c:v>
                </c:pt>
                <c:pt idx="764">
                  <c:v>46208</c:v>
                </c:pt>
                <c:pt idx="765">
                  <c:v>46209</c:v>
                </c:pt>
                <c:pt idx="766">
                  <c:v>46210</c:v>
                </c:pt>
                <c:pt idx="767">
                  <c:v>46211</c:v>
                </c:pt>
                <c:pt idx="768">
                  <c:v>46212</c:v>
                </c:pt>
                <c:pt idx="769">
                  <c:v>46213</c:v>
                </c:pt>
                <c:pt idx="770">
                  <c:v>46214</c:v>
                </c:pt>
                <c:pt idx="771">
                  <c:v>46215</c:v>
                </c:pt>
                <c:pt idx="772">
                  <c:v>46216</c:v>
                </c:pt>
                <c:pt idx="773">
                  <c:v>46217</c:v>
                </c:pt>
                <c:pt idx="774">
                  <c:v>46218</c:v>
                </c:pt>
                <c:pt idx="775">
                  <c:v>46219</c:v>
                </c:pt>
                <c:pt idx="776">
                  <c:v>46220</c:v>
                </c:pt>
                <c:pt idx="777">
                  <c:v>46221</c:v>
                </c:pt>
                <c:pt idx="778">
                  <c:v>46222</c:v>
                </c:pt>
                <c:pt idx="779">
                  <c:v>46223</c:v>
                </c:pt>
                <c:pt idx="780">
                  <c:v>46224</c:v>
                </c:pt>
                <c:pt idx="781">
                  <c:v>46225</c:v>
                </c:pt>
                <c:pt idx="782">
                  <c:v>46226</c:v>
                </c:pt>
                <c:pt idx="783">
                  <c:v>46227</c:v>
                </c:pt>
                <c:pt idx="784">
                  <c:v>46228</c:v>
                </c:pt>
                <c:pt idx="785">
                  <c:v>46229</c:v>
                </c:pt>
                <c:pt idx="786">
                  <c:v>46230</c:v>
                </c:pt>
                <c:pt idx="787">
                  <c:v>46231</c:v>
                </c:pt>
                <c:pt idx="788">
                  <c:v>46232</c:v>
                </c:pt>
                <c:pt idx="789">
                  <c:v>46233</c:v>
                </c:pt>
                <c:pt idx="790">
                  <c:v>46234</c:v>
                </c:pt>
                <c:pt idx="791">
                  <c:v>46235</c:v>
                </c:pt>
                <c:pt idx="792">
                  <c:v>46236</c:v>
                </c:pt>
                <c:pt idx="793">
                  <c:v>46237</c:v>
                </c:pt>
                <c:pt idx="794">
                  <c:v>46238</c:v>
                </c:pt>
                <c:pt idx="795">
                  <c:v>46239</c:v>
                </c:pt>
                <c:pt idx="796">
                  <c:v>46240</c:v>
                </c:pt>
                <c:pt idx="797">
                  <c:v>46241</c:v>
                </c:pt>
                <c:pt idx="798">
                  <c:v>46242</c:v>
                </c:pt>
                <c:pt idx="799">
                  <c:v>46243</c:v>
                </c:pt>
                <c:pt idx="800">
                  <c:v>46244</c:v>
                </c:pt>
                <c:pt idx="801">
                  <c:v>46245</c:v>
                </c:pt>
                <c:pt idx="802">
                  <c:v>46246</c:v>
                </c:pt>
                <c:pt idx="803">
                  <c:v>46247</c:v>
                </c:pt>
                <c:pt idx="804">
                  <c:v>46248</c:v>
                </c:pt>
                <c:pt idx="805">
                  <c:v>46249</c:v>
                </c:pt>
                <c:pt idx="806">
                  <c:v>46250</c:v>
                </c:pt>
                <c:pt idx="807">
                  <c:v>46251</c:v>
                </c:pt>
                <c:pt idx="808">
                  <c:v>46252</c:v>
                </c:pt>
                <c:pt idx="809">
                  <c:v>46253</c:v>
                </c:pt>
                <c:pt idx="810">
                  <c:v>46254</c:v>
                </c:pt>
                <c:pt idx="811">
                  <c:v>46255</c:v>
                </c:pt>
                <c:pt idx="812">
                  <c:v>46256</c:v>
                </c:pt>
                <c:pt idx="813">
                  <c:v>46257</c:v>
                </c:pt>
                <c:pt idx="814">
                  <c:v>46258</c:v>
                </c:pt>
                <c:pt idx="815">
                  <c:v>46259</c:v>
                </c:pt>
                <c:pt idx="816">
                  <c:v>46260</c:v>
                </c:pt>
                <c:pt idx="817">
                  <c:v>46261</c:v>
                </c:pt>
                <c:pt idx="818">
                  <c:v>46262</c:v>
                </c:pt>
                <c:pt idx="819">
                  <c:v>46263</c:v>
                </c:pt>
                <c:pt idx="820">
                  <c:v>46264</c:v>
                </c:pt>
                <c:pt idx="821">
                  <c:v>46265</c:v>
                </c:pt>
                <c:pt idx="822">
                  <c:v>46266</c:v>
                </c:pt>
                <c:pt idx="823">
                  <c:v>46267</c:v>
                </c:pt>
                <c:pt idx="824">
                  <c:v>46268</c:v>
                </c:pt>
                <c:pt idx="825">
                  <c:v>46269</c:v>
                </c:pt>
                <c:pt idx="826">
                  <c:v>46270</c:v>
                </c:pt>
                <c:pt idx="827">
                  <c:v>46271</c:v>
                </c:pt>
                <c:pt idx="828">
                  <c:v>46272</c:v>
                </c:pt>
                <c:pt idx="829">
                  <c:v>46273</c:v>
                </c:pt>
                <c:pt idx="830">
                  <c:v>46274</c:v>
                </c:pt>
                <c:pt idx="831">
                  <c:v>46275</c:v>
                </c:pt>
                <c:pt idx="832">
                  <c:v>46276</c:v>
                </c:pt>
                <c:pt idx="833">
                  <c:v>46277</c:v>
                </c:pt>
                <c:pt idx="834">
                  <c:v>46278</c:v>
                </c:pt>
                <c:pt idx="835">
                  <c:v>46279</c:v>
                </c:pt>
                <c:pt idx="836">
                  <c:v>46280</c:v>
                </c:pt>
                <c:pt idx="837">
                  <c:v>46281</c:v>
                </c:pt>
                <c:pt idx="838">
                  <c:v>46282</c:v>
                </c:pt>
                <c:pt idx="839">
                  <c:v>46283</c:v>
                </c:pt>
                <c:pt idx="840">
                  <c:v>46284</c:v>
                </c:pt>
                <c:pt idx="841">
                  <c:v>46285</c:v>
                </c:pt>
                <c:pt idx="842">
                  <c:v>46286</c:v>
                </c:pt>
                <c:pt idx="843">
                  <c:v>46287</c:v>
                </c:pt>
                <c:pt idx="844">
                  <c:v>46288</c:v>
                </c:pt>
                <c:pt idx="845">
                  <c:v>46289</c:v>
                </c:pt>
                <c:pt idx="846">
                  <c:v>46290</c:v>
                </c:pt>
                <c:pt idx="847">
                  <c:v>46291</c:v>
                </c:pt>
                <c:pt idx="848">
                  <c:v>46292</c:v>
                </c:pt>
                <c:pt idx="849">
                  <c:v>46293</c:v>
                </c:pt>
                <c:pt idx="850">
                  <c:v>46294</c:v>
                </c:pt>
                <c:pt idx="851">
                  <c:v>46295</c:v>
                </c:pt>
                <c:pt idx="852">
                  <c:v>46296</c:v>
                </c:pt>
                <c:pt idx="853">
                  <c:v>46297</c:v>
                </c:pt>
                <c:pt idx="854">
                  <c:v>46298</c:v>
                </c:pt>
                <c:pt idx="855">
                  <c:v>46299</c:v>
                </c:pt>
                <c:pt idx="856">
                  <c:v>46300</c:v>
                </c:pt>
                <c:pt idx="857">
                  <c:v>46301</c:v>
                </c:pt>
                <c:pt idx="858">
                  <c:v>46302</c:v>
                </c:pt>
                <c:pt idx="859">
                  <c:v>46303</c:v>
                </c:pt>
                <c:pt idx="860">
                  <c:v>46304</c:v>
                </c:pt>
                <c:pt idx="861">
                  <c:v>46305</c:v>
                </c:pt>
                <c:pt idx="862">
                  <c:v>46306</c:v>
                </c:pt>
                <c:pt idx="863">
                  <c:v>46307</c:v>
                </c:pt>
                <c:pt idx="864">
                  <c:v>46308</c:v>
                </c:pt>
                <c:pt idx="865">
                  <c:v>46309</c:v>
                </c:pt>
                <c:pt idx="866">
                  <c:v>46310</c:v>
                </c:pt>
                <c:pt idx="867">
                  <c:v>46311</c:v>
                </c:pt>
                <c:pt idx="868">
                  <c:v>46312</c:v>
                </c:pt>
                <c:pt idx="869">
                  <c:v>46313</c:v>
                </c:pt>
                <c:pt idx="870">
                  <c:v>46314</c:v>
                </c:pt>
                <c:pt idx="871">
                  <c:v>46315</c:v>
                </c:pt>
                <c:pt idx="872">
                  <c:v>46316</c:v>
                </c:pt>
                <c:pt idx="873">
                  <c:v>46317</c:v>
                </c:pt>
                <c:pt idx="874">
                  <c:v>46318</c:v>
                </c:pt>
                <c:pt idx="875">
                  <c:v>46319</c:v>
                </c:pt>
                <c:pt idx="876">
                  <c:v>46320</c:v>
                </c:pt>
                <c:pt idx="877">
                  <c:v>46321</c:v>
                </c:pt>
                <c:pt idx="878">
                  <c:v>46322</c:v>
                </c:pt>
                <c:pt idx="879">
                  <c:v>46323</c:v>
                </c:pt>
                <c:pt idx="880">
                  <c:v>46324</c:v>
                </c:pt>
                <c:pt idx="881">
                  <c:v>46325</c:v>
                </c:pt>
                <c:pt idx="882">
                  <c:v>46326</c:v>
                </c:pt>
                <c:pt idx="883">
                  <c:v>46327</c:v>
                </c:pt>
                <c:pt idx="884">
                  <c:v>46328</c:v>
                </c:pt>
                <c:pt idx="885">
                  <c:v>46329</c:v>
                </c:pt>
                <c:pt idx="886">
                  <c:v>46330</c:v>
                </c:pt>
                <c:pt idx="887">
                  <c:v>46331</c:v>
                </c:pt>
                <c:pt idx="888">
                  <c:v>46332</c:v>
                </c:pt>
                <c:pt idx="889">
                  <c:v>46333</c:v>
                </c:pt>
                <c:pt idx="890">
                  <c:v>46334</c:v>
                </c:pt>
                <c:pt idx="891">
                  <c:v>46335</c:v>
                </c:pt>
                <c:pt idx="892">
                  <c:v>46336</c:v>
                </c:pt>
                <c:pt idx="893">
                  <c:v>46337</c:v>
                </c:pt>
                <c:pt idx="894">
                  <c:v>46338</c:v>
                </c:pt>
                <c:pt idx="895">
                  <c:v>46339</c:v>
                </c:pt>
                <c:pt idx="896">
                  <c:v>46340</c:v>
                </c:pt>
                <c:pt idx="897">
                  <c:v>46341</c:v>
                </c:pt>
                <c:pt idx="898">
                  <c:v>46342</c:v>
                </c:pt>
                <c:pt idx="899">
                  <c:v>46343</c:v>
                </c:pt>
                <c:pt idx="900">
                  <c:v>46344</c:v>
                </c:pt>
                <c:pt idx="901">
                  <c:v>46345</c:v>
                </c:pt>
                <c:pt idx="902">
                  <c:v>46346</c:v>
                </c:pt>
                <c:pt idx="903">
                  <c:v>46347</c:v>
                </c:pt>
                <c:pt idx="904">
                  <c:v>46348</c:v>
                </c:pt>
                <c:pt idx="905">
                  <c:v>46349</c:v>
                </c:pt>
                <c:pt idx="906">
                  <c:v>46350</c:v>
                </c:pt>
                <c:pt idx="907">
                  <c:v>46351</c:v>
                </c:pt>
                <c:pt idx="908">
                  <c:v>46352</c:v>
                </c:pt>
                <c:pt idx="909">
                  <c:v>46353</c:v>
                </c:pt>
                <c:pt idx="910">
                  <c:v>46354</c:v>
                </c:pt>
                <c:pt idx="911">
                  <c:v>46355</c:v>
                </c:pt>
                <c:pt idx="912">
                  <c:v>46356</c:v>
                </c:pt>
                <c:pt idx="913">
                  <c:v>46357</c:v>
                </c:pt>
                <c:pt idx="914">
                  <c:v>46358</c:v>
                </c:pt>
                <c:pt idx="915">
                  <c:v>46359</c:v>
                </c:pt>
                <c:pt idx="916">
                  <c:v>46360</c:v>
                </c:pt>
                <c:pt idx="917">
                  <c:v>46361</c:v>
                </c:pt>
                <c:pt idx="918">
                  <c:v>46362</c:v>
                </c:pt>
                <c:pt idx="919">
                  <c:v>46363</c:v>
                </c:pt>
                <c:pt idx="920">
                  <c:v>46364</c:v>
                </c:pt>
                <c:pt idx="921">
                  <c:v>46365</c:v>
                </c:pt>
                <c:pt idx="922">
                  <c:v>46366</c:v>
                </c:pt>
                <c:pt idx="923">
                  <c:v>46367</c:v>
                </c:pt>
                <c:pt idx="924">
                  <c:v>46368</c:v>
                </c:pt>
                <c:pt idx="925">
                  <c:v>46369</c:v>
                </c:pt>
                <c:pt idx="926">
                  <c:v>46370</c:v>
                </c:pt>
                <c:pt idx="927">
                  <c:v>46371</c:v>
                </c:pt>
                <c:pt idx="928">
                  <c:v>46372</c:v>
                </c:pt>
                <c:pt idx="929">
                  <c:v>46373</c:v>
                </c:pt>
                <c:pt idx="930">
                  <c:v>46374</c:v>
                </c:pt>
                <c:pt idx="931">
                  <c:v>46375</c:v>
                </c:pt>
                <c:pt idx="932">
                  <c:v>46376</c:v>
                </c:pt>
                <c:pt idx="933">
                  <c:v>46377</c:v>
                </c:pt>
                <c:pt idx="934">
                  <c:v>46378</c:v>
                </c:pt>
                <c:pt idx="935">
                  <c:v>46379</c:v>
                </c:pt>
                <c:pt idx="936">
                  <c:v>46380</c:v>
                </c:pt>
                <c:pt idx="937">
                  <c:v>46381</c:v>
                </c:pt>
                <c:pt idx="938">
                  <c:v>46382</c:v>
                </c:pt>
                <c:pt idx="939">
                  <c:v>46383</c:v>
                </c:pt>
                <c:pt idx="940">
                  <c:v>46384</c:v>
                </c:pt>
                <c:pt idx="941">
                  <c:v>46385</c:v>
                </c:pt>
                <c:pt idx="942">
                  <c:v>46386</c:v>
                </c:pt>
                <c:pt idx="943">
                  <c:v>46387</c:v>
                </c:pt>
                <c:pt idx="944">
                  <c:v>46388</c:v>
                </c:pt>
                <c:pt idx="945">
                  <c:v>46389</c:v>
                </c:pt>
                <c:pt idx="946">
                  <c:v>46390</c:v>
                </c:pt>
                <c:pt idx="947">
                  <c:v>46391</c:v>
                </c:pt>
                <c:pt idx="948">
                  <c:v>46392</c:v>
                </c:pt>
                <c:pt idx="949">
                  <c:v>46393</c:v>
                </c:pt>
                <c:pt idx="950">
                  <c:v>46394</c:v>
                </c:pt>
                <c:pt idx="951">
                  <c:v>46395</c:v>
                </c:pt>
                <c:pt idx="952">
                  <c:v>46396</c:v>
                </c:pt>
                <c:pt idx="953">
                  <c:v>46397</c:v>
                </c:pt>
                <c:pt idx="954">
                  <c:v>46398</c:v>
                </c:pt>
                <c:pt idx="955">
                  <c:v>46399</c:v>
                </c:pt>
                <c:pt idx="956">
                  <c:v>46400</c:v>
                </c:pt>
                <c:pt idx="957">
                  <c:v>46401</c:v>
                </c:pt>
                <c:pt idx="958">
                  <c:v>46402</c:v>
                </c:pt>
                <c:pt idx="959">
                  <c:v>46403</c:v>
                </c:pt>
                <c:pt idx="960">
                  <c:v>46404</c:v>
                </c:pt>
                <c:pt idx="961">
                  <c:v>46405</c:v>
                </c:pt>
                <c:pt idx="962">
                  <c:v>46406</c:v>
                </c:pt>
                <c:pt idx="963">
                  <c:v>46407</c:v>
                </c:pt>
                <c:pt idx="964">
                  <c:v>46408</c:v>
                </c:pt>
                <c:pt idx="965">
                  <c:v>46409</c:v>
                </c:pt>
                <c:pt idx="966">
                  <c:v>46410</c:v>
                </c:pt>
                <c:pt idx="967">
                  <c:v>46411</c:v>
                </c:pt>
                <c:pt idx="968">
                  <c:v>46412</c:v>
                </c:pt>
                <c:pt idx="969">
                  <c:v>46413</c:v>
                </c:pt>
                <c:pt idx="970">
                  <c:v>46414</c:v>
                </c:pt>
                <c:pt idx="971">
                  <c:v>46415</c:v>
                </c:pt>
                <c:pt idx="972">
                  <c:v>46416</c:v>
                </c:pt>
                <c:pt idx="973">
                  <c:v>46417</c:v>
                </c:pt>
                <c:pt idx="974">
                  <c:v>46418</c:v>
                </c:pt>
                <c:pt idx="975">
                  <c:v>46419</c:v>
                </c:pt>
                <c:pt idx="976">
                  <c:v>46420</c:v>
                </c:pt>
                <c:pt idx="977">
                  <c:v>46421</c:v>
                </c:pt>
                <c:pt idx="978">
                  <c:v>46422</c:v>
                </c:pt>
                <c:pt idx="979">
                  <c:v>46423</c:v>
                </c:pt>
                <c:pt idx="980">
                  <c:v>46424</c:v>
                </c:pt>
                <c:pt idx="981">
                  <c:v>46425</c:v>
                </c:pt>
                <c:pt idx="982">
                  <c:v>46426</c:v>
                </c:pt>
                <c:pt idx="983">
                  <c:v>46427</c:v>
                </c:pt>
                <c:pt idx="984">
                  <c:v>46428</c:v>
                </c:pt>
                <c:pt idx="985">
                  <c:v>46429</c:v>
                </c:pt>
                <c:pt idx="986">
                  <c:v>46430</c:v>
                </c:pt>
                <c:pt idx="987">
                  <c:v>46431</c:v>
                </c:pt>
                <c:pt idx="988">
                  <c:v>46432</c:v>
                </c:pt>
                <c:pt idx="989">
                  <c:v>46433</c:v>
                </c:pt>
                <c:pt idx="990">
                  <c:v>46434</c:v>
                </c:pt>
                <c:pt idx="991">
                  <c:v>46435</c:v>
                </c:pt>
                <c:pt idx="992">
                  <c:v>46436</c:v>
                </c:pt>
                <c:pt idx="993">
                  <c:v>46437</c:v>
                </c:pt>
                <c:pt idx="994">
                  <c:v>46438</c:v>
                </c:pt>
                <c:pt idx="995">
                  <c:v>46439</c:v>
                </c:pt>
                <c:pt idx="996">
                  <c:v>46440</c:v>
                </c:pt>
                <c:pt idx="997">
                  <c:v>46441</c:v>
                </c:pt>
                <c:pt idx="998">
                  <c:v>46442</c:v>
                </c:pt>
                <c:pt idx="999">
                  <c:v>46443</c:v>
                </c:pt>
                <c:pt idx="1000">
                  <c:v>46444</c:v>
                </c:pt>
                <c:pt idx="1001">
                  <c:v>46445</c:v>
                </c:pt>
                <c:pt idx="1002">
                  <c:v>46446</c:v>
                </c:pt>
                <c:pt idx="1003">
                  <c:v>46447</c:v>
                </c:pt>
                <c:pt idx="1004">
                  <c:v>46448</c:v>
                </c:pt>
                <c:pt idx="1005">
                  <c:v>46449</c:v>
                </c:pt>
                <c:pt idx="1006">
                  <c:v>46450</c:v>
                </c:pt>
                <c:pt idx="1007">
                  <c:v>46451</c:v>
                </c:pt>
                <c:pt idx="1008">
                  <c:v>46452</c:v>
                </c:pt>
                <c:pt idx="1009">
                  <c:v>46453</c:v>
                </c:pt>
                <c:pt idx="1010">
                  <c:v>46454</c:v>
                </c:pt>
                <c:pt idx="1011">
                  <c:v>46455</c:v>
                </c:pt>
                <c:pt idx="1012">
                  <c:v>46456</c:v>
                </c:pt>
                <c:pt idx="1013">
                  <c:v>46457</c:v>
                </c:pt>
                <c:pt idx="1014">
                  <c:v>46458</c:v>
                </c:pt>
                <c:pt idx="1015">
                  <c:v>46459</c:v>
                </c:pt>
                <c:pt idx="1016">
                  <c:v>46460</c:v>
                </c:pt>
                <c:pt idx="1017">
                  <c:v>46461</c:v>
                </c:pt>
                <c:pt idx="1018">
                  <c:v>46462</c:v>
                </c:pt>
                <c:pt idx="1019">
                  <c:v>46463</c:v>
                </c:pt>
                <c:pt idx="1020">
                  <c:v>46464</c:v>
                </c:pt>
                <c:pt idx="1021">
                  <c:v>46465</c:v>
                </c:pt>
                <c:pt idx="1022">
                  <c:v>46466</c:v>
                </c:pt>
                <c:pt idx="1023">
                  <c:v>46467</c:v>
                </c:pt>
                <c:pt idx="1024">
                  <c:v>46468</c:v>
                </c:pt>
                <c:pt idx="1025">
                  <c:v>46469</c:v>
                </c:pt>
                <c:pt idx="1026">
                  <c:v>46470</c:v>
                </c:pt>
                <c:pt idx="1027">
                  <c:v>46471</c:v>
                </c:pt>
                <c:pt idx="1028">
                  <c:v>46472</c:v>
                </c:pt>
                <c:pt idx="1029">
                  <c:v>46473</c:v>
                </c:pt>
                <c:pt idx="1030">
                  <c:v>46474</c:v>
                </c:pt>
                <c:pt idx="1031">
                  <c:v>46475</c:v>
                </c:pt>
                <c:pt idx="1032">
                  <c:v>46476</c:v>
                </c:pt>
                <c:pt idx="1033">
                  <c:v>46477</c:v>
                </c:pt>
                <c:pt idx="1034">
                  <c:v>46478</c:v>
                </c:pt>
                <c:pt idx="1035">
                  <c:v>46479</c:v>
                </c:pt>
                <c:pt idx="1036">
                  <c:v>46480</c:v>
                </c:pt>
                <c:pt idx="1037">
                  <c:v>46481</c:v>
                </c:pt>
                <c:pt idx="1038">
                  <c:v>46482</c:v>
                </c:pt>
                <c:pt idx="1039">
                  <c:v>46483</c:v>
                </c:pt>
                <c:pt idx="1040">
                  <c:v>46484</c:v>
                </c:pt>
                <c:pt idx="1041">
                  <c:v>46485</c:v>
                </c:pt>
                <c:pt idx="1042">
                  <c:v>46486</c:v>
                </c:pt>
                <c:pt idx="1043">
                  <c:v>46487</c:v>
                </c:pt>
                <c:pt idx="1044">
                  <c:v>46488</c:v>
                </c:pt>
                <c:pt idx="1045">
                  <c:v>46489</c:v>
                </c:pt>
                <c:pt idx="1046">
                  <c:v>46490</c:v>
                </c:pt>
                <c:pt idx="1047">
                  <c:v>46491</c:v>
                </c:pt>
                <c:pt idx="1048">
                  <c:v>46492</c:v>
                </c:pt>
                <c:pt idx="1049">
                  <c:v>46493</c:v>
                </c:pt>
                <c:pt idx="1050">
                  <c:v>46494</c:v>
                </c:pt>
                <c:pt idx="1051">
                  <c:v>46495</c:v>
                </c:pt>
                <c:pt idx="1052">
                  <c:v>46496</c:v>
                </c:pt>
                <c:pt idx="1053">
                  <c:v>46497</c:v>
                </c:pt>
                <c:pt idx="1054">
                  <c:v>46498</c:v>
                </c:pt>
                <c:pt idx="1055">
                  <c:v>46499</c:v>
                </c:pt>
                <c:pt idx="1056">
                  <c:v>46500</c:v>
                </c:pt>
                <c:pt idx="1057">
                  <c:v>46501</c:v>
                </c:pt>
                <c:pt idx="1058">
                  <c:v>46502</c:v>
                </c:pt>
                <c:pt idx="1059">
                  <c:v>46503</c:v>
                </c:pt>
                <c:pt idx="1060">
                  <c:v>46504</c:v>
                </c:pt>
                <c:pt idx="1061">
                  <c:v>46505</c:v>
                </c:pt>
                <c:pt idx="1062">
                  <c:v>46506</c:v>
                </c:pt>
                <c:pt idx="1063">
                  <c:v>46507</c:v>
                </c:pt>
                <c:pt idx="1064">
                  <c:v>46508</c:v>
                </c:pt>
                <c:pt idx="1065">
                  <c:v>46509</c:v>
                </c:pt>
                <c:pt idx="1066">
                  <c:v>46510</c:v>
                </c:pt>
                <c:pt idx="1067">
                  <c:v>46511</c:v>
                </c:pt>
                <c:pt idx="1068">
                  <c:v>46512</c:v>
                </c:pt>
                <c:pt idx="1069">
                  <c:v>46513</c:v>
                </c:pt>
                <c:pt idx="1070">
                  <c:v>46514</c:v>
                </c:pt>
                <c:pt idx="1071">
                  <c:v>46515</c:v>
                </c:pt>
                <c:pt idx="1072">
                  <c:v>46516</c:v>
                </c:pt>
                <c:pt idx="1073">
                  <c:v>46517</c:v>
                </c:pt>
                <c:pt idx="1074">
                  <c:v>46518</c:v>
                </c:pt>
                <c:pt idx="1075">
                  <c:v>46519</c:v>
                </c:pt>
                <c:pt idx="1076">
                  <c:v>46520</c:v>
                </c:pt>
                <c:pt idx="1077">
                  <c:v>46521</c:v>
                </c:pt>
                <c:pt idx="1078">
                  <c:v>46522</c:v>
                </c:pt>
                <c:pt idx="1079">
                  <c:v>46523</c:v>
                </c:pt>
                <c:pt idx="1080">
                  <c:v>46524</c:v>
                </c:pt>
                <c:pt idx="1081">
                  <c:v>46525</c:v>
                </c:pt>
                <c:pt idx="1082">
                  <c:v>46526</c:v>
                </c:pt>
                <c:pt idx="1083">
                  <c:v>46527</c:v>
                </c:pt>
                <c:pt idx="1084">
                  <c:v>46528</c:v>
                </c:pt>
                <c:pt idx="1085">
                  <c:v>46529</c:v>
                </c:pt>
                <c:pt idx="1086">
                  <c:v>46530</c:v>
                </c:pt>
                <c:pt idx="1087">
                  <c:v>46531</c:v>
                </c:pt>
                <c:pt idx="1088">
                  <c:v>46532</c:v>
                </c:pt>
                <c:pt idx="1089">
                  <c:v>46533</c:v>
                </c:pt>
                <c:pt idx="1090">
                  <c:v>46534</c:v>
                </c:pt>
                <c:pt idx="1091">
                  <c:v>46535</c:v>
                </c:pt>
                <c:pt idx="1092">
                  <c:v>46536</c:v>
                </c:pt>
                <c:pt idx="1093">
                  <c:v>46537</c:v>
                </c:pt>
                <c:pt idx="1094">
                  <c:v>46538</c:v>
                </c:pt>
                <c:pt idx="1095">
                  <c:v>46539</c:v>
                </c:pt>
                <c:pt idx="1096">
                  <c:v>46540</c:v>
                </c:pt>
                <c:pt idx="1097">
                  <c:v>46541</c:v>
                </c:pt>
                <c:pt idx="1098">
                  <c:v>46542</c:v>
                </c:pt>
                <c:pt idx="1099">
                  <c:v>46543</c:v>
                </c:pt>
                <c:pt idx="1100">
                  <c:v>46544</c:v>
                </c:pt>
                <c:pt idx="1101">
                  <c:v>46545</c:v>
                </c:pt>
                <c:pt idx="1102">
                  <c:v>46546</c:v>
                </c:pt>
                <c:pt idx="1103">
                  <c:v>46547</c:v>
                </c:pt>
                <c:pt idx="1104">
                  <c:v>46548</c:v>
                </c:pt>
                <c:pt idx="1105">
                  <c:v>46549</c:v>
                </c:pt>
                <c:pt idx="1106">
                  <c:v>46550</c:v>
                </c:pt>
                <c:pt idx="1107">
                  <c:v>46551</c:v>
                </c:pt>
                <c:pt idx="1108">
                  <c:v>46552</c:v>
                </c:pt>
                <c:pt idx="1109">
                  <c:v>46553</c:v>
                </c:pt>
                <c:pt idx="1110">
                  <c:v>46554</c:v>
                </c:pt>
                <c:pt idx="1111">
                  <c:v>46555</c:v>
                </c:pt>
                <c:pt idx="1112">
                  <c:v>46556</c:v>
                </c:pt>
                <c:pt idx="1113">
                  <c:v>46557</c:v>
                </c:pt>
                <c:pt idx="1114">
                  <c:v>46558</c:v>
                </c:pt>
                <c:pt idx="1115">
                  <c:v>46559</c:v>
                </c:pt>
                <c:pt idx="1116">
                  <c:v>46560</c:v>
                </c:pt>
                <c:pt idx="1117">
                  <c:v>46561</c:v>
                </c:pt>
                <c:pt idx="1118">
                  <c:v>46562</c:v>
                </c:pt>
                <c:pt idx="1119">
                  <c:v>46563</c:v>
                </c:pt>
                <c:pt idx="1120">
                  <c:v>46564</c:v>
                </c:pt>
                <c:pt idx="1121">
                  <c:v>46565</c:v>
                </c:pt>
                <c:pt idx="1122">
                  <c:v>46566</c:v>
                </c:pt>
                <c:pt idx="1123">
                  <c:v>46567</c:v>
                </c:pt>
                <c:pt idx="1124">
                  <c:v>46568</c:v>
                </c:pt>
                <c:pt idx="1125">
                  <c:v>46569</c:v>
                </c:pt>
                <c:pt idx="1126">
                  <c:v>46570</c:v>
                </c:pt>
                <c:pt idx="1127">
                  <c:v>46571</c:v>
                </c:pt>
                <c:pt idx="1128">
                  <c:v>46572</c:v>
                </c:pt>
                <c:pt idx="1129">
                  <c:v>46573</c:v>
                </c:pt>
                <c:pt idx="1130">
                  <c:v>46574</c:v>
                </c:pt>
                <c:pt idx="1131">
                  <c:v>46575</c:v>
                </c:pt>
                <c:pt idx="1132">
                  <c:v>46576</c:v>
                </c:pt>
                <c:pt idx="1133">
                  <c:v>46577</c:v>
                </c:pt>
                <c:pt idx="1134">
                  <c:v>46578</c:v>
                </c:pt>
                <c:pt idx="1135">
                  <c:v>46579</c:v>
                </c:pt>
                <c:pt idx="1136">
                  <c:v>46580</c:v>
                </c:pt>
                <c:pt idx="1137">
                  <c:v>46581</c:v>
                </c:pt>
                <c:pt idx="1138">
                  <c:v>46582</c:v>
                </c:pt>
                <c:pt idx="1139">
                  <c:v>46583</c:v>
                </c:pt>
                <c:pt idx="1140">
                  <c:v>46584</c:v>
                </c:pt>
                <c:pt idx="1141">
                  <c:v>46585</c:v>
                </c:pt>
                <c:pt idx="1142">
                  <c:v>46586</c:v>
                </c:pt>
                <c:pt idx="1143">
                  <c:v>46587</c:v>
                </c:pt>
                <c:pt idx="1144">
                  <c:v>46588</c:v>
                </c:pt>
                <c:pt idx="1145">
                  <c:v>46589</c:v>
                </c:pt>
                <c:pt idx="1146">
                  <c:v>46590</c:v>
                </c:pt>
                <c:pt idx="1147">
                  <c:v>46591</c:v>
                </c:pt>
                <c:pt idx="1148">
                  <c:v>46592</c:v>
                </c:pt>
                <c:pt idx="1149">
                  <c:v>46593</c:v>
                </c:pt>
                <c:pt idx="1150">
                  <c:v>46594</c:v>
                </c:pt>
                <c:pt idx="1151">
                  <c:v>46595</c:v>
                </c:pt>
                <c:pt idx="1152">
                  <c:v>46596</c:v>
                </c:pt>
                <c:pt idx="1153">
                  <c:v>46597</c:v>
                </c:pt>
                <c:pt idx="1154">
                  <c:v>46598</c:v>
                </c:pt>
                <c:pt idx="1155">
                  <c:v>46599</c:v>
                </c:pt>
                <c:pt idx="1156">
                  <c:v>46600</c:v>
                </c:pt>
                <c:pt idx="1157">
                  <c:v>46601</c:v>
                </c:pt>
                <c:pt idx="1158">
                  <c:v>46602</c:v>
                </c:pt>
                <c:pt idx="1159">
                  <c:v>46603</c:v>
                </c:pt>
                <c:pt idx="1160">
                  <c:v>46604</c:v>
                </c:pt>
                <c:pt idx="1161">
                  <c:v>46605</c:v>
                </c:pt>
                <c:pt idx="1162">
                  <c:v>46606</c:v>
                </c:pt>
                <c:pt idx="1163">
                  <c:v>46607</c:v>
                </c:pt>
                <c:pt idx="1164">
                  <c:v>46608</c:v>
                </c:pt>
                <c:pt idx="1165">
                  <c:v>46609</c:v>
                </c:pt>
                <c:pt idx="1166">
                  <c:v>46610</c:v>
                </c:pt>
                <c:pt idx="1167">
                  <c:v>46611</c:v>
                </c:pt>
                <c:pt idx="1168">
                  <c:v>46612</c:v>
                </c:pt>
                <c:pt idx="1169">
                  <c:v>46613</c:v>
                </c:pt>
                <c:pt idx="1170">
                  <c:v>46614</c:v>
                </c:pt>
                <c:pt idx="1171">
                  <c:v>46615</c:v>
                </c:pt>
                <c:pt idx="1172">
                  <c:v>46616</c:v>
                </c:pt>
                <c:pt idx="1173">
                  <c:v>46617</c:v>
                </c:pt>
                <c:pt idx="1174">
                  <c:v>46618</c:v>
                </c:pt>
                <c:pt idx="1175">
                  <c:v>46619</c:v>
                </c:pt>
                <c:pt idx="1176">
                  <c:v>46620</c:v>
                </c:pt>
                <c:pt idx="1177">
                  <c:v>46621</c:v>
                </c:pt>
                <c:pt idx="1178">
                  <c:v>46622</c:v>
                </c:pt>
                <c:pt idx="1179">
                  <c:v>46623</c:v>
                </c:pt>
                <c:pt idx="1180">
                  <c:v>46624</c:v>
                </c:pt>
                <c:pt idx="1181">
                  <c:v>46625</c:v>
                </c:pt>
                <c:pt idx="1182">
                  <c:v>46626</c:v>
                </c:pt>
                <c:pt idx="1183">
                  <c:v>46627</c:v>
                </c:pt>
                <c:pt idx="1184">
                  <c:v>46628</c:v>
                </c:pt>
                <c:pt idx="1185">
                  <c:v>46629</c:v>
                </c:pt>
                <c:pt idx="1186">
                  <c:v>46630</c:v>
                </c:pt>
                <c:pt idx="1187">
                  <c:v>46631</c:v>
                </c:pt>
                <c:pt idx="1188">
                  <c:v>46632</c:v>
                </c:pt>
                <c:pt idx="1189">
                  <c:v>46633</c:v>
                </c:pt>
                <c:pt idx="1190">
                  <c:v>46634</c:v>
                </c:pt>
                <c:pt idx="1191">
                  <c:v>46635</c:v>
                </c:pt>
                <c:pt idx="1192">
                  <c:v>46636</c:v>
                </c:pt>
                <c:pt idx="1193">
                  <c:v>46637</c:v>
                </c:pt>
                <c:pt idx="1194">
                  <c:v>46638</c:v>
                </c:pt>
                <c:pt idx="1195">
                  <c:v>46639</c:v>
                </c:pt>
                <c:pt idx="1196">
                  <c:v>46640</c:v>
                </c:pt>
                <c:pt idx="1197">
                  <c:v>46641</c:v>
                </c:pt>
                <c:pt idx="1198">
                  <c:v>46642</c:v>
                </c:pt>
                <c:pt idx="1199">
                  <c:v>46643</c:v>
                </c:pt>
                <c:pt idx="1200">
                  <c:v>46644</c:v>
                </c:pt>
                <c:pt idx="1201">
                  <c:v>46645</c:v>
                </c:pt>
                <c:pt idx="1202">
                  <c:v>46646</c:v>
                </c:pt>
                <c:pt idx="1203">
                  <c:v>46647</c:v>
                </c:pt>
                <c:pt idx="1204">
                  <c:v>46648</c:v>
                </c:pt>
                <c:pt idx="1205">
                  <c:v>46649</c:v>
                </c:pt>
                <c:pt idx="1206">
                  <c:v>46650</c:v>
                </c:pt>
                <c:pt idx="1207">
                  <c:v>46651</c:v>
                </c:pt>
                <c:pt idx="1208">
                  <c:v>46652</c:v>
                </c:pt>
                <c:pt idx="1209">
                  <c:v>46653</c:v>
                </c:pt>
                <c:pt idx="1210">
                  <c:v>46654</c:v>
                </c:pt>
                <c:pt idx="1211">
                  <c:v>46655</c:v>
                </c:pt>
                <c:pt idx="1212">
                  <c:v>46656</c:v>
                </c:pt>
                <c:pt idx="1213">
                  <c:v>46657</c:v>
                </c:pt>
                <c:pt idx="1214">
                  <c:v>46658</c:v>
                </c:pt>
                <c:pt idx="1215">
                  <c:v>46659</c:v>
                </c:pt>
                <c:pt idx="1216">
                  <c:v>46660</c:v>
                </c:pt>
                <c:pt idx="1217">
                  <c:v>46661</c:v>
                </c:pt>
                <c:pt idx="1218">
                  <c:v>46662</c:v>
                </c:pt>
                <c:pt idx="1219">
                  <c:v>46663</c:v>
                </c:pt>
                <c:pt idx="1220">
                  <c:v>46664</c:v>
                </c:pt>
                <c:pt idx="1221">
                  <c:v>46665</c:v>
                </c:pt>
                <c:pt idx="1222">
                  <c:v>46666</c:v>
                </c:pt>
                <c:pt idx="1223">
                  <c:v>46667</c:v>
                </c:pt>
                <c:pt idx="1224">
                  <c:v>46668</c:v>
                </c:pt>
                <c:pt idx="1225">
                  <c:v>46669</c:v>
                </c:pt>
                <c:pt idx="1226">
                  <c:v>46670</c:v>
                </c:pt>
                <c:pt idx="1227">
                  <c:v>46671</c:v>
                </c:pt>
                <c:pt idx="1228">
                  <c:v>46672</c:v>
                </c:pt>
                <c:pt idx="1229">
                  <c:v>46673</c:v>
                </c:pt>
                <c:pt idx="1230">
                  <c:v>46674</c:v>
                </c:pt>
                <c:pt idx="1231">
                  <c:v>46675</c:v>
                </c:pt>
                <c:pt idx="1232">
                  <c:v>46676</c:v>
                </c:pt>
                <c:pt idx="1233">
                  <c:v>46677</c:v>
                </c:pt>
                <c:pt idx="1234">
                  <c:v>46678</c:v>
                </c:pt>
                <c:pt idx="1235">
                  <c:v>46679</c:v>
                </c:pt>
                <c:pt idx="1236">
                  <c:v>46680</c:v>
                </c:pt>
                <c:pt idx="1237">
                  <c:v>46681</c:v>
                </c:pt>
                <c:pt idx="1238">
                  <c:v>46682</c:v>
                </c:pt>
                <c:pt idx="1239">
                  <c:v>46683</c:v>
                </c:pt>
                <c:pt idx="1240">
                  <c:v>46684</c:v>
                </c:pt>
                <c:pt idx="1241">
                  <c:v>46685</c:v>
                </c:pt>
                <c:pt idx="1242">
                  <c:v>46686</c:v>
                </c:pt>
                <c:pt idx="1243">
                  <c:v>46687</c:v>
                </c:pt>
                <c:pt idx="1244">
                  <c:v>46688</c:v>
                </c:pt>
                <c:pt idx="1245">
                  <c:v>46689</c:v>
                </c:pt>
                <c:pt idx="1246">
                  <c:v>46690</c:v>
                </c:pt>
                <c:pt idx="1247">
                  <c:v>46691</c:v>
                </c:pt>
                <c:pt idx="1248">
                  <c:v>46692</c:v>
                </c:pt>
                <c:pt idx="1249">
                  <c:v>46693</c:v>
                </c:pt>
                <c:pt idx="1250">
                  <c:v>46694</c:v>
                </c:pt>
                <c:pt idx="1251">
                  <c:v>46695</c:v>
                </c:pt>
                <c:pt idx="1252">
                  <c:v>46696</c:v>
                </c:pt>
                <c:pt idx="1253">
                  <c:v>46697</c:v>
                </c:pt>
                <c:pt idx="1254">
                  <c:v>46698</c:v>
                </c:pt>
                <c:pt idx="1255">
                  <c:v>46699</c:v>
                </c:pt>
                <c:pt idx="1256">
                  <c:v>46700</c:v>
                </c:pt>
                <c:pt idx="1257">
                  <c:v>46701</c:v>
                </c:pt>
                <c:pt idx="1258">
                  <c:v>46702</c:v>
                </c:pt>
                <c:pt idx="1259">
                  <c:v>46703</c:v>
                </c:pt>
                <c:pt idx="1260">
                  <c:v>46704</c:v>
                </c:pt>
                <c:pt idx="1261">
                  <c:v>46705</c:v>
                </c:pt>
                <c:pt idx="1262">
                  <c:v>46706</c:v>
                </c:pt>
                <c:pt idx="1263">
                  <c:v>46707</c:v>
                </c:pt>
                <c:pt idx="1264">
                  <c:v>46708</c:v>
                </c:pt>
                <c:pt idx="1265">
                  <c:v>46709</c:v>
                </c:pt>
                <c:pt idx="1266">
                  <c:v>46710</c:v>
                </c:pt>
                <c:pt idx="1267">
                  <c:v>46711</c:v>
                </c:pt>
                <c:pt idx="1268">
                  <c:v>46712</c:v>
                </c:pt>
                <c:pt idx="1269">
                  <c:v>46713</c:v>
                </c:pt>
                <c:pt idx="1270">
                  <c:v>46714</c:v>
                </c:pt>
                <c:pt idx="1271">
                  <c:v>46715</c:v>
                </c:pt>
                <c:pt idx="1272">
                  <c:v>46716</c:v>
                </c:pt>
                <c:pt idx="1273">
                  <c:v>46717</c:v>
                </c:pt>
                <c:pt idx="1274">
                  <c:v>46718</c:v>
                </c:pt>
                <c:pt idx="1275">
                  <c:v>46719</c:v>
                </c:pt>
                <c:pt idx="1276">
                  <c:v>46720</c:v>
                </c:pt>
                <c:pt idx="1277">
                  <c:v>46721</c:v>
                </c:pt>
                <c:pt idx="1278">
                  <c:v>46722</c:v>
                </c:pt>
                <c:pt idx="1279">
                  <c:v>46723</c:v>
                </c:pt>
                <c:pt idx="1280">
                  <c:v>46724</c:v>
                </c:pt>
                <c:pt idx="1281">
                  <c:v>46725</c:v>
                </c:pt>
                <c:pt idx="1282">
                  <c:v>46726</c:v>
                </c:pt>
                <c:pt idx="1283">
                  <c:v>46727</c:v>
                </c:pt>
                <c:pt idx="1284">
                  <c:v>46728</c:v>
                </c:pt>
                <c:pt idx="1285">
                  <c:v>46729</c:v>
                </c:pt>
                <c:pt idx="1286">
                  <c:v>46730</c:v>
                </c:pt>
                <c:pt idx="1287">
                  <c:v>46731</c:v>
                </c:pt>
                <c:pt idx="1288">
                  <c:v>46732</c:v>
                </c:pt>
                <c:pt idx="1289">
                  <c:v>46733</c:v>
                </c:pt>
                <c:pt idx="1290">
                  <c:v>46734</c:v>
                </c:pt>
                <c:pt idx="1291">
                  <c:v>46735</c:v>
                </c:pt>
                <c:pt idx="1292">
                  <c:v>46736</c:v>
                </c:pt>
                <c:pt idx="1293">
                  <c:v>46737</c:v>
                </c:pt>
                <c:pt idx="1294">
                  <c:v>46738</c:v>
                </c:pt>
                <c:pt idx="1295">
                  <c:v>46739</c:v>
                </c:pt>
                <c:pt idx="1296">
                  <c:v>46740</c:v>
                </c:pt>
                <c:pt idx="1297">
                  <c:v>46741</c:v>
                </c:pt>
                <c:pt idx="1298">
                  <c:v>46742</c:v>
                </c:pt>
                <c:pt idx="1299">
                  <c:v>46743</c:v>
                </c:pt>
                <c:pt idx="1300">
                  <c:v>46744</c:v>
                </c:pt>
                <c:pt idx="1301">
                  <c:v>46745</c:v>
                </c:pt>
                <c:pt idx="1302">
                  <c:v>46746</c:v>
                </c:pt>
                <c:pt idx="1303">
                  <c:v>46747</c:v>
                </c:pt>
                <c:pt idx="1304">
                  <c:v>46748</c:v>
                </c:pt>
                <c:pt idx="1305">
                  <c:v>46749</c:v>
                </c:pt>
                <c:pt idx="1306">
                  <c:v>46750</c:v>
                </c:pt>
                <c:pt idx="1307">
                  <c:v>46751</c:v>
                </c:pt>
                <c:pt idx="1308">
                  <c:v>46752</c:v>
                </c:pt>
                <c:pt idx="1309">
                  <c:v>46753</c:v>
                </c:pt>
                <c:pt idx="1310">
                  <c:v>46754</c:v>
                </c:pt>
                <c:pt idx="1311">
                  <c:v>46755</c:v>
                </c:pt>
                <c:pt idx="1312">
                  <c:v>46756</c:v>
                </c:pt>
                <c:pt idx="1313">
                  <c:v>46757</c:v>
                </c:pt>
                <c:pt idx="1314">
                  <c:v>46758</c:v>
                </c:pt>
                <c:pt idx="1315">
                  <c:v>46759</c:v>
                </c:pt>
                <c:pt idx="1316">
                  <c:v>46760</c:v>
                </c:pt>
                <c:pt idx="1317">
                  <c:v>46761</c:v>
                </c:pt>
                <c:pt idx="1318">
                  <c:v>46762</c:v>
                </c:pt>
                <c:pt idx="1319">
                  <c:v>46763</c:v>
                </c:pt>
                <c:pt idx="1320">
                  <c:v>46764</c:v>
                </c:pt>
                <c:pt idx="1321">
                  <c:v>46765</c:v>
                </c:pt>
                <c:pt idx="1322">
                  <c:v>46766</c:v>
                </c:pt>
                <c:pt idx="1323">
                  <c:v>46767</c:v>
                </c:pt>
                <c:pt idx="1324">
                  <c:v>46768</c:v>
                </c:pt>
                <c:pt idx="1325">
                  <c:v>46769</c:v>
                </c:pt>
                <c:pt idx="1326">
                  <c:v>46770</c:v>
                </c:pt>
                <c:pt idx="1327">
                  <c:v>46771</c:v>
                </c:pt>
                <c:pt idx="1328">
                  <c:v>46772</c:v>
                </c:pt>
                <c:pt idx="1329">
                  <c:v>46773</c:v>
                </c:pt>
                <c:pt idx="1330">
                  <c:v>46774</c:v>
                </c:pt>
                <c:pt idx="1331">
                  <c:v>46775</c:v>
                </c:pt>
                <c:pt idx="1332">
                  <c:v>46776</c:v>
                </c:pt>
                <c:pt idx="1333">
                  <c:v>46777</c:v>
                </c:pt>
                <c:pt idx="1334">
                  <c:v>46778</c:v>
                </c:pt>
                <c:pt idx="1335">
                  <c:v>46779</c:v>
                </c:pt>
                <c:pt idx="1336">
                  <c:v>46780</c:v>
                </c:pt>
                <c:pt idx="1337">
                  <c:v>46781</c:v>
                </c:pt>
                <c:pt idx="1338">
                  <c:v>46782</c:v>
                </c:pt>
                <c:pt idx="1339">
                  <c:v>46783</c:v>
                </c:pt>
                <c:pt idx="1340">
                  <c:v>46784</c:v>
                </c:pt>
                <c:pt idx="1341">
                  <c:v>46785</c:v>
                </c:pt>
                <c:pt idx="1342">
                  <c:v>46786</c:v>
                </c:pt>
                <c:pt idx="1343">
                  <c:v>46787</c:v>
                </c:pt>
                <c:pt idx="1344">
                  <c:v>46788</c:v>
                </c:pt>
                <c:pt idx="1345">
                  <c:v>46789</c:v>
                </c:pt>
                <c:pt idx="1346">
                  <c:v>46790</c:v>
                </c:pt>
                <c:pt idx="1347">
                  <c:v>46791</c:v>
                </c:pt>
                <c:pt idx="1348">
                  <c:v>46792</c:v>
                </c:pt>
                <c:pt idx="1349">
                  <c:v>46793</c:v>
                </c:pt>
                <c:pt idx="1350">
                  <c:v>46794</c:v>
                </c:pt>
                <c:pt idx="1351">
                  <c:v>46795</c:v>
                </c:pt>
                <c:pt idx="1352">
                  <c:v>46796</c:v>
                </c:pt>
                <c:pt idx="1353">
                  <c:v>46797</c:v>
                </c:pt>
                <c:pt idx="1354">
                  <c:v>46798</c:v>
                </c:pt>
                <c:pt idx="1355">
                  <c:v>46799</c:v>
                </c:pt>
                <c:pt idx="1356">
                  <c:v>46800</c:v>
                </c:pt>
                <c:pt idx="1357">
                  <c:v>46801</c:v>
                </c:pt>
                <c:pt idx="1358">
                  <c:v>46802</c:v>
                </c:pt>
                <c:pt idx="1359">
                  <c:v>46803</c:v>
                </c:pt>
                <c:pt idx="1360">
                  <c:v>46804</c:v>
                </c:pt>
                <c:pt idx="1361">
                  <c:v>46805</c:v>
                </c:pt>
                <c:pt idx="1362">
                  <c:v>46806</c:v>
                </c:pt>
                <c:pt idx="1363">
                  <c:v>46807</c:v>
                </c:pt>
                <c:pt idx="1364">
                  <c:v>46808</c:v>
                </c:pt>
                <c:pt idx="1365">
                  <c:v>46809</c:v>
                </c:pt>
                <c:pt idx="1366">
                  <c:v>46810</c:v>
                </c:pt>
                <c:pt idx="1367">
                  <c:v>46811</c:v>
                </c:pt>
                <c:pt idx="1368">
                  <c:v>46812</c:v>
                </c:pt>
                <c:pt idx="1369">
                  <c:v>46813</c:v>
                </c:pt>
                <c:pt idx="1370">
                  <c:v>46814</c:v>
                </c:pt>
                <c:pt idx="1371">
                  <c:v>46815</c:v>
                </c:pt>
                <c:pt idx="1372">
                  <c:v>46816</c:v>
                </c:pt>
                <c:pt idx="1373">
                  <c:v>46817</c:v>
                </c:pt>
                <c:pt idx="1374">
                  <c:v>46818</c:v>
                </c:pt>
                <c:pt idx="1375">
                  <c:v>46819</c:v>
                </c:pt>
                <c:pt idx="1376">
                  <c:v>46820</c:v>
                </c:pt>
                <c:pt idx="1377">
                  <c:v>46821</c:v>
                </c:pt>
                <c:pt idx="1378">
                  <c:v>46822</c:v>
                </c:pt>
                <c:pt idx="1379">
                  <c:v>46823</c:v>
                </c:pt>
                <c:pt idx="1380">
                  <c:v>46824</c:v>
                </c:pt>
                <c:pt idx="1381">
                  <c:v>46825</c:v>
                </c:pt>
                <c:pt idx="1382">
                  <c:v>46826</c:v>
                </c:pt>
                <c:pt idx="1383">
                  <c:v>46827</c:v>
                </c:pt>
                <c:pt idx="1384">
                  <c:v>46828</c:v>
                </c:pt>
                <c:pt idx="1385">
                  <c:v>46829</c:v>
                </c:pt>
                <c:pt idx="1386">
                  <c:v>46830</c:v>
                </c:pt>
                <c:pt idx="1387">
                  <c:v>46831</c:v>
                </c:pt>
                <c:pt idx="1388">
                  <c:v>46832</c:v>
                </c:pt>
                <c:pt idx="1389">
                  <c:v>46833</c:v>
                </c:pt>
                <c:pt idx="1390">
                  <c:v>46834</c:v>
                </c:pt>
                <c:pt idx="1391">
                  <c:v>46835</c:v>
                </c:pt>
                <c:pt idx="1392">
                  <c:v>46836</c:v>
                </c:pt>
                <c:pt idx="1393">
                  <c:v>46837</c:v>
                </c:pt>
                <c:pt idx="1394">
                  <c:v>46838</c:v>
                </c:pt>
                <c:pt idx="1395">
                  <c:v>46839</c:v>
                </c:pt>
                <c:pt idx="1396">
                  <c:v>46840</c:v>
                </c:pt>
                <c:pt idx="1397">
                  <c:v>46841</c:v>
                </c:pt>
                <c:pt idx="1398">
                  <c:v>46842</c:v>
                </c:pt>
                <c:pt idx="1399">
                  <c:v>46843</c:v>
                </c:pt>
                <c:pt idx="1400">
                  <c:v>46844</c:v>
                </c:pt>
                <c:pt idx="1401">
                  <c:v>46845</c:v>
                </c:pt>
                <c:pt idx="1402">
                  <c:v>46846</c:v>
                </c:pt>
                <c:pt idx="1403">
                  <c:v>46847</c:v>
                </c:pt>
                <c:pt idx="1404">
                  <c:v>46848</c:v>
                </c:pt>
                <c:pt idx="1405">
                  <c:v>46849</c:v>
                </c:pt>
                <c:pt idx="1406">
                  <c:v>46850</c:v>
                </c:pt>
                <c:pt idx="1407">
                  <c:v>46851</c:v>
                </c:pt>
                <c:pt idx="1408">
                  <c:v>46852</c:v>
                </c:pt>
                <c:pt idx="1409">
                  <c:v>46853</c:v>
                </c:pt>
                <c:pt idx="1410">
                  <c:v>46854</c:v>
                </c:pt>
                <c:pt idx="1411">
                  <c:v>46855</c:v>
                </c:pt>
                <c:pt idx="1412">
                  <c:v>46856</c:v>
                </c:pt>
                <c:pt idx="1413">
                  <c:v>46857</c:v>
                </c:pt>
                <c:pt idx="1414">
                  <c:v>46858</c:v>
                </c:pt>
                <c:pt idx="1415">
                  <c:v>46859</c:v>
                </c:pt>
                <c:pt idx="1416">
                  <c:v>46860</c:v>
                </c:pt>
                <c:pt idx="1417">
                  <c:v>46861</c:v>
                </c:pt>
                <c:pt idx="1418">
                  <c:v>46862</c:v>
                </c:pt>
                <c:pt idx="1419">
                  <c:v>46863</c:v>
                </c:pt>
                <c:pt idx="1420">
                  <c:v>46864</c:v>
                </c:pt>
                <c:pt idx="1421">
                  <c:v>46865</c:v>
                </c:pt>
                <c:pt idx="1422">
                  <c:v>46866</c:v>
                </c:pt>
                <c:pt idx="1423">
                  <c:v>46867</c:v>
                </c:pt>
                <c:pt idx="1424">
                  <c:v>46868</c:v>
                </c:pt>
                <c:pt idx="1425">
                  <c:v>46869</c:v>
                </c:pt>
                <c:pt idx="1426">
                  <c:v>46870</c:v>
                </c:pt>
                <c:pt idx="1427">
                  <c:v>46871</c:v>
                </c:pt>
                <c:pt idx="1428">
                  <c:v>46872</c:v>
                </c:pt>
                <c:pt idx="1429">
                  <c:v>46873</c:v>
                </c:pt>
                <c:pt idx="1430">
                  <c:v>46874</c:v>
                </c:pt>
                <c:pt idx="1431">
                  <c:v>46875</c:v>
                </c:pt>
                <c:pt idx="1432">
                  <c:v>46876</c:v>
                </c:pt>
                <c:pt idx="1433">
                  <c:v>46877</c:v>
                </c:pt>
                <c:pt idx="1434">
                  <c:v>46878</c:v>
                </c:pt>
                <c:pt idx="1435">
                  <c:v>46879</c:v>
                </c:pt>
                <c:pt idx="1436">
                  <c:v>46880</c:v>
                </c:pt>
                <c:pt idx="1437">
                  <c:v>46881</c:v>
                </c:pt>
                <c:pt idx="1438">
                  <c:v>46882</c:v>
                </c:pt>
                <c:pt idx="1439">
                  <c:v>46883</c:v>
                </c:pt>
                <c:pt idx="1440">
                  <c:v>46884</c:v>
                </c:pt>
                <c:pt idx="1441">
                  <c:v>46885</c:v>
                </c:pt>
                <c:pt idx="1442">
                  <c:v>46886</c:v>
                </c:pt>
                <c:pt idx="1443">
                  <c:v>46887</c:v>
                </c:pt>
                <c:pt idx="1444">
                  <c:v>46888</c:v>
                </c:pt>
                <c:pt idx="1445">
                  <c:v>46889</c:v>
                </c:pt>
                <c:pt idx="1446">
                  <c:v>46890</c:v>
                </c:pt>
                <c:pt idx="1447">
                  <c:v>46891</c:v>
                </c:pt>
                <c:pt idx="1448">
                  <c:v>46892</c:v>
                </c:pt>
                <c:pt idx="1449">
                  <c:v>46893</c:v>
                </c:pt>
                <c:pt idx="1450">
                  <c:v>46894</c:v>
                </c:pt>
                <c:pt idx="1451">
                  <c:v>46895</c:v>
                </c:pt>
                <c:pt idx="1452">
                  <c:v>46896</c:v>
                </c:pt>
                <c:pt idx="1453">
                  <c:v>46897</c:v>
                </c:pt>
                <c:pt idx="1454">
                  <c:v>46898</c:v>
                </c:pt>
                <c:pt idx="1455">
                  <c:v>46899</c:v>
                </c:pt>
                <c:pt idx="1456">
                  <c:v>46900</c:v>
                </c:pt>
                <c:pt idx="1457">
                  <c:v>46901</c:v>
                </c:pt>
                <c:pt idx="1458">
                  <c:v>46902</c:v>
                </c:pt>
                <c:pt idx="1459">
                  <c:v>46903</c:v>
                </c:pt>
                <c:pt idx="1460">
                  <c:v>46904</c:v>
                </c:pt>
                <c:pt idx="1461">
                  <c:v>46905</c:v>
                </c:pt>
                <c:pt idx="1462">
                  <c:v>46906</c:v>
                </c:pt>
                <c:pt idx="1463">
                  <c:v>46907</c:v>
                </c:pt>
                <c:pt idx="1464">
                  <c:v>46908</c:v>
                </c:pt>
                <c:pt idx="1465">
                  <c:v>46909</c:v>
                </c:pt>
                <c:pt idx="1466">
                  <c:v>46910</c:v>
                </c:pt>
                <c:pt idx="1467">
                  <c:v>46911</c:v>
                </c:pt>
                <c:pt idx="1468">
                  <c:v>46912</c:v>
                </c:pt>
                <c:pt idx="1469">
                  <c:v>46913</c:v>
                </c:pt>
                <c:pt idx="1470">
                  <c:v>46914</c:v>
                </c:pt>
                <c:pt idx="1471">
                  <c:v>46915</c:v>
                </c:pt>
                <c:pt idx="1472">
                  <c:v>46916</c:v>
                </c:pt>
                <c:pt idx="1473">
                  <c:v>46917</c:v>
                </c:pt>
                <c:pt idx="1474">
                  <c:v>46918</c:v>
                </c:pt>
                <c:pt idx="1475">
                  <c:v>46919</c:v>
                </c:pt>
                <c:pt idx="1476">
                  <c:v>46920</c:v>
                </c:pt>
                <c:pt idx="1477">
                  <c:v>46921</c:v>
                </c:pt>
                <c:pt idx="1478">
                  <c:v>46922</c:v>
                </c:pt>
                <c:pt idx="1479">
                  <c:v>46923</c:v>
                </c:pt>
                <c:pt idx="1480">
                  <c:v>46924</c:v>
                </c:pt>
                <c:pt idx="1481">
                  <c:v>46925</c:v>
                </c:pt>
                <c:pt idx="1482">
                  <c:v>46926</c:v>
                </c:pt>
                <c:pt idx="1483">
                  <c:v>46927</c:v>
                </c:pt>
                <c:pt idx="1484">
                  <c:v>46928</c:v>
                </c:pt>
                <c:pt idx="1485">
                  <c:v>46929</c:v>
                </c:pt>
                <c:pt idx="1486">
                  <c:v>46930</c:v>
                </c:pt>
                <c:pt idx="1487">
                  <c:v>46931</c:v>
                </c:pt>
                <c:pt idx="1488">
                  <c:v>46932</c:v>
                </c:pt>
                <c:pt idx="1489">
                  <c:v>46933</c:v>
                </c:pt>
                <c:pt idx="1490">
                  <c:v>46934</c:v>
                </c:pt>
                <c:pt idx="1491">
                  <c:v>46935</c:v>
                </c:pt>
                <c:pt idx="1492">
                  <c:v>46936</c:v>
                </c:pt>
                <c:pt idx="1493">
                  <c:v>46937</c:v>
                </c:pt>
                <c:pt idx="1494">
                  <c:v>46938</c:v>
                </c:pt>
                <c:pt idx="1495">
                  <c:v>46939</c:v>
                </c:pt>
                <c:pt idx="1496">
                  <c:v>46940</c:v>
                </c:pt>
                <c:pt idx="1497">
                  <c:v>46941</c:v>
                </c:pt>
                <c:pt idx="1498">
                  <c:v>46942</c:v>
                </c:pt>
                <c:pt idx="1499">
                  <c:v>46943</c:v>
                </c:pt>
                <c:pt idx="1500">
                  <c:v>46944</c:v>
                </c:pt>
                <c:pt idx="1501">
                  <c:v>46945</c:v>
                </c:pt>
                <c:pt idx="1502">
                  <c:v>46946</c:v>
                </c:pt>
                <c:pt idx="1503">
                  <c:v>46947</c:v>
                </c:pt>
                <c:pt idx="1504">
                  <c:v>46948</c:v>
                </c:pt>
                <c:pt idx="1505">
                  <c:v>46949</c:v>
                </c:pt>
                <c:pt idx="1506">
                  <c:v>46950</c:v>
                </c:pt>
                <c:pt idx="1507">
                  <c:v>46951</c:v>
                </c:pt>
                <c:pt idx="1508">
                  <c:v>46952</c:v>
                </c:pt>
                <c:pt idx="1509">
                  <c:v>46953</c:v>
                </c:pt>
                <c:pt idx="1510">
                  <c:v>46954</c:v>
                </c:pt>
                <c:pt idx="1511">
                  <c:v>46955</c:v>
                </c:pt>
                <c:pt idx="1512">
                  <c:v>46956</c:v>
                </c:pt>
                <c:pt idx="1513">
                  <c:v>46957</c:v>
                </c:pt>
                <c:pt idx="1514">
                  <c:v>46958</c:v>
                </c:pt>
                <c:pt idx="1515">
                  <c:v>46959</c:v>
                </c:pt>
                <c:pt idx="1516">
                  <c:v>46960</c:v>
                </c:pt>
                <c:pt idx="1517">
                  <c:v>46961</c:v>
                </c:pt>
                <c:pt idx="1518">
                  <c:v>46962</c:v>
                </c:pt>
                <c:pt idx="1519">
                  <c:v>46963</c:v>
                </c:pt>
                <c:pt idx="1520">
                  <c:v>46964</c:v>
                </c:pt>
                <c:pt idx="1521">
                  <c:v>46965</c:v>
                </c:pt>
                <c:pt idx="1522">
                  <c:v>46966</c:v>
                </c:pt>
                <c:pt idx="1523">
                  <c:v>46967</c:v>
                </c:pt>
                <c:pt idx="1524">
                  <c:v>46968</c:v>
                </c:pt>
                <c:pt idx="1525">
                  <c:v>46969</c:v>
                </c:pt>
                <c:pt idx="1526">
                  <c:v>46970</c:v>
                </c:pt>
                <c:pt idx="1527">
                  <c:v>46971</c:v>
                </c:pt>
                <c:pt idx="1528">
                  <c:v>46972</c:v>
                </c:pt>
                <c:pt idx="1529">
                  <c:v>46973</c:v>
                </c:pt>
                <c:pt idx="1530">
                  <c:v>46974</c:v>
                </c:pt>
                <c:pt idx="1531">
                  <c:v>46975</c:v>
                </c:pt>
                <c:pt idx="1532">
                  <c:v>46976</c:v>
                </c:pt>
                <c:pt idx="1533">
                  <c:v>46977</c:v>
                </c:pt>
                <c:pt idx="1534">
                  <c:v>46978</c:v>
                </c:pt>
                <c:pt idx="1535">
                  <c:v>46979</c:v>
                </c:pt>
                <c:pt idx="1536">
                  <c:v>46980</c:v>
                </c:pt>
                <c:pt idx="1537">
                  <c:v>46981</c:v>
                </c:pt>
                <c:pt idx="1538">
                  <c:v>46982</c:v>
                </c:pt>
                <c:pt idx="1539">
                  <c:v>46983</c:v>
                </c:pt>
                <c:pt idx="1540">
                  <c:v>46984</c:v>
                </c:pt>
                <c:pt idx="1541">
                  <c:v>46985</c:v>
                </c:pt>
                <c:pt idx="1542">
                  <c:v>46986</c:v>
                </c:pt>
                <c:pt idx="1543">
                  <c:v>46987</c:v>
                </c:pt>
                <c:pt idx="1544">
                  <c:v>46988</c:v>
                </c:pt>
                <c:pt idx="1545">
                  <c:v>46989</c:v>
                </c:pt>
                <c:pt idx="1546">
                  <c:v>46990</c:v>
                </c:pt>
                <c:pt idx="1547">
                  <c:v>46991</c:v>
                </c:pt>
                <c:pt idx="1548">
                  <c:v>46992</c:v>
                </c:pt>
                <c:pt idx="1549">
                  <c:v>46993</c:v>
                </c:pt>
                <c:pt idx="1550">
                  <c:v>46994</c:v>
                </c:pt>
                <c:pt idx="1551">
                  <c:v>46995</c:v>
                </c:pt>
                <c:pt idx="1552">
                  <c:v>46996</c:v>
                </c:pt>
                <c:pt idx="1553">
                  <c:v>46997</c:v>
                </c:pt>
                <c:pt idx="1554">
                  <c:v>46998</c:v>
                </c:pt>
                <c:pt idx="1555">
                  <c:v>46999</c:v>
                </c:pt>
                <c:pt idx="1556">
                  <c:v>47000</c:v>
                </c:pt>
                <c:pt idx="1557">
                  <c:v>47001</c:v>
                </c:pt>
                <c:pt idx="1558">
                  <c:v>47002</c:v>
                </c:pt>
                <c:pt idx="1559">
                  <c:v>47003</c:v>
                </c:pt>
                <c:pt idx="1560">
                  <c:v>47004</c:v>
                </c:pt>
                <c:pt idx="1561">
                  <c:v>47005</c:v>
                </c:pt>
                <c:pt idx="1562">
                  <c:v>47006</c:v>
                </c:pt>
                <c:pt idx="1563">
                  <c:v>47007</c:v>
                </c:pt>
                <c:pt idx="1564">
                  <c:v>47008</c:v>
                </c:pt>
                <c:pt idx="1565">
                  <c:v>47009</c:v>
                </c:pt>
                <c:pt idx="1566">
                  <c:v>47010</c:v>
                </c:pt>
                <c:pt idx="1567">
                  <c:v>47011</c:v>
                </c:pt>
                <c:pt idx="1568">
                  <c:v>47012</c:v>
                </c:pt>
                <c:pt idx="1569">
                  <c:v>47013</c:v>
                </c:pt>
                <c:pt idx="1570">
                  <c:v>47014</c:v>
                </c:pt>
                <c:pt idx="1571">
                  <c:v>47015</c:v>
                </c:pt>
                <c:pt idx="1572">
                  <c:v>47016</c:v>
                </c:pt>
                <c:pt idx="1573">
                  <c:v>47017</c:v>
                </c:pt>
                <c:pt idx="1574">
                  <c:v>47018</c:v>
                </c:pt>
                <c:pt idx="1575">
                  <c:v>47019</c:v>
                </c:pt>
                <c:pt idx="1576">
                  <c:v>47020</c:v>
                </c:pt>
                <c:pt idx="1577">
                  <c:v>47021</c:v>
                </c:pt>
                <c:pt idx="1578">
                  <c:v>47022</c:v>
                </c:pt>
                <c:pt idx="1579">
                  <c:v>47023</c:v>
                </c:pt>
                <c:pt idx="1580">
                  <c:v>47024</c:v>
                </c:pt>
                <c:pt idx="1581">
                  <c:v>47025</c:v>
                </c:pt>
                <c:pt idx="1582">
                  <c:v>47026</c:v>
                </c:pt>
                <c:pt idx="1583">
                  <c:v>47027</c:v>
                </c:pt>
                <c:pt idx="1584">
                  <c:v>47028</c:v>
                </c:pt>
                <c:pt idx="1585">
                  <c:v>47029</c:v>
                </c:pt>
                <c:pt idx="1586">
                  <c:v>47030</c:v>
                </c:pt>
                <c:pt idx="1587">
                  <c:v>47031</c:v>
                </c:pt>
                <c:pt idx="1588">
                  <c:v>47032</c:v>
                </c:pt>
                <c:pt idx="1589">
                  <c:v>47033</c:v>
                </c:pt>
                <c:pt idx="1590">
                  <c:v>47034</c:v>
                </c:pt>
                <c:pt idx="1591">
                  <c:v>47035</c:v>
                </c:pt>
                <c:pt idx="1592">
                  <c:v>47036</c:v>
                </c:pt>
                <c:pt idx="1593">
                  <c:v>47037</c:v>
                </c:pt>
                <c:pt idx="1594">
                  <c:v>47038</c:v>
                </c:pt>
                <c:pt idx="1595">
                  <c:v>47039</c:v>
                </c:pt>
                <c:pt idx="1596">
                  <c:v>47040</c:v>
                </c:pt>
                <c:pt idx="1597">
                  <c:v>47041</c:v>
                </c:pt>
                <c:pt idx="1598">
                  <c:v>47042</c:v>
                </c:pt>
                <c:pt idx="1599">
                  <c:v>47043</c:v>
                </c:pt>
                <c:pt idx="1600">
                  <c:v>47044</c:v>
                </c:pt>
                <c:pt idx="1601">
                  <c:v>47045</c:v>
                </c:pt>
                <c:pt idx="1602">
                  <c:v>47046</c:v>
                </c:pt>
                <c:pt idx="1603">
                  <c:v>47047</c:v>
                </c:pt>
                <c:pt idx="1604">
                  <c:v>47048</c:v>
                </c:pt>
                <c:pt idx="1605">
                  <c:v>47049</c:v>
                </c:pt>
                <c:pt idx="1606">
                  <c:v>47050</c:v>
                </c:pt>
                <c:pt idx="1607">
                  <c:v>47051</c:v>
                </c:pt>
                <c:pt idx="1608">
                  <c:v>47052</c:v>
                </c:pt>
                <c:pt idx="1609">
                  <c:v>47053</c:v>
                </c:pt>
                <c:pt idx="1610">
                  <c:v>47054</c:v>
                </c:pt>
                <c:pt idx="1611">
                  <c:v>47055</c:v>
                </c:pt>
                <c:pt idx="1612">
                  <c:v>47056</c:v>
                </c:pt>
                <c:pt idx="1613">
                  <c:v>47057</c:v>
                </c:pt>
                <c:pt idx="1614">
                  <c:v>47058</c:v>
                </c:pt>
                <c:pt idx="1615">
                  <c:v>47059</c:v>
                </c:pt>
                <c:pt idx="1616">
                  <c:v>47060</c:v>
                </c:pt>
                <c:pt idx="1617">
                  <c:v>47061</c:v>
                </c:pt>
                <c:pt idx="1618">
                  <c:v>47062</c:v>
                </c:pt>
                <c:pt idx="1619">
                  <c:v>47063</c:v>
                </c:pt>
                <c:pt idx="1620">
                  <c:v>47064</c:v>
                </c:pt>
                <c:pt idx="1621">
                  <c:v>47065</c:v>
                </c:pt>
                <c:pt idx="1622">
                  <c:v>47066</c:v>
                </c:pt>
                <c:pt idx="1623">
                  <c:v>47067</c:v>
                </c:pt>
                <c:pt idx="1624">
                  <c:v>47068</c:v>
                </c:pt>
                <c:pt idx="1625">
                  <c:v>47069</c:v>
                </c:pt>
                <c:pt idx="1626">
                  <c:v>47070</c:v>
                </c:pt>
                <c:pt idx="1627">
                  <c:v>47071</c:v>
                </c:pt>
                <c:pt idx="1628">
                  <c:v>47072</c:v>
                </c:pt>
                <c:pt idx="1629">
                  <c:v>47073</c:v>
                </c:pt>
                <c:pt idx="1630">
                  <c:v>47074</c:v>
                </c:pt>
                <c:pt idx="1631">
                  <c:v>47075</c:v>
                </c:pt>
                <c:pt idx="1632">
                  <c:v>47076</c:v>
                </c:pt>
                <c:pt idx="1633">
                  <c:v>47077</c:v>
                </c:pt>
                <c:pt idx="1634">
                  <c:v>47078</c:v>
                </c:pt>
                <c:pt idx="1635">
                  <c:v>47079</c:v>
                </c:pt>
                <c:pt idx="1636">
                  <c:v>47080</c:v>
                </c:pt>
                <c:pt idx="1637">
                  <c:v>47081</c:v>
                </c:pt>
                <c:pt idx="1638">
                  <c:v>47082</c:v>
                </c:pt>
                <c:pt idx="1639">
                  <c:v>47083</c:v>
                </c:pt>
                <c:pt idx="1640">
                  <c:v>47084</c:v>
                </c:pt>
                <c:pt idx="1641">
                  <c:v>47085</c:v>
                </c:pt>
                <c:pt idx="1642">
                  <c:v>47086</c:v>
                </c:pt>
                <c:pt idx="1643">
                  <c:v>47087</c:v>
                </c:pt>
                <c:pt idx="1644">
                  <c:v>47088</c:v>
                </c:pt>
                <c:pt idx="1645">
                  <c:v>47089</c:v>
                </c:pt>
                <c:pt idx="1646">
                  <c:v>47090</c:v>
                </c:pt>
                <c:pt idx="1647">
                  <c:v>47091</c:v>
                </c:pt>
                <c:pt idx="1648">
                  <c:v>47092</c:v>
                </c:pt>
                <c:pt idx="1649">
                  <c:v>47093</c:v>
                </c:pt>
                <c:pt idx="1650">
                  <c:v>47094</c:v>
                </c:pt>
                <c:pt idx="1651">
                  <c:v>47095</c:v>
                </c:pt>
                <c:pt idx="1652">
                  <c:v>47096</c:v>
                </c:pt>
                <c:pt idx="1653">
                  <c:v>47097</c:v>
                </c:pt>
                <c:pt idx="1654">
                  <c:v>47098</c:v>
                </c:pt>
                <c:pt idx="1655">
                  <c:v>47099</c:v>
                </c:pt>
                <c:pt idx="1656">
                  <c:v>47100</c:v>
                </c:pt>
                <c:pt idx="1657">
                  <c:v>47101</c:v>
                </c:pt>
                <c:pt idx="1658">
                  <c:v>47102</c:v>
                </c:pt>
                <c:pt idx="1659">
                  <c:v>47103</c:v>
                </c:pt>
                <c:pt idx="1660">
                  <c:v>47104</c:v>
                </c:pt>
                <c:pt idx="1661">
                  <c:v>47105</c:v>
                </c:pt>
                <c:pt idx="1662">
                  <c:v>47106</c:v>
                </c:pt>
                <c:pt idx="1663">
                  <c:v>47107</c:v>
                </c:pt>
                <c:pt idx="1664">
                  <c:v>47108</c:v>
                </c:pt>
                <c:pt idx="1665">
                  <c:v>47109</c:v>
                </c:pt>
                <c:pt idx="1666">
                  <c:v>47110</c:v>
                </c:pt>
                <c:pt idx="1667">
                  <c:v>47111</c:v>
                </c:pt>
                <c:pt idx="1668">
                  <c:v>47112</c:v>
                </c:pt>
                <c:pt idx="1669">
                  <c:v>47113</c:v>
                </c:pt>
                <c:pt idx="1670">
                  <c:v>47114</c:v>
                </c:pt>
                <c:pt idx="1671">
                  <c:v>47115</c:v>
                </c:pt>
                <c:pt idx="1672">
                  <c:v>47116</c:v>
                </c:pt>
                <c:pt idx="1673">
                  <c:v>47117</c:v>
                </c:pt>
                <c:pt idx="1674">
                  <c:v>47118</c:v>
                </c:pt>
              </c:numCache>
            </c:numRef>
          </c:cat>
          <c:val>
            <c:numRef>
              <c:f>'5.4'!$C$6:$C$1680</c:f>
              <c:numCache>
                <c:formatCode>0</c:formatCode>
                <c:ptCount val="1675"/>
                <c:pt idx="0">
                  <c:v>1104.8292592206899</c:v>
                </c:pt>
                <c:pt idx="1">
                  <c:v>1173.2296254576399</c:v>
                </c:pt>
                <c:pt idx="2">
                  <c:v>1648.29981314267</c:v>
                </c:pt>
                <c:pt idx="3">
                  <c:v>1569.7157660758901</c:v>
                </c:pt>
                <c:pt idx="4">
                  <c:v>1538.5861128634399</c:v>
                </c:pt>
                <c:pt idx="5">
                  <c:v>1387.0968429951499</c:v>
                </c:pt>
                <c:pt idx="6">
                  <c:v>1233.8544356206801</c:v>
                </c:pt>
                <c:pt idx="7">
                  <c:v>1139.5207074129901</c:v>
                </c:pt>
                <c:pt idx="8">
                  <c:v>1001.14045888114</c:v>
                </c:pt>
                <c:pt idx="9">
                  <c:v>987.394991013599</c:v>
                </c:pt>
                <c:pt idx="10">
                  <c:v>1094.37638683092</c:v>
                </c:pt>
                <c:pt idx="11">
                  <c:v>1137.7685470884101</c:v>
                </c:pt>
                <c:pt idx="12">
                  <c:v>1160.7981674959999</c:v>
                </c:pt>
                <c:pt idx="13">
                  <c:v>1180.2737046930799</c:v>
                </c:pt>
                <c:pt idx="14">
                  <c:v>1142.55565433988</c:v>
                </c:pt>
                <c:pt idx="15">
                  <c:v>1145.65171301898</c:v>
                </c:pt>
                <c:pt idx="16">
                  <c:v>1269.7376930466701</c:v>
                </c:pt>
                <c:pt idx="17">
                  <c:v>1549.2969158374401</c:v>
                </c:pt>
                <c:pt idx="18">
                  <c:v>1673.75254984194</c:v>
                </c:pt>
                <c:pt idx="19">
                  <c:v>1800.44107035093</c:v>
                </c:pt>
                <c:pt idx="20">
                  <c:v>1724.98621251231</c:v>
                </c:pt>
                <c:pt idx="21">
                  <c:v>1533.6975628479499</c:v>
                </c:pt>
                <c:pt idx="22">
                  <c:v>1625.7882803698999</c:v>
                </c:pt>
                <c:pt idx="23">
                  <c:v>1747.4537173030201</c:v>
                </c:pt>
                <c:pt idx="24">
                  <c:v>1603.4164024828799</c:v>
                </c:pt>
                <c:pt idx="25">
                  <c:v>1363.6134531145501</c:v>
                </c:pt>
                <c:pt idx="26">
                  <c:v>1237.03724404946</c:v>
                </c:pt>
                <c:pt idx="27">
                  <c:v>1055.6129679993101</c:v>
                </c:pt>
                <c:pt idx="28">
                  <c:v>1146.7675989178699</c:v>
                </c:pt>
                <c:pt idx="29">
                  <c:v>1578.8411495544699</c:v>
                </c:pt>
                <c:pt idx="30">
                  <c:v>1472.7702415352301</c:v>
                </c:pt>
                <c:pt idx="31">
                  <c:v>1399.4346342582401</c:v>
                </c:pt>
                <c:pt idx="32">
                  <c:v>1399.68413939527</c:v>
                </c:pt>
                <c:pt idx="33">
                  <c:v>1271.0996988237</c:v>
                </c:pt>
                <c:pt idx="34">
                  <c:v>1071.82895613694</c:v>
                </c:pt>
                <c:pt idx="35">
                  <c:v>1065.3320119913801</c:v>
                </c:pt>
                <c:pt idx="36">
                  <c:v>1183.6480317087201</c:v>
                </c:pt>
                <c:pt idx="37">
                  <c:v>1299.13983133294</c:v>
                </c:pt>
                <c:pt idx="38">
                  <c:v>1331.9187075668201</c:v>
                </c:pt>
                <c:pt idx="39">
                  <c:v>1396.0716644664301</c:v>
                </c:pt>
                <c:pt idx="40">
                  <c:v>1366.7022451814501</c:v>
                </c:pt>
                <c:pt idx="41">
                  <c:v>1612.7724379711599</c:v>
                </c:pt>
                <c:pt idx="42">
                  <c:v>1582.92597558529</c:v>
                </c:pt>
                <c:pt idx="43">
                  <c:v>1422.8322087783699</c:v>
                </c:pt>
                <c:pt idx="44">
                  <c:v>1310.2944193247399</c:v>
                </c:pt>
                <c:pt idx="45">
                  <c:v>1367.5569222505401</c:v>
                </c:pt>
                <c:pt idx="46">
                  <c:v>1331.63317750841</c:v>
                </c:pt>
                <c:pt idx="47">
                  <c:v>1250.93396586985</c:v>
                </c:pt>
                <c:pt idx="48">
                  <c:v>1100.4375355715099</c:v>
                </c:pt>
                <c:pt idx="49">
                  <c:v>1099.26284771941</c:v>
                </c:pt>
                <c:pt idx="50">
                  <c:v>1238.6531115104599</c:v>
                </c:pt>
                <c:pt idx="51">
                  <c:v>1317.50839014606</c:v>
                </c:pt>
                <c:pt idx="52">
                  <c:v>1344.5233824598799</c:v>
                </c:pt>
                <c:pt idx="53">
                  <c:v>1284.7039797186101</c:v>
                </c:pt>
                <c:pt idx="54">
                  <c:v>1275.1175464273699</c:v>
                </c:pt>
                <c:pt idx="55">
                  <c:v>1148.58877327921</c:v>
                </c:pt>
                <c:pt idx="56">
                  <c:v>1161.3279708524001</c:v>
                </c:pt>
                <c:pt idx="57">
                  <c:v>1284.7002372857801</c:v>
                </c:pt>
                <c:pt idx="58">
                  <c:v>1510.95733569238</c:v>
                </c:pt>
                <c:pt idx="59">
                  <c:v>1565.0542674178801</c:v>
                </c:pt>
                <c:pt idx="60">
                  <c:v>1375.47351469265</c:v>
                </c:pt>
                <c:pt idx="61">
                  <c:v>1300.71963029434</c:v>
                </c:pt>
                <c:pt idx="62">
                  <c:v>1212.0242622927501</c:v>
                </c:pt>
                <c:pt idx="63">
                  <c:v>1201.58578623158</c:v>
                </c:pt>
                <c:pt idx="64">
                  <c:v>1272.8666476425101</c:v>
                </c:pt>
                <c:pt idx="65">
                  <c:v>1435.4120701582899</c:v>
                </c:pt>
                <c:pt idx="66">
                  <c:v>1331.6094868571299</c:v>
                </c:pt>
                <c:pt idx="67">
                  <c:v>1566.92098448925</c:v>
                </c:pt>
                <c:pt idx="68">
                  <c:v>1819.76934288866</c:v>
                </c:pt>
                <c:pt idx="69">
                  <c:v>1715.2013311184101</c:v>
                </c:pt>
                <c:pt idx="70">
                  <c:v>1554.7651325434099</c:v>
                </c:pt>
                <c:pt idx="71">
                  <c:v>1556.77768058536</c:v>
                </c:pt>
                <c:pt idx="72">
                  <c:v>1519.1091320642799</c:v>
                </c:pt>
                <c:pt idx="73">
                  <c:v>1540.98364111608</c:v>
                </c:pt>
                <c:pt idx="74">
                  <c:v>1392.5823582635701</c:v>
                </c:pt>
                <c:pt idx="75">
                  <c:v>1305.14377429824</c:v>
                </c:pt>
                <c:pt idx="76">
                  <c:v>1084.2725918951401</c:v>
                </c:pt>
                <c:pt idx="77">
                  <c:v>1166.8147111876001</c:v>
                </c:pt>
                <c:pt idx="78">
                  <c:v>1711.5490588753701</c:v>
                </c:pt>
                <c:pt idx="79">
                  <c:v>1327.1261174107101</c:v>
                </c:pt>
                <c:pt idx="80">
                  <c:v>1183.5199926893799</c:v>
                </c:pt>
                <c:pt idx="81">
                  <c:v>1310.9314897055201</c:v>
                </c:pt>
                <c:pt idx="82">
                  <c:v>1274.50906485154</c:v>
                </c:pt>
                <c:pt idx="83">
                  <c:v>1066.24448665059</c:v>
                </c:pt>
                <c:pt idx="84">
                  <c:v>1179.16546357782</c:v>
                </c:pt>
                <c:pt idx="85">
                  <c:v>1307.18704195227</c:v>
                </c:pt>
                <c:pt idx="86">
                  <c:v>1270.21022433998</c:v>
                </c:pt>
                <c:pt idx="87">
                  <c:v>1573.07143958557</c:v>
                </c:pt>
                <c:pt idx="88">
                  <c:v>1589.6969306276901</c:v>
                </c:pt>
                <c:pt idx="89">
                  <c:v>1332.17670365463</c:v>
                </c:pt>
                <c:pt idx="90">
                  <c:v>1053.58547298088</c:v>
                </c:pt>
                <c:pt idx="91">
                  <c:v>1019.42270898583</c:v>
                </c:pt>
                <c:pt idx="92">
                  <c:v>1129.3207515730501</c:v>
                </c:pt>
                <c:pt idx="93">
                  <c:v>909.01538365610395</c:v>
                </c:pt>
                <c:pt idx="94">
                  <c:v>973.72417000872599</c:v>
                </c:pt>
                <c:pt idx="95">
                  <c:v>871.79513346420094</c:v>
                </c:pt>
                <c:pt idx="96">
                  <c:v>1186.61225374591</c:v>
                </c:pt>
                <c:pt idx="97">
                  <c:v>1302.9953211499501</c:v>
                </c:pt>
                <c:pt idx="98">
                  <c:v>1332.63749434738</c:v>
                </c:pt>
                <c:pt idx="99">
                  <c:v>1507.3991464580399</c:v>
                </c:pt>
                <c:pt idx="100">
                  <c:v>1364.5472781134099</c:v>
                </c:pt>
                <c:pt idx="101">
                  <c:v>1140.8829991253499</c:v>
                </c:pt>
                <c:pt idx="102">
                  <c:v>1082.83051316363</c:v>
                </c:pt>
                <c:pt idx="103">
                  <c:v>1032.5076428530999</c:v>
                </c:pt>
                <c:pt idx="104">
                  <c:v>721.075938656988</c:v>
                </c:pt>
                <c:pt idx="105">
                  <c:v>748.68403555526197</c:v>
                </c:pt>
                <c:pt idx="106">
                  <c:v>1237.3178795858801</c:v>
                </c:pt>
                <c:pt idx="107">
                  <c:v>1384.3938243651701</c:v>
                </c:pt>
                <c:pt idx="108">
                  <c:v>1148.4834292204901</c:v>
                </c:pt>
                <c:pt idx="109">
                  <c:v>787.21809403561303</c:v>
                </c:pt>
                <c:pt idx="110">
                  <c:v>650.06881985966197</c:v>
                </c:pt>
                <c:pt idx="111">
                  <c:v>688.03062254887698</c:v>
                </c:pt>
                <c:pt idx="112">
                  <c:v>857.74691372340999</c:v>
                </c:pt>
                <c:pt idx="113">
                  <c:v>1203.5547829393399</c:v>
                </c:pt>
                <c:pt idx="114">
                  <c:v>1216.64482068947</c:v>
                </c:pt>
                <c:pt idx="115">
                  <c:v>1157.1285563696099</c:v>
                </c:pt>
                <c:pt idx="116">
                  <c:v>808.42268546375203</c:v>
                </c:pt>
                <c:pt idx="117">
                  <c:v>997.546406848949</c:v>
                </c:pt>
                <c:pt idx="118">
                  <c:v>941.68468147971601</c:v>
                </c:pt>
                <c:pt idx="119">
                  <c:v>808.37213842128597</c:v>
                </c:pt>
                <c:pt idx="120">
                  <c:v>1104.5287715934901</c:v>
                </c:pt>
                <c:pt idx="121">
                  <c:v>808.60921039746097</c:v>
                </c:pt>
                <c:pt idx="122">
                  <c:v>681.44426024326003</c:v>
                </c:pt>
                <c:pt idx="123">
                  <c:v>629.89620704829804</c:v>
                </c:pt>
                <c:pt idx="124">
                  <c:v>780.88085033581604</c:v>
                </c:pt>
                <c:pt idx="125">
                  <c:v>611.14846821523395</c:v>
                </c:pt>
                <c:pt idx="126">
                  <c:v>544.36096236900198</c:v>
                </c:pt>
                <c:pt idx="127">
                  <c:v>696.42171579057594</c:v>
                </c:pt>
                <c:pt idx="128">
                  <c:v>1113.5017478769</c:v>
                </c:pt>
                <c:pt idx="129">
                  <c:v>1091.8601439321901</c:v>
                </c:pt>
                <c:pt idx="130">
                  <c:v>1040.0353674258099</c:v>
                </c:pt>
                <c:pt idx="131">
                  <c:v>824.28191290566599</c:v>
                </c:pt>
                <c:pt idx="132">
                  <c:v>710.63372956665899</c:v>
                </c:pt>
                <c:pt idx="133">
                  <c:v>658.81208156822902</c:v>
                </c:pt>
                <c:pt idx="134">
                  <c:v>676.36063105167</c:v>
                </c:pt>
                <c:pt idx="135">
                  <c:v>715.51969098891595</c:v>
                </c:pt>
                <c:pt idx="136">
                  <c:v>764.97062725145304</c:v>
                </c:pt>
                <c:pt idx="137">
                  <c:v>1060.72389666649</c:v>
                </c:pt>
                <c:pt idx="138">
                  <c:v>775.86587385341397</c:v>
                </c:pt>
                <c:pt idx="139">
                  <c:v>901.435511556797</c:v>
                </c:pt>
                <c:pt idx="140">
                  <c:v>775.31381435577396</c:v>
                </c:pt>
                <c:pt idx="141">
                  <c:v>748.16647857909004</c:v>
                </c:pt>
                <c:pt idx="142">
                  <c:v>694.61015759844099</c:v>
                </c:pt>
                <c:pt idx="143">
                  <c:v>645.82810136857199</c:v>
                </c:pt>
                <c:pt idx="144">
                  <c:v>577.85591886590703</c:v>
                </c:pt>
                <c:pt idx="145">
                  <c:v>593.65645649561395</c:v>
                </c:pt>
                <c:pt idx="146">
                  <c:v>697.83207897394902</c:v>
                </c:pt>
                <c:pt idx="147">
                  <c:v>733.19828746085705</c:v>
                </c:pt>
                <c:pt idx="148">
                  <c:v>699.46447518922002</c:v>
                </c:pt>
                <c:pt idx="149">
                  <c:v>631.41980436862002</c:v>
                </c:pt>
                <c:pt idx="150">
                  <c:v>599.02186882067804</c:v>
                </c:pt>
                <c:pt idx="151">
                  <c:v>578.71168006332402</c:v>
                </c:pt>
                <c:pt idx="152">
                  <c:v>545.59659767608798</c:v>
                </c:pt>
                <c:pt idx="153">
                  <c:v>590.62804811901003</c:v>
                </c:pt>
                <c:pt idx="154">
                  <c:v>649.84645476395701</c:v>
                </c:pt>
                <c:pt idx="155">
                  <c:v>836.10550639251903</c:v>
                </c:pt>
                <c:pt idx="156">
                  <c:v>837.70842646137703</c:v>
                </c:pt>
                <c:pt idx="157">
                  <c:v>801.00088941100898</c:v>
                </c:pt>
                <c:pt idx="158">
                  <c:v>831.30952107506096</c:v>
                </c:pt>
                <c:pt idx="159">
                  <c:v>872.75341770394698</c:v>
                </c:pt>
                <c:pt idx="160">
                  <c:v>836.19801043366795</c:v>
                </c:pt>
                <c:pt idx="161">
                  <c:v>792.23209649864202</c:v>
                </c:pt>
                <c:pt idx="162">
                  <c:v>768.36197631206903</c:v>
                </c:pt>
                <c:pt idx="163">
                  <c:v>862.44384854754503</c:v>
                </c:pt>
                <c:pt idx="164">
                  <c:v>930.20494988001201</c:v>
                </c:pt>
                <c:pt idx="165">
                  <c:v>925.04851355448295</c:v>
                </c:pt>
                <c:pt idx="166">
                  <c:v>822.19661845529595</c:v>
                </c:pt>
                <c:pt idx="167">
                  <c:v>792.68205014642797</c:v>
                </c:pt>
                <c:pt idx="168">
                  <c:v>812.02850217480295</c:v>
                </c:pt>
                <c:pt idx="169">
                  <c:v>743.66162190790305</c:v>
                </c:pt>
                <c:pt idx="170">
                  <c:v>743.77990455166901</c:v>
                </c:pt>
                <c:pt idx="171">
                  <c:v>758.48861040115298</c:v>
                </c:pt>
                <c:pt idx="172">
                  <c:v>742.95698155892103</c:v>
                </c:pt>
                <c:pt idx="173">
                  <c:v>688.08616275628299</c:v>
                </c:pt>
                <c:pt idx="174">
                  <c:v>632.45504119002305</c:v>
                </c:pt>
                <c:pt idx="175">
                  <c:v>646.45524857623195</c:v>
                </c:pt>
                <c:pt idx="176">
                  <c:v>705.73158025781197</c:v>
                </c:pt>
                <c:pt idx="177">
                  <c:v>847.97805902426501</c:v>
                </c:pt>
                <c:pt idx="178">
                  <c:v>753.27885642341005</c:v>
                </c:pt>
                <c:pt idx="179">
                  <c:v>720.89391886637702</c:v>
                </c:pt>
                <c:pt idx="180">
                  <c:v>721.83655582487404</c:v>
                </c:pt>
                <c:pt idx="181">
                  <c:v>672.53581119258195</c:v>
                </c:pt>
                <c:pt idx="182">
                  <c:v>779.91880553587396</c:v>
                </c:pt>
                <c:pt idx="183">
                  <c:v>962.26341316588105</c:v>
                </c:pt>
                <c:pt idx="184">
                  <c:v>847.50616185086199</c:v>
                </c:pt>
                <c:pt idx="185">
                  <c:v>813.80253035856799</c:v>
                </c:pt>
                <c:pt idx="186">
                  <c:v>752.36071610496299</c:v>
                </c:pt>
                <c:pt idx="187">
                  <c:v>759.52636671700202</c:v>
                </c:pt>
                <c:pt idx="188">
                  <c:v>644.68149555520495</c:v>
                </c:pt>
                <c:pt idx="189">
                  <c:v>600.52658037898004</c:v>
                </c:pt>
                <c:pt idx="190">
                  <c:v>662.70309880352102</c:v>
                </c:pt>
                <c:pt idx="191">
                  <c:v>747.92213272360596</c:v>
                </c:pt>
                <c:pt idx="192">
                  <c:v>817.08794472865998</c:v>
                </c:pt>
                <c:pt idx="193">
                  <c:v>829.14561884711202</c:v>
                </c:pt>
                <c:pt idx="194">
                  <c:v>711.14134650357698</c:v>
                </c:pt>
                <c:pt idx="195">
                  <c:v>633.896645636313</c:v>
                </c:pt>
                <c:pt idx="196">
                  <c:v>622.81104736899897</c:v>
                </c:pt>
                <c:pt idx="197">
                  <c:v>706.098553941604</c:v>
                </c:pt>
                <c:pt idx="198">
                  <c:v>667.46472039634398</c:v>
                </c:pt>
                <c:pt idx="199">
                  <c:v>616.73700929077097</c:v>
                </c:pt>
                <c:pt idx="200">
                  <c:v>619.07093340456402</c:v>
                </c:pt>
                <c:pt idx="201">
                  <c:v>565.74501048395803</c:v>
                </c:pt>
                <c:pt idx="202">
                  <c:v>547.49773888416905</c:v>
                </c:pt>
                <c:pt idx="203">
                  <c:v>559.96680578180201</c:v>
                </c:pt>
                <c:pt idx="204">
                  <c:v>587.29311490900295</c:v>
                </c:pt>
                <c:pt idx="205">
                  <c:v>526.748712978291</c:v>
                </c:pt>
                <c:pt idx="206">
                  <c:v>616.73700929077097</c:v>
                </c:pt>
                <c:pt idx="207">
                  <c:v>450.53128516196801</c:v>
                </c:pt>
                <c:pt idx="208">
                  <c:v>491.51323667797402</c:v>
                </c:pt>
                <c:pt idx="209">
                  <c:v>470.837830561798</c:v>
                </c:pt>
                <c:pt idx="210">
                  <c:v>476.64560708106399</c:v>
                </c:pt>
                <c:pt idx="211">
                  <c:v>514.12249316756299</c:v>
                </c:pt>
                <c:pt idx="212">
                  <c:v>528.09810267544503</c:v>
                </c:pt>
                <c:pt idx="213">
                  <c:v>616.73700929077097</c:v>
                </c:pt>
                <c:pt idx="214">
                  <c:v>486.78032070878498</c:v>
                </c:pt>
                <c:pt idx="215">
                  <c:v>569.15690466370597</c:v>
                </c:pt>
                <c:pt idx="216">
                  <c:v>556.52495167391703</c:v>
                </c:pt>
                <c:pt idx="217">
                  <c:v>543.94950837030603</c:v>
                </c:pt>
                <c:pt idx="218">
                  <c:v>546.03334193221497</c:v>
                </c:pt>
                <c:pt idx="219">
                  <c:v>610.97480285419499</c:v>
                </c:pt>
                <c:pt idx="220">
                  <c:v>628.51765429659201</c:v>
                </c:pt>
                <c:pt idx="221">
                  <c:v>635.95539455292896</c:v>
                </c:pt>
                <c:pt idx="222">
                  <c:v>638.90073969076195</c:v>
                </c:pt>
                <c:pt idx="223">
                  <c:v>595.09257784699298</c:v>
                </c:pt>
                <c:pt idx="224">
                  <c:v>537.13363650409599</c:v>
                </c:pt>
                <c:pt idx="225">
                  <c:v>544.08606210877099</c:v>
                </c:pt>
                <c:pt idx="226">
                  <c:v>605.53275058609995</c:v>
                </c:pt>
                <c:pt idx="227">
                  <c:v>607.14903071488197</c:v>
                </c:pt>
                <c:pt idx="228">
                  <c:v>612.71514883933799</c:v>
                </c:pt>
                <c:pt idx="229">
                  <c:v>624.35528238279198</c:v>
                </c:pt>
                <c:pt idx="230">
                  <c:v>607.50574847427004</c:v>
                </c:pt>
                <c:pt idx="231">
                  <c:v>543.07458749488899</c:v>
                </c:pt>
                <c:pt idx="232">
                  <c:v>551.180619589613</c:v>
                </c:pt>
                <c:pt idx="233">
                  <c:v>623.76732770547301</c:v>
                </c:pt>
                <c:pt idx="234">
                  <c:v>620.39340669652597</c:v>
                </c:pt>
                <c:pt idx="235">
                  <c:v>626.40317753034901</c:v>
                </c:pt>
                <c:pt idx="236">
                  <c:v>607.53743952339698</c:v>
                </c:pt>
                <c:pt idx="237">
                  <c:v>571.00911613631399</c:v>
                </c:pt>
                <c:pt idx="238">
                  <c:v>526.82050774826303</c:v>
                </c:pt>
                <c:pt idx="239">
                  <c:v>506.26357709700801</c:v>
                </c:pt>
                <c:pt idx="240">
                  <c:v>548.30174509527103</c:v>
                </c:pt>
                <c:pt idx="241">
                  <c:v>617.67376424143595</c:v>
                </c:pt>
                <c:pt idx="242">
                  <c:v>629.08781239624102</c:v>
                </c:pt>
                <c:pt idx="243">
                  <c:v>739.54049056761903</c:v>
                </c:pt>
                <c:pt idx="244">
                  <c:v>648.88779355883105</c:v>
                </c:pt>
                <c:pt idx="245">
                  <c:v>557.25523800263295</c:v>
                </c:pt>
                <c:pt idx="246">
                  <c:v>562.04556593324196</c:v>
                </c:pt>
                <c:pt idx="247">
                  <c:v>653.79475203189099</c:v>
                </c:pt>
                <c:pt idx="248">
                  <c:v>641.05326249745303</c:v>
                </c:pt>
                <c:pt idx="249">
                  <c:v>643.15107677691105</c:v>
                </c:pt>
                <c:pt idx="250">
                  <c:v>652.68533387965294</c:v>
                </c:pt>
                <c:pt idx="251">
                  <c:v>631.51597374173798</c:v>
                </c:pt>
                <c:pt idx="252">
                  <c:v>607.57562905209602</c:v>
                </c:pt>
                <c:pt idx="253">
                  <c:v>610.95903214637303</c:v>
                </c:pt>
                <c:pt idx="254">
                  <c:v>738.52079077498695</c:v>
                </c:pt>
                <c:pt idx="255">
                  <c:v>750.57339200583704</c:v>
                </c:pt>
                <c:pt idx="256">
                  <c:v>845.83493861787201</c:v>
                </c:pt>
                <c:pt idx="257">
                  <c:v>808.28288242138399</c:v>
                </c:pt>
                <c:pt idx="258">
                  <c:v>667.86746179250099</c:v>
                </c:pt>
                <c:pt idx="259">
                  <c:v>581.85780501699401</c:v>
                </c:pt>
                <c:pt idx="260">
                  <c:v>574.195479643216</c:v>
                </c:pt>
                <c:pt idx="261">
                  <c:v>666.14984280575402</c:v>
                </c:pt>
                <c:pt idx="262">
                  <c:v>722.58149057447099</c:v>
                </c:pt>
                <c:pt idx="263">
                  <c:v>768.45285908305402</c:v>
                </c:pt>
                <c:pt idx="264">
                  <c:v>801.09841583490595</c:v>
                </c:pt>
                <c:pt idx="265">
                  <c:v>655.42777398427597</c:v>
                </c:pt>
                <c:pt idx="266">
                  <c:v>574.90734485257997</c:v>
                </c:pt>
                <c:pt idx="267">
                  <c:v>587.35071342159995</c:v>
                </c:pt>
                <c:pt idx="268">
                  <c:v>730.82025572073201</c:v>
                </c:pt>
                <c:pt idx="269">
                  <c:v>736.845902985669</c:v>
                </c:pt>
                <c:pt idx="270">
                  <c:v>728.70328097344202</c:v>
                </c:pt>
                <c:pt idx="271">
                  <c:v>712.36462745590302</c:v>
                </c:pt>
                <c:pt idx="272">
                  <c:v>612.50137466946705</c:v>
                </c:pt>
                <c:pt idx="273">
                  <c:v>538.83797382108901</c:v>
                </c:pt>
                <c:pt idx="274">
                  <c:v>553.80550626571505</c:v>
                </c:pt>
                <c:pt idx="275">
                  <c:v>708.72893187725299</c:v>
                </c:pt>
                <c:pt idx="276">
                  <c:v>729.26045784174505</c:v>
                </c:pt>
                <c:pt idx="277">
                  <c:v>819.05792760495206</c:v>
                </c:pt>
                <c:pt idx="278">
                  <c:v>785.32026362859904</c:v>
                </c:pt>
                <c:pt idx="279">
                  <c:v>658.57320468556395</c:v>
                </c:pt>
                <c:pt idx="280">
                  <c:v>577.32755187688599</c:v>
                </c:pt>
                <c:pt idx="281">
                  <c:v>570.21633968112496</c:v>
                </c:pt>
                <c:pt idx="282">
                  <c:v>684.27793951328897</c:v>
                </c:pt>
                <c:pt idx="283">
                  <c:v>807.11488247562795</c:v>
                </c:pt>
                <c:pt idx="284">
                  <c:v>854.11486233664698</c:v>
                </c:pt>
                <c:pt idx="285">
                  <c:v>814.03033383828699</c:v>
                </c:pt>
                <c:pt idx="286">
                  <c:v>688.44975399835096</c:v>
                </c:pt>
                <c:pt idx="287">
                  <c:v>598.81519260467098</c:v>
                </c:pt>
                <c:pt idx="288">
                  <c:v>591.48570947686596</c:v>
                </c:pt>
                <c:pt idx="289">
                  <c:v>733.22679903253095</c:v>
                </c:pt>
                <c:pt idx="290">
                  <c:v>765.81051742347302</c:v>
                </c:pt>
                <c:pt idx="291">
                  <c:v>745.09005079565895</c:v>
                </c:pt>
                <c:pt idx="292">
                  <c:v>742.25885711688795</c:v>
                </c:pt>
                <c:pt idx="293">
                  <c:v>654.50812386623602</c:v>
                </c:pt>
                <c:pt idx="294">
                  <c:v>565.71220914406103</c:v>
                </c:pt>
                <c:pt idx="295">
                  <c:v>574.15772162235999</c:v>
                </c:pt>
                <c:pt idx="296">
                  <c:v>780.688174406141</c:v>
                </c:pt>
                <c:pt idx="297">
                  <c:v>796.99226128266196</c:v>
                </c:pt>
                <c:pt idx="298">
                  <c:v>770.152438496429</c:v>
                </c:pt>
                <c:pt idx="299">
                  <c:v>713.23555888316696</c:v>
                </c:pt>
                <c:pt idx="300">
                  <c:v>722.32664872807698</c:v>
                </c:pt>
                <c:pt idx="301">
                  <c:v>839.23183742987101</c:v>
                </c:pt>
                <c:pt idx="302">
                  <c:v>914.60555745338195</c:v>
                </c:pt>
                <c:pt idx="303">
                  <c:v>933.081710813634</c:v>
                </c:pt>
                <c:pt idx="304">
                  <c:v>669.76526778823404</c:v>
                </c:pt>
                <c:pt idx="305">
                  <c:v>645.21517469297498</c:v>
                </c:pt>
                <c:pt idx="306">
                  <c:v>634.45441608537499</c:v>
                </c:pt>
                <c:pt idx="307">
                  <c:v>571.40989363454696</c:v>
                </c:pt>
                <c:pt idx="308">
                  <c:v>533.11536199174702</c:v>
                </c:pt>
                <c:pt idx="309">
                  <c:v>533.74344774535098</c:v>
                </c:pt>
                <c:pt idx="310">
                  <c:v>612.42178026055205</c:v>
                </c:pt>
                <c:pt idx="311">
                  <c:v>755.61854388176096</c:v>
                </c:pt>
                <c:pt idx="312">
                  <c:v>839.84837540267404</c:v>
                </c:pt>
                <c:pt idx="313">
                  <c:v>793.77145456521305</c:v>
                </c:pt>
                <c:pt idx="314">
                  <c:v>696.63402381939704</c:v>
                </c:pt>
                <c:pt idx="315">
                  <c:v>610.139575611954</c:v>
                </c:pt>
                <c:pt idx="316">
                  <c:v>558.27507587467596</c:v>
                </c:pt>
                <c:pt idx="317">
                  <c:v>625.96603933059896</c:v>
                </c:pt>
                <c:pt idx="318">
                  <c:v>604.90393044090899</c:v>
                </c:pt>
                <c:pt idx="319">
                  <c:v>598.48669613955099</c:v>
                </c:pt>
                <c:pt idx="320">
                  <c:v>619.66115123462498</c:v>
                </c:pt>
                <c:pt idx="321">
                  <c:v>546.26521124004</c:v>
                </c:pt>
                <c:pt idx="322">
                  <c:v>491.31659734703999</c:v>
                </c:pt>
                <c:pt idx="323">
                  <c:v>460.95251326082598</c:v>
                </c:pt>
                <c:pt idx="324">
                  <c:v>552.90990071986596</c:v>
                </c:pt>
                <c:pt idx="325">
                  <c:v>593.66643109861502</c:v>
                </c:pt>
                <c:pt idx="326">
                  <c:v>574.55537226025001</c:v>
                </c:pt>
                <c:pt idx="327">
                  <c:v>619.661151234626</c:v>
                </c:pt>
                <c:pt idx="328">
                  <c:v>563.34706935429699</c:v>
                </c:pt>
                <c:pt idx="329">
                  <c:v>800.76049420019604</c:v>
                </c:pt>
                <c:pt idx="330">
                  <c:v>724.38926391608595</c:v>
                </c:pt>
                <c:pt idx="331">
                  <c:v>851.11763564499802</c:v>
                </c:pt>
                <c:pt idx="332">
                  <c:v>737.831224923523</c:v>
                </c:pt>
                <c:pt idx="333">
                  <c:v>642.07698431670406</c:v>
                </c:pt>
                <c:pt idx="334">
                  <c:v>696.51436901368004</c:v>
                </c:pt>
                <c:pt idx="335">
                  <c:v>720.763524676462</c:v>
                </c:pt>
                <c:pt idx="336">
                  <c:v>745.65239015558905</c:v>
                </c:pt>
                <c:pt idx="337">
                  <c:v>761.45984362695594</c:v>
                </c:pt>
                <c:pt idx="338">
                  <c:v>1059.3761118137099</c:v>
                </c:pt>
                <c:pt idx="339">
                  <c:v>985.67140491075895</c:v>
                </c:pt>
                <c:pt idx="340">
                  <c:v>1174.98500028846</c:v>
                </c:pt>
                <c:pt idx="341">
                  <c:v>1197.2085613080501</c:v>
                </c:pt>
                <c:pt idx="342">
                  <c:v>1287.6332312766899</c:v>
                </c:pt>
                <c:pt idx="343">
                  <c:v>1051.3761602418199</c:v>
                </c:pt>
                <c:pt idx="344">
                  <c:v>865.515671793156</c:v>
                </c:pt>
                <c:pt idx="345">
                  <c:v>984.35541965772995</c:v>
                </c:pt>
                <c:pt idx="346">
                  <c:v>938.167720756937</c:v>
                </c:pt>
                <c:pt idx="347">
                  <c:v>1088.90234929539</c:v>
                </c:pt>
                <c:pt idx="348">
                  <c:v>1128.4686480667201</c:v>
                </c:pt>
                <c:pt idx="349">
                  <c:v>1102.99084025563</c:v>
                </c:pt>
                <c:pt idx="350">
                  <c:v>814.96708056864395</c:v>
                </c:pt>
                <c:pt idx="351">
                  <c:v>750.26424078195305</c:v>
                </c:pt>
                <c:pt idx="352">
                  <c:v>915.92110659049001</c:v>
                </c:pt>
                <c:pt idx="353">
                  <c:v>921.74540921227697</c:v>
                </c:pt>
                <c:pt idx="354">
                  <c:v>908.54368311443397</c:v>
                </c:pt>
                <c:pt idx="355">
                  <c:v>847.68337311687606</c:v>
                </c:pt>
                <c:pt idx="356">
                  <c:v>860.28596797449904</c:v>
                </c:pt>
                <c:pt idx="357">
                  <c:v>735.88674753762598</c:v>
                </c:pt>
                <c:pt idx="358">
                  <c:v>1095.9396869264001</c:v>
                </c:pt>
                <c:pt idx="359">
                  <c:v>1529.1554845560599</c:v>
                </c:pt>
                <c:pt idx="360">
                  <c:v>1456.9608581668399</c:v>
                </c:pt>
                <c:pt idx="361">
                  <c:v>1581.6625001217401</c:v>
                </c:pt>
                <c:pt idx="362">
                  <c:v>1539.06203945729</c:v>
                </c:pt>
                <c:pt idx="363">
                  <c:v>1346.94063726431</c:v>
                </c:pt>
                <c:pt idx="364">
                  <c:v>1136.06939861106</c:v>
                </c:pt>
                <c:pt idx="365">
                  <c:v>1173.1838239408901</c:v>
                </c:pt>
                <c:pt idx="366">
                  <c:v>1635.1748792215501</c:v>
                </c:pt>
                <c:pt idx="367">
                  <c:v>1564.6934310085301</c:v>
                </c:pt>
                <c:pt idx="368">
                  <c:v>1534.43817099905</c:v>
                </c:pt>
                <c:pt idx="369">
                  <c:v>1383.4020853294301</c:v>
                </c:pt>
                <c:pt idx="370">
                  <c:v>1234.5439488634399</c:v>
                </c:pt>
                <c:pt idx="371">
                  <c:v>1140.14540364357</c:v>
                </c:pt>
                <c:pt idx="372">
                  <c:v>1002.11453880114</c:v>
                </c:pt>
                <c:pt idx="373">
                  <c:v>988.48088793968896</c:v>
                </c:pt>
                <c:pt idx="374">
                  <c:v>1095.04073553331</c:v>
                </c:pt>
                <c:pt idx="375">
                  <c:v>1138.69271299754</c:v>
                </c:pt>
                <c:pt idx="376">
                  <c:v>1161.4615852949401</c:v>
                </c:pt>
                <c:pt idx="377">
                  <c:v>1180.79784330545</c:v>
                </c:pt>
                <c:pt idx="378">
                  <c:v>1142.51200462158</c:v>
                </c:pt>
                <c:pt idx="379">
                  <c:v>1146.27679871341</c:v>
                </c:pt>
                <c:pt idx="380">
                  <c:v>1269.9869424604999</c:v>
                </c:pt>
                <c:pt idx="381">
                  <c:v>1538.8623910615599</c:v>
                </c:pt>
                <c:pt idx="382">
                  <c:v>1660.4789863364599</c:v>
                </c:pt>
                <c:pt idx="383">
                  <c:v>1784.2613608280999</c:v>
                </c:pt>
                <c:pt idx="384">
                  <c:v>1709.0193673456099</c:v>
                </c:pt>
                <c:pt idx="385">
                  <c:v>1523.0030821385701</c:v>
                </c:pt>
                <c:pt idx="386">
                  <c:v>1613.5679774791099</c:v>
                </c:pt>
                <c:pt idx="387">
                  <c:v>1732.79842493205</c:v>
                </c:pt>
                <c:pt idx="388">
                  <c:v>1591.68594642332</c:v>
                </c:pt>
                <c:pt idx="389">
                  <c:v>1363.10030505901</c:v>
                </c:pt>
                <c:pt idx="390">
                  <c:v>1236.9426148355301</c:v>
                </c:pt>
                <c:pt idx="391">
                  <c:v>1056.18514117614</c:v>
                </c:pt>
                <c:pt idx="392">
                  <c:v>1146.87783496063</c:v>
                </c:pt>
                <c:pt idx="393">
                  <c:v>1571.1733791101001</c:v>
                </c:pt>
                <c:pt idx="394">
                  <c:v>1467.3149990497</c:v>
                </c:pt>
                <c:pt idx="395">
                  <c:v>1396.59108905782</c:v>
                </c:pt>
                <c:pt idx="396">
                  <c:v>1397.93216972799</c:v>
                </c:pt>
                <c:pt idx="397">
                  <c:v>1270.5636796322001</c:v>
                </c:pt>
                <c:pt idx="398">
                  <c:v>1071.6375691036801</c:v>
                </c:pt>
                <c:pt idx="399">
                  <c:v>1065.36398535286</c:v>
                </c:pt>
                <c:pt idx="400">
                  <c:v>1183.6125165308299</c:v>
                </c:pt>
                <c:pt idx="401">
                  <c:v>1298.8575837318299</c:v>
                </c:pt>
                <c:pt idx="402">
                  <c:v>1331.7353643003401</c:v>
                </c:pt>
                <c:pt idx="403">
                  <c:v>1395.6103647007999</c:v>
                </c:pt>
                <c:pt idx="404">
                  <c:v>1366.44988604524</c:v>
                </c:pt>
                <c:pt idx="405">
                  <c:v>1600.70621198291</c:v>
                </c:pt>
                <c:pt idx="406">
                  <c:v>1571.6125600237001</c:v>
                </c:pt>
                <c:pt idx="407">
                  <c:v>1418.8764268176501</c:v>
                </c:pt>
                <c:pt idx="408">
                  <c:v>1309.89821165902</c:v>
                </c:pt>
                <c:pt idx="409">
                  <c:v>1366.8344818058099</c:v>
                </c:pt>
                <c:pt idx="410">
                  <c:v>1330.9700961737001</c:v>
                </c:pt>
                <c:pt idx="411">
                  <c:v>1250.86771223239</c:v>
                </c:pt>
                <c:pt idx="412">
                  <c:v>1100.66123399309</c:v>
                </c:pt>
                <c:pt idx="413">
                  <c:v>1099.47197099853</c:v>
                </c:pt>
                <c:pt idx="414">
                  <c:v>1238.5846757669401</c:v>
                </c:pt>
                <c:pt idx="415">
                  <c:v>1316.9841296803399</c:v>
                </c:pt>
                <c:pt idx="416">
                  <c:v>1344.7852119013901</c:v>
                </c:pt>
                <c:pt idx="417">
                  <c:v>1285.01073462966</c:v>
                </c:pt>
                <c:pt idx="418">
                  <c:v>1275.5670033660999</c:v>
                </c:pt>
                <c:pt idx="419">
                  <c:v>1149.30098591961</c:v>
                </c:pt>
                <c:pt idx="420">
                  <c:v>1161.81909807753</c:v>
                </c:pt>
                <c:pt idx="421">
                  <c:v>1284.1980471935899</c:v>
                </c:pt>
                <c:pt idx="422">
                  <c:v>1506.09140990729</c:v>
                </c:pt>
                <c:pt idx="423">
                  <c:v>1553.4965702131999</c:v>
                </c:pt>
                <c:pt idx="424">
                  <c:v>1373.68706837635</c:v>
                </c:pt>
                <c:pt idx="425">
                  <c:v>1300.7929061572199</c:v>
                </c:pt>
                <c:pt idx="426">
                  <c:v>1212.5937317579301</c:v>
                </c:pt>
                <c:pt idx="427">
                  <c:v>1201.7372658105701</c:v>
                </c:pt>
                <c:pt idx="428">
                  <c:v>1272.32517252104</c:v>
                </c:pt>
                <c:pt idx="429">
                  <c:v>1434.3762013723399</c:v>
                </c:pt>
                <c:pt idx="430">
                  <c:v>1330.8087689325</c:v>
                </c:pt>
                <c:pt idx="431">
                  <c:v>1556.7127653356499</c:v>
                </c:pt>
                <c:pt idx="432">
                  <c:v>1799.49911228931</c:v>
                </c:pt>
                <c:pt idx="433">
                  <c:v>1701.2907090003901</c:v>
                </c:pt>
                <c:pt idx="434">
                  <c:v>1543.1527148883899</c:v>
                </c:pt>
                <c:pt idx="435">
                  <c:v>1551.24055976298</c:v>
                </c:pt>
                <c:pt idx="436">
                  <c:v>1513.42094813931</c:v>
                </c:pt>
                <c:pt idx="437">
                  <c:v>1535.3078353128401</c:v>
                </c:pt>
                <c:pt idx="438">
                  <c:v>1389.5906888376101</c:v>
                </c:pt>
                <c:pt idx="439">
                  <c:v>1305.8231090686199</c:v>
                </c:pt>
                <c:pt idx="440">
                  <c:v>1084.4515483842999</c:v>
                </c:pt>
                <c:pt idx="441">
                  <c:v>1167.6075158223</c:v>
                </c:pt>
                <c:pt idx="442">
                  <c:v>1696.02065745034</c:v>
                </c:pt>
                <c:pt idx="443">
                  <c:v>1327.03153305555</c:v>
                </c:pt>
                <c:pt idx="444">
                  <c:v>1183.78153049865</c:v>
                </c:pt>
                <c:pt idx="445">
                  <c:v>1311.00136944214</c:v>
                </c:pt>
                <c:pt idx="446">
                  <c:v>1274.66872286584</c:v>
                </c:pt>
                <c:pt idx="447">
                  <c:v>1066.60257218946</c:v>
                </c:pt>
                <c:pt idx="448">
                  <c:v>1179.57552598401</c:v>
                </c:pt>
                <c:pt idx="449">
                  <c:v>1307.7666058273101</c:v>
                </c:pt>
                <c:pt idx="450">
                  <c:v>1270.4425994650001</c:v>
                </c:pt>
                <c:pt idx="451">
                  <c:v>1562.25845743369</c:v>
                </c:pt>
                <c:pt idx="452">
                  <c:v>1578.07290312601</c:v>
                </c:pt>
                <c:pt idx="453">
                  <c:v>1331.9343352820199</c:v>
                </c:pt>
                <c:pt idx="454">
                  <c:v>1054.4076997598499</c:v>
                </c:pt>
                <c:pt idx="455">
                  <c:v>1020.32079320017</c:v>
                </c:pt>
                <c:pt idx="456">
                  <c:v>1057.9943626645299</c:v>
                </c:pt>
                <c:pt idx="457">
                  <c:v>896.73508045032497</c:v>
                </c:pt>
                <c:pt idx="458">
                  <c:v>959.24780603613704</c:v>
                </c:pt>
                <c:pt idx="459">
                  <c:v>856.20259329545001</c:v>
                </c:pt>
                <c:pt idx="460">
                  <c:v>1169.66196653152</c:v>
                </c:pt>
                <c:pt idx="461">
                  <c:v>1284.1131157709699</c:v>
                </c:pt>
                <c:pt idx="462">
                  <c:v>1313.4990489880399</c:v>
                </c:pt>
                <c:pt idx="463">
                  <c:v>1490.3196515551599</c:v>
                </c:pt>
                <c:pt idx="464">
                  <c:v>1349.82638707249</c:v>
                </c:pt>
                <c:pt idx="465">
                  <c:v>1133.1489004503601</c:v>
                </c:pt>
                <c:pt idx="466">
                  <c:v>1070.89855242203</c:v>
                </c:pt>
                <c:pt idx="467">
                  <c:v>1017.2818821801</c:v>
                </c:pt>
                <c:pt idx="468">
                  <c:v>707.74063749955997</c:v>
                </c:pt>
                <c:pt idx="469">
                  <c:v>734.41666127228905</c:v>
                </c:pt>
                <c:pt idx="470">
                  <c:v>1219.9180170631901</c:v>
                </c:pt>
                <c:pt idx="471">
                  <c:v>1368.0248781979999</c:v>
                </c:pt>
                <c:pt idx="472">
                  <c:v>1134.8185959894699</c:v>
                </c:pt>
                <c:pt idx="473">
                  <c:v>776.20770334513202</c:v>
                </c:pt>
                <c:pt idx="474">
                  <c:v>637.64200780674605</c:v>
                </c:pt>
                <c:pt idx="475">
                  <c:v>674.30540753847401</c:v>
                </c:pt>
                <c:pt idx="476">
                  <c:v>841.05631612344405</c:v>
                </c:pt>
                <c:pt idx="477">
                  <c:v>1184.6238137733601</c:v>
                </c:pt>
                <c:pt idx="478">
                  <c:v>1201.4671398399</c:v>
                </c:pt>
                <c:pt idx="479">
                  <c:v>1141.59130869823</c:v>
                </c:pt>
                <c:pt idx="480">
                  <c:v>792.66974712723595</c:v>
                </c:pt>
                <c:pt idx="481">
                  <c:v>983.05324834012004</c:v>
                </c:pt>
                <c:pt idx="482">
                  <c:v>927.56582057093897</c:v>
                </c:pt>
                <c:pt idx="483">
                  <c:v>815.58657400848199</c:v>
                </c:pt>
                <c:pt idx="484">
                  <c:v>1088.0309397451199</c:v>
                </c:pt>
                <c:pt idx="485">
                  <c:v>793.51503854965097</c:v>
                </c:pt>
                <c:pt idx="486">
                  <c:v>669.34080688346</c:v>
                </c:pt>
                <c:pt idx="487">
                  <c:v>618.00188029059302</c:v>
                </c:pt>
                <c:pt idx="488">
                  <c:v>764.14081708988397</c:v>
                </c:pt>
                <c:pt idx="489">
                  <c:v>598.29681216102097</c:v>
                </c:pt>
                <c:pt idx="490">
                  <c:v>533.36967800248703</c:v>
                </c:pt>
                <c:pt idx="491">
                  <c:v>681.86118453200504</c:v>
                </c:pt>
                <c:pt idx="492">
                  <c:v>1097.77534403202</c:v>
                </c:pt>
                <c:pt idx="493">
                  <c:v>1105.1316059772601</c:v>
                </c:pt>
                <c:pt idx="494">
                  <c:v>1024.98954209669</c:v>
                </c:pt>
                <c:pt idx="495">
                  <c:v>830.84799649290903</c:v>
                </c:pt>
                <c:pt idx="496">
                  <c:v>696.77086334499495</c:v>
                </c:pt>
                <c:pt idx="497">
                  <c:v>645.87554871550606</c:v>
                </c:pt>
                <c:pt idx="498">
                  <c:v>664.44729451829801</c:v>
                </c:pt>
                <c:pt idx="499">
                  <c:v>700.64417392790995</c:v>
                </c:pt>
                <c:pt idx="500">
                  <c:v>749.02309059092795</c:v>
                </c:pt>
                <c:pt idx="501">
                  <c:v>1044.4793886463401</c:v>
                </c:pt>
                <c:pt idx="502">
                  <c:v>759.998904824546</c:v>
                </c:pt>
                <c:pt idx="503">
                  <c:v>884.91543895010898</c:v>
                </c:pt>
                <c:pt idx="504">
                  <c:v>759.33015876963395</c:v>
                </c:pt>
                <c:pt idx="505">
                  <c:v>733.23720853942098</c:v>
                </c:pt>
                <c:pt idx="506">
                  <c:v>680.645487228918</c:v>
                </c:pt>
                <c:pt idx="507">
                  <c:v>632.57371005943799</c:v>
                </c:pt>
                <c:pt idx="508">
                  <c:v>566.51757714651103</c:v>
                </c:pt>
                <c:pt idx="509">
                  <c:v>581.90593452786902</c:v>
                </c:pt>
                <c:pt idx="510">
                  <c:v>683.53671611770199</c:v>
                </c:pt>
                <c:pt idx="511">
                  <c:v>718.019824902354</c:v>
                </c:pt>
                <c:pt idx="512">
                  <c:v>685.21283844660104</c:v>
                </c:pt>
                <c:pt idx="513">
                  <c:v>618.53153067760502</c:v>
                </c:pt>
                <c:pt idx="514">
                  <c:v>587.24246639265505</c:v>
                </c:pt>
                <c:pt idx="515">
                  <c:v>567.36034507228601</c:v>
                </c:pt>
                <c:pt idx="516">
                  <c:v>534.08050185389595</c:v>
                </c:pt>
                <c:pt idx="517">
                  <c:v>478.52946210546799</c:v>
                </c:pt>
                <c:pt idx="518">
                  <c:v>654.73957541585196</c:v>
                </c:pt>
                <c:pt idx="519">
                  <c:v>836.39422099223498</c:v>
                </c:pt>
                <c:pt idx="520">
                  <c:v>841.62595880472395</c:v>
                </c:pt>
                <c:pt idx="521">
                  <c:v>805.17578389716698</c:v>
                </c:pt>
                <c:pt idx="522">
                  <c:v>830.74174455930404</c:v>
                </c:pt>
                <c:pt idx="523">
                  <c:v>870.74664068038601</c:v>
                </c:pt>
                <c:pt idx="524">
                  <c:v>836.993610634726</c:v>
                </c:pt>
                <c:pt idx="525">
                  <c:v>792.81147766547701</c:v>
                </c:pt>
                <c:pt idx="526">
                  <c:v>757.68405467441403</c:v>
                </c:pt>
                <c:pt idx="527">
                  <c:v>866.74381921243003</c:v>
                </c:pt>
                <c:pt idx="528">
                  <c:v>922.73417692375699</c:v>
                </c:pt>
                <c:pt idx="529">
                  <c:v>919.06707653784599</c:v>
                </c:pt>
                <c:pt idx="530">
                  <c:v>822.87837591808704</c:v>
                </c:pt>
                <c:pt idx="531">
                  <c:v>796.95312358111096</c:v>
                </c:pt>
                <c:pt idx="532">
                  <c:v>816.29387939925596</c:v>
                </c:pt>
                <c:pt idx="533">
                  <c:v>747.1276905743</c:v>
                </c:pt>
                <c:pt idx="534">
                  <c:v>743.90980208014003</c:v>
                </c:pt>
                <c:pt idx="535">
                  <c:v>755.69695368341399</c:v>
                </c:pt>
                <c:pt idx="536">
                  <c:v>680.21602121404896</c:v>
                </c:pt>
                <c:pt idx="537">
                  <c:v>692.36447146051296</c:v>
                </c:pt>
                <c:pt idx="538">
                  <c:v>634.93625741710503</c:v>
                </c:pt>
                <c:pt idx="539">
                  <c:v>648.66077260802899</c:v>
                </c:pt>
                <c:pt idx="540">
                  <c:v>710.50476509592204</c:v>
                </c:pt>
                <c:pt idx="541">
                  <c:v>852.41053765990296</c:v>
                </c:pt>
                <c:pt idx="542">
                  <c:v>760.50553601874401</c:v>
                </c:pt>
                <c:pt idx="543">
                  <c:v>728.43667477840495</c:v>
                </c:pt>
                <c:pt idx="544">
                  <c:v>723.97219657864696</c:v>
                </c:pt>
                <c:pt idx="545">
                  <c:v>675.591993545023</c:v>
                </c:pt>
                <c:pt idx="546">
                  <c:v>782.22392045488095</c:v>
                </c:pt>
                <c:pt idx="547">
                  <c:v>958.14749838453201</c:v>
                </c:pt>
                <c:pt idx="548">
                  <c:v>847.68963934937096</c:v>
                </c:pt>
                <c:pt idx="549">
                  <c:v>814.27039989249499</c:v>
                </c:pt>
                <c:pt idx="550">
                  <c:v>757.88762830487894</c:v>
                </c:pt>
                <c:pt idx="551">
                  <c:v>764.45363579020204</c:v>
                </c:pt>
                <c:pt idx="552">
                  <c:v>648.70211111263404</c:v>
                </c:pt>
                <c:pt idx="553">
                  <c:v>606.12800269218599</c:v>
                </c:pt>
                <c:pt idx="554">
                  <c:v>668.46836985609502</c:v>
                </c:pt>
                <c:pt idx="555">
                  <c:v>736.98146444489601</c:v>
                </c:pt>
                <c:pt idx="556">
                  <c:v>813.16797364771799</c:v>
                </c:pt>
                <c:pt idx="557">
                  <c:v>827.03407756802596</c:v>
                </c:pt>
                <c:pt idx="558">
                  <c:v>717.45416528960595</c:v>
                </c:pt>
                <c:pt idx="559">
                  <c:v>639.67645470082095</c:v>
                </c:pt>
                <c:pt idx="560">
                  <c:v>628.38602652545796</c:v>
                </c:pt>
                <c:pt idx="561">
                  <c:v>710.79318202196202</c:v>
                </c:pt>
                <c:pt idx="562">
                  <c:v>673.36246141954496</c:v>
                </c:pt>
                <c:pt idx="563">
                  <c:v>623.30987445497703</c:v>
                </c:pt>
                <c:pt idx="564">
                  <c:v>624.169419598388</c:v>
                </c:pt>
                <c:pt idx="565">
                  <c:v>571.89453583962199</c:v>
                </c:pt>
                <c:pt idx="566">
                  <c:v>549.52278740246004</c:v>
                </c:pt>
                <c:pt idx="567">
                  <c:v>567.37526555458498</c:v>
                </c:pt>
                <c:pt idx="568">
                  <c:v>592.92665545063403</c:v>
                </c:pt>
                <c:pt idx="569">
                  <c:v>531.91246514282898</c:v>
                </c:pt>
                <c:pt idx="570">
                  <c:v>623.30987445497703</c:v>
                </c:pt>
                <c:pt idx="571">
                  <c:v>624.169419598388</c:v>
                </c:pt>
                <c:pt idx="572">
                  <c:v>455.86947727962098</c:v>
                </c:pt>
                <c:pt idx="573">
                  <c:v>493.215310737506</c:v>
                </c:pt>
                <c:pt idx="574">
                  <c:v>483.48756269870398</c:v>
                </c:pt>
                <c:pt idx="575">
                  <c:v>515.93578397424199</c:v>
                </c:pt>
                <c:pt idx="576">
                  <c:v>533.86815812813995</c:v>
                </c:pt>
                <c:pt idx="577">
                  <c:v>623.30987445497703</c:v>
                </c:pt>
                <c:pt idx="578">
                  <c:v>624.169419598388</c:v>
                </c:pt>
                <c:pt idx="579">
                  <c:v>476.973825965397</c:v>
                </c:pt>
                <c:pt idx="580">
                  <c:v>546.41670585566203</c:v>
                </c:pt>
                <c:pt idx="581">
                  <c:v>534.16053704225999</c:v>
                </c:pt>
                <c:pt idx="582">
                  <c:v>536.15303897329795</c:v>
                </c:pt>
                <c:pt idx="583">
                  <c:v>599.45605278345704</c:v>
                </c:pt>
                <c:pt idx="584">
                  <c:v>617.06144283154902</c:v>
                </c:pt>
                <c:pt idx="585">
                  <c:v>624.50251923085295</c:v>
                </c:pt>
                <c:pt idx="586">
                  <c:v>626.93095538575403</c:v>
                </c:pt>
                <c:pt idx="587">
                  <c:v>584.51090054680697</c:v>
                </c:pt>
                <c:pt idx="588">
                  <c:v>529.03571769225596</c:v>
                </c:pt>
                <c:pt idx="589">
                  <c:v>531.82758422145696</c:v>
                </c:pt>
                <c:pt idx="590">
                  <c:v>594.32511490675904</c:v>
                </c:pt>
                <c:pt idx="591">
                  <c:v>593.43642252074005</c:v>
                </c:pt>
                <c:pt idx="592">
                  <c:v>603.267265900447</c:v>
                </c:pt>
                <c:pt idx="593">
                  <c:v>614.62791544224297</c:v>
                </c:pt>
                <c:pt idx="594">
                  <c:v>593.56605863385096</c:v>
                </c:pt>
                <c:pt idx="595">
                  <c:v>531.73289313310204</c:v>
                </c:pt>
                <c:pt idx="596">
                  <c:v>539.92014692969997</c:v>
                </c:pt>
                <c:pt idx="597">
                  <c:v>612.30638210511597</c:v>
                </c:pt>
                <c:pt idx="598">
                  <c:v>606.50676312228404</c:v>
                </c:pt>
                <c:pt idx="599">
                  <c:v>615.26706308948303</c:v>
                </c:pt>
                <c:pt idx="600">
                  <c:v>597.07957355213398</c:v>
                </c:pt>
                <c:pt idx="601">
                  <c:v>559.86227889194299</c:v>
                </c:pt>
                <c:pt idx="602">
                  <c:v>519.51587222368096</c:v>
                </c:pt>
                <c:pt idx="603">
                  <c:v>496.40313894748698</c:v>
                </c:pt>
                <c:pt idx="604">
                  <c:v>536.17029264687699</c:v>
                </c:pt>
                <c:pt idx="605">
                  <c:v>608.30842930807</c:v>
                </c:pt>
                <c:pt idx="606">
                  <c:v>619.26685182170797</c:v>
                </c:pt>
                <c:pt idx="607">
                  <c:v>725.54208440060904</c:v>
                </c:pt>
                <c:pt idx="608">
                  <c:v>636.95188583529</c:v>
                </c:pt>
                <c:pt idx="609">
                  <c:v>546.09155353301503</c:v>
                </c:pt>
                <c:pt idx="610">
                  <c:v>553.51203073888405</c:v>
                </c:pt>
                <c:pt idx="611">
                  <c:v>640.42935195900998</c:v>
                </c:pt>
                <c:pt idx="612">
                  <c:v>629.46796190393002</c:v>
                </c:pt>
                <c:pt idx="613">
                  <c:v>629.07864548816599</c:v>
                </c:pt>
                <c:pt idx="614">
                  <c:v>640.84888559147805</c:v>
                </c:pt>
                <c:pt idx="615">
                  <c:v>620.09074417453303</c:v>
                </c:pt>
                <c:pt idx="616">
                  <c:v>593.94276451539099</c:v>
                </c:pt>
                <c:pt idx="617">
                  <c:v>597.29899807200104</c:v>
                </c:pt>
                <c:pt idx="618">
                  <c:v>724.97557219398402</c:v>
                </c:pt>
                <c:pt idx="619">
                  <c:v>738.28349831012497</c:v>
                </c:pt>
                <c:pt idx="620">
                  <c:v>832.20862942050303</c:v>
                </c:pt>
                <c:pt idx="621">
                  <c:v>792.49817806089197</c:v>
                </c:pt>
                <c:pt idx="622">
                  <c:v>657.06003320561399</c:v>
                </c:pt>
                <c:pt idx="623">
                  <c:v>569.09030342226504</c:v>
                </c:pt>
                <c:pt idx="624">
                  <c:v>563.05318432982199</c:v>
                </c:pt>
                <c:pt idx="625">
                  <c:v>655.32535344483301</c:v>
                </c:pt>
                <c:pt idx="626">
                  <c:v>709.85619146919396</c:v>
                </c:pt>
                <c:pt idx="627">
                  <c:v>754.23396010521606</c:v>
                </c:pt>
                <c:pt idx="628">
                  <c:v>785.45963286635504</c:v>
                </c:pt>
                <c:pt idx="629">
                  <c:v>641.16704866807299</c:v>
                </c:pt>
                <c:pt idx="630">
                  <c:v>564.93630689315296</c:v>
                </c:pt>
                <c:pt idx="631">
                  <c:v>576.57585616645201</c:v>
                </c:pt>
                <c:pt idx="632">
                  <c:v>717.48035449127997</c:v>
                </c:pt>
                <c:pt idx="633">
                  <c:v>723.76601944332106</c:v>
                </c:pt>
                <c:pt idx="634">
                  <c:v>715.55105602597598</c:v>
                </c:pt>
                <c:pt idx="635">
                  <c:v>698.12799911652905</c:v>
                </c:pt>
                <c:pt idx="636">
                  <c:v>601.30991595455396</c:v>
                </c:pt>
                <c:pt idx="637">
                  <c:v>527.92106897141798</c:v>
                </c:pt>
                <c:pt idx="638">
                  <c:v>543.75892300795294</c:v>
                </c:pt>
                <c:pt idx="639">
                  <c:v>695.344244763289</c:v>
                </c:pt>
                <c:pt idx="640">
                  <c:v>715.52439462032498</c:v>
                </c:pt>
                <c:pt idx="641">
                  <c:v>801.772994805694</c:v>
                </c:pt>
                <c:pt idx="642">
                  <c:v>770.67040082752703</c:v>
                </c:pt>
                <c:pt idx="643">
                  <c:v>647.78762041627897</c:v>
                </c:pt>
                <c:pt idx="644">
                  <c:v>568.56001151597104</c:v>
                </c:pt>
                <c:pt idx="645">
                  <c:v>560.07870625388796</c:v>
                </c:pt>
                <c:pt idx="646">
                  <c:v>671.61499243367405</c:v>
                </c:pt>
                <c:pt idx="647">
                  <c:v>789.47727017120303</c:v>
                </c:pt>
                <c:pt idx="648">
                  <c:v>838.41591015986705</c:v>
                </c:pt>
                <c:pt idx="649">
                  <c:v>799.13555535396995</c:v>
                </c:pt>
                <c:pt idx="650">
                  <c:v>674.33939798291306</c:v>
                </c:pt>
                <c:pt idx="651">
                  <c:v>586.83236059500098</c:v>
                </c:pt>
                <c:pt idx="652">
                  <c:v>582.57407738994198</c:v>
                </c:pt>
                <c:pt idx="653">
                  <c:v>720.12566622064799</c:v>
                </c:pt>
                <c:pt idx="654">
                  <c:v>751.89709960207597</c:v>
                </c:pt>
                <c:pt idx="655">
                  <c:v>733.394345866344</c:v>
                </c:pt>
                <c:pt idx="656">
                  <c:v>728.97983301918896</c:v>
                </c:pt>
                <c:pt idx="657">
                  <c:v>628.639052271879</c:v>
                </c:pt>
                <c:pt idx="658">
                  <c:v>556.20984196580196</c:v>
                </c:pt>
                <c:pt idx="659">
                  <c:v>561.40807798301205</c:v>
                </c:pt>
                <c:pt idx="660">
                  <c:v>768.53957157620903</c:v>
                </c:pt>
                <c:pt idx="661">
                  <c:v>781.50540746286504</c:v>
                </c:pt>
                <c:pt idx="662">
                  <c:v>755.15500225167602</c:v>
                </c:pt>
                <c:pt idx="663">
                  <c:v>701.83144871117599</c:v>
                </c:pt>
                <c:pt idx="664">
                  <c:v>708.49958423058195</c:v>
                </c:pt>
                <c:pt idx="665">
                  <c:v>819.48305741551997</c:v>
                </c:pt>
                <c:pt idx="666">
                  <c:v>896.40319063202003</c:v>
                </c:pt>
                <c:pt idx="667">
                  <c:v>919.04801136275103</c:v>
                </c:pt>
                <c:pt idx="668">
                  <c:v>887.67136389167399</c:v>
                </c:pt>
                <c:pt idx="669">
                  <c:v>642.781762929416</c:v>
                </c:pt>
                <c:pt idx="670">
                  <c:v>632.17017301703095</c:v>
                </c:pt>
                <c:pt idx="671">
                  <c:v>543.82173264022902</c:v>
                </c:pt>
                <c:pt idx="672">
                  <c:v>489.88097126362902</c:v>
                </c:pt>
                <c:pt idx="673">
                  <c:v>459.793137938531</c:v>
                </c:pt>
                <c:pt idx="674">
                  <c:v>549.99000383570501</c:v>
                </c:pt>
                <c:pt idx="675">
                  <c:v>750.25056188926305</c:v>
                </c:pt>
                <c:pt idx="676">
                  <c:v>827.37597486052198</c:v>
                </c:pt>
                <c:pt idx="677">
                  <c:v>782.41020731297704</c:v>
                </c:pt>
                <c:pt idx="678">
                  <c:v>692.82201876602403</c:v>
                </c:pt>
                <c:pt idx="679">
                  <c:v>607.07695096637303</c:v>
                </c:pt>
                <c:pt idx="680">
                  <c:v>556.49578569347898</c:v>
                </c:pt>
                <c:pt idx="681">
                  <c:v>624.45207186203197</c:v>
                </c:pt>
                <c:pt idx="682">
                  <c:v>604.00655263538897</c:v>
                </c:pt>
                <c:pt idx="683">
                  <c:v>597.63142483650199</c:v>
                </c:pt>
                <c:pt idx="684">
                  <c:v>616.87822856421099</c:v>
                </c:pt>
                <c:pt idx="685">
                  <c:v>692.82201876602403</c:v>
                </c:pt>
                <c:pt idx="686">
                  <c:v>607.07695096637303</c:v>
                </c:pt>
                <c:pt idx="687">
                  <c:v>556.49578569347898</c:v>
                </c:pt>
                <c:pt idx="688">
                  <c:v>624.45207186203197</c:v>
                </c:pt>
                <c:pt idx="689">
                  <c:v>589.99326531856002</c:v>
                </c:pt>
                <c:pt idx="690">
                  <c:v>570.8497857932</c:v>
                </c:pt>
                <c:pt idx="691">
                  <c:v>616.87822856421099</c:v>
                </c:pt>
                <c:pt idx="692">
                  <c:v>789.02292376656999</c:v>
                </c:pt>
                <c:pt idx="693">
                  <c:v>791.43090404257703</c:v>
                </c:pt>
                <c:pt idx="694">
                  <c:v>719.42858847502396</c:v>
                </c:pt>
                <c:pt idx="695">
                  <c:v>559.62328332432401</c:v>
                </c:pt>
                <c:pt idx="696">
                  <c:v>734.00002110523599</c:v>
                </c:pt>
                <c:pt idx="697">
                  <c:v>639.72294809955895</c:v>
                </c:pt>
                <c:pt idx="698">
                  <c:v>692.811843199176</c:v>
                </c:pt>
                <c:pt idx="699">
                  <c:v>716.30293481106696</c:v>
                </c:pt>
                <c:pt idx="700">
                  <c:v>739.87782222645797</c:v>
                </c:pt>
                <c:pt idx="701">
                  <c:v>756.43849987844703</c:v>
                </c:pt>
                <c:pt idx="702">
                  <c:v>1035.9638666695901</c:v>
                </c:pt>
                <c:pt idx="703">
                  <c:v>971.15649382512697</c:v>
                </c:pt>
                <c:pt idx="704">
                  <c:v>1146.82696310855</c:v>
                </c:pt>
                <c:pt idx="705">
                  <c:v>1167.8535779051699</c:v>
                </c:pt>
                <c:pt idx="706">
                  <c:v>1255.32874985851</c:v>
                </c:pt>
                <c:pt idx="707">
                  <c:v>1005.38068383622</c:v>
                </c:pt>
                <c:pt idx="708">
                  <c:v>853.62231662160298</c:v>
                </c:pt>
                <c:pt idx="709">
                  <c:v>969.75536720149501</c:v>
                </c:pt>
                <c:pt idx="710">
                  <c:v>924.81867405917501</c:v>
                </c:pt>
                <c:pt idx="711">
                  <c:v>984.72735456929297</c:v>
                </c:pt>
                <c:pt idx="712">
                  <c:v>1101.0929531653001</c:v>
                </c:pt>
                <c:pt idx="713">
                  <c:v>1075.6442189127699</c:v>
                </c:pt>
                <c:pt idx="714">
                  <c:v>808.83675052822798</c:v>
                </c:pt>
                <c:pt idx="715">
                  <c:v>732.24365458595503</c:v>
                </c:pt>
                <c:pt idx="716">
                  <c:v>902.44577090428299</c:v>
                </c:pt>
                <c:pt idx="717">
                  <c:v>907.62739347045294</c:v>
                </c:pt>
                <c:pt idx="718">
                  <c:v>894.75592673414803</c:v>
                </c:pt>
                <c:pt idx="719">
                  <c:v>835.59530267617095</c:v>
                </c:pt>
                <c:pt idx="720">
                  <c:v>849.08832272572499</c:v>
                </c:pt>
                <c:pt idx="721">
                  <c:v>731.09523771285603</c:v>
                </c:pt>
                <c:pt idx="722">
                  <c:v>1073.1657701772201</c:v>
                </c:pt>
                <c:pt idx="723">
                  <c:v>1487.8282557868799</c:v>
                </c:pt>
                <c:pt idx="724">
                  <c:v>1419.45501683008</c:v>
                </c:pt>
                <c:pt idx="725">
                  <c:v>1550.0437049412401</c:v>
                </c:pt>
                <c:pt idx="726">
                  <c:v>1510.13553310318</c:v>
                </c:pt>
                <c:pt idx="727">
                  <c:v>1312.8507102746801</c:v>
                </c:pt>
                <c:pt idx="728">
                  <c:v>1108.0574110176999</c:v>
                </c:pt>
                <c:pt idx="729">
                  <c:v>1206.7396021915699</c:v>
                </c:pt>
                <c:pt idx="730">
                  <c:v>1595.7338920222701</c:v>
                </c:pt>
                <c:pt idx="731">
                  <c:v>1534.00817877605</c:v>
                </c:pt>
                <c:pt idx="732">
                  <c:v>1504.7090192735</c:v>
                </c:pt>
                <c:pt idx="733">
                  <c:v>1359.2121411178</c:v>
                </c:pt>
                <c:pt idx="734">
                  <c:v>1212.4011450887201</c:v>
                </c:pt>
                <c:pt idx="735">
                  <c:v>1119.3205919131401</c:v>
                </c:pt>
                <c:pt idx="736">
                  <c:v>984.24317962629095</c:v>
                </c:pt>
                <c:pt idx="737">
                  <c:v>971.05788322164506</c:v>
                </c:pt>
                <c:pt idx="738">
                  <c:v>1075.4751120378901</c:v>
                </c:pt>
                <c:pt idx="739">
                  <c:v>1118.0122125031501</c:v>
                </c:pt>
                <c:pt idx="740">
                  <c:v>1140.3007709764399</c:v>
                </c:pt>
                <c:pt idx="741">
                  <c:v>1159.0375771246599</c:v>
                </c:pt>
                <c:pt idx="742">
                  <c:v>1120.5931298575899</c:v>
                </c:pt>
                <c:pt idx="743">
                  <c:v>1125.0088800614301</c:v>
                </c:pt>
                <c:pt idx="744">
                  <c:v>1246.9187664656999</c:v>
                </c:pt>
                <c:pt idx="745">
                  <c:v>1500.92983839102</c:v>
                </c:pt>
                <c:pt idx="746">
                  <c:v>1620.41766461509</c:v>
                </c:pt>
                <c:pt idx="747">
                  <c:v>1741.37631697338</c:v>
                </c:pt>
                <c:pt idx="748">
                  <c:v>1668.0577619042001</c:v>
                </c:pt>
                <c:pt idx="749">
                  <c:v>1485.0218754500499</c:v>
                </c:pt>
                <c:pt idx="750">
                  <c:v>1573.90638388005</c:v>
                </c:pt>
                <c:pt idx="751">
                  <c:v>1689.8845984755301</c:v>
                </c:pt>
                <c:pt idx="752">
                  <c:v>1551.9518340511099</c:v>
                </c:pt>
                <c:pt idx="753">
                  <c:v>1336.7163510026201</c:v>
                </c:pt>
                <c:pt idx="754">
                  <c:v>1213.8550120812399</c:v>
                </c:pt>
                <c:pt idx="755">
                  <c:v>1037.65212141201</c:v>
                </c:pt>
                <c:pt idx="756">
                  <c:v>1124.50348192549</c:v>
                </c:pt>
                <c:pt idx="757">
                  <c:v>1540.5889821779999</c:v>
                </c:pt>
                <c:pt idx="758">
                  <c:v>1439.8360729158201</c:v>
                </c:pt>
                <c:pt idx="759">
                  <c:v>1370.8799806618599</c:v>
                </c:pt>
                <c:pt idx="760">
                  <c:v>1369.95582205201</c:v>
                </c:pt>
                <c:pt idx="761">
                  <c:v>1245.72784402722</c:v>
                </c:pt>
                <c:pt idx="762">
                  <c:v>1051.41614856859</c:v>
                </c:pt>
                <c:pt idx="763">
                  <c:v>1045.64293424727</c:v>
                </c:pt>
                <c:pt idx="764">
                  <c:v>1161.8238848900201</c:v>
                </c:pt>
                <c:pt idx="765">
                  <c:v>1274.1258668406099</c:v>
                </c:pt>
                <c:pt idx="766">
                  <c:v>1306.13437272334</c:v>
                </c:pt>
                <c:pt idx="767">
                  <c:v>1367.8852277794699</c:v>
                </c:pt>
                <c:pt idx="768">
                  <c:v>1339.8934286594399</c:v>
                </c:pt>
                <c:pt idx="769">
                  <c:v>1560.9672366561499</c:v>
                </c:pt>
                <c:pt idx="770">
                  <c:v>1533.3688922782201</c:v>
                </c:pt>
                <c:pt idx="771">
                  <c:v>1391.6321922369</c:v>
                </c:pt>
                <c:pt idx="772">
                  <c:v>1284.6327825936801</c:v>
                </c:pt>
                <c:pt idx="773">
                  <c:v>1339.8873244044401</c:v>
                </c:pt>
                <c:pt idx="774">
                  <c:v>1305.5487390615101</c:v>
                </c:pt>
                <c:pt idx="775">
                  <c:v>1226.8672140869801</c:v>
                </c:pt>
                <c:pt idx="776">
                  <c:v>1079.78829832725</c:v>
                </c:pt>
                <c:pt idx="777">
                  <c:v>1078.55971034085</c:v>
                </c:pt>
                <c:pt idx="778">
                  <c:v>1214.98864677292</c:v>
                </c:pt>
                <c:pt idx="779">
                  <c:v>1291.20154503804</c:v>
                </c:pt>
                <c:pt idx="780">
                  <c:v>1319.07964134337</c:v>
                </c:pt>
                <c:pt idx="781">
                  <c:v>1260.63330181635</c:v>
                </c:pt>
                <c:pt idx="782">
                  <c:v>1251.42666106968</c:v>
                </c:pt>
                <c:pt idx="783">
                  <c:v>1127.6330427523201</c:v>
                </c:pt>
                <c:pt idx="784">
                  <c:v>1139.6928854728801</c:v>
                </c:pt>
                <c:pt idx="785">
                  <c:v>1261.0351786838701</c:v>
                </c:pt>
                <c:pt idx="786">
                  <c:v>1476.8272556397301</c:v>
                </c:pt>
                <c:pt idx="787">
                  <c:v>1515.5640577760701</c:v>
                </c:pt>
                <c:pt idx="788">
                  <c:v>1346.3286887075001</c:v>
                </c:pt>
                <c:pt idx="789">
                  <c:v>1276.3202434904499</c:v>
                </c:pt>
                <c:pt idx="790">
                  <c:v>1189.31658798578</c:v>
                </c:pt>
                <c:pt idx="791">
                  <c:v>1178.81572125557</c:v>
                </c:pt>
                <c:pt idx="792">
                  <c:v>1248.1959456760801</c:v>
                </c:pt>
                <c:pt idx="793">
                  <c:v>1407.28581133852</c:v>
                </c:pt>
                <c:pt idx="794">
                  <c:v>1304.9712044390899</c:v>
                </c:pt>
                <c:pt idx="795">
                  <c:v>1519.4132755139501</c:v>
                </c:pt>
                <c:pt idx="796">
                  <c:v>1753.9875251557801</c:v>
                </c:pt>
                <c:pt idx="797">
                  <c:v>1658.7727902075001</c:v>
                </c:pt>
                <c:pt idx="798">
                  <c:v>1506.14922990078</c:v>
                </c:pt>
                <c:pt idx="799">
                  <c:v>1521.2360746454599</c:v>
                </c:pt>
                <c:pt idx="800">
                  <c:v>1484.62681960534</c:v>
                </c:pt>
                <c:pt idx="801">
                  <c:v>1505.558046999</c:v>
                </c:pt>
                <c:pt idx="802">
                  <c:v>1363.49056456229</c:v>
                </c:pt>
                <c:pt idx="803">
                  <c:v>1280.92575464073</c:v>
                </c:pt>
                <c:pt idx="804">
                  <c:v>1064.0114884949201</c:v>
                </c:pt>
                <c:pt idx="805">
                  <c:v>1144.8408689348901</c:v>
                </c:pt>
                <c:pt idx="806">
                  <c:v>1654.4593332412501</c:v>
                </c:pt>
                <c:pt idx="807">
                  <c:v>1301.17409130853</c:v>
                </c:pt>
                <c:pt idx="808">
                  <c:v>1161.6954936105301</c:v>
                </c:pt>
                <c:pt idx="809">
                  <c:v>1285.3826281904501</c:v>
                </c:pt>
                <c:pt idx="810">
                  <c:v>1250.0916128267299</c:v>
                </c:pt>
                <c:pt idx="811">
                  <c:v>1046.34681232248</c:v>
                </c:pt>
                <c:pt idx="812">
                  <c:v>1156.1969057378501</c:v>
                </c:pt>
                <c:pt idx="813">
                  <c:v>1282.4788743410199</c:v>
                </c:pt>
                <c:pt idx="814">
                  <c:v>1246.0609172634099</c:v>
                </c:pt>
                <c:pt idx="815">
                  <c:v>1522.9568844549001</c:v>
                </c:pt>
                <c:pt idx="816">
                  <c:v>1540.62117743472</c:v>
                </c:pt>
                <c:pt idx="817">
                  <c:v>1305.73151997164</c:v>
                </c:pt>
                <c:pt idx="818">
                  <c:v>1034.9092034483101</c:v>
                </c:pt>
                <c:pt idx="819">
                  <c:v>1001.44392746699</c:v>
                </c:pt>
                <c:pt idx="820">
                  <c:v>1039.04214468182</c:v>
                </c:pt>
                <c:pt idx="821">
                  <c:v>943.95781149795596</c:v>
                </c:pt>
                <c:pt idx="822">
                  <c:v>943.74834613230996</c:v>
                </c:pt>
                <c:pt idx="823">
                  <c:v>852.28579622715199</c:v>
                </c:pt>
                <c:pt idx="824">
                  <c:v>1144.0608982387901</c:v>
                </c:pt>
                <c:pt idx="825">
                  <c:v>1253.40961915702</c:v>
                </c:pt>
                <c:pt idx="826">
                  <c:v>1282.03413780245</c:v>
                </c:pt>
                <c:pt idx="827">
                  <c:v>1450.6096326309801</c:v>
                </c:pt>
                <c:pt idx="828">
                  <c:v>1315.8974978586</c:v>
                </c:pt>
                <c:pt idx="829">
                  <c:v>1105.70274327941</c:v>
                </c:pt>
                <c:pt idx="830">
                  <c:v>1045.1803219825399</c:v>
                </c:pt>
                <c:pt idx="831">
                  <c:v>998.35653063050404</c:v>
                </c:pt>
                <c:pt idx="832">
                  <c:v>702.89038039508705</c:v>
                </c:pt>
                <c:pt idx="833">
                  <c:v>728.35193039321098</c:v>
                </c:pt>
                <c:pt idx="834">
                  <c:v>1192.3598087937701</c:v>
                </c:pt>
                <c:pt idx="835">
                  <c:v>1332.98156995613</c:v>
                </c:pt>
                <c:pt idx="836">
                  <c:v>1107.1160564141901</c:v>
                </c:pt>
                <c:pt idx="837">
                  <c:v>765.79744453818705</c:v>
                </c:pt>
                <c:pt idx="838">
                  <c:v>635.49071537489795</c:v>
                </c:pt>
                <c:pt idx="839">
                  <c:v>669.47566613440404</c:v>
                </c:pt>
                <c:pt idx="840">
                  <c:v>832.19974616353898</c:v>
                </c:pt>
                <c:pt idx="841">
                  <c:v>1186.87672436401</c:v>
                </c:pt>
                <c:pt idx="842">
                  <c:v>1170.4592564191501</c:v>
                </c:pt>
                <c:pt idx="843">
                  <c:v>1112.19544117635</c:v>
                </c:pt>
                <c:pt idx="844">
                  <c:v>786.91393232468795</c:v>
                </c:pt>
                <c:pt idx="845">
                  <c:v>962.58574211390396</c:v>
                </c:pt>
                <c:pt idx="846">
                  <c:v>907.57787019125703</c:v>
                </c:pt>
                <c:pt idx="847">
                  <c:v>785.20153992058601</c:v>
                </c:pt>
                <c:pt idx="848">
                  <c:v>1064.8615758082401</c:v>
                </c:pt>
                <c:pt idx="849">
                  <c:v>788.60553634747396</c:v>
                </c:pt>
                <c:pt idx="850">
                  <c:v>667.24899781865895</c:v>
                </c:pt>
                <c:pt idx="851">
                  <c:v>615.23970840721597</c:v>
                </c:pt>
                <c:pt idx="852">
                  <c:v>757.26071791333595</c:v>
                </c:pt>
                <c:pt idx="853">
                  <c:v>594.60852514462397</c:v>
                </c:pt>
                <c:pt idx="854">
                  <c:v>530.69418286942005</c:v>
                </c:pt>
                <c:pt idx="855">
                  <c:v>676.64750098047205</c:v>
                </c:pt>
                <c:pt idx="856">
                  <c:v>1074.0038185344599</c:v>
                </c:pt>
                <c:pt idx="857">
                  <c:v>1073.66241948728</c:v>
                </c:pt>
                <c:pt idx="858">
                  <c:v>1003.91965682639</c:v>
                </c:pt>
                <c:pt idx="859">
                  <c:v>823.169964130381</c:v>
                </c:pt>
                <c:pt idx="860">
                  <c:v>692.47838756373596</c:v>
                </c:pt>
                <c:pt idx="861">
                  <c:v>642.460715439929</c:v>
                </c:pt>
                <c:pt idx="862">
                  <c:v>661.41848685401897</c:v>
                </c:pt>
                <c:pt idx="863">
                  <c:v>697.16156462659205</c:v>
                </c:pt>
                <c:pt idx="864">
                  <c:v>743.86069930581198</c:v>
                </c:pt>
                <c:pt idx="865">
                  <c:v>1021.9054284426001</c:v>
                </c:pt>
                <c:pt idx="866">
                  <c:v>754.69704955832003</c:v>
                </c:pt>
                <c:pt idx="867">
                  <c:v>867.96014207328699</c:v>
                </c:pt>
                <c:pt idx="868">
                  <c:v>752.72002545837302</c:v>
                </c:pt>
                <c:pt idx="869">
                  <c:v>728.53957872398496</c:v>
                </c:pt>
                <c:pt idx="870">
                  <c:v>677.31511650307095</c:v>
                </c:pt>
                <c:pt idx="871">
                  <c:v>630.25068083889198</c:v>
                </c:pt>
                <c:pt idx="872">
                  <c:v>564.73119505852299</c:v>
                </c:pt>
                <c:pt idx="873">
                  <c:v>574.22854943543803</c:v>
                </c:pt>
                <c:pt idx="874">
                  <c:v>677.33947175488504</c:v>
                </c:pt>
                <c:pt idx="875">
                  <c:v>712.11944616116796</c:v>
                </c:pt>
                <c:pt idx="876">
                  <c:v>681.84416020442995</c:v>
                </c:pt>
                <c:pt idx="877">
                  <c:v>616.52006137486899</c:v>
                </c:pt>
                <c:pt idx="878">
                  <c:v>585.08100715925605</c:v>
                </c:pt>
                <c:pt idx="879">
                  <c:v>565.80395951772596</c:v>
                </c:pt>
                <c:pt idx="880">
                  <c:v>532.50291381595798</c:v>
                </c:pt>
                <c:pt idx="881">
                  <c:v>475.991185470517</c:v>
                </c:pt>
                <c:pt idx="882">
                  <c:v>520.48792667293196</c:v>
                </c:pt>
                <c:pt idx="883">
                  <c:v>817.809984212063</c:v>
                </c:pt>
                <c:pt idx="884">
                  <c:v>827.58802696555995</c:v>
                </c:pt>
                <c:pt idx="885">
                  <c:v>791.88550518055297</c:v>
                </c:pt>
                <c:pt idx="886">
                  <c:v>817.36755135635201</c:v>
                </c:pt>
                <c:pt idx="887">
                  <c:v>856.19868206830404</c:v>
                </c:pt>
                <c:pt idx="888">
                  <c:v>820.86238076932796</c:v>
                </c:pt>
                <c:pt idx="889">
                  <c:v>776.05110623073904</c:v>
                </c:pt>
                <c:pt idx="890">
                  <c:v>742.64361409668095</c:v>
                </c:pt>
                <c:pt idx="891">
                  <c:v>848.412262417438</c:v>
                </c:pt>
                <c:pt idx="892">
                  <c:v>905.00762899450694</c:v>
                </c:pt>
                <c:pt idx="893">
                  <c:v>902.48051305705201</c:v>
                </c:pt>
                <c:pt idx="894">
                  <c:v>808.14726519200804</c:v>
                </c:pt>
                <c:pt idx="895">
                  <c:v>778.94138293686001</c:v>
                </c:pt>
                <c:pt idx="896">
                  <c:v>801.50140927114001</c:v>
                </c:pt>
                <c:pt idx="897">
                  <c:v>733.18426816111401</c:v>
                </c:pt>
                <c:pt idx="898">
                  <c:v>730.17590024145898</c:v>
                </c:pt>
                <c:pt idx="899">
                  <c:v>740.93786550439199</c:v>
                </c:pt>
                <c:pt idx="900">
                  <c:v>666.84339282635096</c:v>
                </c:pt>
                <c:pt idx="901">
                  <c:v>679.48405750103302</c:v>
                </c:pt>
                <c:pt idx="902">
                  <c:v>623.09074485193901</c:v>
                </c:pt>
                <c:pt idx="903">
                  <c:v>636.66568782457</c:v>
                </c:pt>
                <c:pt idx="904">
                  <c:v>696.80044156244503</c:v>
                </c:pt>
                <c:pt idx="905">
                  <c:v>835.59138409368097</c:v>
                </c:pt>
                <c:pt idx="906">
                  <c:v>743.71799412112296</c:v>
                </c:pt>
                <c:pt idx="907">
                  <c:v>712.25391462049697</c:v>
                </c:pt>
                <c:pt idx="908">
                  <c:v>712.27513774313297</c:v>
                </c:pt>
                <c:pt idx="909">
                  <c:v>659.87164876924396</c:v>
                </c:pt>
                <c:pt idx="910">
                  <c:v>764.14928383171605</c:v>
                </c:pt>
                <c:pt idx="911">
                  <c:v>878.61899511178899</c:v>
                </c:pt>
                <c:pt idx="912">
                  <c:v>833.58894234424895</c:v>
                </c:pt>
                <c:pt idx="913">
                  <c:v>797.891154044975</c:v>
                </c:pt>
                <c:pt idx="914">
                  <c:v>741.12318528937396</c:v>
                </c:pt>
                <c:pt idx="915">
                  <c:v>748.96377045550105</c:v>
                </c:pt>
                <c:pt idx="916">
                  <c:v>636.51695351981402</c:v>
                </c:pt>
                <c:pt idx="917">
                  <c:v>596.45996395363397</c:v>
                </c:pt>
                <c:pt idx="918">
                  <c:v>657.48937048975802</c:v>
                </c:pt>
                <c:pt idx="919">
                  <c:v>721.78812579092505</c:v>
                </c:pt>
                <c:pt idx="920">
                  <c:v>798.12363553833802</c:v>
                </c:pt>
                <c:pt idx="921">
                  <c:v>812.97902672345106</c:v>
                </c:pt>
                <c:pt idx="922">
                  <c:v>705.39668160332496</c:v>
                </c:pt>
                <c:pt idx="923">
                  <c:v>626.44721781534804</c:v>
                </c:pt>
                <c:pt idx="924">
                  <c:v>615.36146264078104</c:v>
                </c:pt>
                <c:pt idx="925">
                  <c:v>694.55941977271095</c:v>
                </c:pt>
                <c:pt idx="926">
                  <c:v>660.89962713222201</c:v>
                </c:pt>
                <c:pt idx="927">
                  <c:v>609.35000219912797</c:v>
                </c:pt>
                <c:pt idx="928">
                  <c:v>612.88629089913002</c:v>
                </c:pt>
                <c:pt idx="929">
                  <c:v>562.02891237236997</c:v>
                </c:pt>
                <c:pt idx="930">
                  <c:v>539.99389159981502</c:v>
                </c:pt>
                <c:pt idx="931">
                  <c:v>554.78670409589802</c:v>
                </c:pt>
                <c:pt idx="932">
                  <c:v>580.77789079403897</c:v>
                </c:pt>
                <c:pt idx="933">
                  <c:v>523.99617171898205</c:v>
                </c:pt>
                <c:pt idx="934">
                  <c:v>609.35000219912797</c:v>
                </c:pt>
                <c:pt idx="935">
                  <c:v>612.88629089913002</c:v>
                </c:pt>
                <c:pt idx="936">
                  <c:v>505.039823282783</c:v>
                </c:pt>
                <c:pt idx="937">
                  <c:v>446.95249576736001</c:v>
                </c:pt>
                <c:pt idx="938">
                  <c:v>472.59583523022098</c:v>
                </c:pt>
                <c:pt idx="939">
                  <c:v>506.91335491999303</c:v>
                </c:pt>
                <c:pt idx="940">
                  <c:v>484.87192910831999</c:v>
                </c:pt>
                <c:pt idx="941">
                  <c:v>609.35000219912797</c:v>
                </c:pt>
                <c:pt idx="942">
                  <c:v>612.88629089913002</c:v>
                </c:pt>
                <c:pt idx="943">
                  <c:v>505.039823282783</c:v>
                </c:pt>
                <c:pt idx="944">
                  <c:v>460.17066644432902</c:v>
                </c:pt>
                <c:pt idx="945">
                  <c:v>516.10710665404099</c:v>
                </c:pt>
                <c:pt idx="946">
                  <c:v>516.65053169524799</c:v>
                </c:pt>
                <c:pt idx="947">
                  <c:v>578.18235542499303</c:v>
                </c:pt>
                <c:pt idx="948">
                  <c:v>595.89734067065399</c:v>
                </c:pt>
                <c:pt idx="949">
                  <c:v>600.88571401489003</c:v>
                </c:pt>
                <c:pt idx="950">
                  <c:v>606.53398233848395</c:v>
                </c:pt>
                <c:pt idx="951">
                  <c:v>565.66711132541604</c:v>
                </c:pt>
                <c:pt idx="952">
                  <c:v>507.17694987297102</c:v>
                </c:pt>
                <c:pt idx="953">
                  <c:v>512.84170182259402</c:v>
                </c:pt>
                <c:pt idx="954">
                  <c:v>575.23454460032895</c:v>
                </c:pt>
                <c:pt idx="955">
                  <c:v>572.74172753816902</c:v>
                </c:pt>
                <c:pt idx="956">
                  <c:v>579.09482323493603</c:v>
                </c:pt>
                <c:pt idx="957">
                  <c:v>589.74307529581597</c:v>
                </c:pt>
                <c:pt idx="958">
                  <c:v>572.05556026488898</c:v>
                </c:pt>
                <c:pt idx="959">
                  <c:v>512.56036819113797</c:v>
                </c:pt>
                <c:pt idx="960">
                  <c:v>522.66750651930897</c:v>
                </c:pt>
                <c:pt idx="961">
                  <c:v>594.19448617830403</c:v>
                </c:pt>
                <c:pt idx="962">
                  <c:v>584.75004909518896</c:v>
                </c:pt>
                <c:pt idx="963">
                  <c:v>593.913522628078</c:v>
                </c:pt>
                <c:pt idx="964">
                  <c:v>574.70598934641703</c:v>
                </c:pt>
                <c:pt idx="965">
                  <c:v>540.30722020709698</c:v>
                </c:pt>
                <c:pt idx="966">
                  <c:v>499.68853223964499</c:v>
                </c:pt>
                <c:pt idx="967">
                  <c:v>480.65201988792001</c:v>
                </c:pt>
                <c:pt idx="968">
                  <c:v>594.19448617830403</c:v>
                </c:pt>
                <c:pt idx="969">
                  <c:v>519.240353375111</c:v>
                </c:pt>
                <c:pt idx="970">
                  <c:v>596.16444037489703</c:v>
                </c:pt>
                <c:pt idx="971">
                  <c:v>703.94519378482596</c:v>
                </c:pt>
                <c:pt idx="972">
                  <c:v>616.93712303422001</c:v>
                </c:pt>
                <c:pt idx="973">
                  <c:v>527.84326464083097</c:v>
                </c:pt>
                <c:pt idx="974">
                  <c:v>530.42163550069301</c:v>
                </c:pt>
                <c:pt idx="975">
                  <c:v>617.32007382248503</c:v>
                </c:pt>
                <c:pt idx="976">
                  <c:v>608.47978523224504</c:v>
                </c:pt>
                <c:pt idx="977">
                  <c:v>606.52107176287802</c:v>
                </c:pt>
                <c:pt idx="978">
                  <c:v>618.14663497068705</c:v>
                </c:pt>
                <c:pt idx="979">
                  <c:v>596.46431463577903</c:v>
                </c:pt>
                <c:pt idx="980">
                  <c:v>572.01127332223996</c:v>
                </c:pt>
                <c:pt idx="981">
                  <c:v>575.70311958904301</c:v>
                </c:pt>
                <c:pt idx="982">
                  <c:v>699.79491494758997</c:v>
                </c:pt>
                <c:pt idx="983">
                  <c:v>709.19331775083106</c:v>
                </c:pt>
                <c:pt idx="984">
                  <c:v>802.45548155466997</c:v>
                </c:pt>
                <c:pt idx="985">
                  <c:v>765.09760340999298</c:v>
                </c:pt>
                <c:pt idx="986">
                  <c:v>630.21346092429405</c:v>
                </c:pt>
                <c:pt idx="987">
                  <c:v>548.59729899168804</c:v>
                </c:pt>
                <c:pt idx="988">
                  <c:v>543.55407825322004</c:v>
                </c:pt>
                <c:pt idx="989">
                  <c:v>629.54577037013303</c:v>
                </c:pt>
                <c:pt idx="990">
                  <c:v>688.31710128997599</c:v>
                </c:pt>
                <c:pt idx="991">
                  <c:v>731.16590675765997</c:v>
                </c:pt>
                <c:pt idx="992">
                  <c:v>759.28266024822699</c:v>
                </c:pt>
                <c:pt idx="993">
                  <c:v>617.96573881551296</c:v>
                </c:pt>
                <c:pt idx="994">
                  <c:v>546.25071343241905</c:v>
                </c:pt>
                <c:pt idx="995">
                  <c:v>557.99939182742503</c:v>
                </c:pt>
                <c:pt idx="996">
                  <c:v>695.15659171625805</c:v>
                </c:pt>
                <c:pt idx="997">
                  <c:v>701.29040684389201</c:v>
                </c:pt>
                <c:pt idx="998">
                  <c:v>690.28320154762196</c:v>
                </c:pt>
                <c:pt idx="999">
                  <c:v>674.48146165363005</c:v>
                </c:pt>
                <c:pt idx="1000">
                  <c:v>579.58857791432195</c:v>
                </c:pt>
                <c:pt idx="1001">
                  <c:v>509.36911563974098</c:v>
                </c:pt>
                <c:pt idx="1002">
                  <c:v>524.23638175229303</c:v>
                </c:pt>
                <c:pt idx="1003">
                  <c:v>671.86954549315305</c:v>
                </c:pt>
                <c:pt idx="1004">
                  <c:v>691.783119761119</c:v>
                </c:pt>
                <c:pt idx="1005">
                  <c:v>776.98671789020602</c:v>
                </c:pt>
                <c:pt idx="1006">
                  <c:v>749.06321014017203</c:v>
                </c:pt>
                <c:pt idx="1007">
                  <c:v>623.98453088237704</c:v>
                </c:pt>
                <c:pt idx="1008">
                  <c:v>547.46775434983897</c:v>
                </c:pt>
                <c:pt idx="1009">
                  <c:v>542.15062344287901</c:v>
                </c:pt>
                <c:pt idx="1010">
                  <c:v>650.81142524538905</c:v>
                </c:pt>
                <c:pt idx="1011">
                  <c:v>763.278494597605</c:v>
                </c:pt>
                <c:pt idx="1012">
                  <c:v>810.84592164342303</c:v>
                </c:pt>
                <c:pt idx="1013">
                  <c:v>775.86271169908002</c:v>
                </c:pt>
                <c:pt idx="1014">
                  <c:v>651.32165344304804</c:v>
                </c:pt>
                <c:pt idx="1015">
                  <c:v>567.85489066215905</c:v>
                </c:pt>
                <c:pt idx="1016">
                  <c:v>561.48344149970501</c:v>
                </c:pt>
                <c:pt idx="1017">
                  <c:v>700.27553927971496</c:v>
                </c:pt>
                <c:pt idx="1018">
                  <c:v>727.34679863283395</c:v>
                </c:pt>
                <c:pt idx="1019">
                  <c:v>708.43041702129403</c:v>
                </c:pt>
                <c:pt idx="1020">
                  <c:v>707.31674104753699</c:v>
                </c:pt>
                <c:pt idx="1021">
                  <c:v>605.45691240539497</c:v>
                </c:pt>
                <c:pt idx="1022">
                  <c:v>534.64503167138002</c:v>
                </c:pt>
                <c:pt idx="1023">
                  <c:v>541.19904118895897</c:v>
                </c:pt>
                <c:pt idx="1024">
                  <c:v>738.74027062706705</c:v>
                </c:pt>
                <c:pt idx="1025">
                  <c:v>753.38482327555903</c:v>
                </c:pt>
                <c:pt idx="1026">
                  <c:v>729.09660317280998</c:v>
                </c:pt>
                <c:pt idx="1027">
                  <c:v>674.56407012105001</c:v>
                </c:pt>
                <c:pt idx="1028">
                  <c:v>632.58673010392795</c:v>
                </c:pt>
                <c:pt idx="1029">
                  <c:v>563.83533304357002</c:v>
                </c:pt>
                <c:pt idx="1030">
                  <c:v>523.96092820407296</c:v>
                </c:pt>
                <c:pt idx="1031">
                  <c:v>638.28628142297305</c:v>
                </c:pt>
                <c:pt idx="1032">
                  <c:v>859.88860174157605</c:v>
                </c:pt>
                <c:pt idx="1033">
                  <c:v>822.41728083132</c:v>
                </c:pt>
                <c:pt idx="1034">
                  <c:v>612.28494435081996</c:v>
                </c:pt>
                <c:pt idx="1035">
                  <c:v>553.02672729387302</c:v>
                </c:pt>
                <c:pt idx="1036">
                  <c:v>516.22807856763905</c:v>
                </c:pt>
                <c:pt idx="1037">
                  <c:v>516.08401518851099</c:v>
                </c:pt>
                <c:pt idx="1038">
                  <c:v>590.88669868126999</c:v>
                </c:pt>
                <c:pt idx="1039">
                  <c:v>725.715188089187</c:v>
                </c:pt>
                <c:pt idx="1040">
                  <c:v>772.58909964375698</c:v>
                </c:pt>
                <c:pt idx="1041">
                  <c:v>729.26903873987703</c:v>
                </c:pt>
                <c:pt idx="1042">
                  <c:v>669.72064296641895</c:v>
                </c:pt>
                <c:pt idx="1043">
                  <c:v>587.48263247166699</c:v>
                </c:pt>
                <c:pt idx="1044">
                  <c:v>538.99662569789496</c:v>
                </c:pt>
                <c:pt idx="1045">
                  <c:v>605.11113710422899</c:v>
                </c:pt>
                <c:pt idx="1046">
                  <c:v>585.95554713172896</c:v>
                </c:pt>
                <c:pt idx="1047">
                  <c:v>579.91820260145505</c:v>
                </c:pt>
                <c:pt idx="1048">
                  <c:v>599.288935648853</c:v>
                </c:pt>
                <c:pt idx="1049">
                  <c:v>669.72064296641895</c:v>
                </c:pt>
                <c:pt idx="1050">
                  <c:v>587.48263247166699</c:v>
                </c:pt>
                <c:pt idx="1051">
                  <c:v>538.99662569789496</c:v>
                </c:pt>
                <c:pt idx="1052">
                  <c:v>605.11113710422899</c:v>
                </c:pt>
                <c:pt idx="1053">
                  <c:v>572.51993780134103</c:v>
                </c:pt>
                <c:pt idx="1054">
                  <c:v>553.51754670814103</c:v>
                </c:pt>
                <c:pt idx="1055">
                  <c:v>599.288935648853</c:v>
                </c:pt>
                <c:pt idx="1056">
                  <c:v>750.92022478400895</c:v>
                </c:pt>
                <c:pt idx="1057">
                  <c:v>744.72648513902595</c:v>
                </c:pt>
                <c:pt idx="1058">
                  <c:v>694.75327685148204</c:v>
                </c:pt>
                <c:pt idx="1059">
                  <c:v>543.59090709075497</c:v>
                </c:pt>
                <c:pt idx="1060">
                  <c:v>708.79982003784198</c:v>
                </c:pt>
                <c:pt idx="1061">
                  <c:v>619.44257833290703</c:v>
                </c:pt>
                <c:pt idx="1062">
                  <c:v>666.52650827674495</c:v>
                </c:pt>
                <c:pt idx="1063">
                  <c:v>665.43804202547506</c:v>
                </c:pt>
                <c:pt idx="1064">
                  <c:v>713.36255644100902</c:v>
                </c:pt>
                <c:pt idx="1065">
                  <c:v>729.26838727570396</c:v>
                </c:pt>
                <c:pt idx="1066">
                  <c:v>907.95371052503697</c:v>
                </c:pt>
                <c:pt idx="1067">
                  <c:v>929.80324550872695</c:v>
                </c:pt>
                <c:pt idx="1068">
                  <c:v>1120.5580299181499</c:v>
                </c:pt>
                <c:pt idx="1069">
                  <c:v>1137.7828325134301</c:v>
                </c:pt>
                <c:pt idx="1070">
                  <c:v>1225.9696340773201</c:v>
                </c:pt>
                <c:pt idx="1071">
                  <c:v>892.60347073889795</c:v>
                </c:pt>
                <c:pt idx="1072">
                  <c:v>830.28606100796196</c:v>
                </c:pt>
                <c:pt idx="1073">
                  <c:v>944.54114089926304</c:v>
                </c:pt>
                <c:pt idx="1074">
                  <c:v>902.24250828551305</c:v>
                </c:pt>
                <c:pt idx="1075">
                  <c:v>944.62801785727197</c:v>
                </c:pt>
                <c:pt idx="1076">
                  <c:v>1077.6017917911599</c:v>
                </c:pt>
                <c:pt idx="1077">
                  <c:v>1056.0354701327601</c:v>
                </c:pt>
                <c:pt idx="1078">
                  <c:v>782.20115884900702</c:v>
                </c:pt>
                <c:pt idx="1079">
                  <c:v>706.68115415372301</c:v>
                </c:pt>
                <c:pt idx="1080">
                  <c:v>864.52770753425295</c:v>
                </c:pt>
                <c:pt idx="1081">
                  <c:v>858.38277469742502</c:v>
                </c:pt>
                <c:pt idx="1082">
                  <c:v>870.65597248332597</c:v>
                </c:pt>
                <c:pt idx="1083">
                  <c:v>811.84141533622596</c:v>
                </c:pt>
                <c:pt idx="1084">
                  <c:v>779.37905785922601</c:v>
                </c:pt>
                <c:pt idx="1085">
                  <c:v>707.86373221672</c:v>
                </c:pt>
                <c:pt idx="1086">
                  <c:v>1025.49911982046</c:v>
                </c:pt>
                <c:pt idx="1087">
                  <c:v>1455.2196616641199</c:v>
                </c:pt>
                <c:pt idx="1088">
                  <c:v>1388.89900345673</c:v>
                </c:pt>
                <c:pt idx="1089">
                  <c:v>1522.12034558803</c:v>
                </c:pt>
                <c:pt idx="1090">
                  <c:v>1464.9189393367701</c:v>
                </c:pt>
                <c:pt idx="1091">
                  <c:v>1284.63974091762</c:v>
                </c:pt>
                <c:pt idx="1092">
                  <c:v>1087.1394634414401</c:v>
                </c:pt>
                <c:pt idx="1093">
                  <c:v>1181.12633326847</c:v>
                </c:pt>
                <c:pt idx="1094">
                  <c:v>1483.97827539119</c:v>
                </c:pt>
                <c:pt idx="1095">
                  <c:v>1479.73848644596</c:v>
                </c:pt>
                <c:pt idx="1096">
                  <c:v>1453.7256998074599</c:v>
                </c:pt>
                <c:pt idx="1097">
                  <c:v>1309.78003407144</c:v>
                </c:pt>
                <c:pt idx="1098">
                  <c:v>1163.3445924397499</c:v>
                </c:pt>
                <c:pt idx="1099">
                  <c:v>1073.7256403798001</c:v>
                </c:pt>
                <c:pt idx="1100">
                  <c:v>944.80992469778698</c:v>
                </c:pt>
                <c:pt idx="1101">
                  <c:v>1559.3560107749699</c:v>
                </c:pt>
                <c:pt idx="1102">
                  <c:v>1032.3148534372699</c:v>
                </c:pt>
                <c:pt idx="1103">
                  <c:v>1072.7811405151101</c:v>
                </c:pt>
                <c:pt idx="1104">
                  <c:v>1093.93269639255</c:v>
                </c:pt>
                <c:pt idx="1105">
                  <c:v>1111.79945132737</c:v>
                </c:pt>
                <c:pt idx="1106">
                  <c:v>1073.7866690104599</c:v>
                </c:pt>
                <c:pt idx="1107">
                  <c:v>1078.68850616601</c:v>
                </c:pt>
                <c:pt idx="1108">
                  <c:v>932.49039987060905</c:v>
                </c:pt>
                <c:pt idx="1109">
                  <c:v>1464.85820931886</c:v>
                </c:pt>
                <c:pt idx="1110">
                  <c:v>1586.7226361415001</c:v>
                </c:pt>
                <c:pt idx="1111">
                  <c:v>1707.05292099553</c:v>
                </c:pt>
                <c:pt idx="1112">
                  <c:v>1618.2296219245</c:v>
                </c:pt>
                <c:pt idx="1113">
                  <c:v>1435.76569673216</c:v>
                </c:pt>
                <c:pt idx="1114">
                  <c:v>1535.4921665593599</c:v>
                </c:pt>
                <c:pt idx="1115">
                  <c:v>1601.6123174378299</c:v>
                </c:pt>
                <c:pt idx="1116">
                  <c:v>1517.6086094269399</c:v>
                </c:pt>
                <c:pt idx="1117">
                  <c:v>1280.38681666195</c:v>
                </c:pt>
                <c:pt idx="1118">
                  <c:v>1163.8526160300801</c:v>
                </c:pt>
                <c:pt idx="1119">
                  <c:v>996.67739207072304</c:v>
                </c:pt>
                <c:pt idx="1120">
                  <c:v>1077.7230074034001</c:v>
                </c:pt>
                <c:pt idx="1121">
                  <c:v>1492.79419381291</c:v>
                </c:pt>
                <c:pt idx="1122">
                  <c:v>1601.6123174378299</c:v>
                </c:pt>
                <c:pt idx="1123">
                  <c:v>1517.6086094269399</c:v>
                </c:pt>
                <c:pt idx="1124">
                  <c:v>1280.38681666195</c:v>
                </c:pt>
                <c:pt idx="1125">
                  <c:v>1163.8526160300801</c:v>
                </c:pt>
                <c:pt idx="1126">
                  <c:v>1008.20349309698</c:v>
                </c:pt>
                <c:pt idx="1127">
                  <c:v>1002.9040294886699</c:v>
                </c:pt>
                <c:pt idx="1128">
                  <c:v>1492.79419381291</c:v>
                </c:pt>
                <c:pt idx="1129">
                  <c:v>1376.19326821188</c:v>
                </c:pt>
                <c:pt idx="1130">
                  <c:v>1318.4273249289699</c:v>
                </c:pt>
                <c:pt idx="1131">
                  <c:v>1298.0076210478301</c:v>
                </c:pt>
                <c:pt idx="1132">
                  <c:v>1193.3512193802701</c:v>
                </c:pt>
                <c:pt idx="1133">
                  <c:v>1008.20349309698</c:v>
                </c:pt>
                <c:pt idx="1134">
                  <c:v>1002.9040294886699</c:v>
                </c:pt>
                <c:pt idx="1135">
                  <c:v>1114.5425559821001</c:v>
                </c:pt>
                <c:pt idx="1136">
                  <c:v>1221.09834162782</c:v>
                </c:pt>
                <c:pt idx="1137">
                  <c:v>1251.6518235901699</c:v>
                </c:pt>
                <c:pt idx="1138">
                  <c:v>1310.0009101105099</c:v>
                </c:pt>
                <c:pt idx="1139">
                  <c:v>1277.06758520373</c:v>
                </c:pt>
                <c:pt idx="1140">
                  <c:v>1523.2112694162599</c:v>
                </c:pt>
                <c:pt idx="1141">
                  <c:v>1496.02305390928</c:v>
                </c:pt>
                <c:pt idx="1142">
                  <c:v>1327.0351623981401</c:v>
                </c:pt>
                <c:pt idx="1143">
                  <c:v>1230.74751964764</c:v>
                </c:pt>
                <c:pt idx="1144">
                  <c:v>1282.9204818175299</c:v>
                </c:pt>
                <c:pt idx="1145">
                  <c:v>1251.10153805143</c:v>
                </c:pt>
                <c:pt idx="1146">
                  <c:v>1175.4164944648401</c:v>
                </c:pt>
                <c:pt idx="1147">
                  <c:v>1034.70748820421</c:v>
                </c:pt>
                <c:pt idx="1148">
                  <c:v>1033.3754512587</c:v>
                </c:pt>
                <c:pt idx="1149">
                  <c:v>1164.06665351265</c:v>
                </c:pt>
                <c:pt idx="1150">
                  <c:v>1236.9281978010599</c:v>
                </c:pt>
                <c:pt idx="1151">
                  <c:v>1265.71412302205</c:v>
                </c:pt>
                <c:pt idx="1152">
                  <c:v>1208.49484210023</c:v>
                </c:pt>
                <c:pt idx="1153">
                  <c:v>1199.5495152604601</c:v>
                </c:pt>
                <c:pt idx="1154">
                  <c:v>1081.04097362986</c:v>
                </c:pt>
                <c:pt idx="1155">
                  <c:v>1092.46640939655</c:v>
                </c:pt>
                <c:pt idx="1156">
                  <c:v>1186.3093983701101</c:v>
                </c:pt>
                <c:pt idx="1157">
                  <c:v>1402.2992885592901</c:v>
                </c:pt>
                <c:pt idx="1158">
                  <c:v>1406.60773206815</c:v>
                </c:pt>
                <c:pt idx="1159">
                  <c:v>1294.9237304236699</c:v>
                </c:pt>
                <c:pt idx="1160">
                  <c:v>1223.30249013448</c:v>
                </c:pt>
                <c:pt idx="1161">
                  <c:v>1139.5951194423999</c:v>
                </c:pt>
                <c:pt idx="1162">
                  <c:v>1129.7533241317001</c:v>
                </c:pt>
                <c:pt idx="1163">
                  <c:v>1196.2189809512599</c:v>
                </c:pt>
                <c:pt idx="1164">
                  <c:v>1351.51734344895</c:v>
                </c:pt>
                <c:pt idx="1165">
                  <c:v>1253.97987402634</c:v>
                </c:pt>
                <c:pt idx="1166">
                  <c:v>1481.5022271627099</c:v>
                </c:pt>
                <c:pt idx="1167">
                  <c:v>1716.92026708241</c:v>
                </c:pt>
                <c:pt idx="1168">
                  <c:v>1622.74239853721</c:v>
                </c:pt>
                <c:pt idx="1169">
                  <c:v>1443.76349003267</c:v>
                </c:pt>
                <c:pt idx="1170">
                  <c:v>1464.62781552813</c:v>
                </c:pt>
                <c:pt idx="1171">
                  <c:v>1430.09379137567</c:v>
                </c:pt>
                <c:pt idx="1172">
                  <c:v>1439.8476084015699</c:v>
                </c:pt>
                <c:pt idx="1173">
                  <c:v>1311.1008679842701</c:v>
                </c:pt>
                <c:pt idx="1174">
                  <c:v>1229.5247407562499</c:v>
                </c:pt>
                <c:pt idx="1175">
                  <c:v>1020.21565680341</c:v>
                </c:pt>
                <c:pt idx="1176">
                  <c:v>1096.87113531458</c:v>
                </c:pt>
                <c:pt idx="1177">
                  <c:v>1608.0198097437501</c:v>
                </c:pt>
                <c:pt idx="1178">
                  <c:v>1246.7429464931599</c:v>
                </c:pt>
                <c:pt idx="1179">
                  <c:v>1113.96604872136</c:v>
                </c:pt>
                <c:pt idx="1180">
                  <c:v>1231.5718336541099</c:v>
                </c:pt>
                <c:pt idx="1181">
                  <c:v>1197.94314547918</c:v>
                </c:pt>
                <c:pt idx="1182">
                  <c:v>1003.20297291413</c:v>
                </c:pt>
                <c:pt idx="1183">
                  <c:v>1107.2622689530799</c:v>
                </c:pt>
                <c:pt idx="1184">
                  <c:v>1228.77302875495</c:v>
                </c:pt>
                <c:pt idx="1185">
                  <c:v>1194.3312666603299</c:v>
                </c:pt>
                <c:pt idx="1186">
                  <c:v>1486.33955680197</c:v>
                </c:pt>
                <c:pt idx="1187">
                  <c:v>1439.3430824724401</c:v>
                </c:pt>
                <c:pt idx="1188">
                  <c:v>1334.8006987655201</c:v>
                </c:pt>
                <c:pt idx="1189">
                  <c:v>1030.03363120003</c:v>
                </c:pt>
                <c:pt idx="1190">
                  <c:v>951.98895203830796</c:v>
                </c:pt>
                <c:pt idx="1191">
                  <c:v>1041.77124994017</c:v>
                </c:pt>
                <c:pt idx="1192">
                  <c:v>851.202421835216</c:v>
                </c:pt>
                <c:pt idx="1193">
                  <c:v>869.62131036075698</c:v>
                </c:pt>
                <c:pt idx="1194">
                  <c:v>821.22967022121998</c:v>
                </c:pt>
                <c:pt idx="1195">
                  <c:v>1114.9368030288699</c:v>
                </c:pt>
                <c:pt idx="1196">
                  <c:v>1221.80117595607</c:v>
                </c:pt>
                <c:pt idx="1197">
                  <c:v>1248.9045906383899</c:v>
                </c:pt>
                <c:pt idx="1198">
                  <c:v>1418.0570169478999</c:v>
                </c:pt>
                <c:pt idx="1199">
                  <c:v>1286.81923980393</c:v>
                </c:pt>
                <c:pt idx="1200">
                  <c:v>947.400190514511</c:v>
                </c:pt>
                <c:pt idx="1201">
                  <c:v>921.88384174248699</c:v>
                </c:pt>
                <c:pt idx="1202">
                  <c:v>955.91243692241801</c:v>
                </c:pt>
                <c:pt idx="1203">
                  <c:v>678.86196656655795</c:v>
                </c:pt>
                <c:pt idx="1204">
                  <c:v>702.86359823549697</c:v>
                </c:pt>
                <c:pt idx="1205">
                  <c:v>1161.05865627905</c:v>
                </c:pt>
                <c:pt idx="1206">
                  <c:v>1304.52403152582</c:v>
                </c:pt>
                <c:pt idx="1207">
                  <c:v>1073.0044099746599</c:v>
                </c:pt>
                <c:pt idx="1208">
                  <c:v>745.26134587642696</c:v>
                </c:pt>
                <c:pt idx="1209">
                  <c:v>615.53971592672804</c:v>
                </c:pt>
                <c:pt idx="1210">
                  <c:v>649.04142451841301</c:v>
                </c:pt>
                <c:pt idx="1211">
                  <c:v>800.62970997488696</c:v>
                </c:pt>
                <c:pt idx="1212">
                  <c:v>1129.6954416693</c:v>
                </c:pt>
                <c:pt idx="1213">
                  <c:v>1144.9066689285501</c:v>
                </c:pt>
                <c:pt idx="1214">
                  <c:v>1039.8400232348699</c:v>
                </c:pt>
                <c:pt idx="1215">
                  <c:v>755.555841793593</c:v>
                </c:pt>
                <c:pt idx="1216">
                  <c:v>935.639344556796</c:v>
                </c:pt>
                <c:pt idx="1217">
                  <c:v>774.97293100626803</c:v>
                </c:pt>
                <c:pt idx="1218">
                  <c:v>757.35361898526298</c:v>
                </c:pt>
                <c:pt idx="1219">
                  <c:v>1035.08115422213</c:v>
                </c:pt>
                <c:pt idx="1220">
                  <c:v>761.65316729632195</c:v>
                </c:pt>
                <c:pt idx="1221">
                  <c:v>645.55952430729997</c:v>
                </c:pt>
                <c:pt idx="1222">
                  <c:v>591.44230126012803</c:v>
                </c:pt>
                <c:pt idx="1223">
                  <c:v>732.35168680934805</c:v>
                </c:pt>
                <c:pt idx="1224">
                  <c:v>575.11982577876495</c:v>
                </c:pt>
                <c:pt idx="1225">
                  <c:v>514.73215021042199</c:v>
                </c:pt>
                <c:pt idx="1226">
                  <c:v>655.41902780717498</c:v>
                </c:pt>
                <c:pt idx="1227">
                  <c:v>1021.83327057863</c:v>
                </c:pt>
                <c:pt idx="1228">
                  <c:v>1016.77141768432</c:v>
                </c:pt>
                <c:pt idx="1229">
                  <c:v>974.71019931927697</c:v>
                </c:pt>
                <c:pt idx="1230">
                  <c:v>775.83670544515303</c:v>
                </c:pt>
                <c:pt idx="1231">
                  <c:v>669.50661833285801</c:v>
                </c:pt>
                <c:pt idx="1232">
                  <c:v>622.18497847619699</c:v>
                </c:pt>
                <c:pt idx="1233">
                  <c:v>639.66218167552495</c:v>
                </c:pt>
                <c:pt idx="1234">
                  <c:v>674.97297906378606</c:v>
                </c:pt>
                <c:pt idx="1235">
                  <c:v>718.50333151718303</c:v>
                </c:pt>
                <c:pt idx="1236">
                  <c:v>993.33348353726603</c:v>
                </c:pt>
                <c:pt idx="1237">
                  <c:v>729.71421158020598</c:v>
                </c:pt>
                <c:pt idx="1238">
                  <c:v>758.20613773976197</c:v>
                </c:pt>
                <c:pt idx="1239">
                  <c:v>726.92009098303799</c:v>
                </c:pt>
                <c:pt idx="1240">
                  <c:v>702.74114147620298</c:v>
                </c:pt>
                <c:pt idx="1241">
                  <c:v>653.66028632059101</c:v>
                </c:pt>
                <c:pt idx="1242">
                  <c:v>608.88171811319501</c:v>
                </c:pt>
                <c:pt idx="1243">
                  <c:v>546.49526256142599</c:v>
                </c:pt>
                <c:pt idx="1244">
                  <c:v>556.54458647014303</c:v>
                </c:pt>
                <c:pt idx="1245">
                  <c:v>653.97255851807802</c:v>
                </c:pt>
                <c:pt idx="1246">
                  <c:v>687.30161165608797</c:v>
                </c:pt>
                <c:pt idx="1247">
                  <c:v>658.95210614986797</c:v>
                </c:pt>
                <c:pt idx="1248">
                  <c:v>787.41679867758705</c:v>
                </c:pt>
                <c:pt idx="1249">
                  <c:v>732.47416709173899</c:v>
                </c:pt>
                <c:pt idx="1250">
                  <c:v>704.77379642933704</c:v>
                </c:pt>
                <c:pt idx="1251">
                  <c:v>610.20555350888503</c:v>
                </c:pt>
                <c:pt idx="1252">
                  <c:v>556.92239011142794</c:v>
                </c:pt>
                <c:pt idx="1253">
                  <c:v>613.79484324847294</c:v>
                </c:pt>
                <c:pt idx="1254">
                  <c:v>799.41464900969004</c:v>
                </c:pt>
                <c:pt idx="1255">
                  <c:v>794.40663703313498</c:v>
                </c:pt>
                <c:pt idx="1256">
                  <c:v>760.50315165698203</c:v>
                </c:pt>
                <c:pt idx="1257">
                  <c:v>796.77670713806106</c:v>
                </c:pt>
                <c:pt idx="1258">
                  <c:v>834.18705448992205</c:v>
                </c:pt>
                <c:pt idx="1259">
                  <c:v>803.16806881599598</c:v>
                </c:pt>
                <c:pt idx="1260">
                  <c:v>757.44153982684395</c:v>
                </c:pt>
                <c:pt idx="1261">
                  <c:v>716.73553066578404</c:v>
                </c:pt>
                <c:pt idx="1262">
                  <c:v>829.28380992744496</c:v>
                </c:pt>
                <c:pt idx="1263">
                  <c:v>887.03976697135295</c:v>
                </c:pt>
                <c:pt idx="1264">
                  <c:v>871.52450721466198</c:v>
                </c:pt>
                <c:pt idx="1265">
                  <c:v>788.16533324889997</c:v>
                </c:pt>
                <c:pt idx="1266">
                  <c:v>748.09971440948596</c:v>
                </c:pt>
                <c:pt idx="1267">
                  <c:v>767.53466043761603</c:v>
                </c:pt>
                <c:pt idx="1268">
                  <c:v>709.43047028179603</c:v>
                </c:pt>
                <c:pt idx="1269">
                  <c:v>705.11202676026903</c:v>
                </c:pt>
                <c:pt idx="1270">
                  <c:v>657.67072677960903</c:v>
                </c:pt>
                <c:pt idx="1271">
                  <c:v>644.55040394736398</c:v>
                </c:pt>
                <c:pt idx="1272">
                  <c:v>654.35882595636394</c:v>
                </c:pt>
                <c:pt idx="1273">
                  <c:v>598.98822826847197</c:v>
                </c:pt>
                <c:pt idx="1274">
                  <c:v>613.09796848103895</c:v>
                </c:pt>
                <c:pt idx="1275">
                  <c:v>673.08574732832301</c:v>
                </c:pt>
                <c:pt idx="1276">
                  <c:v>806.33657239682998</c:v>
                </c:pt>
                <c:pt idx="1277">
                  <c:v>717.166194722971</c:v>
                </c:pt>
                <c:pt idx="1278">
                  <c:v>685.51125318524498</c:v>
                </c:pt>
                <c:pt idx="1279">
                  <c:v>683.56195187004096</c:v>
                </c:pt>
                <c:pt idx="1280">
                  <c:v>633.47832411087404</c:v>
                </c:pt>
                <c:pt idx="1281">
                  <c:v>746.01091454346601</c:v>
                </c:pt>
                <c:pt idx="1282">
                  <c:v>858.81685961197104</c:v>
                </c:pt>
                <c:pt idx="1283">
                  <c:v>811.86656021665397</c:v>
                </c:pt>
                <c:pt idx="1284">
                  <c:v>769.26428573576902</c:v>
                </c:pt>
                <c:pt idx="1285">
                  <c:v>714.00023220870196</c:v>
                </c:pt>
                <c:pt idx="1286">
                  <c:v>720.79735210516606</c:v>
                </c:pt>
                <c:pt idx="1287">
                  <c:v>612.20752299173796</c:v>
                </c:pt>
                <c:pt idx="1288">
                  <c:v>571.20949044697704</c:v>
                </c:pt>
                <c:pt idx="1289">
                  <c:v>630.62902989148495</c:v>
                </c:pt>
                <c:pt idx="1290">
                  <c:v>694.96599157105902</c:v>
                </c:pt>
                <c:pt idx="1291">
                  <c:v>714.20869316113703</c:v>
                </c:pt>
                <c:pt idx="1292">
                  <c:v>777.08858422414301</c:v>
                </c:pt>
                <c:pt idx="1293">
                  <c:v>675.24106639874299</c:v>
                </c:pt>
                <c:pt idx="1294">
                  <c:v>602.33512483327399</c:v>
                </c:pt>
                <c:pt idx="1295">
                  <c:v>591.71872302076895</c:v>
                </c:pt>
                <c:pt idx="1296">
                  <c:v>668.494297782535</c:v>
                </c:pt>
                <c:pt idx="1297">
                  <c:v>637.91157973237398</c:v>
                </c:pt>
                <c:pt idx="1298">
                  <c:v>587.15063469624897</c:v>
                </c:pt>
                <c:pt idx="1299">
                  <c:v>591.91906937896294</c:v>
                </c:pt>
                <c:pt idx="1300">
                  <c:v>540.25335033912199</c:v>
                </c:pt>
                <c:pt idx="1301">
                  <c:v>521.27828138636505</c:v>
                </c:pt>
                <c:pt idx="1302">
                  <c:v>533.60521586317998</c:v>
                </c:pt>
                <c:pt idx="1303">
                  <c:v>559.40556316096695</c:v>
                </c:pt>
                <c:pt idx="1304">
                  <c:v>430.64239649424002</c:v>
                </c:pt>
                <c:pt idx="1305">
                  <c:v>465.88522524917198</c:v>
                </c:pt>
                <c:pt idx="1306">
                  <c:v>591.91906937896294</c:v>
                </c:pt>
                <c:pt idx="1307">
                  <c:v>489.08496734445998</c:v>
                </c:pt>
                <c:pt idx="1308">
                  <c:v>450.07364282054499</c:v>
                </c:pt>
                <c:pt idx="1309">
                  <c:v>509.78719608006003</c:v>
                </c:pt>
                <c:pt idx="1310">
                  <c:v>511.54549816575201</c:v>
                </c:pt>
                <c:pt idx="1311">
                  <c:v>456.22557801202998</c:v>
                </c:pt>
                <c:pt idx="1312">
                  <c:v>588.84015742925203</c:v>
                </c:pt>
                <c:pt idx="1313">
                  <c:v>546.29536452882303</c:v>
                </c:pt>
                <c:pt idx="1314">
                  <c:v>532.86979546678401</c:v>
                </c:pt>
                <c:pt idx="1315">
                  <c:v>521.23769415237405</c:v>
                </c:pt>
                <c:pt idx="1316">
                  <c:v>509.787196080059</c:v>
                </c:pt>
                <c:pt idx="1317">
                  <c:v>511.54549816575201</c:v>
                </c:pt>
                <c:pt idx="1318">
                  <c:v>571.56906163215695</c:v>
                </c:pt>
                <c:pt idx="1319">
                  <c:v>588.84015742925203</c:v>
                </c:pt>
                <c:pt idx="1320">
                  <c:v>596.10645310074995</c:v>
                </c:pt>
                <c:pt idx="1321">
                  <c:v>597.798347432524</c:v>
                </c:pt>
                <c:pt idx="1322">
                  <c:v>560.024215876477</c:v>
                </c:pt>
                <c:pt idx="1323">
                  <c:v>503.032928387845</c:v>
                </c:pt>
                <c:pt idx="1324">
                  <c:v>508.16948625845203</c:v>
                </c:pt>
                <c:pt idx="1325">
                  <c:v>566.18327440649102</c:v>
                </c:pt>
                <c:pt idx="1326">
                  <c:v>568.44438535640302</c:v>
                </c:pt>
                <c:pt idx="1327">
                  <c:v>572.81971518448699</c:v>
                </c:pt>
                <c:pt idx="1328">
                  <c:v>583.62796515536695</c:v>
                </c:pt>
                <c:pt idx="1329">
                  <c:v>566.85400463499195</c:v>
                </c:pt>
                <c:pt idx="1330">
                  <c:v>507.75842447325101</c:v>
                </c:pt>
                <c:pt idx="1331">
                  <c:v>514.98509371591501</c:v>
                </c:pt>
                <c:pt idx="1332">
                  <c:v>586.02260072249203</c:v>
                </c:pt>
                <c:pt idx="1333">
                  <c:v>578.862735408405</c:v>
                </c:pt>
                <c:pt idx="1334">
                  <c:v>511.89466748661903</c:v>
                </c:pt>
                <c:pt idx="1335">
                  <c:v>569.65737490529796</c:v>
                </c:pt>
                <c:pt idx="1336">
                  <c:v>534.60998729139305</c:v>
                </c:pt>
                <c:pt idx="1337">
                  <c:v>495.67749811611901</c:v>
                </c:pt>
                <c:pt idx="1338">
                  <c:v>473.74882140939297</c:v>
                </c:pt>
                <c:pt idx="1339">
                  <c:v>611.25464148902199</c:v>
                </c:pt>
                <c:pt idx="1340">
                  <c:v>578.12724943857199</c:v>
                </c:pt>
                <c:pt idx="1341">
                  <c:v>588.72487778346897</c:v>
                </c:pt>
                <c:pt idx="1342">
                  <c:v>701.09693423194994</c:v>
                </c:pt>
                <c:pt idx="1343">
                  <c:v>610.04940712065502</c:v>
                </c:pt>
                <c:pt idx="1344">
                  <c:v>521.74205151819501</c:v>
                </c:pt>
                <c:pt idx="1345">
                  <c:v>525.35033631337797</c:v>
                </c:pt>
                <c:pt idx="1346">
                  <c:v>611.25464148902199</c:v>
                </c:pt>
                <c:pt idx="1347">
                  <c:v>600.88016804975598</c:v>
                </c:pt>
                <c:pt idx="1348">
                  <c:v>601.05910140642902</c:v>
                </c:pt>
                <c:pt idx="1349">
                  <c:v>613.94154107303802</c:v>
                </c:pt>
                <c:pt idx="1350">
                  <c:v>591.13167479661797</c:v>
                </c:pt>
                <c:pt idx="1351">
                  <c:v>569.12130367632096</c:v>
                </c:pt>
                <c:pt idx="1352">
                  <c:v>570.62296160751396</c:v>
                </c:pt>
                <c:pt idx="1353">
                  <c:v>703.35544804140102</c:v>
                </c:pt>
                <c:pt idx="1354">
                  <c:v>702.74945580717304</c:v>
                </c:pt>
                <c:pt idx="1355">
                  <c:v>801.43856871969399</c:v>
                </c:pt>
                <c:pt idx="1356">
                  <c:v>768.392763478196</c:v>
                </c:pt>
                <c:pt idx="1357">
                  <c:v>625.12353470369703</c:v>
                </c:pt>
                <c:pt idx="1358">
                  <c:v>543.54931640598295</c:v>
                </c:pt>
                <c:pt idx="1359">
                  <c:v>538.21426170023994</c:v>
                </c:pt>
                <c:pt idx="1360">
                  <c:v>623.57940633286501</c:v>
                </c:pt>
                <c:pt idx="1361">
                  <c:v>677.29408748637104</c:v>
                </c:pt>
                <c:pt idx="1362">
                  <c:v>728.59597679607202</c:v>
                </c:pt>
                <c:pt idx="1363">
                  <c:v>759.19741520283105</c:v>
                </c:pt>
                <c:pt idx="1364">
                  <c:v>612.31902260082495</c:v>
                </c:pt>
                <c:pt idx="1365">
                  <c:v>539.21423234185704</c:v>
                </c:pt>
                <c:pt idx="1366">
                  <c:v>550.54499729419399</c:v>
                </c:pt>
                <c:pt idx="1367">
                  <c:v>696.14004122912195</c:v>
                </c:pt>
                <c:pt idx="1368">
                  <c:v>700.05059209383705</c:v>
                </c:pt>
                <c:pt idx="1369">
                  <c:v>691.75728483242801</c:v>
                </c:pt>
                <c:pt idx="1370">
                  <c:v>676.17172637933902</c:v>
                </c:pt>
                <c:pt idx="1371">
                  <c:v>574.46602797432695</c:v>
                </c:pt>
                <c:pt idx="1372">
                  <c:v>504.20277848075199</c:v>
                </c:pt>
                <c:pt idx="1373">
                  <c:v>519.35094991972301</c:v>
                </c:pt>
                <c:pt idx="1374">
                  <c:v>674.64419839742902</c:v>
                </c:pt>
                <c:pt idx="1375">
                  <c:v>691.34352651961603</c:v>
                </c:pt>
                <c:pt idx="1376">
                  <c:v>775.03376889362505</c:v>
                </c:pt>
                <c:pt idx="1377">
                  <c:v>747.20105206650305</c:v>
                </c:pt>
                <c:pt idx="1378">
                  <c:v>616.11267826196797</c:v>
                </c:pt>
                <c:pt idx="1379">
                  <c:v>540.22185806763605</c:v>
                </c:pt>
                <c:pt idx="1380">
                  <c:v>534.966786564426</c:v>
                </c:pt>
                <c:pt idx="1381">
                  <c:v>652.48263052197899</c:v>
                </c:pt>
                <c:pt idx="1382">
                  <c:v>761.76445572542502</c:v>
                </c:pt>
                <c:pt idx="1383">
                  <c:v>808.55859325833205</c:v>
                </c:pt>
                <c:pt idx="1384">
                  <c:v>772.06510373527396</c:v>
                </c:pt>
                <c:pt idx="1385">
                  <c:v>709.29196442088596</c:v>
                </c:pt>
                <c:pt idx="1386">
                  <c:v>560.36942937971105</c:v>
                </c:pt>
                <c:pt idx="1387">
                  <c:v>553.57773812616904</c:v>
                </c:pt>
                <c:pt idx="1388">
                  <c:v>699.10227087735598</c:v>
                </c:pt>
                <c:pt idx="1389">
                  <c:v>729.03858199298304</c:v>
                </c:pt>
                <c:pt idx="1390">
                  <c:v>707.74228394794795</c:v>
                </c:pt>
                <c:pt idx="1391">
                  <c:v>707.786361703338</c:v>
                </c:pt>
                <c:pt idx="1392">
                  <c:v>613.81773329207101</c:v>
                </c:pt>
                <c:pt idx="1393">
                  <c:v>533.01911104247597</c:v>
                </c:pt>
                <c:pt idx="1394">
                  <c:v>536.33693013518098</c:v>
                </c:pt>
                <c:pt idx="1395">
                  <c:v>732.12498291489101</c:v>
                </c:pt>
                <c:pt idx="1396">
                  <c:v>746.52815489261297</c:v>
                </c:pt>
                <c:pt idx="1397">
                  <c:v>721.96879396449594</c:v>
                </c:pt>
                <c:pt idx="1398">
                  <c:v>683.77411803596704</c:v>
                </c:pt>
                <c:pt idx="1399">
                  <c:v>677.654311205819</c:v>
                </c:pt>
                <c:pt idx="1400">
                  <c:v>680.085747456543</c:v>
                </c:pt>
                <c:pt idx="1401">
                  <c:v>642.62063216507102</c:v>
                </c:pt>
                <c:pt idx="1402">
                  <c:v>684.09826027508495</c:v>
                </c:pt>
                <c:pt idx="1403">
                  <c:v>623.91488696948795</c:v>
                </c:pt>
                <c:pt idx="1404">
                  <c:v>601.98678291236797</c:v>
                </c:pt>
                <c:pt idx="1405">
                  <c:v>592.07709352953998</c:v>
                </c:pt>
                <c:pt idx="1406">
                  <c:v>534.41243937044703</c:v>
                </c:pt>
                <c:pt idx="1407">
                  <c:v>497.75815415238299</c:v>
                </c:pt>
                <c:pt idx="1408">
                  <c:v>498.25755659623297</c:v>
                </c:pt>
                <c:pt idx="1409">
                  <c:v>571.140550425691</c:v>
                </c:pt>
                <c:pt idx="1410">
                  <c:v>701.85360758855904</c:v>
                </c:pt>
                <c:pt idx="1411">
                  <c:v>794.58793996668601</c:v>
                </c:pt>
                <c:pt idx="1412">
                  <c:v>752.70544525066396</c:v>
                </c:pt>
                <c:pt idx="1413">
                  <c:v>509.31893330947099</c:v>
                </c:pt>
                <c:pt idx="1414">
                  <c:v>458.99635412438101</c:v>
                </c:pt>
                <c:pt idx="1415">
                  <c:v>431.24285975725098</c:v>
                </c:pt>
                <c:pt idx="1416">
                  <c:v>515.24273543226798</c:v>
                </c:pt>
                <c:pt idx="1417">
                  <c:v>566.84338740555995</c:v>
                </c:pt>
                <c:pt idx="1418">
                  <c:v>560.806341977702</c:v>
                </c:pt>
                <c:pt idx="1419">
                  <c:v>577.86874966531695</c:v>
                </c:pt>
                <c:pt idx="1420">
                  <c:v>741.15063204293904</c:v>
                </c:pt>
                <c:pt idx="1421">
                  <c:v>743.24064179702896</c:v>
                </c:pt>
                <c:pt idx="1422">
                  <c:v>673.63891316314096</c:v>
                </c:pt>
                <c:pt idx="1423">
                  <c:v>805.82191158439696</c:v>
                </c:pt>
                <c:pt idx="1424">
                  <c:v>524.57990185569304</c:v>
                </c:pt>
                <c:pt idx="1425">
                  <c:v>535.07424649380505</c:v>
                </c:pt>
                <c:pt idx="1426">
                  <c:v>650.03979298334195</c:v>
                </c:pt>
                <c:pt idx="1427">
                  <c:v>741.15063204293904</c:v>
                </c:pt>
                <c:pt idx="1428">
                  <c:v>743.24064179702896</c:v>
                </c:pt>
                <c:pt idx="1429">
                  <c:v>673.63891316314096</c:v>
                </c:pt>
                <c:pt idx="1430">
                  <c:v>805.82191158439696</c:v>
                </c:pt>
                <c:pt idx="1431">
                  <c:v>687.04123485633897</c:v>
                </c:pt>
                <c:pt idx="1432">
                  <c:v>600.00944118687698</c:v>
                </c:pt>
                <c:pt idx="1433">
                  <c:v>650.03979298334195</c:v>
                </c:pt>
                <c:pt idx="1434">
                  <c:v>671.79529870604199</c:v>
                </c:pt>
                <c:pt idx="1435">
                  <c:v>691.97544961475705</c:v>
                </c:pt>
                <c:pt idx="1436">
                  <c:v>708.02718314738104</c:v>
                </c:pt>
                <c:pt idx="1437">
                  <c:v>995.32175913984202</c:v>
                </c:pt>
                <c:pt idx="1438">
                  <c:v>936.50282547009795</c:v>
                </c:pt>
                <c:pt idx="1439">
                  <c:v>1105.9448424228999</c:v>
                </c:pt>
                <c:pt idx="1440">
                  <c:v>1126.1328855532699</c:v>
                </c:pt>
                <c:pt idx="1441">
                  <c:v>1209.08005919742</c:v>
                </c:pt>
                <c:pt idx="1442">
                  <c:v>964.72275160980701</c:v>
                </c:pt>
                <c:pt idx="1443">
                  <c:v>819.63380377816895</c:v>
                </c:pt>
                <c:pt idx="1444">
                  <c:v>935.13996523060598</c:v>
                </c:pt>
                <c:pt idx="1445">
                  <c:v>893.33515058174498</c:v>
                </c:pt>
                <c:pt idx="1446">
                  <c:v>1026.0322950755401</c:v>
                </c:pt>
                <c:pt idx="1447">
                  <c:v>1061.9964122167701</c:v>
                </c:pt>
                <c:pt idx="1448">
                  <c:v>1036.9108923215999</c:v>
                </c:pt>
                <c:pt idx="1449">
                  <c:v>756.63018327586099</c:v>
                </c:pt>
                <c:pt idx="1450">
                  <c:v>698.07808906361595</c:v>
                </c:pt>
                <c:pt idx="1451">
                  <c:v>869.71863989783799</c:v>
                </c:pt>
                <c:pt idx="1452">
                  <c:v>879.22157592976305</c:v>
                </c:pt>
                <c:pt idx="1453">
                  <c:v>863.11994608165901</c:v>
                </c:pt>
                <c:pt idx="1454">
                  <c:v>808.70796423202</c:v>
                </c:pt>
                <c:pt idx="1455">
                  <c:v>818.40665561598905</c:v>
                </c:pt>
                <c:pt idx="1456">
                  <c:v>684.70606773967995</c:v>
                </c:pt>
                <c:pt idx="1457">
                  <c:v>1008.45501580121</c:v>
                </c:pt>
                <c:pt idx="1458">
                  <c:v>1434.3710137012399</c:v>
                </c:pt>
                <c:pt idx="1459">
                  <c:v>1365.84236547617</c:v>
                </c:pt>
                <c:pt idx="1460">
                  <c:v>1477.3384806858201</c:v>
                </c:pt>
                <c:pt idx="1461">
                  <c:v>1458.8788615871999</c:v>
                </c:pt>
                <c:pt idx="1462">
                  <c:v>1243.5171244912899</c:v>
                </c:pt>
                <c:pt idx="1463">
                  <c:v>1031.3806802031299</c:v>
                </c:pt>
                <c:pt idx="1464">
                  <c:v>1094.65530244249</c:v>
                </c:pt>
                <c:pt idx="1465">
                  <c:v>1506.40105505253</c:v>
                </c:pt>
                <c:pt idx="1466">
                  <c:v>1456.70756280711</c:v>
                </c:pt>
                <c:pt idx="1467">
                  <c:v>1429.97663934499</c:v>
                </c:pt>
                <c:pt idx="1468">
                  <c:v>1293.0672099435301</c:v>
                </c:pt>
                <c:pt idx="1469">
                  <c:v>1154.3353544573899</c:v>
                </c:pt>
                <c:pt idx="1470">
                  <c:v>1065.0348899513399</c:v>
                </c:pt>
                <c:pt idx="1471">
                  <c:v>937.53549658942995</c:v>
                </c:pt>
                <c:pt idx="1472">
                  <c:v>925.39149091983199</c:v>
                </c:pt>
                <c:pt idx="1473">
                  <c:v>1024.3508576111401</c:v>
                </c:pt>
                <c:pt idx="1474">
                  <c:v>1064.3825813185599</c:v>
                </c:pt>
                <c:pt idx="1475">
                  <c:v>1085.2191565391499</c:v>
                </c:pt>
                <c:pt idx="1476">
                  <c:v>1103.41776677543</c:v>
                </c:pt>
                <c:pt idx="1477">
                  <c:v>1065.1452145575299</c:v>
                </c:pt>
                <c:pt idx="1478">
                  <c:v>1070.1336859670701</c:v>
                </c:pt>
                <c:pt idx="1479">
                  <c:v>1186.53123935346</c:v>
                </c:pt>
                <c:pt idx="1480">
                  <c:v>1415.77464739692</c:v>
                </c:pt>
                <c:pt idx="1481">
                  <c:v>1528.6445691449301</c:v>
                </c:pt>
                <c:pt idx="1482">
                  <c:v>1642.79378701011</c:v>
                </c:pt>
                <c:pt idx="1483">
                  <c:v>1574.6691180794401</c:v>
                </c:pt>
                <c:pt idx="1484">
                  <c:v>1400.2220011678401</c:v>
                </c:pt>
                <c:pt idx="1485">
                  <c:v>1483.79126309816</c:v>
                </c:pt>
                <c:pt idx="1486">
                  <c:v>1543.7418055088599</c:v>
                </c:pt>
                <c:pt idx="1487">
                  <c:v>1464.03359368375</c:v>
                </c:pt>
                <c:pt idx="1488">
                  <c:v>1269.96401764293</c:v>
                </c:pt>
                <c:pt idx="1489">
                  <c:v>1154.60077457077</c:v>
                </c:pt>
                <c:pt idx="1490">
                  <c:v>988.83238072004701</c:v>
                </c:pt>
                <c:pt idx="1491">
                  <c:v>1069.4573249278301</c:v>
                </c:pt>
                <c:pt idx="1492">
                  <c:v>1462.8538840748799</c:v>
                </c:pt>
                <c:pt idx="1493">
                  <c:v>1368.6259067221299</c:v>
                </c:pt>
                <c:pt idx="1494">
                  <c:v>1303.4144699443</c:v>
                </c:pt>
                <c:pt idx="1495">
                  <c:v>1300.8810329027399</c:v>
                </c:pt>
                <c:pt idx="1496">
                  <c:v>1183.7312428293101</c:v>
                </c:pt>
                <c:pt idx="1497">
                  <c:v>999.82628402885598</c:v>
                </c:pt>
                <c:pt idx="1498">
                  <c:v>994.810604352685</c:v>
                </c:pt>
                <c:pt idx="1499">
                  <c:v>1105.64955827058</c:v>
                </c:pt>
                <c:pt idx="1500">
                  <c:v>1211.35699306534</c:v>
                </c:pt>
                <c:pt idx="1501">
                  <c:v>1241.09366478272</c:v>
                </c:pt>
                <c:pt idx="1502">
                  <c:v>1298.77119501164</c:v>
                </c:pt>
                <c:pt idx="1503">
                  <c:v>1273.3529898945201</c:v>
                </c:pt>
                <c:pt idx="1504">
                  <c:v>1471.31350965758</c:v>
                </c:pt>
                <c:pt idx="1505">
                  <c:v>1446.3272566308301</c:v>
                </c:pt>
                <c:pt idx="1506">
                  <c:v>1313.0020398676199</c:v>
                </c:pt>
                <c:pt idx="1507">
                  <c:v>1220.5897460674601</c:v>
                </c:pt>
                <c:pt idx="1508">
                  <c:v>1272.44057990282</c:v>
                </c:pt>
                <c:pt idx="1509">
                  <c:v>1240.88013132538</c:v>
                </c:pt>
                <c:pt idx="1510">
                  <c:v>1166.1929196947899</c:v>
                </c:pt>
                <c:pt idx="1511">
                  <c:v>1026.5429828387701</c:v>
                </c:pt>
                <c:pt idx="1512">
                  <c:v>1025.2623750903199</c:v>
                </c:pt>
                <c:pt idx="1513">
                  <c:v>1154.9478210846501</c:v>
                </c:pt>
                <c:pt idx="1514">
                  <c:v>1226.4462783868701</c:v>
                </c:pt>
                <c:pt idx="1515">
                  <c:v>1254.03236045481</c:v>
                </c:pt>
                <c:pt idx="1516">
                  <c:v>1198.54266911484</c:v>
                </c:pt>
                <c:pt idx="1517">
                  <c:v>1189.9021739393399</c:v>
                </c:pt>
                <c:pt idx="1518">
                  <c:v>1072.48722858684</c:v>
                </c:pt>
                <c:pt idx="1519">
                  <c:v>1083.50448359654</c:v>
                </c:pt>
                <c:pt idx="1520">
                  <c:v>1177.1336585525301</c:v>
                </c:pt>
                <c:pt idx="1521">
                  <c:v>1402.58127827259</c:v>
                </c:pt>
                <c:pt idx="1522">
                  <c:v>1430.09021101896</c:v>
                </c:pt>
                <c:pt idx="1523">
                  <c:v>1279.09146783248</c:v>
                </c:pt>
                <c:pt idx="1524">
                  <c:v>1213.7404875038701</c:v>
                </c:pt>
                <c:pt idx="1525">
                  <c:v>1130.5609364317199</c:v>
                </c:pt>
                <c:pt idx="1526">
                  <c:v>1120.56412867996</c:v>
                </c:pt>
                <c:pt idx="1527">
                  <c:v>1186.7298261870601</c:v>
                </c:pt>
                <c:pt idx="1528">
                  <c:v>1337.6368362845401</c:v>
                </c:pt>
                <c:pt idx="1529">
                  <c:v>1240.1133346439401</c:v>
                </c:pt>
                <c:pt idx="1530">
                  <c:v>1433.8252831058701</c:v>
                </c:pt>
                <c:pt idx="1531">
                  <c:v>1652.34532867344</c:v>
                </c:pt>
                <c:pt idx="1532">
                  <c:v>1562.7526558304701</c:v>
                </c:pt>
                <c:pt idx="1533">
                  <c:v>1420.57422775073</c:v>
                </c:pt>
                <c:pt idx="1534">
                  <c:v>1443.5608035269399</c:v>
                </c:pt>
                <c:pt idx="1535">
                  <c:v>1409.6321885349601</c:v>
                </c:pt>
                <c:pt idx="1536">
                  <c:v>1429.55146849885</c:v>
                </c:pt>
                <c:pt idx="1537">
                  <c:v>1245.5291446415499</c:v>
                </c:pt>
                <c:pt idx="1538">
                  <c:v>1217.97927759355</c:v>
                </c:pt>
                <c:pt idx="1539">
                  <c:v>1011.95865741955</c:v>
                </c:pt>
                <c:pt idx="1540">
                  <c:v>1088.32052897422</c:v>
                </c:pt>
                <c:pt idx="1541">
                  <c:v>1550.5286220108001</c:v>
                </c:pt>
                <c:pt idx="1542">
                  <c:v>1235.9563224113199</c:v>
                </c:pt>
                <c:pt idx="1543">
                  <c:v>1104.8880688188599</c:v>
                </c:pt>
                <c:pt idx="1544">
                  <c:v>1221.12420261077</c:v>
                </c:pt>
                <c:pt idx="1545">
                  <c:v>1188.34425596764</c:v>
                </c:pt>
                <c:pt idx="1546">
                  <c:v>995.69646652713902</c:v>
                </c:pt>
                <c:pt idx="1547">
                  <c:v>1098.53555238375</c:v>
                </c:pt>
                <c:pt idx="1548">
                  <c:v>1218.799459758</c:v>
                </c:pt>
                <c:pt idx="1549">
                  <c:v>1183.98327787167</c:v>
                </c:pt>
                <c:pt idx="1550">
                  <c:v>1436.02440253335</c:v>
                </c:pt>
                <c:pt idx="1551">
                  <c:v>1454.4205822009601</c:v>
                </c:pt>
                <c:pt idx="1552">
                  <c:v>1239.9452322372599</c:v>
                </c:pt>
                <c:pt idx="1553">
                  <c:v>1015.92355933543</c:v>
                </c:pt>
                <c:pt idx="1554">
                  <c:v>920.39275175538501</c:v>
                </c:pt>
                <c:pt idx="1555">
                  <c:v>1050.75003706957</c:v>
                </c:pt>
                <c:pt idx="1556">
                  <c:v>850.84205848389399</c:v>
                </c:pt>
                <c:pt idx="1557">
                  <c:v>908.67452513892704</c:v>
                </c:pt>
                <c:pt idx="1558">
                  <c:v>797.72854285593098</c:v>
                </c:pt>
                <c:pt idx="1559">
                  <c:v>1081.0689978820899</c:v>
                </c:pt>
                <c:pt idx="1560">
                  <c:v>1182.3680913023099</c:v>
                </c:pt>
                <c:pt idx="1561">
                  <c:v>1210.0179371331601</c:v>
                </c:pt>
                <c:pt idx="1562">
                  <c:v>1392.60163060183</c:v>
                </c:pt>
                <c:pt idx="1563">
                  <c:v>1267.3797870619501</c:v>
                </c:pt>
                <c:pt idx="1564">
                  <c:v>1067.2680913235699</c:v>
                </c:pt>
                <c:pt idx="1565">
                  <c:v>1008.70762410993</c:v>
                </c:pt>
                <c:pt idx="1566">
                  <c:v>941.07033216448394</c:v>
                </c:pt>
                <c:pt idx="1567">
                  <c:v>657.69862507970595</c:v>
                </c:pt>
                <c:pt idx="1568">
                  <c:v>681.15462561719403</c:v>
                </c:pt>
                <c:pt idx="1569">
                  <c:v>1124.3576599298101</c:v>
                </c:pt>
                <c:pt idx="1570">
                  <c:v>1282.7935180397601</c:v>
                </c:pt>
                <c:pt idx="1571">
                  <c:v>1068.78116278728</c:v>
                </c:pt>
                <c:pt idx="1572">
                  <c:v>738.34811540727901</c:v>
                </c:pt>
                <c:pt idx="1573">
                  <c:v>595.83699118387699</c:v>
                </c:pt>
                <c:pt idx="1574">
                  <c:v>627.24048470329797</c:v>
                </c:pt>
                <c:pt idx="1575">
                  <c:v>778.45814008612001</c:v>
                </c:pt>
                <c:pt idx="1576">
                  <c:v>1094.7108488210899</c:v>
                </c:pt>
                <c:pt idx="1577">
                  <c:v>1125.87433607653</c:v>
                </c:pt>
                <c:pt idx="1578">
                  <c:v>1070.31582292541</c:v>
                </c:pt>
                <c:pt idx="1579">
                  <c:v>738.26357022826903</c:v>
                </c:pt>
                <c:pt idx="1580">
                  <c:v>905.41123564131499</c:v>
                </c:pt>
                <c:pt idx="1581">
                  <c:v>852.99520342804101</c:v>
                </c:pt>
                <c:pt idx="1582">
                  <c:v>734.19433146919903</c:v>
                </c:pt>
                <c:pt idx="1583">
                  <c:v>1013.7847582803799</c:v>
                </c:pt>
                <c:pt idx="1584">
                  <c:v>738.04583344301795</c:v>
                </c:pt>
                <c:pt idx="1585">
                  <c:v>626.05098158095905</c:v>
                </c:pt>
                <c:pt idx="1586">
                  <c:v>576.69728758432404</c:v>
                </c:pt>
                <c:pt idx="1587">
                  <c:v>708.48664312779397</c:v>
                </c:pt>
                <c:pt idx="1588">
                  <c:v>556.273761650501</c:v>
                </c:pt>
                <c:pt idx="1589">
                  <c:v>497.33194090909598</c:v>
                </c:pt>
                <c:pt idx="1590">
                  <c:v>633.75641756378604</c:v>
                </c:pt>
                <c:pt idx="1591">
                  <c:v>1013.62304694118</c:v>
                </c:pt>
                <c:pt idx="1592">
                  <c:v>1022.23315332065</c:v>
                </c:pt>
                <c:pt idx="1593">
                  <c:v>944.16881480008499</c:v>
                </c:pt>
                <c:pt idx="1594">
                  <c:v>751.553628708784</c:v>
                </c:pt>
                <c:pt idx="1595">
                  <c:v>648.40811212384995</c:v>
                </c:pt>
                <c:pt idx="1596">
                  <c:v>601.82791990393696</c:v>
                </c:pt>
                <c:pt idx="1597">
                  <c:v>619.12329183592897</c:v>
                </c:pt>
                <c:pt idx="1598">
                  <c:v>654.003175300723</c:v>
                </c:pt>
                <c:pt idx="1599">
                  <c:v>696.89709764624399</c:v>
                </c:pt>
                <c:pt idx="1600">
                  <c:v>960.31359804270596</c:v>
                </c:pt>
                <c:pt idx="1601">
                  <c:v>707.56379599013997</c:v>
                </c:pt>
                <c:pt idx="1602">
                  <c:v>813.32273682667301</c:v>
                </c:pt>
                <c:pt idx="1603">
                  <c:v>703.91275798553102</c:v>
                </c:pt>
                <c:pt idx="1604">
                  <c:v>682.32499891923999</c:v>
                </c:pt>
                <c:pt idx="1605">
                  <c:v>634.76818777593405</c:v>
                </c:pt>
                <c:pt idx="1606">
                  <c:v>590.50539924513203</c:v>
                </c:pt>
                <c:pt idx="1607">
                  <c:v>529.39658899200901</c:v>
                </c:pt>
                <c:pt idx="1608">
                  <c:v>544.01382753994903</c:v>
                </c:pt>
                <c:pt idx="1609">
                  <c:v>633.36489359856</c:v>
                </c:pt>
                <c:pt idx="1610">
                  <c:v>666.04157904671501</c:v>
                </c:pt>
                <c:pt idx="1611">
                  <c:v>639.27627507409102</c:v>
                </c:pt>
                <c:pt idx="1612">
                  <c:v>577.89975474394203</c:v>
                </c:pt>
                <c:pt idx="1613">
                  <c:v>548.294850503671</c:v>
                </c:pt>
                <c:pt idx="1614">
                  <c:v>705.51439917059702</c:v>
                </c:pt>
                <c:pt idx="1615">
                  <c:v>603.57619974891395</c:v>
                </c:pt>
                <c:pt idx="1616">
                  <c:v>555.93012849248396</c:v>
                </c:pt>
                <c:pt idx="1617">
                  <c:v>609.62609103060095</c:v>
                </c:pt>
                <c:pt idx="1618">
                  <c:v>779.26635937792503</c:v>
                </c:pt>
                <c:pt idx="1619">
                  <c:v>787.30993153515999</c:v>
                </c:pt>
                <c:pt idx="1620">
                  <c:v>755.51565464736302</c:v>
                </c:pt>
                <c:pt idx="1621">
                  <c:v>776.73547019215005</c:v>
                </c:pt>
                <c:pt idx="1622">
                  <c:v>813.51238926649899</c:v>
                </c:pt>
                <c:pt idx="1623">
                  <c:v>780.24680151943096</c:v>
                </c:pt>
                <c:pt idx="1624">
                  <c:v>739.26118351541004</c:v>
                </c:pt>
                <c:pt idx="1625">
                  <c:v>708.935466804871</c:v>
                </c:pt>
                <c:pt idx="1626">
                  <c:v>811.125079347064</c:v>
                </c:pt>
                <c:pt idx="1627">
                  <c:v>870.40838523930404</c:v>
                </c:pt>
                <c:pt idx="1628">
                  <c:v>872.13079759288996</c:v>
                </c:pt>
                <c:pt idx="1629">
                  <c:v>770.88240417764098</c:v>
                </c:pt>
                <c:pt idx="1630">
                  <c:v>742.01648799587201</c:v>
                </c:pt>
                <c:pt idx="1631">
                  <c:v>759.87777899728201</c:v>
                </c:pt>
                <c:pt idx="1632">
                  <c:v>699.42740107600298</c:v>
                </c:pt>
                <c:pt idx="1633">
                  <c:v>695.92142765012204</c:v>
                </c:pt>
                <c:pt idx="1634">
                  <c:v>716.45220838309501</c:v>
                </c:pt>
                <c:pt idx="1635">
                  <c:v>701.21238659344397</c:v>
                </c:pt>
                <c:pt idx="1636">
                  <c:v>648.20428994083898</c:v>
                </c:pt>
                <c:pt idx="1637">
                  <c:v>594.08716849367295</c:v>
                </c:pt>
                <c:pt idx="1638">
                  <c:v>609.197363291236</c:v>
                </c:pt>
                <c:pt idx="1639">
                  <c:v>664.34783093144904</c:v>
                </c:pt>
                <c:pt idx="1640">
                  <c:v>796.21923730057995</c:v>
                </c:pt>
                <c:pt idx="1641">
                  <c:v>712.35322273450095</c:v>
                </c:pt>
                <c:pt idx="1642">
                  <c:v>679.03550492677505</c:v>
                </c:pt>
                <c:pt idx="1643">
                  <c:v>677.76054619769502</c:v>
                </c:pt>
                <c:pt idx="1644">
                  <c:v>631.287841250837</c:v>
                </c:pt>
                <c:pt idx="1645">
                  <c:v>728.42708684470597</c:v>
                </c:pt>
                <c:pt idx="1646">
                  <c:v>905.14889488885899</c:v>
                </c:pt>
                <c:pt idx="1647">
                  <c:v>791.85071267763703</c:v>
                </c:pt>
                <c:pt idx="1648">
                  <c:v>761.56591864446796</c:v>
                </c:pt>
                <c:pt idx="1649">
                  <c:v>709.01479062771398</c:v>
                </c:pt>
                <c:pt idx="1650">
                  <c:v>714.53914246354304</c:v>
                </c:pt>
                <c:pt idx="1651">
                  <c:v>606.71163127658099</c:v>
                </c:pt>
                <c:pt idx="1652">
                  <c:v>567.015881087553</c:v>
                </c:pt>
                <c:pt idx="1653">
                  <c:v>627.20413117063799</c:v>
                </c:pt>
                <c:pt idx="1654">
                  <c:v>704.13745904952304</c:v>
                </c:pt>
                <c:pt idx="1655">
                  <c:v>770.06950453893603</c:v>
                </c:pt>
                <c:pt idx="1656">
                  <c:v>781.38847872747499</c:v>
                </c:pt>
                <c:pt idx="1657">
                  <c:v>669.91927484571295</c:v>
                </c:pt>
                <c:pt idx="1658">
                  <c:v>597.13378052211306</c:v>
                </c:pt>
                <c:pt idx="1659">
                  <c:v>586.82925701607405</c:v>
                </c:pt>
                <c:pt idx="1660">
                  <c:v>664.35752543161595</c:v>
                </c:pt>
                <c:pt idx="1661">
                  <c:v>632.55364139742699</c:v>
                </c:pt>
                <c:pt idx="1662">
                  <c:v>581.98416025708002</c:v>
                </c:pt>
                <c:pt idx="1663">
                  <c:v>584.17964447693896</c:v>
                </c:pt>
                <c:pt idx="1664">
                  <c:v>535.67414006885895</c:v>
                </c:pt>
                <c:pt idx="1665">
                  <c:v>517.29038702958098</c:v>
                </c:pt>
                <c:pt idx="1666">
                  <c:v>529.17666796910498</c:v>
                </c:pt>
                <c:pt idx="1667">
                  <c:v>553.59590568278304</c:v>
                </c:pt>
                <c:pt idx="1668">
                  <c:v>426.57495478829202</c:v>
                </c:pt>
                <c:pt idx="1669">
                  <c:v>462.74417919434302</c:v>
                </c:pt>
                <c:pt idx="1670">
                  <c:v>584.17964447693896</c:v>
                </c:pt>
                <c:pt idx="1671">
                  <c:v>481.63448979508701</c:v>
                </c:pt>
                <c:pt idx="1672">
                  <c:v>444.84984860235397</c:v>
                </c:pt>
                <c:pt idx="1673">
                  <c:v>450.83053825794201</c:v>
                </c:pt>
                <c:pt idx="1674">
                  <c:v>485.36624419106198</c:v>
                </c:pt>
              </c:numCache>
            </c:numRef>
          </c:val>
          <c:extLst>
            <c:ext xmlns:c16="http://schemas.microsoft.com/office/drawing/2014/chart" uri="{C3380CC4-5D6E-409C-BE32-E72D297353CC}">
              <c16:uniqueId val="{00000000-03FE-4373-B0A1-A11C7CC2FD3A}"/>
            </c:ext>
          </c:extLst>
        </c:ser>
        <c:ser>
          <c:idx val="1"/>
          <c:order val="1"/>
          <c:tx>
            <c:strRef>
              <c:f>'5.4'!$D$5</c:f>
              <c:strCache>
                <c:ptCount val="1"/>
                <c:pt idx="0">
                  <c:v>Forecast southern demand (gas generation)</c:v>
                </c:pt>
              </c:strCache>
            </c:strRef>
          </c:tx>
          <c:spPr>
            <a:solidFill>
              <a:srgbClr val="56B4DF"/>
            </a:solidFill>
            <a:ln>
              <a:noFill/>
            </a:ln>
            <a:effectLst/>
          </c:spPr>
          <c:invertIfNegative val="0"/>
          <c:cat>
            <c:numRef>
              <c:f>'5.4'!$B$6:$B$1680</c:f>
              <c:numCache>
                <c:formatCode>m/d/yyyy</c:formatCode>
                <c:ptCount val="1675"/>
                <c:pt idx="0">
                  <c:v>45444</c:v>
                </c:pt>
                <c:pt idx="1">
                  <c:v>45445</c:v>
                </c:pt>
                <c:pt idx="2">
                  <c:v>45446</c:v>
                </c:pt>
                <c:pt idx="3">
                  <c:v>45447</c:v>
                </c:pt>
                <c:pt idx="4">
                  <c:v>45448</c:v>
                </c:pt>
                <c:pt idx="5">
                  <c:v>45449</c:v>
                </c:pt>
                <c:pt idx="6">
                  <c:v>45450</c:v>
                </c:pt>
                <c:pt idx="7">
                  <c:v>45451</c:v>
                </c:pt>
                <c:pt idx="8">
                  <c:v>45452</c:v>
                </c:pt>
                <c:pt idx="9">
                  <c:v>45453</c:v>
                </c:pt>
                <c:pt idx="10">
                  <c:v>45454</c:v>
                </c:pt>
                <c:pt idx="11">
                  <c:v>45455</c:v>
                </c:pt>
                <c:pt idx="12">
                  <c:v>45456</c:v>
                </c:pt>
                <c:pt idx="13">
                  <c:v>45457</c:v>
                </c:pt>
                <c:pt idx="14">
                  <c:v>45458</c:v>
                </c:pt>
                <c:pt idx="15">
                  <c:v>45459</c:v>
                </c:pt>
                <c:pt idx="16">
                  <c:v>45460</c:v>
                </c:pt>
                <c:pt idx="17">
                  <c:v>45461</c:v>
                </c:pt>
                <c:pt idx="18">
                  <c:v>45462</c:v>
                </c:pt>
                <c:pt idx="19">
                  <c:v>45463</c:v>
                </c:pt>
                <c:pt idx="20">
                  <c:v>45464</c:v>
                </c:pt>
                <c:pt idx="21">
                  <c:v>45465</c:v>
                </c:pt>
                <c:pt idx="22">
                  <c:v>45466</c:v>
                </c:pt>
                <c:pt idx="23">
                  <c:v>45467</c:v>
                </c:pt>
                <c:pt idx="24">
                  <c:v>45468</c:v>
                </c:pt>
                <c:pt idx="25">
                  <c:v>45469</c:v>
                </c:pt>
                <c:pt idx="26">
                  <c:v>45470</c:v>
                </c:pt>
                <c:pt idx="27">
                  <c:v>45471</c:v>
                </c:pt>
                <c:pt idx="28">
                  <c:v>45472</c:v>
                </c:pt>
                <c:pt idx="29">
                  <c:v>45473</c:v>
                </c:pt>
                <c:pt idx="30">
                  <c:v>45474</c:v>
                </c:pt>
                <c:pt idx="31">
                  <c:v>45475</c:v>
                </c:pt>
                <c:pt idx="32">
                  <c:v>45476</c:v>
                </c:pt>
                <c:pt idx="33">
                  <c:v>45477</c:v>
                </c:pt>
                <c:pt idx="34">
                  <c:v>45478</c:v>
                </c:pt>
                <c:pt idx="35">
                  <c:v>45479</c:v>
                </c:pt>
                <c:pt idx="36">
                  <c:v>45480</c:v>
                </c:pt>
                <c:pt idx="37">
                  <c:v>45481</c:v>
                </c:pt>
                <c:pt idx="38">
                  <c:v>45482</c:v>
                </c:pt>
                <c:pt idx="39">
                  <c:v>45483</c:v>
                </c:pt>
                <c:pt idx="40">
                  <c:v>45484</c:v>
                </c:pt>
                <c:pt idx="41">
                  <c:v>45485</c:v>
                </c:pt>
                <c:pt idx="42">
                  <c:v>45486</c:v>
                </c:pt>
                <c:pt idx="43">
                  <c:v>45487</c:v>
                </c:pt>
                <c:pt idx="44">
                  <c:v>45488</c:v>
                </c:pt>
                <c:pt idx="45">
                  <c:v>45489</c:v>
                </c:pt>
                <c:pt idx="46">
                  <c:v>45490</c:v>
                </c:pt>
                <c:pt idx="47">
                  <c:v>45491</c:v>
                </c:pt>
                <c:pt idx="48">
                  <c:v>45492</c:v>
                </c:pt>
                <c:pt idx="49">
                  <c:v>45493</c:v>
                </c:pt>
                <c:pt idx="50">
                  <c:v>45494</c:v>
                </c:pt>
                <c:pt idx="51">
                  <c:v>45495</c:v>
                </c:pt>
                <c:pt idx="52">
                  <c:v>45496</c:v>
                </c:pt>
                <c:pt idx="53">
                  <c:v>45497</c:v>
                </c:pt>
                <c:pt idx="54">
                  <c:v>45498</c:v>
                </c:pt>
                <c:pt idx="55">
                  <c:v>45499</c:v>
                </c:pt>
                <c:pt idx="56">
                  <c:v>45500</c:v>
                </c:pt>
                <c:pt idx="57">
                  <c:v>45501</c:v>
                </c:pt>
                <c:pt idx="58">
                  <c:v>45502</c:v>
                </c:pt>
                <c:pt idx="59">
                  <c:v>45503</c:v>
                </c:pt>
                <c:pt idx="60">
                  <c:v>45504</c:v>
                </c:pt>
                <c:pt idx="61">
                  <c:v>45505</c:v>
                </c:pt>
                <c:pt idx="62">
                  <c:v>45506</c:v>
                </c:pt>
                <c:pt idx="63">
                  <c:v>45507</c:v>
                </c:pt>
                <c:pt idx="64">
                  <c:v>45508</c:v>
                </c:pt>
                <c:pt idx="65">
                  <c:v>45509</c:v>
                </c:pt>
                <c:pt idx="66">
                  <c:v>45510</c:v>
                </c:pt>
                <c:pt idx="67">
                  <c:v>45511</c:v>
                </c:pt>
                <c:pt idx="68">
                  <c:v>45512</c:v>
                </c:pt>
                <c:pt idx="69">
                  <c:v>45513</c:v>
                </c:pt>
                <c:pt idx="70">
                  <c:v>45514</c:v>
                </c:pt>
                <c:pt idx="71">
                  <c:v>45515</c:v>
                </c:pt>
                <c:pt idx="72">
                  <c:v>45516</c:v>
                </c:pt>
                <c:pt idx="73">
                  <c:v>45517</c:v>
                </c:pt>
                <c:pt idx="74">
                  <c:v>45518</c:v>
                </c:pt>
                <c:pt idx="75">
                  <c:v>45519</c:v>
                </c:pt>
                <c:pt idx="76">
                  <c:v>45520</c:v>
                </c:pt>
                <c:pt idx="77">
                  <c:v>45521</c:v>
                </c:pt>
                <c:pt idx="78">
                  <c:v>45522</c:v>
                </c:pt>
                <c:pt idx="79">
                  <c:v>45523</c:v>
                </c:pt>
                <c:pt idx="80">
                  <c:v>45524</c:v>
                </c:pt>
                <c:pt idx="81">
                  <c:v>45525</c:v>
                </c:pt>
                <c:pt idx="82">
                  <c:v>45526</c:v>
                </c:pt>
                <c:pt idx="83">
                  <c:v>45527</c:v>
                </c:pt>
                <c:pt idx="84">
                  <c:v>45528</c:v>
                </c:pt>
                <c:pt idx="85">
                  <c:v>45529</c:v>
                </c:pt>
                <c:pt idx="86">
                  <c:v>45530</c:v>
                </c:pt>
                <c:pt idx="87">
                  <c:v>45531</c:v>
                </c:pt>
                <c:pt idx="88">
                  <c:v>45532</c:v>
                </c:pt>
                <c:pt idx="89">
                  <c:v>45533</c:v>
                </c:pt>
                <c:pt idx="90">
                  <c:v>45534</c:v>
                </c:pt>
                <c:pt idx="91">
                  <c:v>45535</c:v>
                </c:pt>
                <c:pt idx="92">
                  <c:v>45536</c:v>
                </c:pt>
                <c:pt idx="93">
                  <c:v>45537</c:v>
                </c:pt>
                <c:pt idx="94">
                  <c:v>45538</c:v>
                </c:pt>
                <c:pt idx="95">
                  <c:v>45539</c:v>
                </c:pt>
                <c:pt idx="96">
                  <c:v>45540</c:v>
                </c:pt>
                <c:pt idx="97">
                  <c:v>45541</c:v>
                </c:pt>
                <c:pt idx="98">
                  <c:v>45542</c:v>
                </c:pt>
                <c:pt idx="99">
                  <c:v>45543</c:v>
                </c:pt>
                <c:pt idx="100">
                  <c:v>45544</c:v>
                </c:pt>
                <c:pt idx="101">
                  <c:v>45545</c:v>
                </c:pt>
                <c:pt idx="102">
                  <c:v>45546</c:v>
                </c:pt>
                <c:pt idx="103">
                  <c:v>45547</c:v>
                </c:pt>
                <c:pt idx="104">
                  <c:v>45548</c:v>
                </c:pt>
                <c:pt idx="105">
                  <c:v>45549</c:v>
                </c:pt>
                <c:pt idx="106">
                  <c:v>45550</c:v>
                </c:pt>
                <c:pt idx="107">
                  <c:v>45551</c:v>
                </c:pt>
                <c:pt idx="108">
                  <c:v>45552</c:v>
                </c:pt>
                <c:pt idx="109">
                  <c:v>45553</c:v>
                </c:pt>
                <c:pt idx="110">
                  <c:v>45554</c:v>
                </c:pt>
                <c:pt idx="111">
                  <c:v>45555</c:v>
                </c:pt>
                <c:pt idx="112">
                  <c:v>45556</c:v>
                </c:pt>
                <c:pt idx="113">
                  <c:v>45557</c:v>
                </c:pt>
                <c:pt idx="114">
                  <c:v>45558</c:v>
                </c:pt>
                <c:pt idx="115">
                  <c:v>45559</c:v>
                </c:pt>
                <c:pt idx="116">
                  <c:v>45560</c:v>
                </c:pt>
                <c:pt idx="117">
                  <c:v>45561</c:v>
                </c:pt>
                <c:pt idx="118">
                  <c:v>45562</c:v>
                </c:pt>
                <c:pt idx="119">
                  <c:v>45563</c:v>
                </c:pt>
                <c:pt idx="120">
                  <c:v>45564</c:v>
                </c:pt>
                <c:pt idx="121">
                  <c:v>45565</c:v>
                </c:pt>
                <c:pt idx="122">
                  <c:v>45566</c:v>
                </c:pt>
                <c:pt idx="123">
                  <c:v>45567</c:v>
                </c:pt>
                <c:pt idx="124">
                  <c:v>45568</c:v>
                </c:pt>
                <c:pt idx="125">
                  <c:v>45569</c:v>
                </c:pt>
                <c:pt idx="126">
                  <c:v>45570</c:v>
                </c:pt>
                <c:pt idx="127">
                  <c:v>45571</c:v>
                </c:pt>
                <c:pt idx="128">
                  <c:v>45572</c:v>
                </c:pt>
                <c:pt idx="129">
                  <c:v>45573</c:v>
                </c:pt>
                <c:pt idx="130">
                  <c:v>45574</c:v>
                </c:pt>
                <c:pt idx="131">
                  <c:v>45575</c:v>
                </c:pt>
                <c:pt idx="132">
                  <c:v>45576</c:v>
                </c:pt>
                <c:pt idx="133">
                  <c:v>45577</c:v>
                </c:pt>
                <c:pt idx="134">
                  <c:v>45578</c:v>
                </c:pt>
                <c:pt idx="135">
                  <c:v>45579</c:v>
                </c:pt>
                <c:pt idx="136">
                  <c:v>45580</c:v>
                </c:pt>
                <c:pt idx="137">
                  <c:v>45581</c:v>
                </c:pt>
                <c:pt idx="138">
                  <c:v>45582</c:v>
                </c:pt>
                <c:pt idx="139">
                  <c:v>45583</c:v>
                </c:pt>
                <c:pt idx="140">
                  <c:v>45584</c:v>
                </c:pt>
                <c:pt idx="141">
                  <c:v>45585</c:v>
                </c:pt>
                <c:pt idx="142">
                  <c:v>45586</c:v>
                </c:pt>
                <c:pt idx="143">
                  <c:v>45587</c:v>
                </c:pt>
                <c:pt idx="144">
                  <c:v>45588</c:v>
                </c:pt>
                <c:pt idx="145">
                  <c:v>45589</c:v>
                </c:pt>
                <c:pt idx="146">
                  <c:v>45590</c:v>
                </c:pt>
                <c:pt idx="147">
                  <c:v>45591</c:v>
                </c:pt>
                <c:pt idx="148">
                  <c:v>45592</c:v>
                </c:pt>
                <c:pt idx="149">
                  <c:v>45593</c:v>
                </c:pt>
                <c:pt idx="150">
                  <c:v>45594</c:v>
                </c:pt>
                <c:pt idx="151">
                  <c:v>45595</c:v>
                </c:pt>
                <c:pt idx="152">
                  <c:v>45596</c:v>
                </c:pt>
                <c:pt idx="153">
                  <c:v>45597</c:v>
                </c:pt>
                <c:pt idx="154">
                  <c:v>45598</c:v>
                </c:pt>
                <c:pt idx="155">
                  <c:v>45599</c:v>
                </c:pt>
                <c:pt idx="156">
                  <c:v>45600</c:v>
                </c:pt>
                <c:pt idx="157">
                  <c:v>45601</c:v>
                </c:pt>
                <c:pt idx="158">
                  <c:v>45602</c:v>
                </c:pt>
                <c:pt idx="159">
                  <c:v>45603</c:v>
                </c:pt>
                <c:pt idx="160">
                  <c:v>45604</c:v>
                </c:pt>
                <c:pt idx="161">
                  <c:v>45605</c:v>
                </c:pt>
                <c:pt idx="162">
                  <c:v>45606</c:v>
                </c:pt>
                <c:pt idx="163">
                  <c:v>45607</c:v>
                </c:pt>
                <c:pt idx="164">
                  <c:v>45608</c:v>
                </c:pt>
                <c:pt idx="165">
                  <c:v>45609</c:v>
                </c:pt>
                <c:pt idx="166">
                  <c:v>45610</c:v>
                </c:pt>
                <c:pt idx="167">
                  <c:v>45611</c:v>
                </c:pt>
                <c:pt idx="168">
                  <c:v>45612</c:v>
                </c:pt>
                <c:pt idx="169">
                  <c:v>45613</c:v>
                </c:pt>
                <c:pt idx="170">
                  <c:v>45614</c:v>
                </c:pt>
                <c:pt idx="171">
                  <c:v>45615</c:v>
                </c:pt>
                <c:pt idx="172">
                  <c:v>45616</c:v>
                </c:pt>
                <c:pt idx="173">
                  <c:v>45617</c:v>
                </c:pt>
                <c:pt idx="174">
                  <c:v>45618</c:v>
                </c:pt>
                <c:pt idx="175">
                  <c:v>45619</c:v>
                </c:pt>
                <c:pt idx="176">
                  <c:v>45620</c:v>
                </c:pt>
                <c:pt idx="177">
                  <c:v>45621</c:v>
                </c:pt>
                <c:pt idx="178">
                  <c:v>45622</c:v>
                </c:pt>
                <c:pt idx="179">
                  <c:v>45623</c:v>
                </c:pt>
                <c:pt idx="180">
                  <c:v>45624</c:v>
                </c:pt>
                <c:pt idx="181">
                  <c:v>45625</c:v>
                </c:pt>
                <c:pt idx="182">
                  <c:v>45626</c:v>
                </c:pt>
                <c:pt idx="183">
                  <c:v>45627</c:v>
                </c:pt>
                <c:pt idx="184">
                  <c:v>45628</c:v>
                </c:pt>
                <c:pt idx="185">
                  <c:v>45629</c:v>
                </c:pt>
                <c:pt idx="186">
                  <c:v>45630</c:v>
                </c:pt>
                <c:pt idx="187">
                  <c:v>45631</c:v>
                </c:pt>
                <c:pt idx="188">
                  <c:v>45632</c:v>
                </c:pt>
                <c:pt idx="189">
                  <c:v>45633</c:v>
                </c:pt>
                <c:pt idx="190">
                  <c:v>45634</c:v>
                </c:pt>
                <c:pt idx="191">
                  <c:v>45635</c:v>
                </c:pt>
                <c:pt idx="192">
                  <c:v>45636</c:v>
                </c:pt>
                <c:pt idx="193">
                  <c:v>45637</c:v>
                </c:pt>
                <c:pt idx="194">
                  <c:v>45638</c:v>
                </c:pt>
                <c:pt idx="195">
                  <c:v>45639</c:v>
                </c:pt>
                <c:pt idx="196">
                  <c:v>45640</c:v>
                </c:pt>
                <c:pt idx="197">
                  <c:v>45641</c:v>
                </c:pt>
                <c:pt idx="198">
                  <c:v>45642</c:v>
                </c:pt>
                <c:pt idx="199">
                  <c:v>45643</c:v>
                </c:pt>
                <c:pt idx="200">
                  <c:v>45644</c:v>
                </c:pt>
                <c:pt idx="201">
                  <c:v>45645</c:v>
                </c:pt>
                <c:pt idx="202">
                  <c:v>45646</c:v>
                </c:pt>
                <c:pt idx="203">
                  <c:v>45647</c:v>
                </c:pt>
                <c:pt idx="204">
                  <c:v>45648</c:v>
                </c:pt>
                <c:pt idx="205">
                  <c:v>45649</c:v>
                </c:pt>
                <c:pt idx="206">
                  <c:v>45650</c:v>
                </c:pt>
                <c:pt idx="207">
                  <c:v>45651</c:v>
                </c:pt>
                <c:pt idx="208">
                  <c:v>45652</c:v>
                </c:pt>
                <c:pt idx="209">
                  <c:v>45653</c:v>
                </c:pt>
                <c:pt idx="210">
                  <c:v>45654</c:v>
                </c:pt>
                <c:pt idx="211">
                  <c:v>45655</c:v>
                </c:pt>
                <c:pt idx="212">
                  <c:v>45656</c:v>
                </c:pt>
                <c:pt idx="213">
                  <c:v>45657</c:v>
                </c:pt>
                <c:pt idx="214">
                  <c:v>45658</c:v>
                </c:pt>
                <c:pt idx="215">
                  <c:v>45659</c:v>
                </c:pt>
                <c:pt idx="216">
                  <c:v>45660</c:v>
                </c:pt>
                <c:pt idx="217">
                  <c:v>45661</c:v>
                </c:pt>
                <c:pt idx="218">
                  <c:v>45662</c:v>
                </c:pt>
                <c:pt idx="219">
                  <c:v>45663</c:v>
                </c:pt>
                <c:pt idx="220">
                  <c:v>45664</c:v>
                </c:pt>
                <c:pt idx="221">
                  <c:v>45665</c:v>
                </c:pt>
                <c:pt idx="222">
                  <c:v>45666</c:v>
                </c:pt>
                <c:pt idx="223">
                  <c:v>45667</c:v>
                </c:pt>
                <c:pt idx="224">
                  <c:v>45668</c:v>
                </c:pt>
                <c:pt idx="225">
                  <c:v>45669</c:v>
                </c:pt>
                <c:pt idx="226">
                  <c:v>45670</c:v>
                </c:pt>
                <c:pt idx="227">
                  <c:v>45671</c:v>
                </c:pt>
                <c:pt idx="228">
                  <c:v>45672</c:v>
                </c:pt>
                <c:pt idx="229">
                  <c:v>45673</c:v>
                </c:pt>
                <c:pt idx="230">
                  <c:v>45674</c:v>
                </c:pt>
                <c:pt idx="231">
                  <c:v>45675</c:v>
                </c:pt>
                <c:pt idx="232">
                  <c:v>45676</c:v>
                </c:pt>
                <c:pt idx="233">
                  <c:v>45677</c:v>
                </c:pt>
                <c:pt idx="234">
                  <c:v>45678</c:v>
                </c:pt>
                <c:pt idx="235">
                  <c:v>45679</c:v>
                </c:pt>
                <c:pt idx="236">
                  <c:v>45680</c:v>
                </c:pt>
                <c:pt idx="237">
                  <c:v>45681</c:v>
                </c:pt>
                <c:pt idx="238">
                  <c:v>45682</c:v>
                </c:pt>
                <c:pt idx="239">
                  <c:v>45683</c:v>
                </c:pt>
                <c:pt idx="240">
                  <c:v>45684</c:v>
                </c:pt>
                <c:pt idx="241">
                  <c:v>45685</c:v>
                </c:pt>
                <c:pt idx="242">
                  <c:v>45686</c:v>
                </c:pt>
                <c:pt idx="243">
                  <c:v>45687</c:v>
                </c:pt>
                <c:pt idx="244">
                  <c:v>45688</c:v>
                </c:pt>
                <c:pt idx="245">
                  <c:v>45689</c:v>
                </c:pt>
                <c:pt idx="246">
                  <c:v>45690</c:v>
                </c:pt>
                <c:pt idx="247">
                  <c:v>45691</c:v>
                </c:pt>
                <c:pt idx="248">
                  <c:v>45692</c:v>
                </c:pt>
                <c:pt idx="249">
                  <c:v>45693</c:v>
                </c:pt>
                <c:pt idx="250">
                  <c:v>45694</c:v>
                </c:pt>
                <c:pt idx="251">
                  <c:v>45695</c:v>
                </c:pt>
                <c:pt idx="252">
                  <c:v>45696</c:v>
                </c:pt>
                <c:pt idx="253">
                  <c:v>45697</c:v>
                </c:pt>
                <c:pt idx="254">
                  <c:v>45698</c:v>
                </c:pt>
                <c:pt idx="255">
                  <c:v>45699</c:v>
                </c:pt>
                <c:pt idx="256">
                  <c:v>45700</c:v>
                </c:pt>
                <c:pt idx="257">
                  <c:v>45701</c:v>
                </c:pt>
                <c:pt idx="258">
                  <c:v>45702</c:v>
                </c:pt>
                <c:pt idx="259">
                  <c:v>45703</c:v>
                </c:pt>
                <c:pt idx="260">
                  <c:v>45704</c:v>
                </c:pt>
                <c:pt idx="261">
                  <c:v>45705</c:v>
                </c:pt>
                <c:pt idx="262">
                  <c:v>45706</c:v>
                </c:pt>
                <c:pt idx="263">
                  <c:v>45707</c:v>
                </c:pt>
                <c:pt idx="264">
                  <c:v>45708</c:v>
                </c:pt>
                <c:pt idx="265">
                  <c:v>45709</c:v>
                </c:pt>
                <c:pt idx="266">
                  <c:v>45710</c:v>
                </c:pt>
                <c:pt idx="267">
                  <c:v>45711</c:v>
                </c:pt>
                <c:pt idx="268">
                  <c:v>45712</c:v>
                </c:pt>
                <c:pt idx="269">
                  <c:v>45713</c:v>
                </c:pt>
                <c:pt idx="270">
                  <c:v>45714</c:v>
                </c:pt>
                <c:pt idx="271">
                  <c:v>45715</c:v>
                </c:pt>
                <c:pt idx="272">
                  <c:v>45716</c:v>
                </c:pt>
                <c:pt idx="273">
                  <c:v>45717</c:v>
                </c:pt>
                <c:pt idx="274">
                  <c:v>45718</c:v>
                </c:pt>
                <c:pt idx="275">
                  <c:v>45719</c:v>
                </c:pt>
                <c:pt idx="276">
                  <c:v>45720</c:v>
                </c:pt>
                <c:pt idx="277">
                  <c:v>45721</c:v>
                </c:pt>
                <c:pt idx="278">
                  <c:v>45722</c:v>
                </c:pt>
                <c:pt idx="279">
                  <c:v>45723</c:v>
                </c:pt>
                <c:pt idx="280">
                  <c:v>45724</c:v>
                </c:pt>
                <c:pt idx="281">
                  <c:v>45725</c:v>
                </c:pt>
                <c:pt idx="282">
                  <c:v>45726</c:v>
                </c:pt>
                <c:pt idx="283">
                  <c:v>45727</c:v>
                </c:pt>
                <c:pt idx="284">
                  <c:v>45728</c:v>
                </c:pt>
                <c:pt idx="285">
                  <c:v>45729</c:v>
                </c:pt>
                <c:pt idx="286">
                  <c:v>45730</c:v>
                </c:pt>
                <c:pt idx="287">
                  <c:v>45731</c:v>
                </c:pt>
                <c:pt idx="288">
                  <c:v>45732</c:v>
                </c:pt>
                <c:pt idx="289">
                  <c:v>45733</c:v>
                </c:pt>
                <c:pt idx="290">
                  <c:v>45734</c:v>
                </c:pt>
                <c:pt idx="291">
                  <c:v>45735</c:v>
                </c:pt>
                <c:pt idx="292">
                  <c:v>45736</c:v>
                </c:pt>
                <c:pt idx="293">
                  <c:v>45737</c:v>
                </c:pt>
                <c:pt idx="294">
                  <c:v>45738</c:v>
                </c:pt>
                <c:pt idx="295">
                  <c:v>45739</c:v>
                </c:pt>
                <c:pt idx="296">
                  <c:v>45740</c:v>
                </c:pt>
                <c:pt idx="297">
                  <c:v>45741</c:v>
                </c:pt>
                <c:pt idx="298">
                  <c:v>45742</c:v>
                </c:pt>
                <c:pt idx="299">
                  <c:v>45743</c:v>
                </c:pt>
                <c:pt idx="300">
                  <c:v>45744</c:v>
                </c:pt>
                <c:pt idx="301">
                  <c:v>45745</c:v>
                </c:pt>
                <c:pt idx="302">
                  <c:v>45746</c:v>
                </c:pt>
                <c:pt idx="303">
                  <c:v>45747</c:v>
                </c:pt>
                <c:pt idx="304">
                  <c:v>45748</c:v>
                </c:pt>
                <c:pt idx="305">
                  <c:v>45749</c:v>
                </c:pt>
                <c:pt idx="306">
                  <c:v>45750</c:v>
                </c:pt>
                <c:pt idx="307">
                  <c:v>45751</c:v>
                </c:pt>
                <c:pt idx="308">
                  <c:v>45752</c:v>
                </c:pt>
                <c:pt idx="309">
                  <c:v>45753</c:v>
                </c:pt>
                <c:pt idx="310">
                  <c:v>45754</c:v>
                </c:pt>
                <c:pt idx="311">
                  <c:v>45755</c:v>
                </c:pt>
                <c:pt idx="312">
                  <c:v>45756</c:v>
                </c:pt>
                <c:pt idx="313">
                  <c:v>45757</c:v>
                </c:pt>
                <c:pt idx="314">
                  <c:v>45758</c:v>
                </c:pt>
                <c:pt idx="315">
                  <c:v>45759</c:v>
                </c:pt>
                <c:pt idx="316">
                  <c:v>45760</c:v>
                </c:pt>
                <c:pt idx="317">
                  <c:v>45761</c:v>
                </c:pt>
                <c:pt idx="318">
                  <c:v>45762</c:v>
                </c:pt>
                <c:pt idx="319">
                  <c:v>45763</c:v>
                </c:pt>
                <c:pt idx="320">
                  <c:v>45764</c:v>
                </c:pt>
                <c:pt idx="321">
                  <c:v>45765</c:v>
                </c:pt>
                <c:pt idx="322">
                  <c:v>45766</c:v>
                </c:pt>
                <c:pt idx="323">
                  <c:v>45767</c:v>
                </c:pt>
                <c:pt idx="324">
                  <c:v>45768</c:v>
                </c:pt>
                <c:pt idx="325">
                  <c:v>45769</c:v>
                </c:pt>
                <c:pt idx="326">
                  <c:v>45770</c:v>
                </c:pt>
                <c:pt idx="327">
                  <c:v>45771</c:v>
                </c:pt>
                <c:pt idx="328">
                  <c:v>45772</c:v>
                </c:pt>
                <c:pt idx="329">
                  <c:v>45773</c:v>
                </c:pt>
                <c:pt idx="330">
                  <c:v>45774</c:v>
                </c:pt>
                <c:pt idx="331">
                  <c:v>45775</c:v>
                </c:pt>
                <c:pt idx="332">
                  <c:v>45776</c:v>
                </c:pt>
                <c:pt idx="333">
                  <c:v>45777</c:v>
                </c:pt>
                <c:pt idx="334">
                  <c:v>45778</c:v>
                </c:pt>
                <c:pt idx="335">
                  <c:v>45779</c:v>
                </c:pt>
                <c:pt idx="336">
                  <c:v>45780</c:v>
                </c:pt>
                <c:pt idx="337">
                  <c:v>45781</c:v>
                </c:pt>
                <c:pt idx="338">
                  <c:v>45782</c:v>
                </c:pt>
                <c:pt idx="339">
                  <c:v>45783</c:v>
                </c:pt>
                <c:pt idx="340">
                  <c:v>45784</c:v>
                </c:pt>
                <c:pt idx="341">
                  <c:v>45785</c:v>
                </c:pt>
                <c:pt idx="342">
                  <c:v>45786</c:v>
                </c:pt>
                <c:pt idx="343">
                  <c:v>45787</c:v>
                </c:pt>
                <c:pt idx="344">
                  <c:v>45788</c:v>
                </c:pt>
                <c:pt idx="345">
                  <c:v>45789</c:v>
                </c:pt>
                <c:pt idx="346">
                  <c:v>45790</c:v>
                </c:pt>
                <c:pt idx="347">
                  <c:v>45791</c:v>
                </c:pt>
                <c:pt idx="348">
                  <c:v>45792</c:v>
                </c:pt>
                <c:pt idx="349">
                  <c:v>45793</c:v>
                </c:pt>
                <c:pt idx="350">
                  <c:v>45794</c:v>
                </c:pt>
                <c:pt idx="351">
                  <c:v>45795</c:v>
                </c:pt>
                <c:pt idx="352">
                  <c:v>45796</c:v>
                </c:pt>
                <c:pt idx="353">
                  <c:v>45797</c:v>
                </c:pt>
                <c:pt idx="354">
                  <c:v>45798</c:v>
                </c:pt>
                <c:pt idx="355">
                  <c:v>45799</c:v>
                </c:pt>
                <c:pt idx="356">
                  <c:v>45800</c:v>
                </c:pt>
                <c:pt idx="357">
                  <c:v>45801</c:v>
                </c:pt>
                <c:pt idx="358">
                  <c:v>45802</c:v>
                </c:pt>
                <c:pt idx="359">
                  <c:v>45803</c:v>
                </c:pt>
                <c:pt idx="360">
                  <c:v>45804</c:v>
                </c:pt>
                <c:pt idx="361">
                  <c:v>45805</c:v>
                </c:pt>
                <c:pt idx="362">
                  <c:v>45806</c:v>
                </c:pt>
                <c:pt idx="363">
                  <c:v>45807</c:v>
                </c:pt>
                <c:pt idx="364">
                  <c:v>45808</c:v>
                </c:pt>
                <c:pt idx="365">
                  <c:v>45809</c:v>
                </c:pt>
                <c:pt idx="366">
                  <c:v>45810</c:v>
                </c:pt>
                <c:pt idx="367">
                  <c:v>45811</c:v>
                </c:pt>
                <c:pt idx="368">
                  <c:v>45812</c:v>
                </c:pt>
                <c:pt idx="369">
                  <c:v>45813</c:v>
                </c:pt>
                <c:pt idx="370">
                  <c:v>45814</c:v>
                </c:pt>
                <c:pt idx="371">
                  <c:v>45815</c:v>
                </c:pt>
                <c:pt idx="372">
                  <c:v>45816</c:v>
                </c:pt>
                <c:pt idx="373">
                  <c:v>45817</c:v>
                </c:pt>
                <c:pt idx="374">
                  <c:v>45818</c:v>
                </c:pt>
                <c:pt idx="375">
                  <c:v>45819</c:v>
                </c:pt>
                <c:pt idx="376">
                  <c:v>45820</c:v>
                </c:pt>
                <c:pt idx="377">
                  <c:v>45821</c:v>
                </c:pt>
                <c:pt idx="378">
                  <c:v>45822</c:v>
                </c:pt>
                <c:pt idx="379">
                  <c:v>45823</c:v>
                </c:pt>
                <c:pt idx="380">
                  <c:v>45824</c:v>
                </c:pt>
                <c:pt idx="381">
                  <c:v>45825</c:v>
                </c:pt>
                <c:pt idx="382">
                  <c:v>45826</c:v>
                </c:pt>
                <c:pt idx="383">
                  <c:v>45827</c:v>
                </c:pt>
                <c:pt idx="384">
                  <c:v>45828</c:v>
                </c:pt>
                <c:pt idx="385">
                  <c:v>45829</c:v>
                </c:pt>
                <c:pt idx="386">
                  <c:v>45830</c:v>
                </c:pt>
                <c:pt idx="387">
                  <c:v>45831</c:v>
                </c:pt>
                <c:pt idx="388">
                  <c:v>45832</c:v>
                </c:pt>
                <c:pt idx="389">
                  <c:v>45833</c:v>
                </c:pt>
                <c:pt idx="390">
                  <c:v>45834</c:v>
                </c:pt>
                <c:pt idx="391">
                  <c:v>45835</c:v>
                </c:pt>
                <c:pt idx="392">
                  <c:v>45836</c:v>
                </c:pt>
                <c:pt idx="393">
                  <c:v>45837</c:v>
                </c:pt>
                <c:pt idx="394">
                  <c:v>45838</c:v>
                </c:pt>
                <c:pt idx="395">
                  <c:v>45839</c:v>
                </c:pt>
                <c:pt idx="396">
                  <c:v>45840</c:v>
                </c:pt>
                <c:pt idx="397">
                  <c:v>45841</c:v>
                </c:pt>
                <c:pt idx="398">
                  <c:v>45842</c:v>
                </c:pt>
                <c:pt idx="399">
                  <c:v>45843</c:v>
                </c:pt>
                <c:pt idx="400">
                  <c:v>45844</c:v>
                </c:pt>
                <c:pt idx="401">
                  <c:v>45845</c:v>
                </c:pt>
                <c:pt idx="402">
                  <c:v>45846</c:v>
                </c:pt>
                <c:pt idx="403">
                  <c:v>45847</c:v>
                </c:pt>
                <c:pt idx="404">
                  <c:v>45848</c:v>
                </c:pt>
                <c:pt idx="405">
                  <c:v>45849</c:v>
                </c:pt>
                <c:pt idx="406">
                  <c:v>45850</c:v>
                </c:pt>
                <c:pt idx="407">
                  <c:v>45851</c:v>
                </c:pt>
                <c:pt idx="408">
                  <c:v>45852</c:v>
                </c:pt>
                <c:pt idx="409">
                  <c:v>45853</c:v>
                </c:pt>
                <c:pt idx="410">
                  <c:v>45854</c:v>
                </c:pt>
                <c:pt idx="411">
                  <c:v>45855</c:v>
                </c:pt>
                <c:pt idx="412">
                  <c:v>45856</c:v>
                </c:pt>
                <c:pt idx="413">
                  <c:v>45857</c:v>
                </c:pt>
                <c:pt idx="414">
                  <c:v>45858</c:v>
                </c:pt>
                <c:pt idx="415">
                  <c:v>45859</c:v>
                </c:pt>
                <c:pt idx="416">
                  <c:v>45860</c:v>
                </c:pt>
                <c:pt idx="417">
                  <c:v>45861</c:v>
                </c:pt>
                <c:pt idx="418">
                  <c:v>45862</c:v>
                </c:pt>
                <c:pt idx="419">
                  <c:v>45863</c:v>
                </c:pt>
                <c:pt idx="420">
                  <c:v>45864</c:v>
                </c:pt>
                <c:pt idx="421">
                  <c:v>45865</c:v>
                </c:pt>
                <c:pt idx="422">
                  <c:v>45866</c:v>
                </c:pt>
                <c:pt idx="423">
                  <c:v>45867</c:v>
                </c:pt>
                <c:pt idx="424">
                  <c:v>45868</c:v>
                </c:pt>
                <c:pt idx="425">
                  <c:v>45869</c:v>
                </c:pt>
                <c:pt idx="426">
                  <c:v>45870</c:v>
                </c:pt>
                <c:pt idx="427">
                  <c:v>45871</c:v>
                </c:pt>
                <c:pt idx="428">
                  <c:v>45872</c:v>
                </c:pt>
                <c:pt idx="429">
                  <c:v>45873</c:v>
                </c:pt>
                <c:pt idx="430">
                  <c:v>45874</c:v>
                </c:pt>
                <c:pt idx="431">
                  <c:v>45875</c:v>
                </c:pt>
                <c:pt idx="432">
                  <c:v>45876</c:v>
                </c:pt>
                <c:pt idx="433">
                  <c:v>45877</c:v>
                </c:pt>
                <c:pt idx="434">
                  <c:v>45878</c:v>
                </c:pt>
                <c:pt idx="435">
                  <c:v>45879</c:v>
                </c:pt>
                <c:pt idx="436">
                  <c:v>45880</c:v>
                </c:pt>
                <c:pt idx="437">
                  <c:v>45881</c:v>
                </c:pt>
                <c:pt idx="438">
                  <c:v>45882</c:v>
                </c:pt>
                <c:pt idx="439">
                  <c:v>45883</c:v>
                </c:pt>
                <c:pt idx="440">
                  <c:v>45884</c:v>
                </c:pt>
                <c:pt idx="441">
                  <c:v>45885</c:v>
                </c:pt>
                <c:pt idx="442">
                  <c:v>45886</c:v>
                </c:pt>
                <c:pt idx="443">
                  <c:v>45887</c:v>
                </c:pt>
                <c:pt idx="444">
                  <c:v>45888</c:v>
                </c:pt>
                <c:pt idx="445">
                  <c:v>45889</c:v>
                </c:pt>
                <c:pt idx="446">
                  <c:v>45890</c:v>
                </c:pt>
                <c:pt idx="447">
                  <c:v>45891</c:v>
                </c:pt>
                <c:pt idx="448">
                  <c:v>45892</c:v>
                </c:pt>
                <c:pt idx="449">
                  <c:v>45893</c:v>
                </c:pt>
                <c:pt idx="450">
                  <c:v>45894</c:v>
                </c:pt>
                <c:pt idx="451">
                  <c:v>45895</c:v>
                </c:pt>
                <c:pt idx="452">
                  <c:v>45896</c:v>
                </c:pt>
                <c:pt idx="453">
                  <c:v>45897</c:v>
                </c:pt>
                <c:pt idx="454">
                  <c:v>45898</c:v>
                </c:pt>
                <c:pt idx="455">
                  <c:v>45899</c:v>
                </c:pt>
                <c:pt idx="456">
                  <c:v>45900</c:v>
                </c:pt>
                <c:pt idx="457">
                  <c:v>45901</c:v>
                </c:pt>
                <c:pt idx="458">
                  <c:v>45902</c:v>
                </c:pt>
                <c:pt idx="459">
                  <c:v>45903</c:v>
                </c:pt>
                <c:pt idx="460">
                  <c:v>45904</c:v>
                </c:pt>
                <c:pt idx="461">
                  <c:v>45905</c:v>
                </c:pt>
                <c:pt idx="462">
                  <c:v>45906</c:v>
                </c:pt>
                <c:pt idx="463">
                  <c:v>45907</c:v>
                </c:pt>
                <c:pt idx="464">
                  <c:v>45908</c:v>
                </c:pt>
                <c:pt idx="465">
                  <c:v>45909</c:v>
                </c:pt>
                <c:pt idx="466">
                  <c:v>45910</c:v>
                </c:pt>
                <c:pt idx="467">
                  <c:v>45911</c:v>
                </c:pt>
                <c:pt idx="468">
                  <c:v>45912</c:v>
                </c:pt>
                <c:pt idx="469">
                  <c:v>45913</c:v>
                </c:pt>
                <c:pt idx="470">
                  <c:v>45914</c:v>
                </c:pt>
                <c:pt idx="471">
                  <c:v>45915</c:v>
                </c:pt>
                <c:pt idx="472">
                  <c:v>45916</c:v>
                </c:pt>
                <c:pt idx="473">
                  <c:v>45917</c:v>
                </c:pt>
                <c:pt idx="474">
                  <c:v>45918</c:v>
                </c:pt>
                <c:pt idx="475">
                  <c:v>45919</c:v>
                </c:pt>
                <c:pt idx="476">
                  <c:v>45920</c:v>
                </c:pt>
                <c:pt idx="477">
                  <c:v>45921</c:v>
                </c:pt>
                <c:pt idx="478">
                  <c:v>45922</c:v>
                </c:pt>
                <c:pt idx="479">
                  <c:v>45923</c:v>
                </c:pt>
                <c:pt idx="480">
                  <c:v>45924</c:v>
                </c:pt>
                <c:pt idx="481">
                  <c:v>45925</c:v>
                </c:pt>
                <c:pt idx="482">
                  <c:v>45926</c:v>
                </c:pt>
                <c:pt idx="483">
                  <c:v>45927</c:v>
                </c:pt>
                <c:pt idx="484">
                  <c:v>45928</c:v>
                </c:pt>
                <c:pt idx="485">
                  <c:v>45929</c:v>
                </c:pt>
                <c:pt idx="486">
                  <c:v>45930</c:v>
                </c:pt>
                <c:pt idx="487">
                  <c:v>45931</c:v>
                </c:pt>
                <c:pt idx="488">
                  <c:v>45932</c:v>
                </c:pt>
                <c:pt idx="489">
                  <c:v>45933</c:v>
                </c:pt>
                <c:pt idx="490">
                  <c:v>45934</c:v>
                </c:pt>
                <c:pt idx="491">
                  <c:v>45935</c:v>
                </c:pt>
                <c:pt idx="492">
                  <c:v>45936</c:v>
                </c:pt>
                <c:pt idx="493">
                  <c:v>45937</c:v>
                </c:pt>
                <c:pt idx="494">
                  <c:v>45938</c:v>
                </c:pt>
                <c:pt idx="495">
                  <c:v>45939</c:v>
                </c:pt>
                <c:pt idx="496">
                  <c:v>45940</c:v>
                </c:pt>
                <c:pt idx="497">
                  <c:v>45941</c:v>
                </c:pt>
                <c:pt idx="498">
                  <c:v>45942</c:v>
                </c:pt>
                <c:pt idx="499">
                  <c:v>45943</c:v>
                </c:pt>
                <c:pt idx="500">
                  <c:v>45944</c:v>
                </c:pt>
                <c:pt idx="501">
                  <c:v>45945</c:v>
                </c:pt>
                <c:pt idx="502">
                  <c:v>45946</c:v>
                </c:pt>
                <c:pt idx="503">
                  <c:v>45947</c:v>
                </c:pt>
                <c:pt idx="504">
                  <c:v>45948</c:v>
                </c:pt>
                <c:pt idx="505">
                  <c:v>45949</c:v>
                </c:pt>
                <c:pt idx="506">
                  <c:v>45950</c:v>
                </c:pt>
                <c:pt idx="507">
                  <c:v>45951</c:v>
                </c:pt>
                <c:pt idx="508">
                  <c:v>45952</c:v>
                </c:pt>
                <c:pt idx="509">
                  <c:v>45953</c:v>
                </c:pt>
                <c:pt idx="510">
                  <c:v>45954</c:v>
                </c:pt>
                <c:pt idx="511">
                  <c:v>45955</c:v>
                </c:pt>
                <c:pt idx="512">
                  <c:v>45956</c:v>
                </c:pt>
                <c:pt idx="513">
                  <c:v>45957</c:v>
                </c:pt>
                <c:pt idx="514">
                  <c:v>45958</c:v>
                </c:pt>
                <c:pt idx="515">
                  <c:v>45959</c:v>
                </c:pt>
                <c:pt idx="516">
                  <c:v>45960</c:v>
                </c:pt>
                <c:pt idx="517">
                  <c:v>45961</c:v>
                </c:pt>
                <c:pt idx="518">
                  <c:v>45962</c:v>
                </c:pt>
                <c:pt idx="519">
                  <c:v>45963</c:v>
                </c:pt>
                <c:pt idx="520">
                  <c:v>45964</c:v>
                </c:pt>
                <c:pt idx="521">
                  <c:v>45965</c:v>
                </c:pt>
                <c:pt idx="522">
                  <c:v>45966</c:v>
                </c:pt>
                <c:pt idx="523">
                  <c:v>45967</c:v>
                </c:pt>
                <c:pt idx="524">
                  <c:v>45968</c:v>
                </c:pt>
                <c:pt idx="525">
                  <c:v>45969</c:v>
                </c:pt>
                <c:pt idx="526">
                  <c:v>45970</c:v>
                </c:pt>
                <c:pt idx="527">
                  <c:v>45971</c:v>
                </c:pt>
                <c:pt idx="528">
                  <c:v>45972</c:v>
                </c:pt>
                <c:pt idx="529">
                  <c:v>45973</c:v>
                </c:pt>
                <c:pt idx="530">
                  <c:v>45974</c:v>
                </c:pt>
                <c:pt idx="531">
                  <c:v>45975</c:v>
                </c:pt>
                <c:pt idx="532">
                  <c:v>45976</c:v>
                </c:pt>
                <c:pt idx="533">
                  <c:v>45977</c:v>
                </c:pt>
                <c:pt idx="534">
                  <c:v>45978</c:v>
                </c:pt>
                <c:pt idx="535">
                  <c:v>45979</c:v>
                </c:pt>
                <c:pt idx="536">
                  <c:v>45980</c:v>
                </c:pt>
                <c:pt idx="537">
                  <c:v>45981</c:v>
                </c:pt>
                <c:pt idx="538">
                  <c:v>45982</c:v>
                </c:pt>
                <c:pt idx="539">
                  <c:v>45983</c:v>
                </c:pt>
                <c:pt idx="540">
                  <c:v>45984</c:v>
                </c:pt>
                <c:pt idx="541">
                  <c:v>45985</c:v>
                </c:pt>
                <c:pt idx="542">
                  <c:v>45986</c:v>
                </c:pt>
                <c:pt idx="543">
                  <c:v>45987</c:v>
                </c:pt>
                <c:pt idx="544">
                  <c:v>45988</c:v>
                </c:pt>
                <c:pt idx="545">
                  <c:v>45989</c:v>
                </c:pt>
                <c:pt idx="546">
                  <c:v>45990</c:v>
                </c:pt>
                <c:pt idx="547">
                  <c:v>45991</c:v>
                </c:pt>
                <c:pt idx="548">
                  <c:v>45992</c:v>
                </c:pt>
                <c:pt idx="549">
                  <c:v>45993</c:v>
                </c:pt>
                <c:pt idx="550">
                  <c:v>45994</c:v>
                </c:pt>
                <c:pt idx="551">
                  <c:v>45995</c:v>
                </c:pt>
                <c:pt idx="552">
                  <c:v>45996</c:v>
                </c:pt>
                <c:pt idx="553">
                  <c:v>45997</c:v>
                </c:pt>
                <c:pt idx="554">
                  <c:v>45998</c:v>
                </c:pt>
                <c:pt idx="555">
                  <c:v>45999</c:v>
                </c:pt>
                <c:pt idx="556">
                  <c:v>46000</c:v>
                </c:pt>
                <c:pt idx="557">
                  <c:v>46001</c:v>
                </c:pt>
                <c:pt idx="558">
                  <c:v>46002</c:v>
                </c:pt>
                <c:pt idx="559">
                  <c:v>46003</c:v>
                </c:pt>
                <c:pt idx="560">
                  <c:v>46004</c:v>
                </c:pt>
                <c:pt idx="561">
                  <c:v>46005</c:v>
                </c:pt>
                <c:pt idx="562">
                  <c:v>46006</c:v>
                </c:pt>
                <c:pt idx="563">
                  <c:v>46007</c:v>
                </c:pt>
                <c:pt idx="564">
                  <c:v>46008</c:v>
                </c:pt>
                <c:pt idx="565">
                  <c:v>46009</c:v>
                </c:pt>
                <c:pt idx="566">
                  <c:v>46010</c:v>
                </c:pt>
                <c:pt idx="567">
                  <c:v>46011</c:v>
                </c:pt>
                <c:pt idx="568">
                  <c:v>46012</c:v>
                </c:pt>
                <c:pt idx="569">
                  <c:v>46013</c:v>
                </c:pt>
                <c:pt idx="570">
                  <c:v>46014</c:v>
                </c:pt>
                <c:pt idx="571">
                  <c:v>46015</c:v>
                </c:pt>
                <c:pt idx="572">
                  <c:v>46016</c:v>
                </c:pt>
                <c:pt idx="573">
                  <c:v>46017</c:v>
                </c:pt>
                <c:pt idx="574">
                  <c:v>46018</c:v>
                </c:pt>
                <c:pt idx="575">
                  <c:v>46019</c:v>
                </c:pt>
                <c:pt idx="576">
                  <c:v>46020</c:v>
                </c:pt>
                <c:pt idx="577">
                  <c:v>46021</c:v>
                </c:pt>
                <c:pt idx="578">
                  <c:v>46022</c:v>
                </c:pt>
                <c:pt idx="579">
                  <c:v>46023</c:v>
                </c:pt>
                <c:pt idx="580">
                  <c:v>46024</c:v>
                </c:pt>
                <c:pt idx="581">
                  <c:v>46025</c:v>
                </c:pt>
                <c:pt idx="582">
                  <c:v>46026</c:v>
                </c:pt>
                <c:pt idx="583">
                  <c:v>46027</c:v>
                </c:pt>
                <c:pt idx="584">
                  <c:v>46028</c:v>
                </c:pt>
                <c:pt idx="585">
                  <c:v>46029</c:v>
                </c:pt>
                <c:pt idx="586">
                  <c:v>46030</c:v>
                </c:pt>
                <c:pt idx="587">
                  <c:v>46031</c:v>
                </c:pt>
                <c:pt idx="588">
                  <c:v>46032</c:v>
                </c:pt>
                <c:pt idx="589">
                  <c:v>46033</c:v>
                </c:pt>
                <c:pt idx="590">
                  <c:v>46034</c:v>
                </c:pt>
                <c:pt idx="591">
                  <c:v>46035</c:v>
                </c:pt>
                <c:pt idx="592">
                  <c:v>46036</c:v>
                </c:pt>
                <c:pt idx="593">
                  <c:v>46037</c:v>
                </c:pt>
                <c:pt idx="594">
                  <c:v>46038</c:v>
                </c:pt>
                <c:pt idx="595">
                  <c:v>46039</c:v>
                </c:pt>
                <c:pt idx="596">
                  <c:v>46040</c:v>
                </c:pt>
                <c:pt idx="597">
                  <c:v>46041</c:v>
                </c:pt>
                <c:pt idx="598">
                  <c:v>46042</c:v>
                </c:pt>
                <c:pt idx="599">
                  <c:v>46043</c:v>
                </c:pt>
                <c:pt idx="600">
                  <c:v>46044</c:v>
                </c:pt>
                <c:pt idx="601">
                  <c:v>46045</c:v>
                </c:pt>
                <c:pt idx="602">
                  <c:v>46046</c:v>
                </c:pt>
                <c:pt idx="603">
                  <c:v>46047</c:v>
                </c:pt>
                <c:pt idx="604">
                  <c:v>46048</c:v>
                </c:pt>
                <c:pt idx="605">
                  <c:v>46049</c:v>
                </c:pt>
                <c:pt idx="606">
                  <c:v>46050</c:v>
                </c:pt>
                <c:pt idx="607">
                  <c:v>46051</c:v>
                </c:pt>
                <c:pt idx="608">
                  <c:v>46052</c:v>
                </c:pt>
                <c:pt idx="609">
                  <c:v>46053</c:v>
                </c:pt>
                <c:pt idx="610">
                  <c:v>46054</c:v>
                </c:pt>
                <c:pt idx="611">
                  <c:v>46055</c:v>
                </c:pt>
                <c:pt idx="612">
                  <c:v>46056</c:v>
                </c:pt>
                <c:pt idx="613">
                  <c:v>46057</c:v>
                </c:pt>
                <c:pt idx="614">
                  <c:v>46058</c:v>
                </c:pt>
                <c:pt idx="615">
                  <c:v>46059</c:v>
                </c:pt>
                <c:pt idx="616">
                  <c:v>46060</c:v>
                </c:pt>
                <c:pt idx="617">
                  <c:v>46061</c:v>
                </c:pt>
                <c:pt idx="618">
                  <c:v>46062</c:v>
                </c:pt>
                <c:pt idx="619">
                  <c:v>46063</c:v>
                </c:pt>
                <c:pt idx="620">
                  <c:v>46064</c:v>
                </c:pt>
                <c:pt idx="621">
                  <c:v>46065</c:v>
                </c:pt>
                <c:pt idx="622">
                  <c:v>46066</c:v>
                </c:pt>
                <c:pt idx="623">
                  <c:v>46067</c:v>
                </c:pt>
                <c:pt idx="624">
                  <c:v>46068</c:v>
                </c:pt>
                <c:pt idx="625">
                  <c:v>46069</c:v>
                </c:pt>
                <c:pt idx="626">
                  <c:v>46070</c:v>
                </c:pt>
                <c:pt idx="627">
                  <c:v>46071</c:v>
                </c:pt>
                <c:pt idx="628">
                  <c:v>46072</c:v>
                </c:pt>
                <c:pt idx="629">
                  <c:v>46073</c:v>
                </c:pt>
                <c:pt idx="630">
                  <c:v>46074</c:v>
                </c:pt>
                <c:pt idx="631">
                  <c:v>46075</c:v>
                </c:pt>
                <c:pt idx="632">
                  <c:v>46076</c:v>
                </c:pt>
                <c:pt idx="633">
                  <c:v>46077</c:v>
                </c:pt>
                <c:pt idx="634">
                  <c:v>46078</c:v>
                </c:pt>
                <c:pt idx="635">
                  <c:v>46079</c:v>
                </c:pt>
                <c:pt idx="636">
                  <c:v>46080</c:v>
                </c:pt>
                <c:pt idx="637">
                  <c:v>46081</c:v>
                </c:pt>
                <c:pt idx="638">
                  <c:v>46082</c:v>
                </c:pt>
                <c:pt idx="639">
                  <c:v>46083</c:v>
                </c:pt>
                <c:pt idx="640">
                  <c:v>46084</c:v>
                </c:pt>
                <c:pt idx="641">
                  <c:v>46085</c:v>
                </c:pt>
                <c:pt idx="642">
                  <c:v>46086</c:v>
                </c:pt>
                <c:pt idx="643">
                  <c:v>46087</c:v>
                </c:pt>
                <c:pt idx="644">
                  <c:v>46088</c:v>
                </c:pt>
                <c:pt idx="645">
                  <c:v>46089</c:v>
                </c:pt>
                <c:pt idx="646">
                  <c:v>46090</c:v>
                </c:pt>
                <c:pt idx="647">
                  <c:v>46091</c:v>
                </c:pt>
                <c:pt idx="648">
                  <c:v>46092</c:v>
                </c:pt>
                <c:pt idx="649">
                  <c:v>46093</c:v>
                </c:pt>
                <c:pt idx="650">
                  <c:v>46094</c:v>
                </c:pt>
                <c:pt idx="651">
                  <c:v>46095</c:v>
                </c:pt>
                <c:pt idx="652">
                  <c:v>46096</c:v>
                </c:pt>
                <c:pt idx="653">
                  <c:v>46097</c:v>
                </c:pt>
                <c:pt idx="654">
                  <c:v>46098</c:v>
                </c:pt>
                <c:pt idx="655">
                  <c:v>46099</c:v>
                </c:pt>
                <c:pt idx="656">
                  <c:v>46100</c:v>
                </c:pt>
                <c:pt idx="657">
                  <c:v>46101</c:v>
                </c:pt>
                <c:pt idx="658">
                  <c:v>46102</c:v>
                </c:pt>
                <c:pt idx="659">
                  <c:v>46103</c:v>
                </c:pt>
                <c:pt idx="660">
                  <c:v>46104</c:v>
                </c:pt>
                <c:pt idx="661">
                  <c:v>46105</c:v>
                </c:pt>
                <c:pt idx="662">
                  <c:v>46106</c:v>
                </c:pt>
                <c:pt idx="663">
                  <c:v>46107</c:v>
                </c:pt>
                <c:pt idx="664">
                  <c:v>46108</c:v>
                </c:pt>
                <c:pt idx="665">
                  <c:v>46109</c:v>
                </c:pt>
                <c:pt idx="666">
                  <c:v>46110</c:v>
                </c:pt>
                <c:pt idx="667">
                  <c:v>46111</c:v>
                </c:pt>
                <c:pt idx="668">
                  <c:v>46112</c:v>
                </c:pt>
                <c:pt idx="669">
                  <c:v>46113</c:v>
                </c:pt>
                <c:pt idx="670">
                  <c:v>46114</c:v>
                </c:pt>
                <c:pt idx="671">
                  <c:v>46115</c:v>
                </c:pt>
                <c:pt idx="672">
                  <c:v>46116</c:v>
                </c:pt>
                <c:pt idx="673">
                  <c:v>46117</c:v>
                </c:pt>
                <c:pt idx="674">
                  <c:v>46118</c:v>
                </c:pt>
                <c:pt idx="675">
                  <c:v>46119</c:v>
                </c:pt>
                <c:pt idx="676">
                  <c:v>46120</c:v>
                </c:pt>
                <c:pt idx="677">
                  <c:v>46121</c:v>
                </c:pt>
                <c:pt idx="678">
                  <c:v>46122</c:v>
                </c:pt>
                <c:pt idx="679">
                  <c:v>46123</c:v>
                </c:pt>
                <c:pt idx="680">
                  <c:v>46124</c:v>
                </c:pt>
                <c:pt idx="681">
                  <c:v>46125</c:v>
                </c:pt>
                <c:pt idx="682">
                  <c:v>46126</c:v>
                </c:pt>
                <c:pt idx="683">
                  <c:v>46127</c:v>
                </c:pt>
                <c:pt idx="684">
                  <c:v>46128</c:v>
                </c:pt>
                <c:pt idx="685">
                  <c:v>46129</c:v>
                </c:pt>
                <c:pt idx="686">
                  <c:v>46130</c:v>
                </c:pt>
                <c:pt idx="687">
                  <c:v>46131</c:v>
                </c:pt>
                <c:pt idx="688">
                  <c:v>46132</c:v>
                </c:pt>
                <c:pt idx="689">
                  <c:v>46133</c:v>
                </c:pt>
                <c:pt idx="690">
                  <c:v>46134</c:v>
                </c:pt>
                <c:pt idx="691">
                  <c:v>46135</c:v>
                </c:pt>
                <c:pt idx="692">
                  <c:v>46136</c:v>
                </c:pt>
                <c:pt idx="693">
                  <c:v>46137</c:v>
                </c:pt>
                <c:pt idx="694">
                  <c:v>46138</c:v>
                </c:pt>
                <c:pt idx="695">
                  <c:v>46139</c:v>
                </c:pt>
                <c:pt idx="696">
                  <c:v>46140</c:v>
                </c:pt>
                <c:pt idx="697">
                  <c:v>46141</c:v>
                </c:pt>
                <c:pt idx="698">
                  <c:v>46142</c:v>
                </c:pt>
                <c:pt idx="699">
                  <c:v>46143</c:v>
                </c:pt>
                <c:pt idx="700">
                  <c:v>46144</c:v>
                </c:pt>
                <c:pt idx="701">
                  <c:v>46145</c:v>
                </c:pt>
                <c:pt idx="702">
                  <c:v>46146</c:v>
                </c:pt>
                <c:pt idx="703">
                  <c:v>46147</c:v>
                </c:pt>
                <c:pt idx="704">
                  <c:v>46148</c:v>
                </c:pt>
                <c:pt idx="705">
                  <c:v>46149</c:v>
                </c:pt>
                <c:pt idx="706">
                  <c:v>46150</c:v>
                </c:pt>
                <c:pt idx="707">
                  <c:v>46151</c:v>
                </c:pt>
                <c:pt idx="708">
                  <c:v>46152</c:v>
                </c:pt>
                <c:pt idx="709">
                  <c:v>46153</c:v>
                </c:pt>
                <c:pt idx="710">
                  <c:v>46154</c:v>
                </c:pt>
                <c:pt idx="711">
                  <c:v>46155</c:v>
                </c:pt>
                <c:pt idx="712">
                  <c:v>46156</c:v>
                </c:pt>
                <c:pt idx="713">
                  <c:v>46157</c:v>
                </c:pt>
                <c:pt idx="714">
                  <c:v>46158</c:v>
                </c:pt>
                <c:pt idx="715">
                  <c:v>46159</c:v>
                </c:pt>
                <c:pt idx="716">
                  <c:v>46160</c:v>
                </c:pt>
                <c:pt idx="717">
                  <c:v>46161</c:v>
                </c:pt>
                <c:pt idx="718">
                  <c:v>46162</c:v>
                </c:pt>
                <c:pt idx="719">
                  <c:v>46163</c:v>
                </c:pt>
                <c:pt idx="720">
                  <c:v>46164</c:v>
                </c:pt>
                <c:pt idx="721">
                  <c:v>46165</c:v>
                </c:pt>
                <c:pt idx="722">
                  <c:v>46166</c:v>
                </c:pt>
                <c:pt idx="723">
                  <c:v>46167</c:v>
                </c:pt>
                <c:pt idx="724">
                  <c:v>46168</c:v>
                </c:pt>
                <c:pt idx="725">
                  <c:v>46169</c:v>
                </c:pt>
                <c:pt idx="726">
                  <c:v>46170</c:v>
                </c:pt>
                <c:pt idx="727">
                  <c:v>46171</c:v>
                </c:pt>
                <c:pt idx="728">
                  <c:v>46172</c:v>
                </c:pt>
                <c:pt idx="729">
                  <c:v>46173</c:v>
                </c:pt>
                <c:pt idx="730">
                  <c:v>46174</c:v>
                </c:pt>
                <c:pt idx="731">
                  <c:v>46175</c:v>
                </c:pt>
                <c:pt idx="732">
                  <c:v>46176</c:v>
                </c:pt>
                <c:pt idx="733">
                  <c:v>46177</c:v>
                </c:pt>
                <c:pt idx="734">
                  <c:v>46178</c:v>
                </c:pt>
                <c:pt idx="735">
                  <c:v>46179</c:v>
                </c:pt>
                <c:pt idx="736">
                  <c:v>46180</c:v>
                </c:pt>
                <c:pt idx="737">
                  <c:v>46181</c:v>
                </c:pt>
                <c:pt idx="738">
                  <c:v>46182</c:v>
                </c:pt>
                <c:pt idx="739">
                  <c:v>46183</c:v>
                </c:pt>
                <c:pt idx="740">
                  <c:v>46184</c:v>
                </c:pt>
                <c:pt idx="741">
                  <c:v>46185</c:v>
                </c:pt>
                <c:pt idx="742">
                  <c:v>46186</c:v>
                </c:pt>
                <c:pt idx="743">
                  <c:v>46187</c:v>
                </c:pt>
                <c:pt idx="744">
                  <c:v>46188</c:v>
                </c:pt>
                <c:pt idx="745">
                  <c:v>46189</c:v>
                </c:pt>
                <c:pt idx="746">
                  <c:v>46190</c:v>
                </c:pt>
                <c:pt idx="747">
                  <c:v>46191</c:v>
                </c:pt>
                <c:pt idx="748">
                  <c:v>46192</c:v>
                </c:pt>
                <c:pt idx="749">
                  <c:v>46193</c:v>
                </c:pt>
                <c:pt idx="750">
                  <c:v>46194</c:v>
                </c:pt>
                <c:pt idx="751">
                  <c:v>46195</c:v>
                </c:pt>
                <c:pt idx="752">
                  <c:v>46196</c:v>
                </c:pt>
                <c:pt idx="753">
                  <c:v>46197</c:v>
                </c:pt>
                <c:pt idx="754">
                  <c:v>46198</c:v>
                </c:pt>
                <c:pt idx="755">
                  <c:v>46199</c:v>
                </c:pt>
                <c:pt idx="756">
                  <c:v>46200</c:v>
                </c:pt>
                <c:pt idx="757">
                  <c:v>46201</c:v>
                </c:pt>
                <c:pt idx="758">
                  <c:v>46202</c:v>
                </c:pt>
                <c:pt idx="759">
                  <c:v>46203</c:v>
                </c:pt>
                <c:pt idx="760">
                  <c:v>46204</c:v>
                </c:pt>
                <c:pt idx="761">
                  <c:v>46205</c:v>
                </c:pt>
                <c:pt idx="762">
                  <c:v>46206</c:v>
                </c:pt>
                <c:pt idx="763">
                  <c:v>46207</c:v>
                </c:pt>
                <c:pt idx="764">
                  <c:v>46208</c:v>
                </c:pt>
                <c:pt idx="765">
                  <c:v>46209</c:v>
                </c:pt>
                <c:pt idx="766">
                  <c:v>46210</c:v>
                </c:pt>
                <c:pt idx="767">
                  <c:v>46211</c:v>
                </c:pt>
                <c:pt idx="768">
                  <c:v>46212</c:v>
                </c:pt>
                <c:pt idx="769">
                  <c:v>46213</c:v>
                </c:pt>
                <c:pt idx="770">
                  <c:v>46214</c:v>
                </c:pt>
                <c:pt idx="771">
                  <c:v>46215</c:v>
                </c:pt>
                <c:pt idx="772">
                  <c:v>46216</c:v>
                </c:pt>
                <c:pt idx="773">
                  <c:v>46217</c:v>
                </c:pt>
                <c:pt idx="774">
                  <c:v>46218</c:v>
                </c:pt>
                <c:pt idx="775">
                  <c:v>46219</c:v>
                </c:pt>
                <c:pt idx="776">
                  <c:v>46220</c:v>
                </c:pt>
                <c:pt idx="777">
                  <c:v>46221</c:v>
                </c:pt>
                <c:pt idx="778">
                  <c:v>46222</c:v>
                </c:pt>
                <c:pt idx="779">
                  <c:v>46223</c:v>
                </c:pt>
                <c:pt idx="780">
                  <c:v>46224</c:v>
                </c:pt>
                <c:pt idx="781">
                  <c:v>46225</c:v>
                </c:pt>
                <c:pt idx="782">
                  <c:v>46226</c:v>
                </c:pt>
                <c:pt idx="783">
                  <c:v>46227</c:v>
                </c:pt>
                <c:pt idx="784">
                  <c:v>46228</c:v>
                </c:pt>
                <c:pt idx="785">
                  <c:v>46229</c:v>
                </c:pt>
                <c:pt idx="786">
                  <c:v>46230</c:v>
                </c:pt>
                <c:pt idx="787">
                  <c:v>46231</c:v>
                </c:pt>
                <c:pt idx="788">
                  <c:v>46232</c:v>
                </c:pt>
                <c:pt idx="789">
                  <c:v>46233</c:v>
                </c:pt>
                <c:pt idx="790">
                  <c:v>46234</c:v>
                </c:pt>
                <c:pt idx="791">
                  <c:v>46235</c:v>
                </c:pt>
                <c:pt idx="792">
                  <c:v>46236</c:v>
                </c:pt>
                <c:pt idx="793">
                  <c:v>46237</c:v>
                </c:pt>
                <c:pt idx="794">
                  <c:v>46238</c:v>
                </c:pt>
                <c:pt idx="795">
                  <c:v>46239</c:v>
                </c:pt>
                <c:pt idx="796">
                  <c:v>46240</c:v>
                </c:pt>
                <c:pt idx="797">
                  <c:v>46241</c:v>
                </c:pt>
                <c:pt idx="798">
                  <c:v>46242</c:v>
                </c:pt>
                <c:pt idx="799">
                  <c:v>46243</c:v>
                </c:pt>
                <c:pt idx="800">
                  <c:v>46244</c:v>
                </c:pt>
                <c:pt idx="801">
                  <c:v>46245</c:v>
                </c:pt>
                <c:pt idx="802">
                  <c:v>46246</c:v>
                </c:pt>
                <c:pt idx="803">
                  <c:v>46247</c:v>
                </c:pt>
                <c:pt idx="804">
                  <c:v>46248</c:v>
                </c:pt>
                <c:pt idx="805">
                  <c:v>46249</c:v>
                </c:pt>
                <c:pt idx="806">
                  <c:v>46250</c:v>
                </c:pt>
                <c:pt idx="807">
                  <c:v>46251</c:v>
                </c:pt>
                <c:pt idx="808">
                  <c:v>46252</c:v>
                </c:pt>
                <c:pt idx="809">
                  <c:v>46253</c:v>
                </c:pt>
                <c:pt idx="810">
                  <c:v>46254</c:v>
                </c:pt>
                <c:pt idx="811">
                  <c:v>46255</c:v>
                </c:pt>
                <c:pt idx="812">
                  <c:v>46256</c:v>
                </c:pt>
                <c:pt idx="813">
                  <c:v>46257</c:v>
                </c:pt>
                <c:pt idx="814">
                  <c:v>46258</c:v>
                </c:pt>
                <c:pt idx="815">
                  <c:v>46259</c:v>
                </c:pt>
                <c:pt idx="816">
                  <c:v>46260</c:v>
                </c:pt>
                <c:pt idx="817">
                  <c:v>46261</c:v>
                </c:pt>
                <c:pt idx="818">
                  <c:v>46262</c:v>
                </c:pt>
                <c:pt idx="819">
                  <c:v>46263</c:v>
                </c:pt>
                <c:pt idx="820">
                  <c:v>46264</c:v>
                </c:pt>
                <c:pt idx="821">
                  <c:v>46265</c:v>
                </c:pt>
                <c:pt idx="822">
                  <c:v>46266</c:v>
                </c:pt>
                <c:pt idx="823">
                  <c:v>46267</c:v>
                </c:pt>
                <c:pt idx="824">
                  <c:v>46268</c:v>
                </c:pt>
                <c:pt idx="825">
                  <c:v>46269</c:v>
                </c:pt>
                <c:pt idx="826">
                  <c:v>46270</c:v>
                </c:pt>
                <c:pt idx="827">
                  <c:v>46271</c:v>
                </c:pt>
                <c:pt idx="828">
                  <c:v>46272</c:v>
                </c:pt>
                <c:pt idx="829">
                  <c:v>46273</c:v>
                </c:pt>
                <c:pt idx="830">
                  <c:v>46274</c:v>
                </c:pt>
                <c:pt idx="831">
                  <c:v>46275</c:v>
                </c:pt>
                <c:pt idx="832">
                  <c:v>46276</c:v>
                </c:pt>
                <c:pt idx="833">
                  <c:v>46277</c:v>
                </c:pt>
                <c:pt idx="834">
                  <c:v>46278</c:v>
                </c:pt>
                <c:pt idx="835">
                  <c:v>46279</c:v>
                </c:pt>
                <c:pt idx="836">
                  <c:v>46280</c:v>
                </c:pt>
                <c:pt idx="837">
                  <c:v>46281</c:v>
                </c:pt>
                <c:pt idx="838">
                  <c:v>46282</c:v>
                </c:pt>
                <c:pt idx="839">
                  <c:v>46283</c:v>
                </c:pt>
                <c:pt idx="840">
                  <c:v>46284</c:v>
                </c:pt>
                <c:pt idx="841">
                  <c:v>46285</c:v>
                </c:pt>
                <c:pt idx="842">
                  <c:v>46286</c:v>
                </c:pt>
                <c:pt idx="843">
                  <c:v>46287</c:v>
                </c:pt>
                <c:pt idx="844">
                  <c:v>46288</c:v>
                </c:pt>
                <c:pt idx="845">
                  <c:v>46289</c:v>
                </c:pt>
                <c:pt idx="846">
                  <c:v>46290</c:v>
                </c:pt>
                <c:pt idx="847">
                  <c:v>46291</c:v>
                </c:pt>
                <c:pt idx="848">
                  <c:v>46292</c:v>
                </c:pt>
                <c:pt idx="849">
                  <c:v>46293</c:v>
                </c:pt>
                <c:pt idx="850">
                  <c:v>46294</c:v>
                </c:pt>
                <c:pt idx="851">
                  <c:v>46295</c:v>
                </c:pt>
                <c:pt idx="852">
                  <c:v>46296</c:v>
                </c:pt>
                <c:pt idx="853">
                  <c:v>46297</c:v>
                </c:pt>
                <c:pt idx="854">
                  <c:v>46298</c:v>
                </c:pt>
                <c:pt idx="855">
                  <c:v>46299</c:v>
                </c:pt>
                <c:pt idx="856">
                  <c:v>46300</c:v>
                </c:pt>
                <c:pt idx="857">
                  <c:v>46301</c:v>
                </c:pt>
                <c:pt idx="858">
                  <c:v>46302</c:v>
                </c:pt>
                <c:pt idx="859">
                  <c:v>46303</c:v>
                </c:pt>
                <c:pt idx="860">
                  <c:v>46304</c:v>
                </c:pt>
                <c:pt idx="861">
                  <c:v>46305</c:v>
                </c:pt>
                <c:pt idx="862">
                  <c:v>46306</c:v>
                </c:pt>
                <c:pt idx="863">
                  <c:v>46307</c:v>
                </c:pt>
                <c:pt idx="864">
                  <c:v>46308</c:v>
                </c:pt>
                <c:pt idx="865">
                  <c:v>46309</c:v>
                </c:pt>
                <c:pt idx="866">
                  <c:v>46310</c:v>
                </c:pt>
                <c:pt idx="867">
                  <c:v>46311</c:v>
                </c:pt>
                <c:pt idx="868">
                  <c:v>46312</c:v>
                </c:pt>
                <c:pt idx="869">
                  <c:v>46313</c:v>
                </c:pt>
                <c:pt idx="870">
                  <c:v>46314</c:v>
                </c:pt>
                <c:pt idx="871">
                  <c:v>46315</c:v>
                </c:pt>
                <c:pt idx="872">
                  <c:v>46316</c:v>
                </c:pt>
                <c:pt idx="873">
                  <c:v>46317</c:v>
                </c:pt>
                <c:pt idx="874">
                  <c:v>46318</c:v>
                </c:pt>
                <c:pt idx="875">
                  <c:v>46319</c:v>
                </c:pt>
                <c:pt idx="876">
                  <c:v>46320</c:v>
                </c:pt>
                <c:pt idx="877">
                  <c:v>46321</c:v>
                </c:pt>
                <c:pt idx="878">
                  <c:v>46322</c:v>
                </c:pt>
                <c:pt idx="879">
                  <c:v>46323</c:v>
                </c:pt>
                <c:pt idx="880">
                  <c:v>46324</c:v>
                </c:pt>
                <c:pt idx="881">
                  <c:v>46325</c:v>
                </c:pt>
                <c:pt idx="882">
                  <c:v>46326</c:v>
                </c:pt>
                <c:pt idx="883">
                  <c:v>46327</c:v>
                </c:pt>
                <c:pt idx="884">
                  <c:v>46328</c:v>
                </c:pt>
                <c:pt idx="885">
                  <c:v>46329</c:v>
                </c:pt>
                <c:pt idx="886">
                  <c:v>46330</c:v>
                </c:pt>
                <c:pt idx="887">
                  <c:v>46331</c:v>
                </c:pt>
                <c:pt idx="888">
                  <c:v>46332</c:v>
                </c:pt>
                <c:pt idx="889">
                  <c:v>46333</c:v>
                </c:pt>
                <c:pt idx="890">
                  <c:v>46334</c:v>
                </c:pt>
                <c:pt idx="891">
                  <c:v>46335</c:v>
                </c:pt>
                <c:pt idx="892">
                  <c:v>46336</c:v>
                </c:pt>
                <c:pt idx="893">
                  <c:v>46337</c:v>
                </c:pt>
                <c:pt idx="894">
                  <c:v>46338</c:v>
                </c:pt>
                <c:pt idx="895">
                  <c:v>46339</c:v>
                </c:pt>
                <c:pt idx="896">
                  <c:v>46340</c:v>
                </c:pt>
                <c:pt idx="897">
                  <c:v>46341</c:v>
                </c:pt>
                <c:pt idx="898">
                  <c:v>46342</c:v>
                </c:pt>
                <c:pt idx="899">
                  <c:v>46343</c:v>
                </c:pt>
                <c:pt idx="900">
                  <c:v>46344</c:v>
                </c:pt>
                <c:pt idx="901">
                  <c:v>46345</c:v>
                </c:pt>
                <c:pt idx="902">
                  <c:v>46346</c:v>
                </c:pt>
                <c:pt idx="903">
                  <c:v>46347</c:v>
                </c:pt>
                <c:pt idx="904">
                  <c:v>46348</c:v>
                </c:pt>
                <c:pt idx="905">
                  <c:v>46349</c:v>
                </c:pt>
                <c:pt idx="906">
                  <c:v>46350</c:v>
                </c:pt>
                <c:pt idx="907">
                  <c:v>46351</c:v>
                </c:pt>
                <c:pt idx="908">
                  <c:v>46352</c:v>
                </c:pt>
                <c:pt idx="909">
                  <c:v>46353</c:v>
                </c:pt>
                <c:pt idx="910">
                  <c:v>46354</c:v>
                </c:pt>
                <c:pt idx="911">
                  <c:v>46355</c:v>
                </c:pt>
                <c:pt idx="912">
                  <c:v>46356</c:v>
                </c:pt>
                <c:pt idx="913">
                  <c:v>46357</c:v>
                </c:pt>
                <c:pt idx="914">
                  <c:v>46358</c:v>
                </c:pt>
                <c:pt idx="915">
                  <c:v>46359</c:v>
                </c:pt>
                <c:pt idx="916">
                  <c:v>46360</c:v>
                </c:pt>
                <c:pt idx="917">
                  <c:v>46361</c:v>
                </c:pt>
                <c:pt idx="918">
                  <c:v>46362</c:v>
                </c:pt>
                <c:pt idx="919">
                  <c:v>46363</c:v>
                </c:pt>
                <c:pt idx="920">
                  <c:v>46364</c:v>
                </c:pt>
                <c:pt idx="921">
                  <c:v>46365</c:v>
                </c:pt>
                <c:pt idx="922">
                  <c:v>46366</c:v>
                </c:pt>
                <c:pt idx="923">
                  <c:v>46367</c:v>
                </c:pt>
                <c:pt idx="924">
                  <c:v>46368</c:v>
                </c:pt>
                <c:pt idx="925">
                  <c:v>46369</c:v>
                </c:pt>
                <c:pt idx="926">
                  <c:v>46370</c:v>
                </c:pt>
                <c:pt idx="927">
                  <c:v>46371</c:v>
                </c:pt>
                <c:pt idx="928">
                  <c:v>46372</c:v>
                </c:pt>
                <c:pt idx="929">
                  <c:v>46373</c:v>
                </c:pt>
                <c:pt idx="930">
                  <c:v>46374</c:v>
                </c:pt>
                <c:pt idx="931">
                  <c:v>46375</c:v>
                </c:pt>
                <c:pt idx="932">
                  <c:v>46376</c:v>
                </c:pt>
                <c:pt idx="933">
                  <c:v>46377</c:v>
                </c:pt>
                <c:pt idx="934">
                  <c:v>46378</c:v>
                </c:pt>
                <c:pt idx="935">
                  <c:v>46379</c:v>
                </c:pt>
                <c:pt idx="936">
                  <c:v>46380</c:v>
                </c:pt>
                <c:pt idx="937">
                  <c:v>46381</c:v>
                </c:pt>
                <c:pt idx="938">
                  <c:v>46382</c:v>
                </c:pt>
                <c:pt idx="939">
                  <c:v>46383</c:v>
                </c:pt>
                <c:pt idx="940">
                  <c:v>46384</c:v>
                </c:pt>
                <c:pt idx="941">
                  <c:v>46385</c:v>
                </c:pt>
                <c:pt idx="942">
                  <c:v>46386</c:v>
                </c:pt>
                <c:pt idx="943">
                  <c:v>46387</c:v>
                </c:pt>
                <c:pt idx="944">
                  <c:v>46388</c:v>
                </c:pt>
                <c:pt idx="945">
                  <c:v>46389</c:v>
                </c:pt>
                <c:pt idx="946">
                  <c:v>46390</c:v>
                </c:pt>
                <c:pt idx="947">
                  <c:v>46391</c:v>
                </c:pt>
                <c:pt idx="948">
                  <c:v>46392</c:v>
                </c:pt>
                <c:pt idx="949">
                  <c:v>46393</c:v>
                </c:pt>
                <c:pt idx="950">
                  <c:v>46394</c:v>
                </c:pt>
                <c:pt idx="951">
                  <c:v>46395</c:v>
                </c:pt>
                <c:pt idx="952">
                  <c:v>46396</c:v>
                </c:pt>
                <c:pt idx="953">
                  <c:v>46397</c:v>
                </c:pt>
                <c:pt idx="954">
                  <c:v>46398</c:v>
                </c:pt>
                <c:pt idx="955">
                  <c:v>46399</c:v>
                </c:pt>
                <c:pt idx="956">
                  <c:v>46400</c:v>
                </c:pt>
                <c:pt idx="957">
                  <c:v>46401</c:v>
                </c:pt>
                <c:pt idx="958">
                  <c:v>46402</c:v>
                </c:pt>
                <c:pt idx="959">
                  <c:v>46403</c:v>
                </c:pt>
                <c:pt idx="960">
                  <c:v>46404</c:v>
                </c:pt>
                <c:pt idx="961">
                  <c:v>46405</c:v>
                </c:pt>
                <c:pt idx="962">
                  <c:v>46406</c:v>
                </c:pt>
                <c:pt idx="963">
                  <c:v>46407</c:v>
                </c:pt>
                <c:pt idx="964">
                  <c:v>46408</c:v>
                </c:pt>
                <c:pt idx="965">
                  <c:v>46409</c:v>
                </c:pt>
                <c:pt idx="966">
                  <c:v>46410</c:v>
                </c:pt>
                <c:pt idx="967">
                  <c:v>46411</c:v>
                </c:pt>
                <c:pt idx="968">
                  <c:v>46412</c:v>
                </c:pt>
                <c:pt idx="969">
                  <c:v>46413</c:v>
                </c:pt>
                <c:pt idx="970">
                  <c:v>46414</c:v>
                </c:pt>
                <c:pt idx="971">
                  <c:v>46415</c:v>
                </c:pt>
                <c:pt idx="972">
                  <c:v>46416</c:v>
                </c:pt>
                <c:pt idx="973">
                  <c:v>46417</c:v>
                </c:pt>
                <c:pt idx="974">
                  <c:v>46418</c:v>
                </c:pt>
                <c:pt idx="975">
                  <c:v>46419</c:v>
                </c:pt>
                <c:pt idx="976">
                  <c:v>46420</c:v>
                </c:pt>
                <c:pt idx="977">
                  <c:v>46421</c:v>
                </c:pt>
                <c:pt idx="978">
                  <c:v>46422</c:v>
                </c:pt>
                <c:pt idx="979">
                  <c:v>46423</c:v>
                </c:pt>
                <c:pt idx="980">
                  <c:v>46424</c:v>
                </c:pt>
                <c:pt idx="981">
                  <c:v>46425</c:v>
                </c:pt>
                <c:pt idx="982">
                  <c:v>46426</c:v>
                </c:pt>
                <c:pt idx="983">
                  <c:v>46427</c:v>
                </c:pt>
                <c:pt idx="984">
                  <c:v>46428</c:v>
                </c:pt>
                <c:pt idx="985">
                  <c:v>46429</c:v>
                </c:pt>
                <c:pt idx="986">
                  <c:v>46430</c:v>
                </c:pt>
                <c:pt idx="987">
                  <c:v>46431</c:v>
                </c:pt>
                <c:pt idx="988">
                  <c:v>46432</c:v>
                </c:pt>
                <c:pt idx="989">
                  <c:v>46433</c:v>
                </c:pt>
                <c:pt idx="990">
                  <c:v>46434</c:v>
                </c:pt>
                <c:pt idx="991">
                  <c:v>46435</c:v>
                </c:pt>
                <c:pt idx="992">
                  <c:v>46436</c:v>
                </c:pt>
                <c:pt idx="993">
                  <c:v>46437</c:v>
                </c:pt>
                <c:pt idx="994">
                  <c:v>46438</c:v>
                </c:pt>
                <c:pt idx="995">
                  <c:v>46439</c:v>
                </c:pt>
                <c:pt idx="996">
                  <c:v>46440</c:v>
                </c:pt>
                <c:pt idx="997">
                  <c:v>46441</c:v>
                </c:pt>
                <c:pt idx="998">
                  <c:v>46442</c:v>
                </c:pt>
                <c:pt idx="999">
                  <c:v>46443</c:v>
                </c:pt>
                <c:pt idx="1000">
                  <c:v>46444</c:v>
                </c:pt>
                <c:pt idx="1001">
                  <c:v>46445</c:v>
                </c:pt>
                <c:pt idx="1002">
                  <c:v>46446</c:v>
                </c:pt>
                <c:pt idx="1003">
                  <c:v>46447</c:v>
                </c:pt>
                <c:pt idx="1004">
                  <c:v>46448</c:v>
                </c:pt>
                <c:pt idx="1005">
                  <c:v>46449</c:v>
                </c:pt>
                <c:pt idx="1006">
                  <c:v>46450</c:v>
                </c:pt>
                <c:pt idx="1007">
                  <c:v>46451</c:v>
                </c:pt>
                <c:pt idx="1008">
                  <c:v>46452</c:v>
                </c:pt>
                <c:pt idx="1009">
                  <c:v>46453</c:v>
                </c:pt>
                <c:pt idx="1010">
                  <c:v>46454</c:v>
                </c:pt>
                <c:pt idx="1011">
                  <c:v>46455</c:v>
                </c:pt>
                <c:pt idx="1012">
                  <c:v>46456</c:v>
                </c:pt>
                <c:pt idx="1013">
                  <c:v>46457</c:v>
                </c:pt>
                <c:pt idx="1014">
                  <c:v>46458</c:v>
                </c:pt>
                <c:pt idx="1015">
                  <c:v>46459</c:v>
                </c:pt>
                <c:pt idx="1016">
                  <c:v>46460</c:v>
                </c:pt>
                <c:pt idx="1017">
                  <c:v>46461</c:v>
                </c:pt>
                <c:pt idx="1018">
                  <c:v>46462</c:v>
                </c:pt>
                <c:pt idx="1019">
                  <c:v>46463</c:v>
                </c:pt>
                <c:pt idx="1020">
                  <c:v>46464</c:v>
                </c:pt>
                <c:pt idx="1021">
                  <c:v>46465</c:v>
                </c:pt>
                <c:pt idx="1022">
                  <c:v>46466</c:v>
                </c:pt>
                <c:pt idx="1023">
                  <c:v>46467</c:v>
                </c:pt>
                <c:pt idx="1024">
                  <c:v>46468</c:v>
                </c:pt>
                <c:pt idx="1025">
                  <c:v>46469</c:v>
                </c:pt>
                <c:pt idx="1026">
                  <c:v>46470</c:v>
                </c:pt>
                <c:pt idx="1027">
                  <c:v>46471</c:v>
                </c:pt>
                <c:pt idx="1028">
                  <c:v>46472</c:v>
                </c:pt>
                <c:pt idx="1029">
                  <c:v>46473</c:v>
                </c:pt>
                <c:pt idx="1030">
                  <c:v>46474</c:v>
                </c:pt>
                <c:pt idx="1031">
                  <c:v>46475</c:v>
                </c:pt>
                <c:pt idx="1032">
                  <c:v>46476</c:v>
                </c:pt>
                <c:pt idx="1033">
                  <c:v>46477</c:v>
                </c:pt>
                <c:pt idx="1034">
                  <c:v>46478</c:v>
                </c:pt>
                <c:pt idx="1035">
                  <c:v>46479</c:v>
                </c:pt>
                <c:pt idx="1036">
                  <c:v>46480</c:v>
                </c:pt>
                <c:pt idx="1037">
                  <c:v>46481</c:v>
                </c:pt>
                <c:pt idx="1038">
                  <c:v>46482</c:v>
                </c:pt>
                <c:pt idx="1039">
                  <c:v>46483</c:v>
                </c:pt>
                <c:pt idx="1040">
                  <c:v>46484</c:v>
                </c:pt>
                <c:pt idx="1041">
                  <c:v>46485</c:v>
                </c:pt>
                <c:pt idx="1042">
                  <c:v>46486</c:v>
                </c:pt>
                <c:pt idx="1043">
                  <c:v>46487</c:v>
                </c:pt>
                <c:pt idx="1044">
                  <c:v>46488</c:v>
                </c:pt>
                <c:pt idx="1045">
                  <c:v>46489</c:v>
                </c:pt>
                <c:pt idx="1046">
                  <c:v>46490</c:v>
                </c:pt>
                <c:pt idx="1047">
                  <c:v>46491</c:v>
                </c:pt>
                <c:pt idx="1048">
                  <c:v>46492</c:v>
                </c:pt>
                <c:pt idx="1049">
                  <c:v>46493</c:v>
                </c:pt>
                <c:pt idx="1050">
                  <c:v>46494</c:v>
                </c:pt>
                <c:pt idx="1051">
                  <c:v>46495</c:v>
                </c:pt>
                <c:pt idx="1052">
                  <c:v>46496</c:v>
                </c:pt>
                <c:pt idx="1053">
                  <c:v>46497</c:v>
                </c:pt>
                <c:pt idx="1054">
                  <c:v>46498</c:v>
                </c:pt>
                <c:pt idx="1055">
                  <c:v>46499</c:v>
                </c:pt>
                <c:pt idx="1056">
                  <c:v>46500</c:v>
                </c:pt>
                <c:pt idx="1057">
                  <c:v>46501</c:v>
                </c:pt>
                <c:pt idx="1058">
                  <c:v>46502</c:v>
                </c:pt>
                <c:pt idx="1059">
                  <c:v>46503</c:v>
                </c:pt>
                <c:pt idx="1060">
                  <c:v>46504</c:v>
                </c:pt>
                <c:pt idx="1061">
                  <c:v>46505</c:v>
                </c:pt>
                <c:pt idx="1062">
                  <c:v>46506</c:v>
                </c:pt>
                <c:pt idx="1063">
                  <c:v>46507</c:v>
                </c:pt>
                <c:pt idx="1064">
                  <c:v>46508</c:v>
                </c:pt>
                <c:pt idx="1065">
                  <c:v>46509</c:v>
                </c:pt>
                <c:pt idx="1066">
                  <c:v>46510</c:v>
                </c:pt>
                <c:pt idx="1067">
                  <c:v>46511</c:v>
                </c:pt>
                <c:pt idx="1068">
                  <c:v>46512</c:v>
                </c:pt>
                <c:pt idx="1069">
                  <c:v>46513</c:v>
                </c:pt>
                <c:pt idx="1070">
                  <c:v>46514</c:v>
                </c:pt>
                <c:pt idx="1071">
                  <c:v>46515</c:v>
                </c:pt>
                <c:pt idx="1072">
                  <c:v>46516</c:v>
                </c:pt>
                <c:pt idx="1073">
                  <c:v>46517</c:v>
                </c:pt>
                <c:pt idx="1074">
                  <c:v>46518</c:v>
                </c:pt>
                <c:pt idx="1075">
                  <c:v>46519</c:v>
                </c:pt>
                <c:pt idx="1076">
                  <c:v>46520</c:v>
                </c:pt>
                <c:pt idx="1077">
                  <c:v>46521</c:v>
                </c:pt>
                <c:pt idx="1078">
                  <c:v>46522</c:v>
                </c:pt>
                <c:pt idx="1079">
                  <c:v>46523</c:v>
                </c:pt>
                <c:pt idx="1080">
                  <c:v>46524</c:v>
                </c:pt>
                <c:pt idx="1081">
                  <c:v>46525</c:v>
                </c:pt>
                <c:pt idx="1082">
                  <c:v>46526</c:v>
                </c:pt>
                <c:pt idx="1083">
                  <c:v>46527</c:v>
                </c:pt>
                <c:pt idx="1084">
                  <c:v>46528</c:v>
                </c:pt>
                <c:pt idx="1085">
                  <c:v>46529</c:v>
                </c:pt>
                <c:pt idx="1086">
                  <c:v>46530</c:v>
                </c:pt>
                <c:pt idx="1087">
                  <c:v>46531</c:v>
                </c:pt>
                <c:pt idx="1088">
                  <c:v>46532</c:v>
                </c:pt>
                <c:pt idx="1089">
                  <c:v>46533</c:v>
                </c:pt>
                <c:pt idx="1090">
                  <c:v>46534</c:v>
                </c:pt>
                <c:pt idx="1091">
                  <c:v>46535</c:v>
                </c:pt>
                <c:pt idx="1092">
                  <c:v>46536</c:v>
                </c:pt>
                <c:pt idx="1093">
                  <c:v>46537</c:v>
                </c:pt>
                <c:pt idx="1094">
                  <c:v>46538</c:v>
                </c:pt>
                <c:pt idx="1095">
                  <c:v>46539</c:v>
                </c:pt>
                <c:pt idx="1096">
                  <c:v>46540</c:v>
                </c:pt>
                <c:pt idx="1097">
                  <c:v>46541</c:v>
                </c:pt>
                <c:pt idx="1098">
                  <c:v>46542</c:v>
                </c:pt>
                <c:pt idx="1099">
                  <c:v>46543</c:v>
                </c:pt>
                <c:pt idx="1100">
                  <c:v>46544</c:v>
                </c:pt>
                <c:pt idx="1101">
                  <c:v>46545</c:v>
                </c:pt>
                <c:pt idx="1102">
                  <c:v>46546</c:v>
                </c:pt>
                <c:pt idx="1103">
                  <c:v>46547</c:v>
                </c:pt>
                <c:pt idx="1104">
                  <c:v>46548</c:v>
                </c:pt>
                <c:pt idx="1105">
                  <c:v>46549</c:v>
                </c:pt>
                <c:pt idx="1106">
                  <c:v>46550</c:v>
                </c:pt>
                <c:pt idx="1107">
                  <c:v>46551</c:v>
                </c:pt>
                <c:pt idx="1108">
                  <c:v>46552</c:v>
                </c:pt>
                <c:pt idx="1109">
                  <c:v>46553</c:v>
                </c:pt>
                <c:pt idx="1110">
                  <c:v>46554</c:v>
                </c:pt>
                <c:pt idx="1111">
                  <c:v>46555</c:v>
                </c:pt>
                <c:pt idx="1112">
                  <c:v>46556</c:v>
                </c:pt>
                <c:pt idx="1113">
                  <c:v>46557</c:v>
                </c:pt>
                <c:pt idx="1114">
                  <c:v>46558</c:v>
                </c:pt>
                <c:pt idx="1115">
                  <c:v>46559</c:v>
                </c:pt>
                <c:pt idx="1116">
                  <c:v>46560</c:v>
                </c:pt>
                <c:pt idx="1117">
                  <c:v>46561</c:v>
                </c:pt>
                <c:pt idx="1118">
                  <c:v>46562</c:v>
                </c:pt>
                <c:pt idx="1119">
                  <c:v>46563</c:v>
                </c:pt>
                <c:pt idx="1120">
                  <c:v>46564</c:v>
                </c:pt>
                <c:pt idx="1121">
                  <c:v>46565</c:v>
                </c:pt>
                <c:pt idx="1122">
                  <c:v>46566</c:v>
                </c:pt>
                <c:pt idx="1123">
                  <c:v>46567</c:v>
                </c:pt>
                <c:pt idx="1124">
                  <c:v>46568</c:v>
                </c:pt>
                <c:pt idx="1125">
                  <c:v>46569</c:v>
                </c:pt>
                <c:pt idx="1126">
                  <c:v>46570</c:v>
                </c:pt>
                <c:pt idx="1127">
                  <c:v>46571</c:v>
                </c:pt>
                <c:pt idx="1128">
                  <c:v>46572</c:v>
                </c:pt>
                <c:pt idx="1129">
                  <c:v>46573</c:v>
                </c:pt>
                <c:pt idx="1130">
                  <c:v>46574</c:v>
                </c:pt>
                <c:pt idx="1131">
                  <c:v>46575</c:v>
                </c:pt>
                <c:pt idx="1132">
                  <c:v>46576</c:v>
                </c:pt>
                <c:pt idx="1133">
                  <c:v>46577</c:v>
                </c:pt>
                <c:pt idx="1134">
                  <c:v>46578</c:v>
                </c:pt>
                <c:pt idx="1135">
                  <c:v>46579</c:v>
                </c:pt>
                <c:pt idx="1136">
                  <c:v>46580</c:v>
                </c:pt>
                <c:pt idx="1137">
                  <c:v>46581</c:v>
                </c:pt>
                <c:pt idx="1138">
                  <c:v>46582</c:v>
                </c:pt>
                <c:pt idx="1139">
                  <c:v>46583</c:v>
                </c:pt>
                <c:pt idx="1140">
                  <c:v>46584</c:v>
                </c:pt>
                <c:pt idx="1141">
                  <c:v>46585</c:v>
                </c:pt>
                <c:pt idx="1142">
                  <c:v>46586</c:v>
                </c:pt>
                <c:pt idx="1143">
                  <c:v>46587</c:v>
                </c:pt>
                <c:pt idx="1144">
                  <c:v>46588</c:v>
                </c:pt>
                <c:pt idx="1145">
                  <c:v>46589</c:v>
                </c:pt>
                <c:pt idx="1146">
                  <c:v>46590</c:v>
                </c:pt>
                <c:pt idx="1147">
                  <c:v>46591</c:v>
                </c:pt>
                <c:pt idx="1148">
                  <c:v>46592</c:v>
                </c:pt>
                <c:pt idx="1149">
                  <c:v>46593</c:v>
                </c:pt>
                <c:pt idx="1150">
                  <c:v>46594</c:v>
                </c:pt>
                <c:pt idx="1151">
                  <c:v>46595</c:v>
                </c:pt>
                <c:pt idx="1152">
                  <c:v>46596</c:v>
                </c:pt>
                <c:pt idx="1153">
                  <c:v>46597</c:v>
                </c:pt>
                <c:pt idx="1154">
                  <c:v>46598</c:v>
                </c:pt>
                <c:pt idx="1155">
                  <c:v>46599</c:v>
                </c:pt>
                <c:pt idx="1156">
                  <c:v>46600</c:v>
                </c:pt>
                <c:pt idx="1157">
                  <c:v>46601</c:v>
                </c:pt>
                <c:pt idx="1158">
                  <c:v>46602</c:v>
                </c:pt>
                <c:pt idx="1159">
                  <c:v>46603</c:v>
                </c:pt>
                <c:pt idx="1160">
                  <c:v>46604</c:v>
                </c:pt>
                <c:pt idx="1161">
                  <c:v>46605</c:v>
                </c:pt>
                <c:pt idx="1162">
                  <c:v>46606</c:v>
                </c:pt>
                <c:pt idx="1163">
                  <c:v>46607</c:v>
                </c:pt>
                <c:pt idx="1164">
                  <c:v>46608</c:v>
                </c:pt>
                <c:pt idx="1165">
                  <c:v>46609</c:v>
                </c:pt>
                <c:pt idx="1166">
                  <c:v>46610</c:v>
                </c:pt>
                <c:pt idx="1167">
                  <c:v>46611</c:v>
                </c:pt>
                <c:pt idx="1168">
                  <c:v>46612</c:v>
                </c:pt>
                <c:pt idx="1169">
                  <c:v>46613</c:v>
                </c:pt>
                <c:pt idx="1170">
                  <c:v>46614</c:v>
                </c:pt>
                <c:pt idx="1171">
                  <c:v>46615</c:v>
                </c:pt>
                <c:pt idx="1172">
                  <c:v>46616</c:v>
                </c:pt>
                <c:pt idx="1173">
                  <c:v>46617</c:v>
                </c:pt>
                <c:pt idx="1174">
                  <c:v>46618</c:v>
                </c:pt>
                <c:pt idx="1175">
                  <c:v>46619</c:v>
                </c:pt>
                <c:pt idx="1176">
                  <c:v>46620</c:v>
                </c:pt>
                <c:pt idx="1177">
                  <c:v>46621</c:v>
                </c:pt>
                <c:pt idx="1178">
                  <c:v>46622</c:v>
                </c:pt>
                <c:pt idx="1179">
                  <c:v>46623</c:v>
                </c:pt>
                <c:pt idx="1180">
                  <c:v>46624</c:v>
                </c:pt>
                <c:pt idx="1181">
                  <c:v>46625</c:v>
                </c:pt>
                <c:pt idx="1182">
                  <c:v>46626</c:v>
                </c:pt>
                <c:pt idx="1183">
                  <c:v>46627</c:v>
                </c:pt>
                <c:pt idx="1184">
                  <c:v>46628</c:v>
                </c:pt>
                <c:pt idx="1185">
                  <c:v>46629</c:v>
                </c:pt>
                <c:pt idx="1186">
                  <c:v>46630</c:v>
                </c:pt>
                <c:pt idx="1187">
                  <c:v>46631</c:v>
                </c:pt>
                <c:pt idx="1188">
                  <c:v>46632</c:v>
                </c:pt>
                <c:pt idx="1189">
                  <c:v>46633</c:v>
                </c:pt>
                <c:pt idx="1190">
                  <c:v>46634</c:v>
                </c:pt>
                <c:pt idx="1191">
                  <c:v>46635</c:v>
                </c:pt>
                <c:pt idx="1192">
                  <c:v>46636</c:v>
                </c:pt>
                <c:pt idx="1193">
                  <c:v>46637</c:v>
                </c:pt>
                <c:pt idx="1194">
                  <c:v>46638</c:v>
                </c:pt>
                <c:pt idx="1195">
                  <c:v>46639</c:v>
                </c:pt>
                <c:pt idx="1196">
                  <c:v>46640</c:v>
                </c:pt>
                <c:pt idx="1197">
                  <c:v>46641</c:v>
                </c:pt>
                <c:pt idx="1198">
                  <c:v>46642</c:v>
                </c:pt>
                <c:pt idx="1199">
                  <c:v>46643</c:v>
                </c:pt>
                <c:pt idx="1200">
                  <c:v>46644</c:v>
                </c:pt>
                <c:pt idx="1201">
                  <c:v>46645</c:v>
                </c:pt>
                <c:pt idx="1202">
                  <c:v>46646</c:v>
                </c:pt>
                <c:pt idx="1203">
                  <c:v>46647</c:v>
                </c:pt>
                <c:pt idx="1204">
                  <c:v>46648</c:v>
                </c:pt>
                <c:pt idx="1205">
                  <c:v>46649</c:v>
                </c:pt>
                <c:pt idx="1206">
                  <c:v>46650</c:v>
                </c:pt>
                <c:pt idx="1207">
                  <c:v>46651</c:v>
                </c:pt>
                <c:pt idx="1208">
                  <c:v>46652</c:v>
                </c:pt>
                <c:pt idx="1209">
                  <c:v>46653</c:v>
                </c:pt>
                <c:pt idx="1210">
                  <c:v>46654</c:v>
                </c:pt>
                <c:pt idx="1211">
                  <c:v>46655</c:v>
                </c:pt>
                <c:pt idx="1212">
                  <c:v>46656</c:v>
                </c:pt>
                <c:pt idx="1213">
                  <c:v>46657</c:v>
                </c:pt>
                <c:pt idx="1214">
                  <c:v>46658</c:v>
                </c:pt>
                <c:pt idx="1215">
                  <c:v>46659</c:v>
                </c:pt>
                <c:pt idx="1216">
                  <c:v>46660</c:v>
                </c:pt>
                <c:pt idx="1217">
                  <c:v>46661</c:v>
                </c:pt>
                <c:pt idx="1218">
                  <c:v>46662</c:v>
                </c:pt>
                <c:pt idx="1219">
                  <c:v>46663</c:v>
                </c:pt>
                <c:pt idx="1220">
                  <c:v>46664</c:v>
                </c:pt>
                <c:pt idx="1221">
                  <c:v>46665</c:v>
                </c:pt>
                <c:pt idx="1222">
                  <c:v>46666</c:v>
                </c:pt>
                <c:pt idx="1223">
                  <c:v>46667</c:v>
                </c:pt>
                <c:pt idx="1224">
                  <c:v>46668</c:v>
                </c:pt>
                <c:pt idx="1225">
                  <c:v>46669</c:v>
                </c:pt>
                <c:pt idx="1226">
                  <c:v>46670</c:v>
                </c:pt>
                <c:pt idx="1227">
                  <c:v>46671</c:v>
                </c:pt>
                <c:pt idx="1228">
                  <c:v>46672</c:v>
                </c:pt>
                <c:pt idx="1229">
                  <c:v>46673</c:v>
                </c:pt>
                <c:pt idx="1230">
                  <c:v>46674</c:v>
                </c:pt>
                <c:pt idx="1231">
                  <c:v>46675</c:v>
                </c:pt>
                <c:pt idx="1232">
                  <c:v>46676</c:v>
                </c:pt>
                <c:pt idx="1233">
                  <c:v>46677</c:v>
                </c:pt>
                <c:pt idx="1234">
                  <c:v>46678</c:v>
                </c:pt>
                <c:pt idx="1235">
                  <c:v>46679</c:v>
                </c:pt>
                <c:pt idx="1236">
                  <c:v>46680</c:v>
                </c:pt>
                <c:pt idx="1237">
                  <c:v>46681</c:v>
                </c:pt>
                <c:pt idx="1238">
                  <c:v>46682</c:v>
                </c:pt>
                <c:pt idx="1239">
                  <c:v>46683</c:v>
                </c:pt>
                <c:pt idx="1240">
                  <c:v>46684</c:v>
                </c:pt>
                <c:pt idx="1241">
                  <c:v>46685</c:v>
                </c:pt>
                <c:pt idx="1242">
                  <c:v>46686</c:v>
                </c:pt>
                <c:pt idx="1243">
                  <c:v>46687</c:v>
                </c:pt>
                <c:pt idx="1244">
                  <c:v>46688</c:v>
                </c:pt>
                <c:pt idx="1245">
                  <c:v>46689</c:v>
                </c:pt>
                <c:pt idx="1246">
                  <c:v>46690</c:v>
                </c:pt>
                <c:pt idx="1247">
                  <c:v>46691</c:v>
                </c:pt>
                <c:pt idx="1248">
                  <c:v>46692</c:v>
                </c:pt>
                <c:pt idx="1249">
                  <c:v>46693</c:v>
                </c:pt>
                <c:pt idx="1250">
                  <c:v>46694</c:v>
                </c:pt>
                <c:pt idx="1251">
                  <c:v>46695</c:v>
                </c:pt>
                <c:pt idx="1252">
                  <c:v>46696</c:v>
                </c:pt>
                <c:pt idx="1253">
                  <c:v>46697</c:v>
                </c:pt>
                <c:pt idx="1254">
                  <c:v>46698</c:v>
                </c:pt>
                <c:pt idx="1255">
                  <c:v>46699</c:v>
                </c:pt>
                <c:pt idx="1256">
                  <c:v>46700</c:v>
                </c:pt>
                <c:pt idx="1257">
                  <c:v>46701</c:v>
                </c:pt>
                <c:pt idx="1258">
                  <c:v>46702</c:v>
                </c:pt>
                <c:pt idx="1259">
                  <c:v>46703</c:v>
                </c:pt>
                <c:pt idx="1260">
                  <c:v>46704</c:v>
                </c:pt>
                <c:pt idx="1261">
                  <c:v>46705</c:v>
                </c:pt>
                <c:pt idx="1262">
                  <c:v>46706</c:v>
                </c:pt>
                <c:pt idx="1263">
                  <c:v>46707</c:v>
                </c:pt>
                <c:pt idx="1264">
                  <c:v>46708</c:v>
                </c:pt>
                <c:pt idx="1265">
                  <c:v>46709</c:v>
                </c:pt>
                <c:pt idx="1266">
                  <c:v>46710</c:v>
                </c:pt>
                <c:pt idx="1267">
                  <c:v>46711</c:v>
                </c:pt>
                <c:pt idx="1268">
                  <c:v>46712</c:v>
                </c:pt>
                <c:pt idx="1269">
                  <c:v>46713</c:v>
                </c:pt>
                <c:pt idx="1270">
                  <c:v>46714</c:v>
                </c:pt>
                <c:pt idx="1271">
                  <c:v>46715</c:v>
                </c:pt>
                <c:pt idx="1272">
                  <c:v>46716</c:v>
                </c:pt>
                <c:pt idx="1273">
                  <c:v>46717</c:v>
                </c:pt>
                <c:pt idx="1274">
                  <c:v>46718</c:v>
                </c:pt>
                <c:pt idx="1275">
                  <c:v>46719</c:v>
                </c:pt>
                <c:pt idx="1276">
                  <c:v>46720</c:v>
                </c:pt>
                <c:pt idx="1277">
                  <c:v>46721</c:v>
                </c:pt>
                <c:pt idx="1278">
                  <c:v>46722</c:v>
                </c:pt>
                <c:pt idx="1279">
                  <c:v>46723</c:v>
                </c:pt>
                <c:pt idx="1280">
                  <c:v>46724</c:v>
                </c:pt>
                <c:pt idx="1281">
                  <c:v>46725</c:v>
                </c:pt>
                <c:pt idx="1282">
                  <c:v>46726</c:v>
                </c:pt>
                <c:pt idx="1283">
                  <c:v>46727</c:v>
                </c:pt>
                <c:pt idx="1284">
                  <c:v>46728</c:v>
                </c:pt>
                <c:pt idx="1285">
                  <c:v>46729</c:v>
                </c:pt>
                <c:pt idx="1286">
                  <c:v>46730</c:v>
                </c:pt>
                <c:pt idx="1287">
                  <c:v>46731</c:v>
                </c:pt>
                <c:pt idx="1288">
                  <c:v>46732</c:v>
                </c:pt>
                <c:pt idx="1289">
                  <c:v>46733</c:v>
                </c:pt>
                <c:pt idx="1290">
                  <c:v>46734</c:v>
                </c:pt>
                <c:pt idx="1291">
                  <c:v>46735</c:v>
                </c:pt>
                <c:pt idx="1292">
                  <c:v>46736</c:v>
                </c:pt>
                <c:pt idx="1293">
                  <c:v>46737</c:v>
                </c:pt>
                <c:pt idx="1294">
                  <c:v>46738</c:v>
                </c:pt>
                <c:pt idx="1295">
                  <c:v>46739</c:v>
                </c:pt>
                <c:pt idx="1296">
                  <c:v>46740</c:v>
                </c:pt>
                <c:pt idx="1297">
                  <c:v>46741</c:v>
                </c:pt>
                <c:pt idx="1298">
                  <c:v>46742</c:v>
                </c:pt>
                <c:pt idx="1299">
                  <c:v>46743</c:v>
                </c:pt>
                <c:pt idx="1300">
                  <c:v>46744</c:v>
                </c:pt>
                <c:pt idx="1301">
                  <c:v>46745</c:v>
                </c:pt>
                <c:pt idx="1302">
                  <c:v>46746</c:v>
                </c:pt>
                <c:pt idx="1303">
                  <c:v>46747</c:v>
                </c:pt>
                <c:pt idx="1304">
                  <c:v>46748</c:v>
                </c:pt>
                <c:pt idx="1305">
                  <c:v>46749</c:v>
                </c:pt>
                <c:pt idx="1306">
                  <c:v>46750</c:v>
                </c:pt>
                <c:pt idx="1307">
                  <c:v>46751</c:v>
                </c:pt>
                <c:pt idx="1308">
                  <c:v>46752</c:v>
                </c:pt>
                <c:pt idx="1309">
                  <c:v>46753</c:v>
                </c:pt>
                <c:pt idx="1310">
                  <c:v>46754</c:v>
                </c:pt>
                <c:pt idx="1311">
                  <c:v>46755</c:v>
                </c:pt>
                <c:pt idx="1312">
                  <c:v>46756</c:v>
                </c:pt>
                <c:pt idx="1313">
                  <c:v>46757</c:v>
                </c:pt>
                <c:pt idx="1314">
                  <c:v>46758</c:v>
                </c:pt>
                <c:pt idx="1315">
                  <c:v>46759</c:v>
                </c:pt>
                <c:pt idx="1316">
                  <c:v>46760</c:v>
                </c:pt>
                <c:pt idx="1317">
                  <c:v>46761</c:v>
                </c:pt>
                <c:pt idx="1318">
                  <c:v>46762</c:v>
                </c:pt>
                <c:pt idx="1319">
                  <c:v>46763</c:v>
                </c:pt>
                <c:pt idx="1320">
                  <c:v>46764</c:v>
                </c:pt>
                <c:pt idx="1321">
                  <c:v>46765</c:v>
                </c:pt>
                <c:pt idx="1322">
                  <c:v>46766</c:v>
                </c:pt>
                <c:pt idx="1323">
                  <c:v>46767</c:v>
                </c:pt>
                <c:pt idx="1324">
                  <c:v>46768</c:v>
                </c:pt>
                <c:pt idx="1325">
                  <c:v>46769</c:v>
                </c:pt>
                <c:pt idx="1326">
                  <c:v>46770</c:v>
                </c:pt>
                <c:pt idx="1327">
                  <c:v>46771</c:v>
                </c:pt>
                <c:pt idx="1328">
                  <c:v>46772</c:v>
                </c:pt>
                <c:pt idx="1329">
                  <c:v>46773</c:v>
                </c:pt>
                <c:pt idx="1330">
                  <c:v>46774</c:v>
                </c:pt>
                <c:pt idx="1331">
                  <c:v>46775</c:v>
                </c:pt>
                <c:pt idx="1332">
                  <c:v>46776</c:v>
                </c:pt>
                <c:pt idx="1333">
                  <c:v>46777</c:v>
                </c:pt>
                <c:pt idx="1334">
                  <c:v>46778</c:v>
                </c:pt>
                <c:pt idx="1335">
                  <c:v>46779</c:v>
                </c:pt>
                <c:pt idx="1336">
                  <c:v>46780</c:v>
                </c:pt>
                <c:pt idx="1337">
                  <c:v>46781</c:v>
                </c:pt>
                <c:pt idx="1338">
                  <c:v>46782</c:v>
                </c:pt>
                <c:pt idx="1339">
                  <c:v>46783</c:v>
                </c:pt>
                <c:pt idx="1340">
                  <c:v>46784</c:v>
                </c:pt>
                <c:pt idx="1341">
                  <c:v>46785</c:v>
                </c:pt>
                <c:pt idx="1342">
                  <c:v>46786</c:v>
                </c:pt>
                <c:pt idx="1343">
                  <c:v>46787</c:v>
                </c:pt>
                <c:pt idx="1344">
                  <c:v>46788</c:v>
                </c:pt>
                <c:pt idx="1345">
                  <c:v>46789</c:v>
                </c:pt>
                <c:pt idx="1346">
                  <c:v>46790</c:v>
                </c:pt>
                <c:pt idx="1347">
                  <c:v>46791</c:v>
                </c:pt>
                <c:pt idx="1348">
                  <c:v>46792</c:v>
                </c:pt>
                <c:pt idx="1349">
                  <c:v>46793</c:v>
                </c:pt>
                <c:pt idx="1350">
                  <c:v>46794</c:v>
                </c:pt>
                <c:pt idx="1351">
                  <c:v>46795</c:v>
                </c:pt>
                <c:pt idx="1352">
                  <c:v>46796</c:v>
                </c:pt>
                <c:pt idx="1353">
                  <c:v>46797</c:v>
                </c:pt>
                <c:pt idx="1354">
                  <c:v>46798</c:v>
                </c:pt>
                <c:pt idx="1355">
                  <c:v>46799</c:v>
                </c:pt>
                <c:pt idx="1356">
                  <c:v>46800</c:v>
                </c:pt>
                <c:pt idx="1357">
                  <c:v>46801</c:v>
                </c:pt>
                <c:pt idx="1358">
                  <c:v>46802</c:v>
                </c:pt>
                <c:pt idx="1359">
                  <c:v>46803</c:v>
                </c:pt>
                <c:pt idx="1360">
                  <c:v>46804</c:v>
                </c:pt>
                <c:pt idx="1361">
                  <c:v>46805</c:v>
                </c:pt>
                <c:pt idx="1362">
                  <c:v>46806</c:v>
                </c:pt>
                <c:pt idx="1363">
                  <c:v>46807</c:v>
                </c:pt>
                <c:pt idx="1364">
                  <c:v>46808</c:v>
                </c:pt>
                <c:pt idx="1365">
                  <c:v>46809</c:v>
                </c:pt>
                <c:pt idx="1366">
                  <c:v>46810</c:v>
                </c:pt>
                <c:pt idx="1367">
                  <c:v>46811</c:v>
                </c:pt>
                <c:pt idx="1368">
                  <c:v>46812</c:v>
                </c:pt>
                <c:pt idx="1369">
                  <c:v>46813</c:v>
                </c:pt>
                <c:pt idx="1370">
                  <c:v>46814</c:v>
                </c:pt>
                <c:pt idx="1371">
                  <c:v>46815</c:v>
                </c:pt>
                <c:pt idx="1372">
                  <c:v>46816</c:v>
                </c:pt>
                <c:pt idx="1373">
                  <c:v>46817</c:v>
                </c:pt>
                <c:pt idx="1374">
                  <c:v>46818</c:v>
                </c:pt>
                <c:pt idx="1375">
                  <c:v>46819</c:v>
                </c:pt>
                <c:pt idx="1376">
                  <c:v>46820</c:v>
                </c:pt>
                <c:pt idx="1377">
                  <c:v>46821</c:v>
                </c:pt>
                <c:pt idx="1378">
                  <c:v>46822</c:v>
                </c:pt>
                <c:pt idx="1379">
                  <c:v>46823</c:v>
                </c:pt>
                <c:pt idx="1380">
                  <c:v>46824</c:v>
                </c:pt>
                <c:pt idx="1381">
                  <c:v>46825</c:v>
                </c:pt>
                <c:pt idx="1382">
                  <c:v>46826</c:v>
                </c:pt>
                <c:pt idx="1383">
                  <c:v>46827</c:v>
                </c:pt>
                <c:pt idx="1384">
                  <c:v>46828</c:v>
                </c:pt>
                <c:pt idx="1385">
                  <c:v>46829</c:v>
                </c:pt>
                <c:pt idx="1386">
                  <c:v>46830</c:v>
                </c:pt>
                <c:pt idx="1387">
                  <c:v>46831</c:v>
                </c:pt>
                <c:pt idx="1388">
                  <c:v>46832</c:v>
                </c:pt>
                <c:pt idx="1389">
                  <c:v>46833</c:v>
                </c:pt>
                <c:pt idx="1390">
                  <c:v>46834</c:v>
                </c:pt>
                <c:pt idx="1391">
                  <c:v>46835</c:v>
                </c:pt>
                <c:pt idx="1392">
                  <c:v>46836</c:v>
                </c:pt>
                <c:pt idx="1393">
                  <c:v>46837</c:v>
                </c:pt>
                <c:pt idx="1394">
                  <c:v>46838</c:v>
                </c:pt>
                <c:pt idx="1395">
                  <c:v>46839</c:v>
                </c:pt>
                <c:pt idx="1396">
                  <c:v>46840</c:v>
                </c:pt>
                <c:pt idx="1397">
                  <c:v>46841</c:v>
                </c:pt>
                <c:pt idx="1398">
                  <c:v>46842</c:v>
                </c:pt>
                <c:pt idx="1399">
                  <c:v>46843</c:v>
                </c:pt>
                <c:pt idx="1400">
                  <c:v>46844</c:v>
                </c:pt>
                <c:pt idx="1401">
                  <c:v>46845</c:v>
                </c:pt>
                <c:pt idx="1402">
                  <c:v>46846</c:v>
                </c:pt>
                <c:pt idx="1403">
                  <c:v>46847</c:v>
                </c:pt>
                <c:pt idx="1404">
                  <c:v>46848</c:v>
                </c:pt>
                <c:pt idx="1405">
                  <c:v>46849</c:v>
                </c:pt>
                <c:pt idx="1406">
                  <c:v>46850</c:v>
                </c:pt>
                <c:pt idx="1407">
                  <c:v>46851</c:v>
                </c:pt>
                <c:pt idx="1408">
                  <c:v>46852</c:v>
                </c:pt>
                <c:pt idx="1409">
                  <c:v>46853</c:v>
                </c:pt>
                <c:pt idx="1410">
                  <c:v>46854</c:v>
                </c:pt>
                <c:pt idx="1411">
                  <c:v>46855</c:v>
                </c:pt>
                <c:pt idx="1412">
                  <c:v>46856</c:v>
                </c:pt>
                <c:pt idx="1413">
                  <c:v>46857</c:v>
                </c:pt>
                <c:pt idx="1414">
                  <c:v>46858</c:v>
                </c:pt>
                <c:pt idx="1415">
                  <c:v>46859</c:v>
                </c:pt>
                <c:pt idx="1416">
                  <c:v>46860</c:v>
                </c:pt>
                <c:pt idx="1417">
                  <c:v>46861</c:v>
                </c:pt>
                <c:pt idx="1418">
                  <c:v>46862</c:v>
                </c:pt>
                <c:pt idx="1419">
                  <c:v>46863</c:v>
                </c:pt>
                <c:pt idx="1420">
                  <c:v>46864</c:v>
                </c:pt>
                <c:pt idx="1421">
                  <c:v>46865</c:v>
                </c:pt>
                <c:pt idx="1422">
                  <c:v>46866</c:v>
                </c:pt>
                <c:pt idx="1423">
                  <c:v>46867</c:v>
                </c:pt>
                <c:pt idx="1424">
                  <c:v>46868</c:v>
                </c:pt>
                <c:pt idx="1425">
                  <c:v>46869</c:v>
                </c:pt>
                <c:pt idx="1426">
                  <c:v>46870</c:v>
                </c:pt>
                <c:pt idx="1427">
                  <c:v>46871</c:v>
                </c:pt>
                <c:pt idx="1428">
                  <c:v>46872</c:v>
                </c:pt>
                <c:pt idx="1429">
                  <c:v>46873</c:v>
                </c:pt>
                <c:pt idx="1430">
                  <c:v>46874</c:v>
                </c:pt>
                <c:pt idx="1431">
                  <c:v>46875</c:v>
                </c:pt>
                <c:pt idx="1432">
                  <c:v>46876</c:v>
                </c:pt>
                <c:pt idx="1433">
                  <c:v>46877</c:v>
                </c:pt>
                <c:pt idx="1434">
                  <c:v>46878</c:v>
                </c:pt>
                <c:pt idx="1435">
                  <c:v>46879</c:v>
                </c:pt>
                <c:pt idx="1436">
                  <c:v>46880</c:v>
                </c:pt>
                <c:pt idx="1437">
                  <c:v>46881</c:v>
                </c:pt>
                <c:pt idx="1438">
                  <c:v>46882</c:v>
                </c:pt>
                <c:pt idx="1439">
                  <c:v>46883</c:v>
                </c:pt>
                <c:pt idx="1440">
                  <c:v>46884</c:v>
                </c:pt>
                <c:pt idx="1441">
                  <c:v>46885</c:v>
                </c:pt>
                <c:pt idx="1442">
                  <c:v>46886</c:v>
                </c:pt>
                <c:pt idx="1443">
                  <c:v>46887</c:v>
                </c:pt>
                <c:pt idx="1444">
                  <c:v>46888</c:v>
                </c:pt>
                <c:pt idx="1445">
                  <c:v>46889</c:v>
                </c:pt>
                <c:pt idx="1446">
                  <c:v>46890</c:v>
                </c:pt>
                <c:pt idx="1447">
                  <c:v>46891</c:v>
                </c:pt>
                <c:pt idx="1448">
                  <c:v>46892</c:v>
                </c:pt>
                <c:pt idx="1449">
                  <c:v>46893</c:v>
                </c:pt>
                <c:pt idx="1450">
                  <c:v>46894</c:v>
                </c:pt>
                <c:pt idx="1451">
                  <c:v>46895</c:v>
                </c:pt>
                <c:pt idx="1452">
                  <c:v>46896</c:v>
                </c:pt>
                <c:pt idx="1453">
                  <c:v>46897</c:v>
                </c:pt>
                <c:pt idx="1454">
                  <c:v>46898</c:v>
                </c:pt>
                <c:pt idx="1455">
                  <c:v>46899</c:v>
                </c:pt>
                <c:pt idx="1456">
                  <c:v>46900</c:v>
                </c:pt>
                <c:pt idx="1457">
                  <c:v>46901</c:v>
                </c:pt>
                <c:pt idx="1458">
                  <c:v>46902</c:v>
                </c:pt>
                <c:pt idx="1459">
                  <c:v>46903</c:v>
                </c:pt>
                <c:pt idx="1460">
                  <c:v>46904</c:v>
                </c:pt>
                <c:pt idx="1461">
                  <c:v>46905</c:v>
                </c:pt>
                <c:pt idx="1462">
                  <c:v>46906</c:v>
                </c:pt>
                <c:pt idx="1463">
                  <c:v>46907</c:v>
                </c:pt>
                <c:pt idx="1464">
                  <c:v>46908</c:v>
                </c:pt>
                <c:pt idx="1465">
                  <c:v>46909</c:v>
                </c:pt>
                <c:pt idx="1466">
                  <c:v>46910</c:v>
                </c:pt>
                <c:pt idx="1467">
                  <c:v>46911</c:v>
                </c:pt>
                <c:pt idx="1468">
                  <c:v>46912</c:v>
                </c:pt>
                <c:pt idx="1469">
                  <c:v>46913</c:v>
                </c:pt>
                <c:pt idx="1470">
                  <c:v>46914</c:v>
                </c:pt>
                <c:pt idx="1471">
                  <c:v>46915</c:v>
                </c:pt>
                <c:pt idx="1472">
                  <c:v>46916</c:v>
                </c:pt>
                <c:pt idx="1473">
                  <c:v>46917</c:v>
                </c:pt>
                <c:pt idx="1474">
                  <c:v>46918</c:v>
                </c:pt>
                <c:pt idx="1475">
                  <c:v>46919</c:v>
                </c:pt>
                <c:pt idx="1476">
                  <c:v>46920</c:v>
                </c:pt>
                <c:pt idx="1477">
                  <c:v>46921</c:v>
                </c:pt>
                <c:pt idx="1478">
                  <c:v>46922</c:v>
                </c:pt>
                <c:pt idx="1479">
                  <c:v>46923</c:v>
                </c:pt>
                <c:pt idx="1480">
                  <c:v>46924</c:v>
                </c:pt>
                <c:pt idx="1481">
                  <c:v>46925</c:v>
                </c:pt>
                <c:pt idx="1482">
                  <c:v>46926</c:v>
                </c:pt>
                <c:pt idx="1483">
                  <c:v>46927</c:v>
                </c:pt>
                <c:pt idx="1484">
                  <c:v>46928</c:v>
                </c:pt>
                <c:pt idx="1485">
                  <c:v>46929</c:v>
                </c:pt>
                <c:pt idx="1486">
                  <c:v>46930</c:v>
                </c:pt>
                <c:pt idx="1487">
                  <c:v>46931</c:v>
                </c:pt>
                <c:pt idx="1488">
                  <c:v>46932</c:v>
                </c:pt>
                <c:pt idx="1489">
                  <c:v>46933</c:v>
                </c:pt>
                <c:pt idx="1490">
                  <c:v>46934</c:v>
                </c:pt>
                <c:pt idx="1491">
                  <c:v>46935</c:v>
                </c:pt>
                <c:pt idx="1492">
                  <c:v>46936</c:v>
                </c:pt>
                <c:pt idx="1493">
                  <c:v>46937</c:v>
                </c:pt>
                <c:pt idx="1494">
                  <c:v>46938</c:v>
                </c:pt>
                <c:pt idx="1495">
                  <c:v>46939</c:v>
                </c:pt>
                <c:pt idx="1496">
                  <c:v>46940</c:v>
                </c:pt>
                <c:pt idx="1497">
                  <c:v>46941</c:v>
                </c:pt>
                <c:pt idx="1498">
                  <c:v>46942</c:v>
                </c:pt>
                <c:pt idx="1499">
                  <c:v>46943</c:v>
                </c:pt>
                <c:pt idx="1500">
                  <c:v>46944</c:v>
                </c:pt>
                <c:pt idx="1501">
                  <c:v>46945</c:v>
                </c:pt>
                <c:pt idx="1502">
                  <c:v>46946</c:v>
                </c:pt>
                <c:pt idx="1503">
                  <c:v>46947</c:v>
                </c:pt>
                <c:pt idx="1504">
                  <c:v>46948</c:v>
                </c:pt>
                <c:pt idx="1505">
                  <c:v>46949</c:v>
                </c:pt>
                <c:pt idx="1506">
                  <c:v>46950</c:v>
                </c:pt>
                <c:pt idx="1507">
                  <c:v>46951</c:v>
                </c:pt>
                <c:pt idx="1508">
                  <c:v>46952</c:v>
                </c:pt>
                <c:pt idx="1509">
                  <c:v>46953</c:v>
                </c:pt>
                <c:pt idx="1510">
                  <c:v>46954</c:v>
                </c:pt>
                <c:pt idx="1511">
                  <c:v>46955</c:v>
                </c:pt>
                <c:pt idx="1512">
                  <c:v>46956</c:v>
                </c:pt>
                <c:pt idx="1513">
                  <c:v>46957</c:v>
                </c:pt>
                <c:pt idx="1514">
                  <c:v>46958</c:v>
                </c:pt>
                <c:pt idx="1515">
                  <c:v>46959</c:v>
                </c:pt>
                <c:pt idx="1516">
                  <c:v>46960</c:v>
                </c:pt>
                <c:pt idx="1517">
                  <c:v>46961</c:v>
                </c:pt>
                <c:pt idx="1518">
                  <c:v>46962</c:v>
                </c:pt>
                <c:pt idx="1519">
                  <c:v>46963</c:v>
                </c:pt>
                <c:pt idx="1520">
                  <c:v>46964</c:v>
                </c:pt>
                <c:pt idx="1521">
                  <c:v>46965</c:v>
                </c:pt>
                <c:pt idx="1522">
                  <c:v>46966</c:v>
                </c:pt>
                <c:pt idx="1523">
                  <c:v>46967</c:v>
                </c:pt>
                <c:pt idx="1524">
                  <c:v>46968</c:v>
                </c:pt>
                <c:pt idx="1525">
                  <c:v>46969</c:v>
                </c:pt>
                <c:pt idx="1526">
                  <c:v>46970</c:v>
                </c:pt>
                <c:pt idx="1527">
                  <c:v>46971</c:v>
                </c:pt>
                <c:pt idx="1528">
                  <c:v>46972</c:v>
                </c:pt>
                <c:pt idx="1529">
                  <c:v>46973</c:v>
                </c:pt>
                <c:pt idx="1530">
                  <c:v>46974</c:v>
                </c:pt>
                <c:pt idx="1531">
                  <c:v>46975</c:v>
                </c:pt>
                <c:pt idx="1532">
                  <c:v>46976</c:v>
                </c:pt>
                <c:pt idx="1533">
                  <c:v>46977</c:v>
                </c:pt>
                <c:pt idx="1534">
                  <c:v>46978</c:v>
                </c:pt>
                <c:pt idx="1535">
                  <c:v>46979</c:v>
                </c:pt>
                <c:pt idx="1536">
                  <c:v>46980</c:v>
                </c:pt>
                <c:pt idx="1537">
                  <c:v>46981</c:v>
                </c:pt>
                <c:pt idx="1538">
                  <c:v>46982</c:v>
                </c:pt>
                <c:pt idx="1539">
                  <c:v>46983</c:v>
                </c:pt>
                <c:pt idx="1540">
                  <c:v>46984</c:v>
                </c:pt>
                <c:pt idx="1541">
                  <c:v>46985</c:v>
                </c:pt>
                <c:pt idx="1542">
                  <c:v>46986</c:v>
                </c:pt>
                <c:pt idx="1543">
                  <c:v>46987</c:v>
                </c:pt>
                <c:pt idx="1544">
                  <c:v>46988</c:v>
                </c:pt>
                <c:pt idx="1545">
                  <c:v>46989</c:v>
                </c:pt>
                <c:pt idx="1546">
                  <c:v>46990</c:v>
                </c:pt>
                <c:pt idx="1547">
                  <c:v>46991</c:v>
                </c:pt>
                <c:pt idx="1548">
                  <c:v>46992</c:v>
                </c:pt>
                <c:pt idx="1549">
                  <c:v>46993</c:v>
                </c:pt>
                <c:pt idx="1550">
                  <c:v>46994</c:v>
                </c:pt>
                <c:pt idx="1551">
                  <c:v>46995</c:v>
                </c:pt>
                <c:pt idx="1552">
                  <c:v>46996</c:v>
                </c:pt>
                <c:pt idx="1553">
                  <c:v>46997</c:v>
                </c:pt>
                <c:pt idx="1554">
                  <c:v>46998</c:v>
                </c:pt>
                <c:pt idx="1555">
                  <c:v>46999</c:v>
                </c:pt>
                <c:pt idx="1556">
                  <c:v>47000</c:v>
                </c:pt>
                <c:pt idx="1557">
                  <c:v>47001</c:v>
                </c:pt>
                <c:pt idx="1558">
                  <c:v>47002</c:v>
                </c:pt>
                <c:pt idx="1559">
                  <c:v>47003</c:v>
                </c:pt>
                <c:pt idx="1560">
                  <c:v>47004</c:v>
                </c:pt>
                <c:pt idx="1561">
                  <c:v>47005</c:v>
                </c:pt>
                <c:pt idx="1562">
                  <c:v>47006</c:v>
                </c:pt>
                <c:pt idx="1563">
                  <c:v>47007</c:v>
                </c:pt>
                <c:pt idx="1564">
                  <c:v>47008</c:v>
                </c:pt>
                <c:pt idx="1565">
                  <c:v>47009</c:v>
                </c:pt>
                <c:pt idx="1566">
                  <c:v>47010</c:v>
                </c:pt>
                <c:pt idx="1567">
                  <c:v>47011</c:v>
                </c:pt>
                <c:pt idx="1568">
                  <c:v>47012</c:v>
                </c:pt>
                <c:pt idx="1569">
                  <c:v>47013</c:v>
                </c:pt>
                <c:pt idx="1570">
                  <c:v>47014</c:v>
                </c:pt>
                <c:pt idx="1571">
                  <c:v>47015</c:v>
                </c:pt>
                <c:pt idx="1572">
                  <c:v>47016</c:v>
                </c:pt>
                <c:pt idx="1573">
                  <c:v>47017</c:v>
                </c:pt>
                <c:pt idx="1574">
                  <c:v>47018</c:v>
                </c:pt>
                <c:pt idx="1575">
                  <c:v>47019</c:v>
                </c:pt>
                <c:pt idx="1576">
                  <c:v>47020</c:v>
                </c:pt>
                <c:pt idx="1577">
                  <c:v>47021</c:v>
                </c:pt>
                <c:pt idx="1578">
                  <c:v>47022</c:v>
                </c:pt>
                <c:pt idx="1579">
                  <c:v>47023</c:v>
                </c:pt>
                <c:pt idx="1580">
                  <c:v>47024</c:v>
                </c:pt>
                <c:pt idx="1581">
                  <c:v>47025</c:v>
                </c:pt>
                <c:pt idx="1582">
                  <c:v>47026</c:v>
                </c:pt>
                <c:pt idx="1583">
                  <c:v>47027</c:v>
                </c:pt>
                <c:pt idx="1584">
                  <c:v>47028</c:v>
                </c:pt>
                <c:pt idx="1585">
                  <c:v>47029</c:v>
                </c:pt>
                <c:pt idx="1586">
                  <c:v>47030</c:v>
                </c:pt>
                <c:pt idx="1587">
                  <c:v>47031</c:v>
                </c:pt>
                <c:pt idx="1588">
                  <c:v>47032</c:v>
                </c:pt>
                <c:pt idx="1589">
                  <c:v>47033</c:v>
                </c:pt>
                <c:pt idx="1590">
                  <c:v>47034</c:v>
                </c:pt>
                <c:pt idx="1591">
                  <c:v>47035</c:v>
                </c:pt>
                <c:pt idx="1592">
                  <c:v>47036</c:v>
                </c:pt>
                <c:pt idx="1593">
                  <c:v>47037</c:v>
                </c:pt>
                <c:pt idx="1594">
                  <c:v>47038</c:v>
                </c:pt>
                <c:pt idx="1595">
                  <c:v>47039</c:v>
                </c:pt>
                <c:pt idx="1596">
                  <c:v>47040</c:v>
                </c:pt>
                <c:pt idx="1597">
                  <c:v>47041</c:v>
                </c:pt>
                <c:pt idx="1598">
                  <c:v>47042</c:v>
                </c:pt>
                <c:pt idx="1599">
                  <c:v>47043</c:v>
                </c:pt>
                <c:pt idx="1600">
                  <c:v>47044</c:v>
                </c:pt>
                <c:pt idx="1601">
                  <c:v>47045</c:v>
                </c:pt>
                <c:pt idx="1602">
                  <c:v>47046</c:v>
                </c:pt>
                <c:pt idx="1603">
                  <c:v>47047</c:v>
                </c:pt>
                <c:pt idx="1604">
                  <c:v>47048</c:v>
                </c:pt>
                <c:pt idx="1605">
                  <c:v>47049</c:v>
                </c:pt>
                <c:pt idx="1606">
                  <c:v>47050</c:v>
                </c:pt>
                <c:pt idx="1607">
                  <c:v>47051</c:v>
                </c:pt>
                <c:pt idx="1608">
                  <c:v>47052</c:v>
                </c:pt>
                <c:pt idx="1609">
                  <c:v>47053</c:v>
                </c:pt>
                <c:pt idx="1610">
                  <c:v>47054</c:v>
                </c:pt>
                <c:pt idx="1611">
                  <c:v>47055</c:v>
                </c:pt>
                <c:pt idx="1612">
                  <c:v>47056</c:v>
                </c:pt>
                <c:pt idx="1613">
                  <c:v>47057</c:v>
                </c:pt>
                <c:pt idx="1614">
                  <c:v>47058</c:v>
                </c:pt>
                <c:pt idx="1615">
                  <c:v>47059</c:v>
                </c:pt>
                <c:pt idx="1616">
                  <c:v>47060</c:v>
                </c:pt>
                <c:pt idx="1617">
                  <c:v>47061</c:v>
                </c:pt>
                <c:pt idx="1618">
                  <c:v>47062</c:v>
                </c:pt>
                <c:pt idx="1619">
                  <c:v>47063</c:v>
                </c:pt>
                <c:pt idx="1620">
                  <c:v>47064</c:v>
                </c:pt>
                <c:pt idx="1621">
                  <c:v>47065</c:v>
                </c:pt>
                <c:pt idx="1622">
                  <c:v>47066</c:v>
                </c:pt>
                <c:pt idx="1623">
                  <c:v>47067</c:v>
                </c:pt>
                <c:pt idx="1624">
                  <c:v>47068</c:v>
                </c:pt>
                <c:pt idx="1625">
                  <c:v>47069</c:v>
                </c:pt>
                <c:pt idx="1626">
                  <c:v>47070</c:v>
                </c:pt>
                <c:pt idx="1627">
                  <c:v>47071</c:v>
                </c:pt>
                <c:pt idx="1628">
                  <c:v>47072</c:v>
                </c:pt>
                <c:pt idx="1629">
                  <c:v>47073</c:v>
                </c:pt>
                <c:pt idx="1630">
                  <c:v>47074</c:v>
                </c:pt>
                <c:pt idx="1631">
                  <c:v>47075</c:v>
                </c:pt>
                <c:pt idx="1632">
                  <c:v>47076</c:v>
                </c:pt>
                <c:pt idx="1633">
                  <c:v>47077</c:v>
                </c:pt>
                <c:pt idx="1634">
                  <c:v>47078</c:v>
                </c:pt>
                <c:pt idx="1635">
                  <c:v>47079</c:v>
                </c:pt>
                <c:pt idx="1636">
                  <c:v>47080</c:v>
                </c:pt>
                <c:pt idx="1637">
                  <c:v>47081</c:v>
                </c:pt>
                <c:pt idx="1638">
                  <c:v>47082</c:v>
                </c:pt>
                <c:pt idx="1639">
                  <c:v>47083</c:v>
                </c:pt>
                <c:pt idx="1640">
                  <c:v>47084</c:v>
                </c:pt>
                <c:pt idx="1641">
                  <c:v>47085</c:v>
                </c:pt>
                <c:pt idx="1642">
                  <c:v>47086</c:v>
                </c:pt>
                <c:pt idx="1643">
                  <c:v>47087</c:v>
                </c:pt>
                <c:pt idx="1644">
                  <c:v>47088</c:v>
                </c:pt>
                <c:pt idx="1645">
                  <c:v>47089</c:v>
                </c:pt>
                <c:pt idx="1646">
                  <c:v>47090</c:v>
                </c:pt>
                <c:pt idx="1647">
                  <c:v>47091</c:v>
                </c:pt>
                <c:pt idx="1648">
                  <c:v>47092</c:v>
                </c:pt>
                <c:pt idx="1649">
                  <c:v>47093</c:v>
                </c:pt>
                <c:pt idx="1650">
                  <c:v>47094</c:v>
                </c:pt>
                <c:pt idx="1651">
                  <c:v>47095</c:v>
                </c:pt>
                <c:pt idx="1652">
                  <c:v>47096</c:v>
                </c:pt>
                <c:pt idx="1653">
                  <c:v>47097</c:v>
                </c:pt>
                <c:pt idx="1654">
                  <c:v>47098</c:v>
                </c:pt>
                <c:pt idx="1655">
                  <c:v>47099</c:v>
                </c:pt>
                <c:pt idx="1656">
                  <c:v>47100</c:v>
                </c:pt>
                <c:pt idx="1657">
                  <c:v>47101</c:v>
                </c:pt>
                <c:pt idx="1658">
                  <c:v>47102</c:v>
                </c:pt>
                <c:pt idx="1659">
                  <c:v>47103</c:v>
                </c:pt>
                <c:pt idx="1660">
                  <c:v>47104</c:v>
                </c:pt>
                <c:pt idx="1661">
                  <c:v>47105</c:v>
                </c:pt>
                <c:pt idx="1662">
                  <c:v>47106</c:v>
                </c:pt>
                <c:pt idx="1663">
                  <c:v>47107</c:v>
                </c:pt>
                <c:pt idx="1664">
                  <c:v>47108</c:v>
                </c:pt>
                <c:pt idx="1665">
                  <c:v>47109</c:v>
                </c:pt>
                <c:pt idx="1666">
                  <c:v>47110</c:v>
                </c:pt>
                <c:pt idx="1667">
                  <c:v>47111</c:v>
                </c:pt>
                <c:pt idx="1668">
                  <c:v>47112</c:v>
                </c:pt>
                <c:pt idx="1669">
                  <c:v>47113</c:v>
                </c:pt>
                <c:pt idx="1670">
                  <c:v>47114</c:v>
                </c:pt>
                <c:pt idx="1671">
                  <c:v>47115</c:v>
                </c:pt>
                <c:pt idx="1672">
                  <c:v>47116</c:v>
                </c:pt>
                <c:pt idx="1673">
                  <c:v>47117</c:v>
                </c:pt>
                <c:pt idx="1674">
                  <c:v>47118</c:v>
                </c:pt>
              </c:numCache>
            </c:numRef>
          </c:cat>
          <c:val>
            <c:numRef>
              <c:f>'5.4'!$D$6:$D$1680</c:f>
              <c:numCache>
                <c:formatCode>0</c:formatCode>
                <c:ptCount val="1675"/>
                <c:pt idx="0">
                  <c:v>141.83117079350899</c:v>
                </c:pt>
                <c:pt idx="1">
                  <c:v>81.999635035004601</c:v>
                </c:pt>
                <c:pt idx="2">
                  <c:v>67.1856864724395</c:v>
                </c:pt>
                <c:pt idx="3">
                  <c:v>203.22931421096499</c:v>
                </c:pt>
                <c:pt idx="4">
                  <c:v>164.97865709928001</c:v>
                </c:pt>
                <c:pt idx="5">
                  <c:v>210.020773402066</c:v>
                </c:pt>
                <c:pt idx="6">
                  <c:v>164.32554877543799</c:v>
                </c:pt>
                <c:pt idx="7">
                  <c:v>48.3556314105249</c:v>
                </c:pt>
                <c:pt idx="8">
                  <c:v>2.9492506085730201</c:v>
                </c:pt>
                <c:pt idx="9">
                  <c:v>43.728914837334102</c:v>
                </c:pt>
                <c:pt idx="10">
                  <c:v>29.0942573485457</c:v>
                </c:pt>
                <c:pt idx="11">
                  <c:v>63.933944589236198</c:v>
                </c:pt>
                <c:pt idx="12">
                  <c:v>104.471676260791</c:v>
                </c:pt>
                <c:pt idx="13">
                  <c:v>150.87156292493901</c:v>
                </c:pt>
                <c:pt idx="14">
                  <c:v>185.000251360346</c:v>
                </c:pt>
                <c:pt idx="15">
                  <c:v>144.287852408003</c:v>
                </c:pt>
                <c:pt idx="16">
                  <c:v>76.0882113902708</c:v>
                </c:pt>
                <c:pt idx="17">
                  <c:v>116.33163508051101</c:v>
                </c:pt>
                <c:pt idx="18">
                  <c:v>375.069744881433</c:v>
                </c:pt>
                <c:pt idx="19">
                  <c:v>561.65418639969005</c:v>
                </c:pt>
                <c:pt idx="20">
                  <c:v>385.298629680381</c:v>
                </c:pt>
                <c:pt idx="21">
                  <c:v>220.40695885826099</c:v>
                </c:pt>
                <c:pt idx="22">
                  <c:v>232.65863821712699</c:v>
                </c:pt>
                <c:pt idx="23">
                  <c:v>398.97060539925201</c:v>
                </c:pt>
                <c:pt idx="24">
                  <c:v>401.869408379253</c:v>
                </c:pt>
                <c:pt idx="25">
                  <c:v>209.43772294261001</c:v>
                </c:pt>
                <c:pt idx="26">
                  <c:v>64.051063356986006</c:v>
                </c:pt>
                <c:pt idx="27">
                  <c:v>49.6245589535269</c:v>
                </c:pt>
                <c:pt idx="28">
                  <c:v>28.466083968952098</c:v>
                </c:pt>
                <c:pt idx="29">
                  <c:v>191.827569017027</c:v>
                </c:pt>
                <c:pt idx="30">
                  <c:v>226.42172274447901</c:v>
                </c:pt>
                <c:pt idx="31">
                  <c:v>90.305829393589903</c:v>
                </c:pt>
                <c:pt idx="32">
                  <c:v>93.345976771668205</c:v>
                </c:pt>
                <c:pt idx="33">
                  <c:v>35.396428647739</c:v>
                </c:pt>
                <c:pt idx="34">
                  <c:v>58.270409132322598</c:v>
                </c:pt>
                <c:pt idx="35">
                  <c:v>61.264482763557702</c:v>
                </c:pt>
                <c:pt idx="36">
                  <c:v>67.635211598696102</c:v>
                </c:pt>
                <c:pt idx="37">
                  <c:v>291.90314651432902</c:v>
                </c:pt>
                <c:pt idx="38">
                  <c:v>447.44312006923298</c:v>
                </c:pt>
                <c:pt idx="39">
                  <c:v>268.31675674041901</c:v>
                </c:pt>
                <c:pt idx="40">
                  <c:v>437.375958785899</c:v>
                </c:pt>
                <c:pt idx="41">
                  <c:v>364.71988303828402</c:v>
                </c:pt>
                <c:pt idx="42">
                  <c:v>69.617914229806502</c:v>
                </c:pt>
                <c:pt idx="43">
                  <c:v>40.295136829896997</c:v>
                </c:pt>
                <c:pt idx="44">
                  <c:v>104.606943192893</c:v>
                </c:pt>
                <c:pt idx="45">
                  <c:v>49.819965000689599</c:v>
                </c:pt>
                <c:pt idx="46">
                  <c:v>27.2836801582968</c:v>
                </c:pt>
                <c:pt idx="47">
                  <c:v>45.578659384127299</c:v>
                </c:pt>
                <c:pt idx="48">
                  <c:v>103.972968264401</c:v>
                </c:pt>
                <c:pt idx="49">
                  <c:v>152.27272764143299</c:v>
                </c:pt>
                <c:pt idx="50">
                  <c:v>32.106395645471501</c:v>
                </c:pt>
                <c:pt idx="51">
                  <c:v>66.625837999373402</c:v>
                </c:pt>
                <c:pt idx="52">
                  <c:v>53.722401774514701</c:v>
                </c:pt>
                <c:pt idx="53">
                  <c:v>226.780679348989</c:v>
                </c:pt>
                <c:pt idx="54">
                  <c:v>260.52471707420699</c:v>
                </c:pt>
                <c:pt idx="55">
                  <c:v>230.88874592042501</c:v>
                </c:pt>
                <c:pt idx="56">
                  <c:v>140.43799964702001</c:v>
                </c:pt>
                <c:pt idx="57">
                  <c:v>28.658598700472702</c:v>
                </c:pt>
                <c:pt idx="58">
                  <c:v>72.696085653910899</c:v>
                </c:pt>
                <c:pt idx="59">
                  <c:v>80.847123147784302</c:v>
                </c:pt>
                <c:pt idx="60">
                  <c:v>286.20704140973498</c:v>
                </c:pt>
                <c:pt idx="61">
                  <c:v>88.687073511056198</c:v>
                </c:pt>
                <c:pt idx="62">
                  <c:v>54.280491270520599</c:v>
                </c:pt>
                <c:pt idx="63">
                  <c:v>28.867709602093999</c:v>
                </c:pt>
                <c:pt idx="64">
                  <c:v>6.9704421129181204</c:v>
                </c:pt>
                <c:pt idx="65">
                  <c:v>45.276091465998</c:v>
                </c:pt>
                <c:pt idx="66">
                  <c:v>53.8789163370501</c:v>
                </c:pt>
                <c:pt idx="67">
                  <c:v>185.03530667216901</c:v>
                </c:pt>
                <c:pt idx="68">
                  <c:v>94.894757905676101</c:v>
                </c:pt>
                <c:pt idx="69">
                  <c:v>73.447273700471797</c:v>
                </c:pt>
                <c:pt idx="70">
                  <c:v>10.383338939552401</c:v>
                </c:pt>
                <c:pt idx="71">
                  <c:v>19.3994465558504</c:v>
                </c:pt>
                <c:pt idx="72">
                  <c:v>93.543601659079698</c:v>
                </c:pt>
                <c:pt idx="73">
                  <c:v>26.694717836289001</c:v>
                </c:pt>
                <c:pt idx="74">
                  <c:v>29.948172523837702</c:v>
                </c:pt>
                <c:pt idx="75">
                  <c:v>257.87070984118202</c:v>
                </c:pt>
                <c:pt idx="76">
                  <c:v>105.50329851532599</c:v>
                </c:pt>
                <c:pt idx="77">
                  <c:v>20.1183805319002</c:v>
                </c:pt>
                <c:pt idx="78">
                  <c:v>83.275264544014604</c:v>
                </c:pt>
                <c:pt idx="79">
                  <c:v>222.57765849558101</c:v>
                </c:pt>
                <c:pt idx="80">
                  <c:v>201.54252508365701</c:v>
                </c:pt>
                <c:pt idx="81">
                  <c:v>257.23385062919903</c:v>
                </c:pt>
                <c:pt idx="82">
                  <c:v>337.65256808175798</c:v>
                </c:pt>
                <c:pt idx="83">
                  <c:v>121.04453182883</c:v>
                </c:pt>
                <c:pt idx="84">
                  <c:v>136.99508887565199</c:v>
                </c:pt>
                <c:pt idx="85">
                  <c:v>121.015853895693</c:v>
                </c:pt>
                <c:pt idx="86">
                  <c:v>303.57514033966498</c:v>
                </c:pt>
                <c:pt idx="87">
                  <c:v>492.41925529948298</c:v>
                </c:pt>
                <c:pt idx="88">
                  <c:v>278.73061786532702</c:v>
                </c:pt>
                <c:pt idx="89">
                  <c:v>116.579663274711</c:v>
                </c:pt>
                <c:pt idx="90">
                  <c:v>91.051469145199604</c:v>
                </c:pt>
                <c:pt idx="91">
                  <c:v>165.23949234851301</c:v>
                </c:pt>
                <c:pt idx="92">
                  <c:v>133.41403236377101</c:v>
                </c:pt>
                <c:pt idx="93">
                  <c:v>205.088128555569</c:v>
                </c:pt>
                <c:pt idx="94">
                  <c:v>167.62151221034</c:v>
                </c:pt>
                <c:pt idx="95">
                  <c:v>26.200305163526199</c:v>
                </c:pt>
                <c:pt idx="96">
                  <c:v>43.100265272309102</c:v>
                </c:pt>
                <c:pt idx="97">
                  <c:v>165.73838470383399</c:v>
                </c:pt>
                <c:pt idx="98">
                  <c:v>69.892548526698604</c:v>
                </c:pt>
                <c:pt idx="99">
                  <c:v>37.828499649684801</c:v>
                </c:pt>
                <c:pt idx="100">
                  <c:v>134.445231958992</c:v>
                </c:pt>
                <c:pt idx="101">
                  <c:v>1.18653626738302</c:v>
                </c:pt>
                <c:pt idx="102">
                  <c:v>107.611282764877</c:v>
                </c:pt>
                <c:pt idx="103">
                  <c:v>155.24695055470801</c:v>
                </c:pt>
                <c:pt idx="104">
                  <c:v>5.2119359994274204</c:v>
                </c:pt>
                <c:pt idx="105">
                  <c:v>0</c:v>
                </c:pt>
                <c:pt idx="106">
                  <c:v>155.103744104322</c:v>
                </c:pt>
                <c:pt idx="107">
                  <c:v>108.37821477855</c:v>
                </c:pt>
                <c:pt idx="108">
                  <c:v>76.151793224714496</c:v>
                </c:pt>
                <c:pt idx="109">
                  <c:v>178.285471276951</c:v>
                </c:pt>
                <c:pt idx="110">
                  <c:v>370.08526077800298</c:v>
                </c:pt>
                <c:pt idx="111">
                  <c:v>319.36490717883203</c:v>
                </c:pt>
                <c:pt idx="112">
                  <c:v>143.789235308109</c:v>
                </c:pt>
                <c:pt idx="113">
                  <c:v>83.436000933993896</c:v>
                </c:pt>
                <c:pt idx="114">
                  <c:v>108.83121887887199</c:v>
                </c:pt>
                <c:pt idx="115">
                  <c:v>160.69780599915899</c:v>
                </c:pt>
                <c:pt idx="116">
                  <c:v>199.47385736761601</c:v>
                </c:pt>
                <c:pt idx="117">
                  <c:v>88.883049369683803</c:v>
                </c:pt>
                <c:pt idx="118">
                  <c:v>63.057674244458603</c:v>
                </c:pt>
                <c:pt idx="119">
                  <c:v>117.968786693336</c:v>
                </c:pt>
                <c:pt idx="120">
                  <c:v>111.22679407301</c:v>
                </c:pt>
                <c:pt idx="121">
                  <c:v>62.058721586324097</c:v>
                </c:pt>
                <c:pt idx="122">
                  <c:v>36.553428756253702</c:v>
                </c:pt>
                <c:pt idx="123">
                  <c:v>81.625718507621798</c:v>
                </c:pt>
                <c:pt idx="124">
                  <c:v>46.725369221932297</c:v>
                </c:pt>
                <c:pt idx="125">
                  <c:v>51.5119512403352</c:v>
                </c:pt>
                <c:pt idx="126">
                  <c:v>63.766101705502003</c:v>
                </c:pt>
                <c:pt idx="127">
                  <c:v>47.283775077552001</c:v>
                </c:pt>
                <c:pt idx="128">
                  <c:v>76.626945462708903</c:v>
                </c:pt>
                <c:pt idx="129">
                  <c:v>83.055306325079499</c:v>
                </c:pt>
                <c:pt idx="130">
                  <c:v>22.324306563219501</c:v>
                </c:pt>
                <c:pt idx="131">
                  <c:v>55.339912663027299</c:v>
                </c:pt>
                <c:pt idx="132">
                  <c:v>50.654489693455297</c:v>
                </c:pt>
                <c:pt idx="133">
                  <c:v>10.771541147213799</c:v>
                </c:pt>
                <c:pt idx="134">
                  <c:v>0</c:v>
                </c:pt>
                <c:pt idx="135">
                  <c:v>7.6688844484194796</c:v>
                </c:pt>
                <c:pt idx="136">
                  <c:v>37.015403483213397</c:v>
                </c:pt>
                <c:pt idx="137">
                  <c:v>66.762418100474505</c:v>
                </c:pt>
                <c:pt idx="138">
                  <c:v>136.40835927678799</c:v>
                </c:pt>
                <c:pt idx="139">
                  <c:v>86.273013775063802</c:v>
                </c:pt>
                <c:pt idx="140">
                  <c:v>80.710326811820593</c:v>
                </c:pt>
                <c:pt idx="141">
                  <c:v>183.409326542185</c:v>
                </c:pt>
                <c:pt idx="142">
                  <c:v>73.143577756270901</c:v>
                </c:pt>
                <c:pt idx="143">
                  <c:v>95.638530326531097</c:v>
                </c:pt>
                <c:pt idx="144">
                  <c:v>94.730383720449495</c:v>
                </c:pt>
                <c:pt idx="145">
                  <c:v>93.762007979396998</c:v>
                </c:pt>
                <c:pt idx="146">
                  <c:v>111.82220455254399</c:v>
                </c:pt>
                <c:pt idx="147">
                  <c:v>58.878106912062798</c:v>
                </c:pt>
                <c:pt idx="148">
                  <c:v>61.505147399068001</c:v>
                </c:pt>
                <c:pt idx="149">
                  <c:v>92.057328005562496</c:v>
                </c:pt>
                <c:pt idx="150">
                  <c:v>77.930187384001698</c:v>
                </c:pt>
                <c:pt idx="151">
                  <c:v>84.140552193512903</c:v>
                </c:pt>
                <c:pt idx="152">
                  <c:v>43.883887988966002</c:v>
                </c:pt>
                <c:pt idx="153">
                  <c:v>4.00281098473776</c:v>
                </c:pt>
                <c:pt idx="154">
                  <c:v>23.641073234857501</c:v>
                </c:pt>
                <c:pt idx="155">
                  <c:v>92.867735329185905</c:v>
                </c:pt>
                <c:pt idx="156">
                  <c:v>88.031012798665401</c:v>
                </c:pt>
                <c:pt idx="157">
                  <c:v>63.145711118258902</c:v>
                </c:pt>
                <c:pt idx="158">
                  <c:v>36.275961138515399</c:v>
                </c:pt>
                <c:pt idx="159">
                  <c:v>88.2263815015544</c:v>
                </c:pt>
                <c:pt idx="160">
                  <c:v>89.562407816910493</c:v>
                </c:pt>
                <c:pt idx="161">
                  <c:v>55.345755327205701</c:v>
                </c:pt>
                <c:pt idx="162">
                  <c:v>47.5822846324577</c:v>
                </c:pt>
                <c:pt idx="163">
                  <c:v>36.556063431420199</c:v>
                </c:pt>
                <c:pt idx="164">
                  <c:v>103.143765273349</c:v>
                </c:pt>
                <c:pt idx="165">
                  <c:v>112.580600401616</c:v>
                </c:pt>
                <c:pt idx="166">
                  <c:v>46.483727208408297</c:v>
                </c:pt>
                <c:pt idx="167">
                  <c:v>67.273849038379296</c:v>
                </c:pt>
                <c:pt idx="168">
                  <c:v>4.60903308340239</c:v>
                </c:pt>
                <c:pt idx="169">
                  <c:v>15.0059094963809</c:v>
                </c:pt>
                <c:pt idx="170">
                  <c:v>49.460665695828197</c:v>
                </c:pt>
                <c:pt idx="171">
                  <c:v>95.522805512163998</c:v>
                </c:pt>
                <c:pt idx="172">
                  <c:v>50.995617441834497</c:v>
                </c:pt>
                <c:pt idx="173">
                  <c:v>0.68710789330833</c:v>
                </c:pt>
                <c:pt idx="174">
                  <c:v>4.7666940171199998</c:v>
                </c:pt>
                <c:pt idx="175">
                  <c:v>9.6620947040999692</c:v>
                </c:pt>
                <c:pt idx="176">
                  <c:v>39.775704115485503</c:v>
                </c:pt>
                <c:pt idx="177">
                  <c:v>78.784148281998895</c:v>
                </c:pt>
                <c:pt idx="178">
                  <c:v>81.073769152990593</c:v>
                </c:pt>
                <c:pt idx="179">
                  <c:v>30.536022359612399</c:v>
                </c:pt>
                <c:pt idx="180">
                  <c:v>92.646387855434</c:v>
                </c:pt>
                <c:pt idx="181">
                  <c:v>146.33251364139801</c:v>
                </c:pt>
                <c:pt idx="182">
                  <c:v>50.412173447353801</c:v>
                </c:pt>
                <c:pt idx="183">
                  <c:v>27.8893325206468</c:v>
                </c:pt>
                <c:pt idx="184">
                  <c:v>33.016831282428299</c:v>
                </c:pt>
                <c:pt idx="185">
                  <c:v>76.181956838472601</c:v>
                </c:pt>
                <c:pt idx="186">
                  <c:v>35.657225409053098</c:v>
                </c:pt>
                <c:pt idx="187">
                  <c:v>193.60023319249299</c:v>
                </c:pt>
                <c:pt idx="188">
                  <c:v>151.84590599257501</c:v>
                </c:pt>
                <c:pt idx="189">
                  <c:v>69.389569957801697</c:v>
                </c:pt>
                <c:pt idx="190">
                  <c:v>34.177565454425</c:v>
                </c:pt>
                <c:pt idx="191">
                  <c:v>24.781459367245802</c:v>
                </c:pt>
                <c:pt idx="192">
                  <c:v>101.553637466989</c:v>
                </c:pt>
                <c:pt idx="193">
                  <c:v>113.739637355752</c:v>
                </c:pt>
                <c:pt idx="194">
                  <c:v>0</c:v>
                </c:pt>
                <c:pt idx="195">
                  <c:v>17.792057811047101</c:v>
                </c:pt>
                <c:pt idx="196">
                  <c:v>18.2256536309037</c:v>
                </c:pt>
                <c:pt idx="197">
                  <c:v>48.197209647310203</c:v>
                </c:pt>
                <c:pt idx="198">
                  <c:v>45.809947079259601</c:v>
                </c:pt>
                <c:pt idx="199">
                  <c:v>18.7754589115366</c:v>
                </c:pt>
                <c:pt idx="200">
                  <c:v>27.137633728413</c:v>
                </c:pt>
                <c:pt idx="201">
                  <c:v>10.253533262151301</c:v>
                </c:pt>
                <c:pt idx="202">
                  <c:v>13.896952446101899</c:v>
                </c:pt>
                <c:pt idx="203">
                  <c:v>6.4310271638584</c:v>
                </c:pt>
                <c:pt idx="204">
                  <c:v>72.531728044568297</c:v>
                </c:pt>
                <c:pt idx="205">
                  <c:v>72.263012492738397</c:v>
                </c:pt>
                <c:pt idx="206">
                  <c:v>86.225627993894804</c:v>
                </c:pt>
                <c:pt idx="207">
                  <c:v>49.455274859449702</c:v>
                </c:pt>
                <c:pt idx="208">
                  <c:v>75.256344904731804</c:v>
                </c:pt>
                <c:pt idx="209">
                  <c:v>148.953192174706</c:v>
                </c:pt>
                <c:pt idx="210">
                  <c:v>75.016829610555206</c:v>
                </c:pt>
                <c:pt idx="211">
                  <c:v>27.223002471791801</c:v>
                </c:pt>
                <c:pt idx="212">
                  <c:v>18.557091859513001</c:v>
                </c:pt>
                <c:pt idx="213">
                  <c:v>29.578586119535199</c:v>
                </c:pt>
                <c:pt idx="214">
                  <c:v>13.22496946617</c:v>
                </c:pt>
                <c:pt idx="215">
                  <c:v>222.55400074231801</c:v>
                </c:pt>
                <c:pt idx="216">
                  <c:v>74.607105519904295</c:v>
                </c:pt>
                <c:pt idx="217">
                  <c:v>38.014614008661603</c:v>
                </c:pt>
                <c:pt idx="218">
                  <c:v>55.4502655385769</c:v>
                </c:pt>
                <c:pt idx="219">
                  <c:v>88.899320224718494</c:v>
                </c:pt>
                <c:pt idx="220">
                  <c:v>209.75030135838301</c:v>
                </c:pt>
                <c:pt idx="221">
                  <c:v>184.28345850350101</c:v>
                </c:pt>
                <c:pt idx="222">
                  <c:v>96.738362037770599</c:v>
                </c:pt>
                <c:pt idx="223">
                  <c:v>156.41039824613199</c:v>
                </c:pt>
                <c:pt idx="224">
                  <c:v>114.23652175836099</c:v>
                </c:pt>
                <c:pt idx="225">
                  <c:v>38.982762752419603</c:v>
                </c:pt>
                <c:pt idx="226">
                  <c:v>262.70684783068901</c:v>
                </c:pt>
                <c:pt idx="227">
                  <c:v>429.31602066293101</c:v>
                </c:pt>
                <c:pt idx="228">
                  <c:v>549.38599516943896</c:v>
                </c:pt>
                <c:pt idx="229">
                  <c:v>401.62938136298698</c:v>
                </c:pt>
                <c:pt idx="230">
                  <c:v>378.303098420987</c:v>
                </c:pt>
                <c:pt idx="231">
                  <c:v>61.205422543038601</c:v>
                </c:pt>
                <c:pt idx="232">
                  <c:v>58.225687873064899</c:v>
                </c:pt>
                <c:pt idx="233">
                  <c:v>241.75047155293601</c:v>
                </c:pt>
                <c:pt idx="234">
                  <c:v>358.43458310281102</c:v>
                </c:pt>
                <c:pt idx="235">
                  <c:v>225.722194914347</c:v>
                </c:pt>
                <c:pt idx="236">
                  <c:v>571.87809374837798</c:v>
                </c:pt>
                <c:pt idx="237">
                  <c:v>480.19666844158098</c:v>
                </c:pt>
                <c:pt idx="238">
                  <c:v>199.40159476755099</c:v>
                </c:pt>
                <c:pt idx="239">
                  <c:v>217.584608887385</c:v>
                </c:pt>
                <c:pt idx="240">
                  <c:v>166.30608920642601</c:v>
                </c:pt>
                <c:pt idx="241">
                  <c:v>205.111178972951</c:v>
                </c:pt>
                <c:pt idx="242">
                  <c:v>116.834034591475</c:v>
                </c:pt>
                <c:pt idx="243">
                  <c:v>58.071231642161699</c:v>
                </c:pt>
                <c:pt idx="244">
                  <c:v>17.443116366504899</c:v>
                </c:pt>
                <c:pt idx="245">
                  <c:v>158.39523637472399</c:v>
                </c:pt>
                <c:pt idx="246">
                  <c:v>54.440917838689998</c:v>
                </c:pt>
                <c:pt idx="247">
                  <c:v>28.9708460232393</c:v>
                </c:pt>
                <c:pt idx="248">
                  <c:v>18.991471289381899</c:v>
                </c:pt>
                <c:pt idx="249">
                  <c:v>60.630618334716502</c:v>
                </c:pt>
                <c:pt idx="250">
                  <c:v>105.964009701666</c:v>
                </c:pt>
                <c:pt idx="251">
                  <c:v>11.9788576048569</c:v>
                </c:pt>
                <c:pt idx="252">
                  <c:v>7.0003752650450997</c:v>
                </c:pt>
                <c:pt idx="253">
                  <c:v>62.207865012904897</c:v>
                </c:pt>
                <c:pt idx="254">
                  <c:v>71.299963605833497</c:v>
                </c:pt>
                <c:pt idx="255">
                  <c:v>37.824659765234998</c:v>
                </c:pt>
                <c:pt idx="256">
                  <c:v>34.782961931879797</c:v>
                </c:pt>
                <c:pt idx="257">
                  <c:v>42.792483785128702</c:v>
                </c:pt>
                <c:pt idx="258">
                  <c:v>49.637890822338399</c:v>
                </c:pt>
                <c:pt idx="259">
                  <c:v>67.875501504475906</c:v>
                </c:pt>
                <c:pt idx="260">
                  <c:v>78.816481104760499</c:v>
                </c:pt>
                <c:pt idx="261">
                  <c:v>14.8386566531774</c:v>
                </c:pt>
                <c:pt idx="262">
                  <c:v>40.772424425595403</c:v>
                </c:pt>
                <c:pt idx="263">
                  <c:v>41.050296557870404</c:v>
                </c:pt>
                <c:pt idx="264">
                  <c:v>23.393153493519101</c:v>
                </c:pt>
                <c:pt idx="265">
                  <c:v>5.1583768160320798</c:v>
                </c:pt>
                <c:pt idx="266">
                  <c:v>3.9613252000911401</c:v>
                </c:pt>
                <c:pt idx="267">
                  <c:v>36.987817574318598</c:v>
                </c:pt>
                <c:pt idx="268">
                  <c:v>183.676347859099</c:v>
                </c:pt>
                <c:pt idx="269">
                  <c:v>78.104695393053206</c:v>
                </c:pt>
                <c:pt idx="270">
                  <c:v>114.288409754856</c:v>
                </c:pt>
                <c:pt idx="271">
                  <c:v>221.29682893098399</c:v>
                </c:pt>
                <c:pt idx="272">
                  <c:v>265.26995713672301</c:v>
                </c:pt>
                <c:pt idx="273">
                  <c:v>199.15034194987999</c:v>
                </c:pt>
                <c:pt idx="274">
                  <c:v>114.381246629964</c:v>
                </c:pt>
                <c:pt idx="275">
                  <c:v>258.67752877312802</c:v>
                </c:pt>
                <c:pt idx="276">
                  <c:v>111.76497490243899</c:v>
                </c:pt>
                <c:pt idx="277">
                  <c:v>80.075333896851802</c:v>
                </c:pt>
                <c:pt idx="278">
                  <c:v>120.121038244174</c:v>
                </c:pt>
                <c:pt idx="279">
                  <c:v>182.56752286464001</c:v>
                </c:pt>
                <c:pt idx="280">
                  <c:v>111.882380380135</c:v>
                </c:pt>
                <c:pt idx="281">
                  <c:v>85.596827940177107</c:v>
                </c:pt>
                <c:pt idx="282">
                  <c:v>75.709809486477795</c:v>
                </c:pt>
                <c:pt idx="283">
                  <c:v>87.963535357622703</c:v>
                </c:pt>
                <c:pt idx="284">
                  <c:v>78.540314171897805</c:v>
                </c:pt>
                <c:pt idx="285">
                  <c:v>71.369419630979905</c:v>
                </c:pt>
                <c:pt idx="286">
                  <c:v>22.237473074882999</c:v>
                </c:pt>
                <c:pt idx="287">
                  <c:v>9.8912079563835498</c:v>
                </c:pt>
                <c:pt idx="288">
                  <c:v>38.000537768329501</c:v>
                </c:pt>
                <c:pt idx="289">
                  <c:v>65.661060832561901</c:v>
                </c:pt>
                <c:pt idx="290">
                  <c:v>75.337531353413098</c:v>
                </c:pt>
                <c:pt idx="291">
                  <c:v>97.535308289310393</c:v>
                </c:pt>
                <c:pt idx="292">
                  <c:v>45.812463173316203</c:v>
                </c:pt>
                <c:pt idx="293">
                  <c:v>92.131054577621597</c:v>
                </c:pt>
                <c:pt idx="294">
                  <c:v>69.084512161578402</c:v>
                </c:pt>
                <c:pt idx="295">
                  <c:v>50.050102530229502</c:v>
                </c:pt>
                <c:pt idx="296">
                  <c:v>0</c:v>
                </c:pt>
                <c:pt idx="297">
                  <c:v>35.551763944991002</c:v>
                </c:pt>
                <c:pt idx="298">
                  <c:v>86.251234732543296</c:v>
                </c:pt>
                <c:pt idx="299">
                  <c:v>107.447452402941</c:v>
                </c:pt>
                <c:pt idx="300">
                  <c:v>6.2850467791611404</c:v>
                </c:pt>
                <c:pt idx="301">
                  <c:v>0</c:v>
                </c:pt>
                <c:pt idx="302">
                  <c:v>28.2796254470009</c:v>
                </c:pt>
                <c:pt idx="303">
                  <c:v>107.79114510756099</c:v>
                </c:pt>
                <c:pt idx="304">
                  <c:v>85.855040787354596</c:v>
                </c:pt>
                <c:pt idx="305">
                  <c:v>40.6238992491446</c:v>
                </c:pt>
                <c:pt idx="306">
                  <c:v>27.712841714444298</c:v>
                </c:pt>
                <c:pt idx="307">
                  <c:v>0</c:v>
                </c:pt>
                <c:pt idx="308">
                  <c:v>33.382085926529598</c:v>
                </c:pt>
                <c:pt idx="309">
                  <c:v>9.97079574935651</c:v>
                </c:pt>
                <c:pt idx="310">
                  <c:v>16.325983421611799</c:v>
                </c:pt>
                <c:pt idx="311">
                  <c:v>27.593730736918499</c:v>
                </c:pt>
                <c:pt idx="312">
                  <c:v>35.580511553879496</c:v>
                </c:pt>
                <c:pt idx="313">
                  <c:v>50.361074180192396</c:v>
                </c:pt>
                <c:pt idx="314">
                  <c:v>62.852906651383996</c:v>
                </c:pt>
                <c:pt idx="315">
                  <c:v>29.5886011831379</c:v>
                </c:pt>
                <c:pt idx="316">
                  <c:v>14.289268041312599</c:v>
                </c:pt>
                <c:pt idx="317">
                  <c:v>10.079581310555101</c:v>
                </c:pt>
                <c:pt idx="318">
                  <c:v>8.2879219502646198</c:v>
                </c:pt>
                <c:pt idx="319">
                  <c:v>16.886423812236899</c:v>
                </c:pt>
                <c:pt idx="320">
                  <c:v>20.268043364760601</c:v>
                </c:pt>
                <c:pt idx="321">
                  <c:v>14.0888818194009</c:v>
                </c:pt>
                <c:pt idx="322">
                  <c:v>6.8297612587704002</c:v>
                </c:pt>
                <c:pt idx="323">
                  <c:v>22.777179122995001</c:v>
                </c:pt>
                <c:pt idx="324">
                  <c:v>81.653530325723693</c:v>
                </c:pt>
                <c:pt idx="325">
                  <c:v>126.95358193311</c:v>
                </c:pt>
                <c:pt idx="326">
                  <c:v>129.351005654006</c:v>
                </c:pt>
                <c:pt idx="327">
                  <c:v>40.385646949789802</c:v>
                </c:pt>
                <c:pt idx="328">
                  <c:v>29.884111479752001</c:v>
                </c:pt>
                <c:pt idx="329">
                  <c:v>57.215586104379199</c:v>
                </c:pt>
                <c:pt idx="330">
                  <c:v>44.709648299877003</c:v>
                </c:pt>
                <c:pt idx="331">
                  <c:v>94.535117102462706</c:v>
                </c:pt>
                <c:pt idx="332">
                  <c:v>14.0318830242727</c:v>
                </c:pt>
                <c:pt idx="333">
                  <c:v>34.3820877706994</c:v>
                </c:pt>
                <c:pt idx="334">
                  <c:v>39.167967929999598</c:v>
                </c:pt>
                <c:pt idx="335">
                  <c:v>60.674092100652103</c:v>
                </c:pt>
                <c:pt idx="336">
                  <c:v>63.010748121483402</c:v>
                </c:pt>
                <c:pt idx="337">
                  <c:v>86.430261008174</c:v>
                </c:pt>
                <c:pt idx="338">
                  <c:v>105.29744533229599</c:v>
                </c:pt>
                <c:pt idx="339">
                  <c:v>40.605154835632099</c:v>
                </c:pt>
                <c:pt idx="340">
                  <c:v>151.09350695164699</c:v>
                </c:pt>
                <c:pt idx="341">
                  <c:v>73.059626562264697</c:v>
                </c:pt>
                <c:pt idx="342">
                  <c:v>88.525806296340093</c:v>
                </c:pt>
                <c:pt idx="343">
                  <c:v>121.40465726305101</c:v>
                </c:pt>
                <c:pt idx="344">
                  <c:v>311.53808183834298</c:v>
                </c:pt>
                <c:pt idx="345">
                  <c:v>256.58338969768101</c:v>
                </c:pt>
                <c:pt idx="346">
                  <c:v>319.20956964113202</c:v>
                </c:pt>
                <c:pt idx="347">
                  <c:v>261.90205633757</c:v>
                </c:pt>
                <c:pt idx="348">
                  <c:v>197.54860837688</c:v>
                </c:pt>
                <c:pt idx="349">
                  <c:v>121.97218837942501</c:v>
                </c:pt>
                <c:pt idx="350">
                  <c:v>29.809712295227602</c:v>
                </c:pt>
                <c:pt idx="351">
                  <c:v>6.5622963980246203</c:v>
                </c:pt>
                <c:pt idx="352">
                  <c:v>44.898028416906499</c:v>
                </c:pt>
                <c:pt idx="353">
                  <c:v>93.324489772926995</c:v>
                </c:pt>
                <c:pt idx="354">
                  <c:v>130.41853448305301</c:v>
                </c:pt>
                <c:pt idx="355">
                  <c:v>47.748145190504701</c:v>
                </c:pt>
                <c:pt idx="356">
                  <c:v>29.997959816267102</c:v>
                </c:pt>
                <c:pt idx="357">
                  <c:v>3.4238676619809301</c:v>
                </c:pt>
                <c:pt idx="358">
                  <c:v>0</c:v>
                </c:pt>
                <c:pt idx="359">
                  <c:v>29.311724021279101</c:v>
                </c:pt>
                <c:pt idx="360">
                  <c:v>16.355311124301799</c:v>
                </c:pt>
                <c:pt idx="361">
                  <c:v>122.775443144775</c:v>
                </c:pt>
                <c:pt idx="362">
                  <c:v>109.060593186357</c:v>
                </c:pt>
                <c:pt idx="363">
                  <c:v>254.94577445101001</c:v>
                </c:pt>
                <c:pt idx="364">
                  <c:v>103.133937656101</c:v>
                </c:pt>
                <c:pt idx="365">
                  <c:v>64.471272529923496</c:v>
                </c:pt>
                <c:pt idx="366">
                  <c:v>77.450349795262596</c:v>
                </c:pt>
                <c:pt idx="367">
                  <c:v>159.49075888639101</c:v>
                </c:pt>
                <c:pt idx="368">
                  <c:v>85.478366539950201</c:v>
                </c:pt>
                <c:pt idx="369">
                  <c:v>203.44393984912</c:v>
                </c:pt>
                <c:pt idx="370">
                  <c:v>117.7822965532</c:v>
                </c:pt>
                <c:pt idx="371">
                  <c:v>59.298328686721199</c:v>
                </c:pt>
                <c:pt idx="372">
                  <c:v>2.9492506085730201</c:v>
                </c:pt>
                <c:pt idx="373">
                  <c:v>30.869097806507501</c:v>
                </c:pt>
                <c:pt idx="374">
                  <c:v>43.4540475224834</c:v>
                </c:pt>
                <c:pt idx="375">
                  <c:v>55.368929017847599</c:v>
                </c:pt>
                <c:pt idx="376">
                  <c:v>107.627233268536</c:v>
                </c:pt>
                <c:pt idx="377">
                  <c:v>118.689371577937</c:v>
                </c:pt>
                <c:pt idx="378">
                  <c:v>195.32775015711101</c:v>
                </c:pt>
                <c:pt idx="379">
                  <c:v>191.90828427250401</c:v>
                </c:pt>
                <c:pt idx="380">
                  <c:v>100.238321904706</c:v>
                </c:pt>
                <c:pt idx="381">
                  <c:v>109.618131748777</c:v>
                </c:pt>
                <c:pt idx="382">
                  <c:v>455.25490824773999</c:v>
                </c:pt>
                <c:pt idx="383">
                  <c:v>736.52060095099898</c:v>
                </c:pt>
                <c:pt idx="384">
                  <c:v>603.19065605312596</c:v>
                </c:pt>
                <c:pt idx="385">
                  <c:v>269.577213758413</c:v>
                </c:pt>
                <c:pt idx="386">
                  <c:v>257.08650319710102</c:v>
                </c:pt>
                <c:pt idx="387">
                  <c:v>277.47060287293903</c:v>
                </c:pt>
                <c:pt idx="388">
                  <c:v>376.72876537526099</c:v>
                </c:pt>
                <c:pt idx="389">
                  <c:v>182.248100902934</c:v>
                </c:pt>
                <c:pt idx="390">
                  <c:v>30.7034056020313</c:v>
                </c:pt>
                <c:pt idx="391">
                  <c:v>11.6669815430764</c:v>
                </c:pt>
                <c:pt idx="392">
                  <c:v>15.813550932319901</c:v>
                </c:pt>
                <c:pt idx="393">
                  <c:v>238.056138266977</c:v>
                </c:pt>
                <c:pt idx="394">
                  <c:v>205.83771282332799</c:v>
                </c:pt>
                <c:pt idx="395">
                  <c:v>243.55949592437901</c:v>
                </c:pt>
                <c:pt idx="396">
                  <c:v>129.80311257951001</c:v>
                </c:pt>
                <c:pt idx="397">
                  <c:v>45.401719686040501</c:v>
                </c:pt>
                <c:pt idx="398">
                  <c:v>61.592801667170903</c:v>
                </c:pt>
                <c:pt idx="399">
                  <c:v>51.372263301523198</c:v>
                </c:pt>
                <c:pt idx="400">
                  <c:v>52.760169433737502</c:v>
                </c:pt>
                <c:pt idx="401">
                  <c:v>319.96435696848198</c:v>
                </c:pt>
                <c:pt idx="402">
                  <c:v>413.57535456993099</c:v>
                </c:pt>
                <c:pt idx="403">
                  <c:v>323.57662230910199</c:v>
                </c:pt>
                <c:pt idx="404">
                  <c:v>393.28333173561902</c:v>
                </c:pt>
                <c:pt idx="405">
                  <c:v>435.50874673430098</c:v>
                </c:pt>
                <c:pt idx="406">
                  <c:v>200.29556076576199</c:v>
                </c:pt>
                <c:pt idx="407">
                  <c:v>80.004096013285604</c:v>
                </c:pt>
                <c:pt idx="408">
                  <c:v>260.81673709100102</c:v>
                </c:pt>
                <c:pt idx="409">
                  <c:v>36.8618929565339</c:v>
                </c:pt>
                <c:pt idx="410">
                  <c:v>42.977446117203002</c:v>
                </c:pt>
                <c:pt idx="411">
                  <c:v>50.144371365728702</c:v>
                </c:pt>
                <c:pt idx="412">
                  <c:v>87.496803878290805</c:v>
                </c:pt>
                <c:pt idx="413">
                  <c:v>84.367166795964195</c:v>
                </c:pt>
                <c:pt idx="414">
                  <c:v>11.9137253878561</c:v>
                </c:pt>
                <c:pt idx="415">
                  <c:v>50.0067445725225</c:v>
                </c:pt>
                <c:pt idx="416">
                  <c:v>16.3992579793908</c:v>
                </c:pt>
                <c:pt idx="417">
                  <c:v>118.85136158687099</c:v>
                </c:pt>
                <c:pt idx="418">
                  <c:v>119.214678521674</c:v>
                </c:pt>
                <c:pt idx="419">
                  <c:v>106.190358663366</c:v>
                </c:pt>
                <c:pt idx="420">
                  <c:v>89.302268783599501</c:v>
                </c:pt>
                <c:pt idx="421">
                  <c:v>2.3833470085599999</c:v>
                </c:pt>
                <c:pt idx="422">
                  <c:v>14.4830018047459</c:v>
                </c:pt>
                <c:pt idx="423">
                  <c:v>23.148879091709201</c:v>
                </c:pt>
                <c:pt idx="424">
                  <c:v>155.278995002334</c:v>
                </c:pt>
                <c:pt idx="425">
                  <c:v>21.381197941164601</c:v>
                </c:pt>
                <c:pt idx="426">
                  <c:v>9.6050551733437004</c:v>
                </c:pt>
                <c:pt idx="427">
                  <c:v>0</c:v>
                </c:pt>
                <c:pt idx="428">
                  <c:v>0</c:v>
                </c:pt>
                <c:pt idx="429">
                  <c:v>9.6091047928680204</c:v>
                </c:pt>
                <c:pt idx="430">
                  <c:v>21.438110616692299</c:v>
                </c:pt>
                <c:pt idx="431">
                  <c:v>113.84020442726499</c:v>
                </c:pt>
                <c:pt idx="432">
                  <c:v>42.3444662510068</c:v>
                </c:pt>
                <c:pt idx="433">
                  <c:v>6.2842295907219503</c:v>
                </c:pt>
                <c:pt idx="434">
                  <c:v>1.1617403521530201</c:v>
                </c:pt>
                <c:pt idx="435">
                  <c:v>6.9952380281481199</c:v>
                </c:pt>
                <c:pt idx="436">
                  <c:v>46.922529055301901</c:v>
                </c:pt>
                <c:pt idx="437">
                  <c:v>3.85964998966762</c:v>
                </c:pt>
                <c:pt idx="438">
                  <c:v>0</c:v>
                </c:pt>
                <c:pt idx="439">
                  <c:v>111.326042834535</c:v>
                </c:pt>
                <c:pt idx="440">
                  <c:v>6.19833277172867</c:v>
                </c:pt>
                <c:pt idx="441">
                  <c:v>0</c:v>
                </c:pt>
                <c:pt idx="442">
                  <c:v>45.640163323493397</c:v>
                </c:pt>
                <c:pt idx="443">
                  <c:v>109.27395659565001</c:v>
                </c:pt>
                <c:pt idx="444">
                  <c:v>289.96889635652002</c:v>
                </c:pt>
                <c:pt idx="445">
                  <c:v>302.346608195371</c:v>
                </c:pt>
                <c:pt idx="446">
                  <c:v>354.08226951332898</c:v>
                </c:pt>
                <c:pt idx="447">
                  <c:v>291.30900730714899</c:v>
                </c:pt>
                <c:pt idx="448">
                  <c:v>422.52842630205498</c:v>
                </c:pt>
                <c:pt idx="449">
                  <c:v>444.77831692732701</c:v>
                </c:pt>
                <c:pt idx="450">
                  <c:v>562.86425296917696</c:v>
                </c:pt>
                <c:pt idx="451">
                  <c:v>528.47717136763094</c:v>
                </c:pt>
                <c:pt idx="452">
                  <c:v>329.68496972541197</c:v>
                </c:pt>
                <c:pt idx="453">
                  <c:v>289.22312924224502</c:v>
                </c:pt>
                <c:pt idx="454">
                  <c:v>200.915968430563</c:v>
                </c:pt>
                <c:pt idx="455">
                  <c:v>196.98681637745401</c:v>
                </c:pt>
                <c:pt idx="456">
                  <c:v>301.93492970542002</c:v>
                </c:pt>
                <c:pt idx="457">
                  <c:v>383.449408139186</c:v>
                </c:pt>
                <c:pt idx="458">
                  <c:v>164.578944391904</c:v>
                </c:pt>
                <c:pt idx="459">
                  <c:v>92.886197156397202</c:v>
                </c:pt>
                <c:pt idx="460">
                  <c:v>114.51531002466901</c:v>
                </c:pt>
                <c:pt idx="461">
                  <c:v>378.47478426223</c:v>
                </c:pt>
                <c:pt idx="462">
                  <c:v>243.22803523799001</c:v>
                </c:pt>
                <c:pt idx="463">
                  <c:v>142.61878195720601</c:v>
                </c:pt>
                <c:pt idx="464">
                  <c:v>294.70309268844602</c:v>
                </c:pt>
                <c:pt idx="465">
                  <c:v>2.2792682462635701</c:v>
                </c:pt>
                <c:pt idx="466">
                  <c:v>135.28191741218399</c:v>
                </c:pt>
                <c:pt idx="467">
                  <c:v>176.56810338736901</c:v>
                </c:pt>
                <c:pt idx="468">
                  <c:v>2.29354755217906</c:v>
                </c:pt>
                <c:pt idx="469">
                  <c:v>0.59583675213999998</c:v>
                </c:pt>
                <c:pt idx="470">
                  <c:v>167.80425142589399</c:v>
                </c:pt>
                <c:pt idx="471">
                  <c:v>70.197691250520506</c:v>
                </c:pt>
                <c:pt idx="472">
                  <c:v>30.185497137720802</c:v>
                </c:pt>
                <c:pt idx="473">
                  <c:v>105.680917968575</c:v>
                </c:pt>
                <c:pt idx="474">
                  <c:v>224.87336217942899</c:v>
                </c:pt>
                <c:pt idx="475">
                  <c:v>269.92504703242003</c:v>
                </c:pt>
                <c:pt idx="476">
                  <c:v>119.808431238737</c:v>
                </c:pt>
                <c:pt idx="477">
                  <c:v>51.5058326365751</c:v>
                </c:pt>
                <c:pt idx="478">
                  <c:v>54.303535042739</c:v>
                </c:pt>
                <c:pt idx="479">
                  <c:v>123.78553688845901</c:v>
                </c:pt>
                <c:pt idx="480">
                  <c:v>177.21229064111699</c:v>
                </c:pt>
                <c:pt idx="481">
                  <c:v>52.187607538234197</c:v>
                </c:pt>
                <c:pt idx="482">
                  <c:v>60.742889054944101</c:v>
                </c:pt>
                <c:pt idx="483">
                  <c:v>62.804941264936303</c:v>
                </c:pt>
                <c:pt idx="484">
                  <c:v>57.751542844379301</c:v>
                </c:pt>
                <c:pt idx="485">
                  <c:v>68.824686755347003</c:v>
                </c:pt>
                <c:pt idx="486">
                  <c:v>79.536906921424801</c:v>
                </c:pt>
                <c:pt idx="487">
                  <c:v>127.566613882746</c:v>
                </c:pt>
                <c:pt idx="488">
                  <c:v>52.028796913126698</c:v>
                </c:pt>
                <c:pt idx="489">
                  <c:v>104.650692586971</c:v>
                </c:pt>
                <c:pt idx="490">
                  <c:v>195.078226927668</c:v>
                </c:pt>
                <c:pt idx="491">
                  <c:v>156.81912857456999</c:v>
                </c:pt>
                <c:pt idx="492">
                  <c:v>200.21092531816899</c:v>
                </c:pt>
                <c:pt idx="493">
                  <c:v>141.703286983422</c:v>
                </c:pt>
                <c:pt idx="494">
                  <c:v>44.233530236588201</c:v>
                </c:pt>
                <c:pt idx="495">
                  <c:v>73.333776325504203</c:v>
                </c:pt>
                <c:pt idx="496">
                  <c:v>85.732571558367795</c:v>
                </c:pt>
                <c:pt idx="497">
                  <c:v>24.1064989313934</c:v>
                </c:pt>
                <c:pt idx="498">
                  <c:v>8.2558422152524091</c:v>
                </c:pt>
                <c:pt idx="499">
                  <c:v>23.785735217829799</c:v>
                </c:pt>
                <c:pt idx="500">
                  <c:v>70.319359040174106</c:v>
                </c:pt>
                <c:pt idx="501">
                  <c:v>217.287564324627</c:v>
                </c:pt>
                <c:pt idx="502">
                  <c:v>210.36097529025599</c:v>
                </c:pt>
                <c:pt idx="503">
                  <c:v>53.5921388839024</c:v>
                </c:pt>
                <c:pt idx="504">
                  <c:v>79.654473102006705</c:v>
                </c:pt>
                <c:pt idx="505">
                  <c:v>143.12489286848401</c:v>
                </c:pt>
                <c:pt idx="506">
                  <c:v>77.345189975147306</c:v>
                </c:pt>
                <c:pt idx="507">
                  <c:v>81.272608130197199</c:v>
                </c:pt>
                <c:pt idx="508">
                  <c:v>67.691683021360006</c:v>
                </c:pt>
                <c:pt idx="509">
                  <c:v>119.22087160286701</c:v>
                </c:pt>
                <c:pt idx="510">
                  <c:v>169.935772026547</c:v>
                </c:pt>
                <c:pt idx="511">
                  <c:v>142.54662988170799</c:v>
                </c:pt>
                <c:pt idx="512">
                  <c:v>104.132097355875</c:v>
                </c:pt>
                <c:pt idx="513">
                  <c:v>176.02477707654799</c:v>
                </c:pt>
                <c:pt idx="514">
                  <c:v>184.71884657239801</c:v>
                </c:pt>
                <c:pt idx="515">
                  <c:v>173.72561067302399</c:v>
                </c:pt>
                <c:pt idx="516">
                  <c:v>144.90318864267201</c:v>
                </c:pt>
                <c:pt idx="517">
                  <c:v>19.800568969772598</c:v>
                </c:pt>
                <c:pt idx="518">
                  <c:v>173.292030611618</c:v>
                </c:pt>
                <c:pt idx="519">
                  <c:v>286.44910830430001</c:v>
                </c:pt>
                <c:pt idx="520">
                  <c:v>397.59676689301102</c:v>
                </c:pt>
                <c:pt idx="521">
                  <c:v>391.57790431152898</c:v>
                </c:pt>
                <c:pt idx="522">
                  <c:v>330.99462499226598</c:v>
                </c:pt>
                <c:pt idx="523">
                  <c:v>376.93304114284598</c:v>
                </c:pt>
                <c:pt idx="524">
                  <c:v>414.56556216606401</c:v>
                </c:pt>
                <c:pt idx="525">
                  <c:v>263.15071767783002</c:v>
                </c:pt>
                <c:pt idx="526">
                  <c:v>159.15783554560599</c:v>
                </c:pt>
                <c:pt idx="527">
                  <c:v>176.03664136868599</c:v>
                </c:pt>
                <c:pt idx="528">
                  <c:v>174.506298463511</c:v>
                </c:pt>
                <c:pt idx="529">
                  <c:v>238.09570047742</c:v>
                </c:pt>
                <c:pt idx="530">
                  <c:v>125.33820636036199</c:v>
                </c:pt>
                <c:pt idx="531">
                  <c:v>124.88596538674</c:v>
                </c:pt>
                <c:pt idx="532">
                  <c:v>25.631471901079099</c:v>
                </c:pt>
                <c:pt idx="533">
                  <c:v>31.650979949518302</c:v>
                </c:pt>
                <c:pt idx="534">
                  <c:v>72.050222815963593</c:v>
                </c:pt>
                <c:pt idx="535">
                  <c:v>132.481037618545</c:v>
                </c:pt>
                <c:pt idx="536">
                  <c:v>103.828012492841</c:v>
                </c:pt>
                <c:pt idx="537">
                  <c:v>29.387831968392401</c:v>
                </c:pt>
                <c:pt idx="538">
                  <c:v>26.921717064195001</c:v>
                </c:pt>
                <c:pt idx="539">
                  <c:v>51.471306531401403</c:v>
                </c:pt>
                <c:pt idx="540">
                  <c:v>157.035251071717</c:v>
                </c:pt>
                <c:pt idx="541">
                  <c:v>222.87378279112599</c:v>
                </c:pt>
                <c:pt idx="542">
                  <c:v>171.10479877489499</c:v>
                </c:pt>
                <c:pt idx="543">
                  <c:v>35.211886055754697</c:v>
                </c:pt>
                <c:pt idx="544">
                  <c:v>150.593350259722</c:v>
                </c:pt>
                <c:pt idx="545">
                  <c:v>165.146687686181</c:v>
                </c:pt>
                <c:pt idx="546">
                  <c:v>57.705266749123602</c:v>
                </c:pt>
                <c:pt idx="547">
                  <c:v>46.542105816811599</c:v>
                </c:pt>
                <c:pt idx="548">
                  <c:v>71.552951767362401</c:v>
                </c:pt>
                <c:pt idx="549">
                  <c:v>227.426111964293</c:v>
                </c:pt>
                <c:pt idx="550">
                  <c:v>159.84935113726499</c:v>
                </c:pt>
                <c:pt idx="551">
                  <c:v>343.80328505467998</c:v>
                </c:pt>
                <c:pt idx="552">
                  <c:v>417.20517984813301</c:v>
                </c:pt>
                <c:pt idx="553">
                  <c:v>327.03457071425203</c:v>
                </c:pt>
                <c:pt idx="554">
                  <c:v>249.81735418375999</c:v>
                </c:pt>
                <c:pt idx="555">
                  <c:v>198.19831785815899</c:v>
                </c:pt>
                <c:pt idx="556">
                  <c:v>185.078045370463</c:v>
                </c:pt>
                <c:pt idx="557">
                  <c:v>291.41919670143301</c:v>
                </c:pt>
                <c:pt idx="558">
                  <c:v>179.18360711940201</c:v>
                </c:pt>
                <c:pt idx="559">
                  <c:v>199.70013840806499</c:v>
                </c:pt>
                <c:pt idx="560">
                  <c:v>241.27006634334501</c:v>
                </c:pt>
                <c:pt idx="561">
                  <c:v>261.19042329998899</c:v>
                </c:pt>
                <c:pt idx="562">
                  <c:v>301.975512750522</c:v>
                </c:pt>
                <c:pt idx="563">
                  <c:v>203.324566481971</c:v>
                </c:pt>
                <c:pt idx="564">
                  <c:v>345.81394437085999</c:v>
                </c:pt>
                <c:pt idx="565">
                  <c:v>153.48920446810499</c:v>
                </c:pt>
                <c:pt idx="566">
                  <c:v>128.20335243164701</c:v>
                </c:pt>
                <c:pt idx="567">
                  <c:v>58.036701048053501</c:v>
                </c:pt>
                <c:pt idx="568">
                  <c:v>135.899344155318</c:v>
                </c:pt>
                <c:pt idx="569">
                  <c:v>134.35606299996101</c:v>
                </c:pt>
                <c:pt idx="570">
                  <c:v>219.61018052433499</c:v>
                </c:pt>
                <c:pt idx="571">
                  <c:v>323.70815314159</c:v>
                </c:pt>
                <c:pt idx="572">
                  <c:v>214.02905054426699</c:v>
                </c:pt>
                <c:pt idx="573">
                  <c:v>177.142718333761</c:v>
                </c:pt>
                <c:pt idx="574">
                  <c:v>318.56957614479302</c:v>
                </c:pt>
                <c:pt idx="575">
                  <c:v>213.11689223508901</c:v>
                </c:pt>
                <c:pt idx="576">
                  <c:v>298.14894456346798</c:v>
                </c:pt>
                <c:pt idx="577">
                  <c:v>313.45298161544099</c:v>
                </c:pt>
                <c:pt idx="578">
                  <c:v>357.840869024786</c:v>
                </c:pt>
                <c:pt idx="579">
                  <c:v>290.93817710562399</c:v>
                </c:pt>
                <c:pt idx="580">
                  <c:v>296.75826467622602</c:v>
                </c:pt>
                <c:pt idx="581">
                  <c:v>222.348409218222</c:v>
                </c:pt>
                <c:pt idx="582">
                  <c:v>165.664329503939</c:v>
                </c:pt>
                <c:pt idx="583">
                  <c:v>240.46429066184999</c:v>
                </c:pt>
                <c:pt idx="584">
                  <c:v>173.441161984817</c:v>
                </c:pt>
                <c:pt idx="585">
                  <c:v>122.891434442266</c:v>
                </c:pt>
                <c:pt idx="586">
                  <c:v>134.510399900203</c:v>
                </c:pt>
                <c:pt idx="587">
                  <c:v>259.07360424750101</c:v>
                </c:pt>
                <c:pt idx="588">
                  <c:v>179.46923641561401</c:v>
                </c:pt>
                <c:pt idx="589">
                  <c:v>59.668463303841499</c:v>
                </c:pt>
                <c:pt idx="590">
                  <c:v>336.62164969443501</c:v>
                </c:pt>
                <c:pt idx="591">
                  <c:v>500.38417599319803</c:v>
                </c:pt>
                <c:pt idx="592">
                  <c:v>655.97238989346397</c:v>
                </c:pt>
                <c:pt idx="593">
                  <c:v>626.12543490443898</c:v>
                </c:pt>
                <c:pt idx="594">
                  <c:v>483.05409478912702</c:v>
                </c:pt>
                <c:pt idx="595">
                  <c:v>249.88404819106</c:v>
                </c:pt>
                <c:pt idx="596">
                  <c:v>220.09474355005599</c:v>
                </c:pt>
                <c:pt idx="597">
                  <c:v>410.27211525904403</c:v>
                </c:pt>
                <c:pt idx="598">
                  <c:v>520.80032883428498</c:v>
                </c:pt>
                <c:pt idx="599">
                  <c:v>386.26926606364901</c:v>
                </c:pt>
                <c:pt idx="600">
                  <c:v>619.36376250024898</c:v>
                </c:pt>
                <c:pt idx="601">
                  <c:v>580.39879156254494</c:v>
                </c:pt>
                <c:pt idx="602">
                  <c:v>337.39937480701798</c:v>
                </c:pt>
                <c:pt idx="603">
                  <c:v>338.06298275246098</c:v>
                </c:pt>
                <c:pt idx="604">
                  <c:v>415.24210996064699</c:v>
                </c:pt>
                <c:pt idx="605">
                  <c:v>384.96784943360501</c:v>
                </c:pt>
                <c:pt idx="606">
                  <c:v>347.706680591495</c:v>
                </c:pt>
                <c:pt idx="607">
                  <c:v>353.84353411269097</c:v>
                </c:pt>
                <c:pt idx="608">
                  <c:v>156.07790498896901</c:v>
                </c:pt>
                <c:pt idx="609">
                  <c:v>406.32779424504201</c:v>
                </c:pt>
                <c:pt idx="610">
                  <c:v>343.79909982806203</c:v>
                </c:pt>
                <c:pt idx="611">
                  <c:v>283.41174768033801</c:v>
                </c:pt>
                <c:pt idx="612">
                  <c:v>203.307928184839</c:v>
                </c:pt>
                <c:pt idx="613">
                  <c:v>385.25531373146299</c:v>
                </c:pt>
                <c:pt idx="614">
                  <c:v>472.76194177190098</c:v>
                </c:pt>
                <c:pt idx="615">
                  <c:v>297.18033950982499</c:v>
                </c:pt>
                <c:pt idx="616">
                  <c:v>198.58802464593899</c:v>
                </c:pt>
                <c:pt idx="617">
                  <c:v>306.079388547478</c:v>
                </c:pt>
                <c:pt idx="618">
                  <c:v>441.16543175167197</c:v>
                </c:pt>
                <c:pt idx="619">
                  <c:v>168.44961212757499</c:v>
                </c:pt>
                <c:pt idx="620">
                  <c:v>234.060526984445</c:v>
                </c:pt>
                <c:pt idx="621">
                  <c:v>233.463208084364</c:v>
                </c:pt>
                <c:pt idx="622">
                  <c:v>208.686354603925</c:v>
                </c:pt>
                <c:pt idx="623">
                  <c:v>174.14304660568399</c:v>
                </c:pt>
                <c:pt idx="624">
                  <c:v>225.17574979689499</c:v>
                </c:pt>
                <c:pt idx="625">
                  <c:v>203.617941955676</c:v>
                </c:pt>
                <c:pt idx="626">
                  <c:v>146.76792513494399</c:v>
                </c:pt>
                <c:pt idx="627">
                  <c:v>134.57384252609299</c:v>
                </c:pt>
                <c:pt idx="628">
                  <c:v>94.587513877759903</c:v>
                </c:pt>
                <c:pt idx="629">
                  <c:v>94.607545223255201</c:v>
                </c:pt>
                <c:pt idx="630">
                  <c:v>84.409178449962099</c:v>
                </c:pt>
                <c:pt idx="631">
                  <c:v>94.865067061423602</c:v>
                </c:pt>
                <c:pt idx="632">
                  <c:v>260.69517274794799</c:v>
                </c:pt>
                <c:pt idx="633">
                  <c:v>287.19473499351102</c:v>
                </c:pt>
                <c:pt idx="634">
                  <c:v>292.12331752904402</c:v>
                </c:pt>
                <c:pt idx="635">
                  <c:v>337.67944451868902</c:v>
                </c:pt>
                <c:pt idx="636">
                  <c:v>386.82257131258802</c:v>
                </c:pt>
                <c:pt idx="637">
                  <c:v>182.205425588639</c:v>
                </c:pt>
                <c:pt idx="638">
                  <c:v>261.43388434661603</c:v>
                </c:pt>
                <c:pt idx="639">
                  <c:v>393.34673334223601</c:v>
                </c:pt>
                <c:pt idx="640">
                  <c:v>277.06846571984198</c:v>
                </c:pt>
                <c:pt idx="641">
                  <c:v>175.78960995648501</c:v>
                </c:pt>
                <c:pt idx="642">
                  <c:v>205.667121078712</c:v>
                </c:pt>
                <c:pt idx="643">
                  <c:v>263.73209052785501</c:v>
                </c:pt>
                <c:pt idx="644">
                  <c:v>275.54713940870403</c:v>
                </c:pt>
                <c:pt idx="645">
                  <c:v>242.80823104533101</c:v>
                </c:pt>
                <c:pt idx="646">
                  <c:v>274.11516233575497</c:v>
                </c:pt>
                <c:pt idx="647">
                  <c:v>244.98044965802799</c:v>
                </c:pt>
                <c:pt idx="648">
                  <c:v>292.67292747254601</c:v>
                </c:pt>
                <c:pt idx="649">
                  <c:v>262.79958116859302</c:v>
                </c:pt>
                <c:pt idx="650">
                  <c:v>154.313218052661</c:v>
                </c:pt>
                <c:pt idx="651">
                  <c:v>125.69704977014899</c:v>
                </c:pt>
                <c:pt idx="652">
                  <c:v>207.20258061991399</c:v>
                </c:pt>
                <c:pt idx="653">
                  <c:v>206.20660214001501</c:v>
                </c:pt>
                <c:pt idx="654">
                  <c:v>345.15558574831601</c:v>
                </c:pt>
                <c:pt idx="655">
                  <c:v>420.91228740664502</c:v>
                </c:pt>
                <c:pt idx="656">
                  <c:v>305.21877861510598</c:v>
                </c:pt>
                <c:pt idx="657">
                  <c:v>489.75062022632</c:v>
                </c:pt>
                <c:pt idx="658">
                  <c:v>336.10754095738997</c:v>
                </c:pt>
                <c:pt idx="659">
                  <c:v>212.94138050435501</c:v>
                </c:pt>
                <c:pt idx="660">
                  <c:v>278.42576557453401</c:v>
                </c:pt>
                <c:pt idx="661">
                  <c:v>211.212118898558</c:v>
                </c:pt>
                <c:pt idx="662">
                  <c:v>327.32811713444698</c:v>
                </c:pt>
                <c:pt idx="663">
                  <c:v>252.739845928965</c:v>
                </c:pt>
                <c:pt idx="664">
                  <c:v>73.434812870914797</c:v>
                </c:pt>
                <c:pt idx="665">
                  <c:v>30.288780334643199</c:v>
                </c:pt>
                <c:pt idx="666">
                  <c:v>116.411360189844</c:v>
                </c:pt>
                <c:pt idx="667">
                  <c:v>262.12083769970701</c:v>
                </c:pt>
                <c:pt idx="668">
                  <c:v>233.88227018816099</c:v>
                </c:pt>
                <c:pt idx="669">
                  <c:v>241.917079683385</c:v>
                </c:pt>
                <c:pt idx="670">
                  <c:v>271.40853292333298</c:v>
                </c:pt>
                <c:pt idx="671">
                  <c:v>68.400926172270303</c:v>
                </c:pt>
                <c:pt idx="672">
                  <c:v>60.012429067397399</c:v>
                </c:pt>
                <c:pt idx="673">
                  <c:v>111.167122559395</c:v>
                </c:pt>
                <c:pt idx="674">
                  <c:v>207.072028740468</c:v>
                </c:pt>
                <c:pt idx="675">
                  <c:v>200.22971606171899</c:v>
                </c:pt>
                <c:pt idx="676">
                  <c:v>433.35998172280898</c:v>
                </c:pt>
                <c:pt idx="677">
                  <c:v>471.37334659461999</c:v>
                </c:pt>
                <c:pt idx="678">
                  <c:v>450.35754084065002</c:v>
                </c:pt>
                <c:pt idx="679">
                  <c:v>423.93329158548897</c:v>
                </c:pt>
                <c:pt idx="680">
                  <c:v>194.66329764602401</c:v>
                </c:pt>
                <c:pt idx="681">
                  <c:v>237.15113397600001</c:v>
                </c:pt>
                <c:pt idx="682">
                  <c:v>122.689946270359</c:v>
                </c:pt>
                <c:pt idx="683">
                  <c:v>153.36149411875499</c:v>
                </c:pt>
                <c:pt idx="684">
                  <c:v>250.90723237594599</c:v>
                </c:pt>
                <c:pt idx="685">
                  <c:v>370.48918145863399</c:v>
                </c:pt>
                <c:pt idx="686">
                  <c:v>236.33548450628999</c:v>
                </c:pt>
                <c:pt idx="687">
                  <c:v>223.898263421861</c:v>
                </c:pt>
                <c:pt idx="688">
                  <c:v>253.84013588849601</c:v>
                </c:pt>
                <c:pt idx="689">
                  <c:v>218.76628667145201</c:v>
                </c:pt>
                <c:pt idx="690">
                  <c:v>208.61555150855</c:v>
                </c:pt>
                <c:pt idx="691">
                  <c:v>153.97546882449799</c:v>
                </c:pt>
                <c:pt idx="692">
                  <c:v>39.297693294269699</c:v>
                </c:pt>
                <c:pt idx="693">
                  <c:v>171.74296684859499</c:v>
                </c:pt>
                <c:pt idx="694">
                  <c:v>153.92430607833899</c:v>
                </c:pt>
                <c:pt idx="695">
                  <c:v>183.155132285577</c:v>
                </c:pt>
                <c:pt idx="696">
                  <c:v>88.946368083752304</c:v>
                </c:pt>
                <c:pt idx="697">
                  <c:v>104.55073244837099</c:v>
                </c:pt>
                <c:pt idx="698">
                  <c:v>143.902292746586</c:v>
                </c:pt>
                <c:pt idx="699">
                  <c:v>271.806584850653</c:v>
                </c:pt>
                <c:pt idx="700">
                  <c:v>264.68782134457302</c:v>
                </c:pt>
                <c:pt idx="701">
                  <c:v>340.04171554089299</c:v>
                </c:pt>
                <c:pt idx="702">
                  <c:v>436.930169721342</c:v>
                </c:pt>
                <c:pt idx="703">
                  <c:v>185.13750627877101</c:v>
                </c:pt>
                <c:pt idx="704">
                  <c:v>232.58154095271601</c:v>
                </c:pt>
                <c:pt idx="705">
                  <c:v>197.54985898316701</c:v>
                </c:pt>
                <c:pt idx="706">
                  <c:v>197.64239161882</c:v>
                </c:pt>
                <c:pt idx="707">
                  <c:v>240.71006906629799</c:v>
                </c:pt>
                <c:pt idx="708">
                  <c:v>413.70330891842798</c:v>
                </c:pt>
                <c:pt idx="709">
                  <c:v>313.01740679652801</c:v>
                </c:pt>
                <c:pt idx="710">
                  <c:v>420.47988272642999</c:v>
                </c:pt>
                <c:pt idx="711">
                  <c:v>553.48236667184904</c:v>
                </c:pt>
                <c:pt idx="712">
                  <c:v>347.75017114818502</c:v>
                </c:pt>
                <c:pt idx="713">
                  <c:v>309.163857641405</c:v>
                </c:pt>
                <c:pt idx="714">
                  <c:v>251.91221708499401</c:v>
                </c:pt>
                <c:pt idx="715">
                  <c:v>163.91483734434399</c:v>
                </c:pt>
                <c:pt idx="716">
                  <c:v>222.73249352357499</c:v>
                </c:pt>
                <c:pt idx="717">
                  <c:v>230.10742724929901</c:v>
                </c:pt>
                <c:pt idx="718">
                  <c:v>283.32590055251598</c:v>
                </c:pt>
                <c:pt idx="719">
                  <c:v>97.504567643899094</c:v>
                </c:pt>
                <c:pt idx="720">
                  <c:v>86.897581631261204</c:v>
                </c:pt>
                <c:pt idx="721">
                  <c:v>85.252476122105605</c:v>
                </c:pt>
                <c:pt idx="722">
                  <c:v>41.350027457761698</c:v>
                </c:pt>
                <c:pt idx="723">
                  <c:v>140.51194329313799</c:v>
                </c:pt>
                <c:pt idx="724">
                  <c:v>152.91672683515199</c:v>
                </c:pt>
                <c:pt idx="725">
                  <c:v>232.45327739441399</c:v>
                </c:pt>
                <c:pt idx="726">
                  <c:v>256.98052620034201</c:v>
                </c:pt>
                <c:pt idx="727">
                  <c:v>369.31120652497299</c:v>
                </c:pt>
                <c:pt idx="728">
                  <c:v>342.443463236051</c:v>
                </c:pt>
                <c:pt idx="729">
                  <c:v>251.32084585052601</c:v>
                </c:pt>
                <c:pt idx="730">
                  <c:v>228.42932098687601</c:v>
                </c:pt>
                <c:pt idx="731">
                  <c:v>403.64434885014998</c:v>
                </c:pt>
                <c:pt idx="732">
                  <c:v>451.77704761768501</c:v>
                </c:pt>
                <c:pt idx="733">
                  <c:v>500.65629633250001</c:v>
                </c:pt>
                <c:pt idx="734">
                  <c:v>449.03523878818498</c:v>
                </c:pt>
                <c:pt idx="735">
                  <c:v>240.62588554201301</c:v>
                </c:pt>
                <c:pt idx="736">
                  <c:v>123.24080548066399</c:v>
                </c:pt>
                <c:pt idx="737">
                  <c:v>246.86921365626901</c:v>
                </c:pt>
                <c:pt idx="738">
                  <c:v>261.24267383433801</c:v>
                </c:pt>
                <c:pt idx="739">
                  <c:v>270.53529866732902</c:v>
                </c:pt>
                <c:pt idx="740">
                  <c:v>289.19005231920301</c:v>
                </c:pt>
                <c:pt idx="741">
                  <c:v>287.04982032287103</c:v>
                </c:pt>
                <c:pt idx="742">
                  <c:v>388.424861172737</c:v>
                </c:pt>
                <c:pt idx="743">
                  <c:v>425.850347132791</c:v>
                </c:pt>
                <c:pt idx="744">
                  <c:v>421.011321813341</c:v>
                </c:pt>
                <c:pt idx="745">
                  <c:v>583.49280892233605</c:v>
                </c:pt>
                <c:pt idx="746">
                  <c:v>850.98591686684301</c:v>
                </c:pt>
                <c:pt idx="747">
                  <c:v>1114.59721919567</c:v>
                </c:pt>
                <c:pt idx="748">
                  <c:v>928.43610141988097</c:v>
                </c:pt>
                <c:pt idx="749">
                  <c:v>831.66509358334304</c:v>
                </c:pt>
                <c:pt idx="750">
                  <c:v>815.516361902369</c:v>
                </c:pt>
                <c:pt idx="751">
                  <c:v>776.20642776985005</c:v>
                </c:pt>
                <c:pt idx="752">
                  <c:v>615.03945483622203</c:v>
                </c:pt>
                <c:pt idx="753">
                  <c:v>264.69793762952798</c:v>
                </c:pt>
                <c:pt idx="754">
                  <c:v>94.677275855459698</c:v>
                </c:pt>
                <c:pt idx="755">
                  <c:v>167.70286436325901</c:v>
                </c:pt>
                <c:pt idx="756">
                  <c:v>152.45049078622699</c:v>
                </c:pt>
                <c:pt idx="757">
                  <c:v>458.41124461912898</c:v>
                </c:pt>
                <c:pt idx="758">
                  <c:v>426.65238635051799</c:v>
                </c:pt>
                <c:pt idx="759">
                  <c:v>134.37981374274</c:v>
                </c:pt>
                <c:pt idx="760">
                  <c:v>233.935060781305</c:v>
                </c:pt>
                <c:pt idx="761">
                  <c:v>162.534608003584</c:v>
                </c:pt>
                <c:pt idx="762">
                  <c:v>137.82990796549299</c:v>
                </c:pt>
                <c:pt idx="763">
                  <c:v>134.473951724583</c:v>
                </c:pt>
                <c:pt idx="764">
                  <c:v>151.31570138038299</c:v>
                </c:pt>
                <c:pt idx="765">
                  <c:v>440.07495678200598</c:v>
                </c:pt>
                <c:pt idx="766">
                  <c:v>563.80232761689194</c:v>
                </c:pt>
                <c:pt idx="767">
                  <c:v>585.27692440152396</c:v>
                </c:pt>
                <c:pt idx="768">
                  <c:v>679.97441285097204</c:v>
                </c:pt>
                <c:pt idx="769">
                  <c:v>566.15666855985205</c:v>
                </c:pt>
                <c:pt idx="770">
                  <c:v>302.96184187876003</c:v>
                </c:pt>
                <c:pt idx="771">
                  <c:v>172.35930607075099</c:v>
                </c:pt>
                <c:pt idx="772">
                  <c:v>323.14834381837602</c:v>
                </c:pt>
                <c:pt idx="773">
                  <c:v>229.007684129052</c:v>
                </c:pt>
                <c:pt idx="774">
                  <c:v>166.37285373456101</c:v>
                </c:pt>
                <c:pt idx="775">
                  <c:v>211.48789930311199</c:v>
                </c:pt>
                <c:pt idx="776">
                  <c:v>199.06264950208299</c:v>
                </c:pt>
                <c:pt idx="777">
                  <c:v>329.83681698494399</c:v>
                </c:pt>
                <c:pt idx="778">
                  <c:v>129.677070886884</c:v>
                </c:pt>
                <c:pt idx="779">
                  <c:v>175.117352973397</c:v>
                </c:pt>
                <c:pt idx="780">
                  <c:v>212.40576238704901</c:v>
                </c:pt>
                <c:pt idx="781">
                  <c:v>253.62971931939899</c:v>
                </c:pt>
                <c:pt idx="782">
                  <c:v>390.40008267697698</c:v>
                </c:pt>
                <c:pt idx="783">
                  <c:v>290.21142246072498</c:v>
                </c:pt>
                <c:pt idx="784">
                  <c:v>298.784940773627</c:v>
                </c:pt>
                <c:pt idx="785">
                  <c:v>98.807125659738105</c:v>
                </c:pt>
                <c:pt idx="786">
                  <c:v>100.938000670069</c:v>
                </c:pt>
                <c:pt idx="787">
                  <c:v>98.972659984433307</c:v>
                </c:pt>
                <c:pt idx="788">
                  <c:v>356.40365545193498</c:v>
                </c:pt>
                <c:pt idx="789">
                  <c:v>131.02394486546899</c:v>
                </c:pt>
                <c:pt idx="790">
                  <c:v>112.598835556371</c:v>
                </c:pt>
                <c:pt idx="791">
                  <c:v>27.322633389605901</c:v>
                </c:pt>
                <c:pt idx="792">
                  <c:v>11.678061933265999</c:v>
                </c:pt>
                <c:pt idx="793">
                  <c:v>60.034370764230097</c:v>
                </c:pt>
                <c:pt idx="794">
                  <c:v>79.871849166359297</c:v>
                </c:pt>
                <c:pt idx="795">
                  <c:v>242.087801826934</c:v>
                </c:pt>
                <c:pt idx="796">
                  <c:v>242.538012985433</c:v>
                </c:pt>
                <c:pt idx="797">
                  <c:v>80.934052187099894</c:v>
                </c:pt>
                <c:pt idx="798">
                  <c:v>107.273815542449</c:v>
                </c:pt>
                <c:pt idx="799">
                  <c:v>49.300348744029399</c:v>
                </c:pt>
                <c:pt idx="800">
                  <c:v>77.751266820058206</c:v>
                </c:pt>
                <c:pt idx="801">
                  <c:v>25.370405677512998</c:v>
                </c:pt>
                <c:pt idx="802">
                  <c:v>12.3357799745585</c:v>
                </c:pt>
                <c:pt idx="803">
                  <c:v>164.45559920805599</c:v>
                </c:pt>
                <c:pt idx="804">
                  <c:v>81.739047607058296</c:v>
                </c:pt>
                <c:pt idx="805">
                  <c:v>35.7010305916004</c:v>
                </c:pt>
                <c:pt idx="806">
                  <c:v>117.564843363458</c:v>
                </c:pt>
                <c:pt idx="807">
                  <c:v>214.90326228547099</c:v>
                </c:pt>
                <c:pt idx="808">
                  <c:v>245.01531926075299</c:v>
                </c:pt>
                <c:pt idx="809">
                  <c:v>367.83099880785602</c:v>
                </c:pt>
                <c:pt idx="810">
                  <c:v>405.962774321707</c:v>
                </c:pt>
                <c:pt idx="811">
                  <c:v>354.641615282879</c:v>
                </c:pt>
                <c:pt idx="812">
                  <c:v>426.43757048014203</c:v>
                </c:pt>
                <c:pt idx="813">
                  <c:v>260.31689546794399</c:v>
                </c:pt>
                <c:pt idx="814">
                  <c:v>555.164332933482</c:v>
                </c:pt>
                <c:pt idx="815">
                  <c:v>584.90620642078102</c:v>
                </c:pt>
                <c:pt idx="816">
                  <c:v>285.53506698530202</c:v>
                </c:pt>
                <c:pt idx="817">
                  <c:v>194.56488017976301</c:v>
                </c:pt>
                <c:pt idx="818">
                  <c:v>151.54602922041801</c:v>
                </c:pt>
                <c:pt idx="819">
                  <c:v>147.00619984378099</c:v>
                </c:pt>
                <c:pt idx="820">
                  <c:v>255.54201038977601</c:v>
                </c:pt>
                <c:pt idx="821">
                  <c:v>352.49620250855997</c:v>
                </c:pt>
                <c:pt idx="822">
                  <c:v>253.97629729950299</c:v>
                </c:pt>
                <c:pt idx="823">
                  <c:v>110.796586269043</c:v>
                </c:pt>
                <c:pt idx="824">
                  <c:v>70.589530886617098</c:v>
                </c:pt>
                <c:pt idx="825">
                  <c:v>367.05785997544302</c:v>
                </c:pt>
                <c:pt idx="826">
                  <c:v>287.48014675232599</c:v>
                </c:pt>
                <c:pt idx="827">
                  <c:v>72.349930915146402</c:v>
                </c:pt>
                <c:pt idx="828">
                  <c:v>206.25976139039901</c:v>
                </c:pt>
                <c:pt idx="829">
                  <c:v>50.800156494643304</c:v>
                </c:pt>
                <c:pt idx="830">
                  <c:v>93.148959635434394</c:v>
                </c:pt>
                <c:pt idx="831">
                  <c:v>208.642374780219</c:v>
                </c:pt>
                <c:pt idx="832">
                  <c:v>23.934191028470199</c:v>
                </c:pt>
                <c:pt idx="833">
                  <c:v>79.5247713459284</c:v>
                </c:pt>
                <c:pt idx="834">
                  <c:v>156.57761887298599</c:v>
                </c:pt>
                <c:pt idx="835">
                  <c:v>86.119817882905295</c:v>
                </c:pt>
                <c:pt idx="836">
                  <c:v>52.053740107860897</c:v>
                </c:pt>
                <c:pt idx="837">
                  <c:v>172.850842651883</c:v>
                </c:pt>
                <c:pt idx="838">
                  <c:v>212.91637580726399</c:v>
                </c:pt>
                <c:pt idx="839">
                  <c:v>209.63339061505201</c:v>
                </c:pt>
                <c:pt idx="840">
                  <c:v>106.991153700674</c:v>
                </c:pt>
                <c:pt idx="841">
                  <c:v>68.418804332620198</c:v>
                </c:pt>
                <c:pt idx="842">
                  <c:v>44.623586954214197</c:v>
                </c:pt>
                <c:pt idx="843">
                  <c:v>160.449692793217</c:v>
                </c:pt>
                <c:pt idx="844">
                  <c:v>201.10221153797499</c:v>
                </c:pt>
                <c:pt idx="845">
                  <c:v>66.945113293906303</c:v>
                </c:pt>
                <c:pt idx="846">
                  <c:v>61.715738927356803</c:v>
                </c:pt>
                <c:pt idx="847">
                  <c:v>50.897489163044099</c:v>
                </c:pt>
                <c:pt idx="848">
                  <c:v>67.978756383925599</c:v>
                </c:pt>
                <c:pt idx="849">
                  <c:v>68.295929142455293</c:v>
                </c:pt>
                <c:pt idx="850">
                  <c:v>56.069650351196302</c:v>
                </c:pt>
                <c:pt idx="851">
                  <c:v>62.641933105110901</c:v>
                </c:pt>
                <c:pt idx="852">
                  <c:v>43.274054734572999</c:v>
                </c:pt>
                <c:pt idx="853">
                  <c:v>146.901063718763</c:v>
                </c:pt>
                <c:pt idx="854">
                  <c:v>81.312396220770196</c:v>
                </c:pt>
                <c:pt idx="855">
                  <c:v>71.192380071047495</c:v>
                </c:pt>
                <c:pt idx="856">
                  <c:v>110.035448824122</c:v>
                </c:pt>
                <c:pt idx="857">
                  <c:v>141.84138933786801</c:v>
                </c:pt>
                <c:pt idx="858">
                  <c:v>7.8260737920154799</c:v>
                </c:pt>
                <c:pt idx="859">
                  <c:v>70.722339175900899</c:v>
                </c:pt>
                <c:pt idx="860">
                  <c:v>85.359686373889502</c:v>
                </c:pt>
                <c:pt idx="861">
                  <c:v>3.0417706259722599</c:v>
                </c:pt>
                <c:pt idx="862">
                  <c:v>0</c:v>
                </c:pt>
                <c:pt idx="863">
                  <c:v>47.923073208669898</c:v>
                </c:pt>
                <c:pt idx="864">
                  <c:v>74.332980955972104</c:v>
                </c:pt>
                <c:pt idx="865">
                  <c:v>124.859649309914</c:v>
                </c:pt>
                <c:pt idx="866">
                  <c:v>227.590514677317</c:v>
                </c:pt>
                <c:pt idx="867">
                  <c:v>54.763894854386201</c:v>
                </c:pt>
                <c:pt idx="868">
                  <c:v>58.968141893192097</c:v>
                </c:pt>
                <c:pt idx="869">
                  <c:v>116.49452659988501</c:v>
                </c:pt>
                <c:pt idx="870">
                  <c:v>86.236685644606695</c:v>
                </c:pt>
                <c:pt idx="871">
                  <c:v>97.677717373491006</c:v>
                </c:pt>
                <c:pt idx="872">
                  <c:v>122.645263331328</c:v>
                </c:pt>
                <c:pt idx="873">
                  <c:v>72.959440345779996</c:v>
                </c:pt>
                <c:pt idx="874">
                  <c:v>106.094187107477</c:v>
                </c:pt>
                <c:pt idx="875">
                  <c:v>106.17774447824</c:v>
                </c:pt>
                <c:pt idx="876">
                  <c:v>157.978798034222</c:v>
                </c:pt>
                <c:pt idx="877">
                  <c:v>154.15040313920801</c:v>
                </c:pt>
                <c:pt idx="878">
                  <c:v>168.62330252351401</c:v>
                </c:pt>
                <c:pt idx="879">
                  <c:v>162.348744400736</c:v>
                </c:pt>
                <c:pt idx="880">
                  <c:v>113.399810205731</c:v>
                </c:pt>
                <c:pt idx="881">
                  <c:v>39.020810707302601</c:v>
                </c:pt>
                <c:pt idx="882">
                  <c:v>78.6627171618604</c:v>
                </c:pt>
                <c:pt idx="883">
                  <c:v>109.14467195598699</c:v>
                </c:pt>
                <c:pt idx="884">
                  <c:v>179.16627180415699</c:v>
                </c:pt>
                <c:pt idx="885">
                  <c:v>165.66045768166001</c:v>
                </c:pt>
                <c:pt idx="886">
                  <c:v>123.404048713241</c:v>
                </c:pt>
                <c:pt idx="887">
                  <c:v>228.16996010145499</c:v>
                </c:pt>
                <c:pt idx="888">
                  <c:v>258.19551691021201</c:v>
                </c:pt>
                <c:pt idx="889">
                  <c:v>221.740577188694</c:v>
                </c:pt>
                <c:pt idx="890">
                  <c:v>142.81095934249001</c:v>
                </c:pt>
                <c:pt idx="891">
                  <c:v>171.56287312643599</c:v>
                </c:pt>
                <c:pt idx="892">
                  <c:v>315.04555551529398</c:v>
                </c:pt>
                <c:pt idx="893">
                  <c:v>395.45338082723799</c:v>
                </c:pt>
                <c:pt idx="894">
                  <c:v>123.92714981117101</c:v>
                </c:pt>
                <c:pt idx="895">
                  <c:v>112.487119151634</c:v>
                </c:pt>
                <c:pt idx="896">
                  <c:v>39.763882275188301</c:v>
                </c:pt>
                <c:pt idx="897">
                  <c:v>28.5996113243419</c:v>
                </c:pt>
                <c:pt idx="898">
                  <c:v>56.944240620331698</c:v>
                </c:pt>
                <c:pt idx="899">
                  <c:v>103.94856317177801</c:v>
                </c:pt>
                <c:pt idx="900">
                  <c:v>71.167627855490593</c:v>
                </c:pt>
                <c:pt idx="901">
                  <c:v>15.475846050715599</c:v>
                </c:pt>
                <c:pt idx="902">
                  <c:v>18.247737002570101</c:v>
                </c:pt>
                <c:pt idx="903">
                  <c:v>54.504224451319999</c:v>
                </c:pt>
                <c:pt idx="904">
                  <c:v>206.98962378288101</c:v>
                </c:pt>
                <c:pt idx="905">
                  <c:v>345.78850764001299</c:v>
                </c:pt>
                <c:pt idx="906">
                  <c:v>386.19683912330402</c:v>
                </c:pt>
                <c:pt idx="907">
                  <c:v>280.26706858158298</c:v>
                </c:pt>
                <c:pt idx="908">
                  <c:v>283.32177191587903</c:v>
                </c:pt>
                <c:pt idx="909">
                  <c:v>359.387062937834</c:v>
                </c:pt>
                <c:pt idx="910">
                  <c:v>108.176057921767</c:v>
                </c:pt>
                <c:pt idx="911">
                  <c:v>29.2023236041146</c:v>
                </c:pt>
                <c:pt idx="912">
                  <c:v>69.757460160869599</c:v>
                </c:pt>
                <c:pt idx="913">
                  <c:v>194.76865091190601</c:v>
                </c:pt>
                <c:pt idx="914">
                  <c:v>205.60143333843399</c:v>
                </c:pt>
                <c:pt idx="915">
                  <c:v>282.78156728705301</c:v>
                </c:pt>
                <c:pt idx="916">
                  <c:v>221.24766709871099</c:v>
                </c:pt>
                <c:pt idx="917">
                  <c:v>234.64922665776001</c:v>
                </c:pt>
                <c:pt idx="918">
                  <c:v>198.76516781857799</c:v>
                </c:pt>
                <c:pt idx="919">
                  <c:v>130.506828444788</c:v>
                </c:pt>
                <c:pt idx="920">
                  <c:v>165.64912161408401</c:v>
                </c:pt>
                <c:pt idx="921">
                  <c:v>196.57034255737801</c:v>
                </c:pt>
                <c:pt idx="922">
                  <c:v>139.03978890079401</c:v>
                </c:pt>
                <c:pt idx="923">
                  <c:v>118.10041310849699</c:v>
                </c:pt>
                <c:pt idx="924">
                  <c:v>135.50131757498499</c:v>
                </c:pt>
                <c:pt idx="925">
                  <c:v>174.988060966078</c:v>
                </c:pt>
                <c:pt idx="926">
                  <c:v>195.97172505035499</c:v>
                </c:pt>
                <c:pt idx="927">
                  <c:v>161.79546102416799</c:v>
                </c:pt>
                <c:pt idx="928">
                  <c:v>308.92177232926201</c:v>
                </c:pt>
                <c:pt idx="929">
                  <c:v>159.49021021951199</c:v>
                </c:pt>
                <c:pt idx="930">
                  <c:v>103.822236646677</c:v>
                </c:pt>
                <c:pt idx="931">
                  <c:v>78.914934818395693</c:v>
                </c:pt>
                <c:pt idx="932">
                  <c:v>100.87336906189201</c:v>
                </c:pt>
                <c:pt idx="933">
                  <c:v>111.74413376545699</c:v>
                </c:pt>
                <c:pt idx="934">
                  <c:v>194.30306608106099</c:v>
                </c:pt>
                <c:pt idx="935">
                  <c:v>212.510874977687</c:v>
                </c:pt>
                <c:pt idx="936">
                  <c:v>254.72125876124099</c:v>
                </c:pt>
                <c:pt idx="937">
                  <c:v>91.803997110270004</c:v>
                </c:pt>
                <c:pt idx="938">
                  <c:v>187.336269125044</c:v>
                </c:pt>
                <c:pt idx="939">
                  <c:v>238.39693232274499</c:v>
                </c:pt>
                <c:pt idx="940">
                  <c:v>153.991519207669</c:v>
                </c:pt>
                <c:pt idx="941">
                  <c:v>170.046381640921</c:v>
                </c:pt>
                <c:pt idx="942">
                  <c:v>268.64615169903999</c:v>
                </c:pt>
                <c:pt idx="943">
                  <c:v>238.997443819144</c:v>
                </c:pt>
                <c:pt idx="944">
                  <c:v>77.849386463353696</c:v>
                </c:pt>
                <c:pt idx="945">
                  <c:v>85.929396035676405</c:v>
                </c:pt>
                <c:pt idx="946">
                  <c:v>48.338159327235502</c:v>
                </c:pt>
                <c:pt idx="947">
                  <c:v>102.61091711543</c:v>
                </c:pt>
                <c:pt idx="948">
                  <c:v>141.15112559893799</c:v>
                </c:pt>
                <c:pt idx="949">
                  <c:v>78.448919206278404</c:v>
                </c:pt>
                <c:pt idx="950">
                  <c:v>89.042540692995701</c:v>
                </c:pt>
                <c:pt idx="951">
                  <c:v>178.001406695925</c:v>
                </c:pt>
                <c:pt idx="952">
                  <c:v>170.76136542200001</c:v>
                </c:pt>
                <c:pt idx="953">
                  <c:v>65.104827381125304</c:v>
                </c:pt>
                <c:pt idx="954">
                  <c:v>306.11531929031997</c:v>
                </c:pt>
                <c:pt idx="955">
                  <c:v>472.92376573615599</c:v>
                </c:pt>
                <c:pt idx="956">
                  <c:v>656.31272270665102</c:v>
                </c:pt>
                <c:pt idx="957">
                  <c:v>566.31422684614097</c:v>
                </c:pt>
                <c:pt idx="958">
                  <c:v>498.83310802251498</c:v>
                </c:pt>
                <c:pt idx="959">
                  <c:v>286.30045909609402</c:v>
                </c:pt>
                <c:pt idx="960">
                  <c:v>216.50537519071301</c:v>
                </c:pt>
                <c:pt idx="961">
                  <c:v>418.29360767331798</c:v>
                </c:pt>
                <c:pt idx="962">
                  <c:v>529.42717694589703</c:v>
                </c:pt>
                <c:pt idx="963">
                  <c:v>308.15992252620902</c:v>
                </c:pt>
                <c:pt idx="964">
                  <c:v>413.30347538060499</c:v>
                </c:pt>
                <c:pt idx="965">
                  <c:v>401.79040842991799</c:v>
                </c:pt>
                <c:pt idx="966">
                  <c:v>221.368612966499</c:v>
                </c:pt>
                <c:pt idx="967">
                  <c:v>143.546583597775</c:v>
                </c:pt>
                <c:pt idx="968">
                  <c:v>212.20467678883</c:v>
                </c:pt>
                <c:pt idx="969">
                  <c:v>340.56231645715201</c:v>
                </c:pt>
                <c:pt idx="970">
                  <c:v>343.43364983398601</c:v>
                </c:pt>
                <c:pt idx="971">
                  <c:v>290.695425982953</c:v>
                </c:pt>
                <c:pt idx="972">
                  <c:v>194.33890481044301</c:v>
                </c:pt>
                <c:pt idx="973">
                  <c:v>341.35164474019098</c:v>
                </c:pt>
                <c:pt idx="974">
                  <c:v>232.453294322614</c:v>
                </c:pt>
                <c:pt idx="975">
                  <c:v>236.36545480103101</c:v>
                </c:pt>
                <c:pt idx="976">
                  <c:v>219.99888281560399</c:v>
                </c:pt>
                <c:pt idx="977">
                  <c:v>266.85903316509899</c:v>
                </c:pt>
                <c:pt idx="978">
                  <c:v>436.70566303114299</c:v>
                </c:pt>
                <c:pt idx="979">
                  <c:v>215.504385204313</c:v>
                </c:pt>
                <c:pt idx="980">
                  <c:v>48.579572045176299</c:v>
                </c:pt>
                <c:pt idx="981">
                  <c:v>208.29088536037099</c:v>
                </c:pt>
                <c:pt idx="982">
                  <c:v>221.12040598499701</c:v>
                </c:pt>
                <c:pt idx="983">
                  <c:v>152.72351672937401</c:v>
                </c:pt>
                <c:pt idx="984">
                  <c:v>96.507847254926602</c:v>
                </c:pt>
                <c:pt idx="985">
                  <c:v>180.70489530805699</c:v>
                </c:pt>
                <c:pt idx="986">
                  <c:v>139.63047652982701</c:v>
                </c:pt>
                <c:pt idx="987">
                  <c:v>142.98051664108601</c:v>
                </c:pt>
                <c:pt idx="988">
                  <c:v>268.20317479004899</c:v>
                </c:pt>
                <c:pt idx="989">
                  <c:v>189.592891442926</c:v>
                </c:pt>
                <c:pt idx="990">
                  <c:v>138.41292396800901</c:v>
                </c:pt>
                <c:pt idx="991">
                  <c:v>82.322587518697105</c:v>
                </c:pt>
                <c:pt idx="992">
                  <c:v>55.942840744579101</c:v>
                </c:pt>
                <c:pt idx="993">
                  <c:v>25.994444136294199</c:v>
                </c:pt>
                <c:pt idx="994">
                  <c:v>14.754642266746201</c:v>
                </c:pt>
                <c:pt idx="995">
                  <c:v>45.276965528648802</c:v>
                </c:pt>
                <c:pt idx="996">
                  <c:v>206.72939719464699</c:v>
                </c:pt>
                <c:pt idx="997">
                  <c:v>249.168664497278</c:v>
                </c:pt>
                <c:pt idx="998">
                  <c:v>242.682131119285</c:v>
                </c:pt>
                <c:pt idx="999">
                  <c:v>379.48904572210802</c:v>
                </c:pt>
                <c:pt idx="1000">
                  <c:v>280.95331087973301</c:v>
                </c:pt>
                <c:pt idx="1001">
                  <c:v>321.30547102837602</c:v>
                </c:pt>
                <c:pt idx="1002">
                  <c:v>299.12131221753401</c:v>
                </c:pt>
                <c:pt idx="1003">
                  <c:v>477.64791959759799</c:v>
                </c:pt>
                <c:pt idx="1004">
                  <c:v>291.31365350979399</c:v>
                </c:pt>
                <c:pt idx="1005">
                  <c:v>63.499209453839903</c:v>
                </c:pt>
                <c:pt idx="1006">
                  <c:v>145.34908845588399</c:v>
                </c:pt>
                <c:pt idx="1007">
                  <c:v>207.33241307496499</c:v>
                </c:pt>
                <c:pt idx="1008">
                  <c:v>255.550154685255</c:v>
                </c:pt>
                <c:pt idx="1009">
                  <c:v>221.12973078579901</c:v>
                </c:pt>
                <c:pt idx="1010">
                  <c:v>239.95293654107601</c:v>
                </c:pt>
                <c:pt idx="1011">
                  <c:v>214.866640241906</c:v>
                </c:pt>
                <c:pt idx="1012">
                  <c:v>336.757175950999</c:v>
                </c:pt>
                <c:pt idx="1013">
                  <c:v>315.522502238811</c:v>
                </c:pt>
                <c:pt idx="1014">
                  <c:v>160.90029795677401</c:v>
                </c:pt>
                <c:pt idx="1015">
                  <c:v>163.65466454851901</c:v>
                </c:pt>
                <c:pt idx="1016">
                  <c:v>215.40448400259601</c:v>
                </c:pt>
                <c:pt idx="1017">
                  <c:v>335.25668614240197</c:v>
                </c:pt>
                <c:pt idx="1018">
                  <c:v>379.78185162499</c:v>
                </c:pt>
                <c:pt idx="1019">
                  <c:v>365.30422085981297</c:v>
                </c:pt>
                <c:pt idx="1020">
                  <c:v>202.80014931638999</c:v>
                </c:pt>
                <c:pt idx="1021">
                  <c:v>200.06889178649899</c:v>
                </c:pt>
                <c:pt idx="1022">
                  <c:v>119.44501772798201</c:v>
                </c:pt>
                <c:pt idx="1023">
                  <c:v>120.161968930987</c:v>
                </c:pt>
                <c:pt idx="1024">
                  <c:v>59.089929189078198</c:v>
                </c:pt>
                <c:pt idx="1025">
                  <c:v>126.07011178986799</c:v>
                </c:pt>
                <c:pt idx="1026">
                  <c:v>118.499068646548</c:v>
                </c:pt>
                <c:pt idx="1027">
                  <c:v>111.069223267449</c:v>
                </c:pt>
                <c:pt idx="1028">
                  <c:v>54.0580099390192</c:v>
                </c:pt>
                <c:pt idx="1029">
                  <c:v>16.780339885681698</c:v>
                </c:pt>
                <c:pt idx="1030">
                  <c:v>38.532270568563</c:v>
                </c:pt>
                <c:pt idx="1031">
                  <c:v>80.479366421964599</c:v>
                </c:pt>
                <c:pt idx="1032">
                  <c:v>138.388685608884</c:v>
                </c:pt>
                <c:pt idx="1033">
                  <c:v>125.063801961653</c:v>
                </c:pt>
                <c:pt idx="1034">
                  <c:v>202.70336720202101</c:v>
                </c:pt>
                <c:pt idx="1035">
                  <c:v>86.5720543050587</c:v>
                </c:pt>
                <c:pt idx="1036">
                  <c:v>205.50159531146201</c:v>
                </c:pt>
                <c:pt idx="1037">
                  <c:v>208.49760087261501</c:v>
                </c:pt>
                <c:pt idx="1038">
                  <c:v>138.41429464705701</c:v>
                </c:pt>
                <c:pt idx="1039">
                  <c:v>180.214061138782</c:v>
                </c:pt>
                <c:pt idx="1040">
                  <c:v>345.85848020469803</c:v>
                </c:pt>
                <c:pt idx="1041">
                  <c:v>270.03121130587698</c:v>
                </c:pt>
                <c:pt idx="1042">
                  <c:v>286.81175754540499</c:v>
                </c:pt>
                <c:pt idx="1043">
                  <c:v>280.94654993622601</c:v>
                </c:pt>
                <c:pt idx="1044">
                  <c:v>192.818366772042</c:v>
                </c:pt>
                <c:pt idx="1045">
                  <c:v>187.77241018518001</c:v>
                </c:pt>
                <c:pt idx="1046">
                  <c:v>129.45043450504599</c:v>
                </c:pt>
                <c:pt idx="1047">
                  <c:v>133.60216400148599</c:v>
                </c:pt>
                <c:pt idx="1048">
                  <c:v>245.14044344323801</c:v>
                </c:pt>
                <c:pt idx="1049">
                  <c:v>287.05821281267902</c:v>
                </c:pt>
                <c:pt idx="1050">
                  <c:v>186.38228750758199</c:v>
                </c:pt>
                <c:pt idx="1051">
                  <c:v>174.652298742216</c:v>
                </c:pt>
                <c:pt idx="1052">
                  <c:v>202.29179885468801</c:v>
                </c:pt>
                <c:pt idx="1053">
                  <c:v>268.07819659843898</c:v>
                </c:pt>
                <c:pt idx="1054">
                  <c:v>204.51210197787699</c:v>
                </c:pt>
                <c:pt idx="1055">
                  <c:v>165.86142020714101</c:v>
                </c:pt>
                <c:pt idx="1056">
                  <c:v>62.9979439007029</c:v>
                </c:pt>
                <c:pt idx="1057">
                  <c:v>111.611330605562</c:v>
                </c:pt>
                <c:pt idx="1058">
                  <c:v>144.90891552047401</c:v>
                </c:pt>
                <c:pt idx="1059">
                  <c:v>128.82639476217699</c:v>
                </c:pt>
                <c:pt idx="1060">
                  <c:v>60.466431346949697</c:v>
                </c:pt>
                <c:pt idx="1061">
                  <c:v>52.800195804532599</c:v>
                </c:pt>
                <c:pt idx="1062">
                  <c:v>170.46538656646999</c:v>
                </c:pt>
                <c:pt idx="1063">
                  <c:v>112.597155437008</c:v>
                </c:pt>
                <c:pt idx="1064">
                  <c:v>95.323989157463203</c:v>
                </c:pt>
                <c:pt idx="1065">
                  <c:v>182.64657390409999</c:v>
                </c:pt>
                <c:pt idx="1066">
                  <c:v>302.40755092962701</c:v>
                </c:pt>
                <c:pt idx="1067">
                  <c:v>136.17077744872401</c:v>
                </c:pt>
                <c:pt idx="1068">
                  <c:v>210.62346904122501</c:v>
                </c:pt>
                <c:pt idx="1069">
                  <c:v>199.41528197954301</c:v>
                </c:pt>
                <c:pt idx="1070">
                  <c:v>216.61316767091199</c:v>
                </c:pt>
                <c:pt idx="1071">
                  <c:v>164.438203852154</c:v>
                </c:pt>
                <c:pt idx="1072">
                  <c:v>242.505127045774</c:v>
                </c:pt>
                <c:pt idx="1073">
                  <c:v>299.26132518305201</c:v>
                </c:pt>
                <c:pt idx="1074">
                  <c:v>318.06085861034302</c:v>
                </c:pt>
                <c:pt idx="1075">
                  <c:v>363.97831450588501</c:v>
                </c:pt>
                <c:pt idx="1076">
                  <c:v>373.77811929887599</c:v>
                </c:pt>
                <c:pt idx="1077">
                  <c:v>287.74576572443402</c:v>
                </c:pt>
                <c:pt idx="1078">
                  <c:v>215.98565813350399</c:v>
                </c:pt>
                <c:pt idx="1079">
                  <c:v>215.94354803119199</c:v>
                </c:pt>
                <c:pt idx="1080">
                  <c:v>299.22247919269103</c:v>
                </c:pt>
                <c:pt idx="1081">
                  <c:v>265.28335114879502</c:v>
                </c:pt>
                <c:pt idx="1082">
                  <c:v>357.94137349914001</c:v>
                </c:pt>
                <c:pt idx="1083">
                  <c:v>235.17362072176601</c:v>
                </c:pt>
                <c:pt idx="1084">
                  <c:v>210.315117768422</c:v>
                </c:pt>
                <c:pt idx="1085">
                  <c:v>130.107360665887</c:v>
                </c:pt>
                <c:pt idx="1086">
                  <c:v>87.781431856168794</c:v>
                </c:pt>
                <c:pt idx="1087">
                  <c:v>126.098414793732</c:v>
                </c:pt>
                <c:pt idx="1088">
                  <c:v>107.099057437186</c:v>
                </c:pt>
                <c:pt idx="1089">
                  <c:v>202.747334356582</c:v>
                </c:pt>
                <c:pt idx="1090">
                  <c:v>174.31008762741399</c:v>
                </c:pt>
                <c:pt idx="1091">
                  <c:v>288.19881262429197</c:v>
                </c:pt>
                <c:pt idx="1092">
                  <c:v>316.166781309106</c:v>
                </c:pt>
                <c:pt idx="1093">
                  <c:v>277.59658872382499</c:v>
                </c:pt>
                <c:pt idx="1094">
                  <c:v>219.84569192513101</c:v>
                </c:pt>
                <c:pt idx="1095">
                  <c:v>349.39555524980398</c:v>
                </c:pt>
                <c:pt idx="1096">
                  <c:v>372.86941041828698</c:v>
                </c:pt>
                <c:pt idx="1097">
                  <c:v>480.38070876323201</c:v>
                </c:pt>
                <c:pt idx="1098">
                  <c:v>643.35545421080701</c:v>
                </c:pt>
                <c:pt idx="1099">
                  <c:v>442.93401324278</c:v>
                </c:pt>
                <c:pt idx="1100">
                  <c:v>301.514262098193</c:v>
                </c:pt>
                <c:pt idx="1101">
                  <c:v>384.756022023931</c:v>
                </c:pt>
                <c:pt idx="1102">
                  <c:v>331.75233969342401</c:v>
                </c:pt>
                <c:pt idx="1103">
                  <c:v>250.52807641156599</c:v>
                </c:pt>
                <c:pt idx="1104">
                  <c:v>365.65089797512599</c:v>
                </c:pt>
                <c:pt idx="1105">
                  <c:v>386.06251422339602</c:v>
                </c:pt>
                <c:pt idx="1106">
                  <c:v>454.50539425246001</c:v>
                </c:pt>
                <c:pt idx="1107">
                  <c:v>587.049635181952</c:v>
                </c:pt>
                <c:pt idx="1108">
                  <c:v>184.74228960775801</c:v>
                </c:pt>
                <c:pt idx="1109">
                  <c:v>422.73319829745299</c:v>
                </c:pt>
                <c:pt idx="1110">
                  <c:v>837.77175092355299</c:v>
                </c:pt>
                <c:pt idx="1111">
                  <c:v>1047.5441994017999</c:v>
                </c:pt>
                <c:pt idx="1112">
                  <c:v>792.62390294474005</c:v>
                </c:pt>
                <c:pt idx="1113">
                  <c:v>673.43350795218203</c:v>
                </c:pt>
                <c:pt idx="1114">
                  <c:v>586.28243795514004</c:v>
                </c:pt>
                <c:pt idx="1115">
                  <c:v>668.78614678426004</c:v>
                </c:pt>
                <c:pt idx="1116">
                  <c:v>675.36136606829405</c:v>
                </c:pt>
                <c:pt idx="1117">
                  <c:v>272.76720204910299</c:v>
                </c:pt>
                <c:pt idx="1118">
                  <c:v>148.09836704104501</c:v>
                </c:pt>
                <c:pt idx="1119">
                  <c:v>82.491935092096995</c:v>
                </c:pt>
                <c:pt idx="1120">
                  <c:v>51.826765535628297</c:v>
                </c:pt>
                <c:pt idx="1121">
                  <c:v>322.82212893505903</c:v>
                </c:pt>
                <c:pt idx="1122">
                  <c:v>507.875899879092</c:v>
                </c:pt>
                <c:pt idx="1123">
                  <c:v>453.19747800855703</c:v>
                </c:pt>
                <c:pt idx="1124">
                  <c:v>288.86822084061299</c:v>
                </c:pt>
                <c:pt idx="1125">
                  <c:v>56.242209383186797</c:v>
                </c:pt>
                <c:pt idx="1126">
                  <c:v>32.598263160489601</c:v>
                </c:pt>
                <c:pt idx="1127">
                  <c:v>40.698656038091897</c:v>
                </c:pt>
                <c:pt idx="1128">
                  <c:v>355.47844576187299</c:v>
                </c:pt>
                <c:pt idx="1129">
                  <c:v>332.13487692492998</c:v>
                </c:pt>
                <c:pt idx="1130">
                  <c:v>126.855082102002</c:v>
                </c:pt>
                <c:pt idx="1131">
                  <c:v>148.16440833934001</c:v>
                </c:pt>
                <c:pt idx="1132">
                  <c:v>23.266193125170201</c:v>
                </c:pt>
                <c:pt idx="1133">
                  <c:v>68.363961148621996</c:v>
                </c:pt>
                <c:pt idx="1134">
                  <c:v>3.9830877904809801</c:v>
                </c:pt>
                <c:pt idx="1135">
                  <c:v>12.044447538777</c:v>
                </c:pt>
                <c:pt idx="1136">
                  <c:v>379.88975253625102</c:v>
                </c:pt>
                <c:pt idx="1137">
                  <c:v>577.09724763365102</c:v>
                </c:pt>
                <c:pt idx="1138">
                  <c:v>490.53742103646499</c:v>
                </c:pt>
                <c:pt idx="1139">
                  <c:v>721.23727956100197</c:v>
                </c:pt>
                <c:pt idx="1140">
                  <c:v>547.74052702455594</c:v>
                </c:pt>
                <c:pt idx="1141">
                  <c:v>309.897029621797</c:v>
                </c:pt>
                <c:pt idx="1142">
                  <c:v>172.20451589486399</c:v>
                </c:pt>
                <c:pt idx="1143">
                  <c:v>228.15677476589701</c:v>
                </c:pt>
                <c:pt idx="1144">
                  <c:v>104.22617552168001</c:v>
                </c:pt>
                <c:pt idx="1145">
                  <c:v>168.66641615375201</c:v>
                </c:pt>
                <c:pt idx="1146">
                  <c:v>75.9567797108121</c:v>
                </c:pt>
                <c:pt idx="1147">
                  <c:v>52.673049961162299</c:v>
                </c:pt>
                <c:pt idx="1148">
                  <c:v>194.535192308365</c:v>
                </c:pt>
                <c:pt idx="1149">
                  <c:v>99.989042424061907</c:v>
                </c:pt>
                <c:pt idx="1150">
                  <c:v>90.142642990857794</c:v>
                </c:pt>
                <c:pt idx="1151">
                  <c:v>31.045986922548298</c:v>
                </c:pt>
                <c:pt idx="1152">
                  <c:v>297.159004795746</c:v>
                </c:pt>
                <c:pt idx="1153">
                  <c:v>523.49604698701603</c:v>
                </c:pt>
                <c:pt idx="1154">
                  <c:v>357.75248765049201</c:v>
                </c:pt>
                <c:pt idx="1155">
                  <c:v>252.710308040765</c:v>
                </c:pt>
                <c:pt idx="1156">
                  <c:v>50.957186099915702</c:v>
                </c:pt>
                <c:pt idx="1157">
                  <c:v>97.047955928217505</c:v>
                </c:pt>
                <c:pt idx="1158">
                  <c:v>72.729335553585202</c:v>
                </c:pt>
                <c:pt idx="1159">
                  <c:v>221.11177926795699</c:v>
                </c:pt>
                <c:pt idx="1160">
                  <c:v>53.760679267792099</c:v>
                </c:pt>
                <c:pt idx="1161">
                  <c:v>82.7574998178155</c:v>
                </c:pt>
                <c:pt idx="1162">
                  <c:v>0</c:v>
                </c:pt>
                <c:pt idx="1163">
                  <c:v>0</c:v>
                </c:pt>
                <c:pt idx="1164">
                  <c:v>2.8295180000651001</c:v>
                </c:pt>
                <c:pt idx="1165">
                  <c:v>16.676493952568599</c:v>
                </c:pt>
                <c:pt idx="1166">
                  <c:v>89.045019670390701</c:v>
                </c:pt>
                <c:pt idx="1167">
                  <c:v>111.548089810866</c:v>
                </c:pt>
                <c:pt idx="1168">
                  <c:v>99.744160526228896</c:v>
                </c:pt>
                <c:pt idx="1169">
                  <c:v>71.170301677041394</c:v>
                </c:pt>
                <c:pt idx="1170">
                  <c:v>77.311786349985297</c:v>
                </c:pt>
                <c:pt idx="1171">
                  <c:v>46.886324553722602</c:v>
                </c:pt>
                <c:pt idx="1172">
                  <c:v>7.8771540892255798</c:v>
                </c:pt>
                <c:pt idx="1173">
                  <c:v>67.723132098323902</c:v>
                </c:pt>
                <c:pt idx="1174">
                  <c:v>194.43641042148801</c:v>
                </c:pt>
                <c:pt idx="1175">
                  <c:v>100.015252127479</c:v>
                </c:pt>
                <c:pt idx="1176">
                  <c:v>0</c:v>
                </c:pt>
                <c:pt idx="1177">
                  <c:v>38.256908960938603</c:v>
                </c:pt>
                <c:pt idx="1178">
                  <c:v>82.651331819067593</c:v>
                </c:pt>
                <c:pt idx="1179">
                  <c:v>201.30345207668699</c:v>
                </c:pt>
                <c:pt idx="1180">
                  <c:v>298.52346984846997</c:v>
                </c:pt>
                <c:pt idx="1181">
                  <c:v>293.76866309133499</c:v>
                </c:pt>
                <c:pt idx="1182">
                  <c:v>239.90919052239801</c:v>
                </c:pt>
                <c:pt idx="1183">
                  <c:v>225.85753619809799</c:v>
                </c:pt>
                <c:pt idx="1184">
                  <c:v>295.99737031971</c:v>
                </c:pt>
                <c:pt idx="1185">
                  <c:v>395.62556733051503</c:v>
                </c:pt>
                <c:pt idx="1186">
                  <c:v>490.94897751318501</c:v>
                </c:pt>
                <c:pt idx="1187">
                  <c:v>445.82371668546699</c:v>
                </c:pt>
                <c:pt idx="1188">
                  <c:v>188.48410800629301</c:v>
                </c:pt>
                <c:pt idx="1189">
                  <c:v>88.887230612866603</c:v>
                </c:pt>
                <c:pt idx="1190">
                  <c:v>46.137547405601701</c:v>
                </c:pt>
                <c:pt idx="1191">
                  <c:v>95.741598471061096</c:v>
                </c:pt>
                <c:pt idx="1192">
                  <c:v>234.48231217131399</c:v>
                </c:pt>
                <c:pt idx="1193">
                  <c:v>127.104088749149</c:v>
                </c:pt>
                <c:pt idx="1194">
                  <c:v>20.021182724519502</c:v>
                </c:pt>
                <c:pt idx="1195">
                  <c:v>54.1753813081366</c:v>
                </c:pt>
                <c:pt idx="1196">
                  <c:v>202.23099323112299</c:v>
                </c:pt>
                <c:pt idx="1197">
                  <c:v>157.05531331365199</c:v>
                </c:pt>
                <c:pt idx="1198">
                  <c:v>36.259716230579699</c:v>
                </c:pt>
                <c:pt idx="1199">
                  <c:v>220.17475136095399</c:v>
                </c:pt>
                <c:pt idx="1200">
                  <c:v>36.737393232257801</c:v>
                </c:pt>
                <c:pt idx="1201">
                  <c:v>130.50781093105601</c:v>
                </c:pt>
                <c:pt idx="1202">
                  <c:v>293.92380834385199</c:v>
                </c:pt>
                <c:pt idx="1203">
                  <c:v>98.296656904742207</c:v>
                </c:pt>
                <c:pt idx="1204">
                  <c:v>0</c:v>
                </c:pt>
                <c:pt idx="1205">
                  <c:v>48.752414547104998</c:v>
                </c:pt>
                <c:pt idx="1206">
                  <c:v>68.210161285287896</c:v>
                </c:pt>
                <c:pt idx="1207">
                  <c:v>72.400256257431394</c:v>
                </c:pt>
                <c:pt idx="1208">
                  <c:v>77.0007305707923</c:v>
                </c:pt>
                <c:pt idx="1209">
                  <c:v>269.52188926963498</c:v>
                </c:pt>
                <c:pt idx="1210">
                  <c:v>379.02524916990802</c:v>
                </c:pt>
                <c:pt idx="1211">
                  <c:v>292.18025180147299</c:v>
                </c:pt>
                <c:pt idx="1212">
                  <c:v>105.995035902154</c:v>
                </c:pt>
                <c:pt idx="1213">
                  <c:v>66.347436854633202</c:v>
                </c:pt>
                <c:pt idx="1214">
                  <c:v>216.140750218958</c:v>
                </c:pt>
                <c:pt idx="1215">
                  <c:v>214.27530137443699</c:v>
                </c:pt>
                <c:pt idx="1216">
                  <c:v>90.0855372307431</c:v>
                </c:pt>
                <c:pt idx="1217">
                  <c:v>81.593409367671299</c:v>
                </c:pt>
                <c:pt idx="1218">
                  <c:v>19.5364713938459</c:v>
                </c:pt>
                <c:pt idx="1219">
                  <c:v>91.6844539994499</c:v>
                </c:pt>
                <c:pt idx="1220">
                  <c:v>41.017959957814803</c:v>
                </c:pt>
                <c:pt idx="1221">
                  <c:v>85.728512307289705</c:v>
                </c:pt>
                <c:pt idx="1222">
                  <c:v>106.13367251737399</c:v>
                </c:pt>
                <c:pt idx="1223">
                  <c:v>77.459171733023695</c:v>
                </c:pt>
                <c:pt idx="1224">
                  <c:v>101.375321596867</c:v>
                </c:pt>
                <c:pt idx="1225">
                  <c:v>98.657368395706499</c:v>
                </c:pt>
                <c:pt idx="1226">
                  <c:v>84.328648799889805</c:v>
                </c:pt>
                <c:pt idx="1227">
                  <c:v>54.137713351407797</c:v>
                </c:pt>
                <c:pt idx="1228">
                  <c:v>45.605215563237003</c:v>
                </c:pt>
                <c:pt idx="1229">
                  <c:v>74.046813130294098</c:v>
                </c:pt>
                <c:pt idx="1230">
                  <c:v>72.992301571144793</c:v>
                </c:pt>
                <c:pt idx="1231">
                  <c:v>71.059245028258204</c:v>
                </c:pt>
                <c:pt idx="1232">
                  <c:v>0</c:v>
                </c:pt>
                <c:pt idx="1233">
                  <c:v>0</c:v>
                </c:pt>
                <c:pt idx="1234">
                  <c:v>0</c:v>
                </c:pt>
                <c:pt idx="1235">
                  <c:v>67.936969892646601</c:v>
                </c:pt>
                <c:pt idx="1236">
                  <c:v>116.11461080523399</c:v>
                </c:pt>
                <c:pt idx="1237">
                  <c:v>93.744301361205999</c:v>
                </c:pt>
                <c:pt idx="1238">
                  <c:v>8.2515573560585604</c:v>
                </c:pt>
                <c:pt idx="1239">
                  <c:v>34.079252934614502</c:v>
                </c:pt>
                <c:pt idx="1240">
                  <c:v>74.124714868019296</c:v>
                </c:pt>
                <c:pt idx="1241">
                  <c:v>21.4343042226017</c:v>
                </c:pt>
                <c:pt idx="1242">
                  <c:v>97.650206319878095</c:v>
                </c:pt>
                <c:pt idx="1243">
                  <c:v>79.441516740353194</c:v>
                </c:pt>
                <c:pt idx="1244">
                  <c:v>81.824830830350194</c:v>
                </c:pt>
                <c:pt idx="1245">
                  <c:v>21.315557663772399</c:v>
                </c:pt>
                <c:pt idx="1246">
                  <c:v>4.70523367929919</c:v>
                </c:pt>
                <c:pt idx="1247">
                  <c:v>0</c:v>
                </c:pt>
                <c:pt idx="1248">
                  <c:v>21.098974395539202</c:v>
                </c:pt>
                <c:pt idx="1249">
                  <c:v>44.501915608883202</c:v>
                </c:pt>
                <c:pt idx="1250">
                  <c:v>25.902127488184501</c:v>
                </c:pt>
                <c:pt idx="1251">
                  <c:v>18.392549111636601</c:v>
                </c:pt>
                <c:pt idx="1252">
                  <c:v>0</c:v>
                </c:pt>
                <c:pt idx="1253">
                  <c:v>22.763517276330099</c:v>
                </c:pt>
                <c:pt idx="1254">
                  <c:v>41.881768851935</c:v>
                </c:pt>
                <c:pt idx="1255">
                  <c:v>65.894667268841403</c:v>
                </c:pt>
                <c:pt idx="1256">
                  <c:v>57.928337108430497</c:v>
                </c:pt>
                <c:pt idx="1257">
                  <c:v>65.174711021515407</c:v>
                </c:pt>
                <c:pt idx="1258">
                  <c:v>125.279561508301</c:v>
                </c:pt>
                <c:pt idx="1259">
                  <c:v>211.76441560120799</c:v>
                </c:pt>
                <c:pt idx="1260">
                  <c:v>105.956616855707</c:v>
                </c:pt>
                <c:pt idx="1261">
                  <c:v>48.019435181972902</c:v>
                </c:pt>
                <c:pt idx="1262">
                  <c:v>45.495635064545297</c:v>
                </c:pt>
                <c:pt idx="1263">
                  <c:v>65.195028819474302</c:v>
                </c:pt>
                <c:pt idx="1264">
                  <c:v>83.0831086242776</c:v>
                </c:pt>
                <c:pt idx="1265">
                  <c:v>67.388891012725693</c:v>
                </c:pt>
                <c:pt idx="1266">
                  <c:v>8.7002119879273092</c:v>
                </c:pt>
                <c:pt idx="1267">
                  <c:v>0</c:v>
                </c:pt>
                <c:pt idx="1268">
                  <c:v>0</c:v>
                </c:pt>
                <c:pt idx="1269">
                  <c:v>6.3928068742734396</c:v>
                </c:pt>
                <c:pt idx="1270">
                  <c:v>10.6344000507553</c:v>
                </c:pt>
                <c:pt idx="1271">
                  <c:v>0</c:v>
                </c:pt>
                <c:pt idx="1272">
                  <c:v>0</c:v>
                </c:pt>
                <c:pt idx="1273">
                  <c:v>0.18134813893964399</c:v>
                </c:pt>
                <c:pt idx="1274">
                  <c:v>16.559862116355799</c:v>
                </c:pt>
                <c:pt idx="1275">
                  <c:v>32.383926419594403</c:v>
                </c:pt>
                <c:pt idx="1276">
                  <c:v>59.811758813689799</c:v>
                </c:pt>
                <c:pt idx="1277">
                  <c:v>69.418440730146301</c:v>
                </c:pt>
                <c:pt idx="1278">
                  <c:v>21.167061935608</c:v>
                </c:pt>
                <c:pt idx="1279">
                  <c:v>124.92121567045299</c:v>
                </c:pt>
                <c:pt idx="1280">
                  <c:v>210.89817476070999</c:v>
                </c:pt>
                <c:pt idx="1281">
                  <c:v>53.011594095596401</c:v>
                </c:pt>
                <c:pt idx="1282">
                  <c:v>7.7140208024917403</c:v>
                </c:pt>
                <c:pt idx="1283">
                  <c:v>13.258734610677401</c:v>
                </c:pt>
                <c:pt idx="1284">
                  <c:v>97.274887998819196</c:v>
                </c:pt>
                <c:pt idx="1285">
                  <c:v>19.5770213462526</c:v>
                </c:pt>
                <c:pt idx="1286">
                  <c:v>100.936673330018</c:v>
                </c:pt>
                <c:pt idx="1287">
                  <c:v>102.282874616108</c:v>
                </c:pt>
                <c:pt idx="1288">
                  <c:v>54.887765669747999</c:v>
                </c:pt>
                <c:pt idx="1289">
                  <c:v>50.534945648374801</c:v>
                </c:pt>
                <c:pt idx="1290">
                  <c:v>19.952512604100001</c:v>
                </c:pt>
                <c:pt idx="1291">
                  <c:v>29.0719203933273</c:v>
                </c:pt>
                <c:pt idx="1292">
                  <c:v>18.143278982534799</c:v>
                </c:pt>
                <c:pt idx="1293">
                  <c:v>0</c:v>
                </c:pt>
                <c:pt idx="1294">
                  <c:v>12.810033038667999</c:v>
                </c:pt>
                <c:pt idx="1295">
                  <c:v>36.3321484993211</c:v>
                </c:pt>
                <c:pt idx="1296">
                  <c:v>34.581173879784501</c:v>
                </c:pt>
                <c:pt idx="1297">
                  <c:v>40.000814862156098</c:v>
                </c:pt>
                <c:pt idx="1298">
                  <c:v>92.881498878454195</c:v>
                </c:pt>
                <c:pt idx="1299">
                  <c:v>63.198270529023397</c:v>
                </c:pt>
                <c:pt idx="1300">
                  <c:v>31.936658057675398</c:v>
                </c:pt>
                <c:pt idx="1301">
                  <c:v>12.0270379633976</c:v>
                </c:pt>
                <c:pt idx="1302">
                  <c:v>3.0862691131404398</c:v>
                </c:pt>
                <c:pt idx="1303">
                  <c:v>76.287593281457205</c:v>
                </c:pt>
                <c:pt idx="1304">
                  <c:v>5.9250667332974398</c:v>
                </c:pt>
                <c:pt idx="1305">
                  <c:v>81.683126394221205</c:v>
                </c:pt>
                <c:pt idx="1306">
                  <c:v>44.3850604377228</c:v>
                </c:pt>
                <c:pt idx="1307">
                  <c:v>66.9322681522397</c:v>
                </c:pt>
                <c:pt idx="1308">
                  <c:v>69.484753427949201</c:v>
                </c:pt>
                <c:pt idx="1309">
                  <c:v>15.7256664380606</c:v>
                </c:pt>
                <c:pt idx="1310">
                  <c:v>88.491105918809794</c:v>
                </c:pt>
                <c:pt idx="1311">
                  <c:v>34.771208285892897</c:v>
                </c:pt>
                <c:pt idx="1312">
                  <c:v>54.104187205081999</c:v>
                </c:pt>
                <c:pt idx="1313">
                  <c:v>120.71653756936099</c:v>
                </c:pt>
                <c:pt idx="1314">
                  <c:v>102.181229565537</c:v>
                </c:pt>
                <c:pt idx="1315">
                  <c:v>21.611128005769402</c:v>
                </c:pt>
                <c:pt idx="1316">
                  <c:v>10.608477069407</c:v>
                </c:pt>
                <c:pt idx="1317">
                  <c:v>13.396992037423701</c:v>
                </c:pt>
                <c:pt idx="1318">
                  <c:v>15.3822370439787</c:v>
                </c:pt>
                <c:pt idx="1319">
                  <c:v>23.424948229631401</c:v>
                </c:pt>
                <c:pt idx="1320">
                  <c:v>21.283212392227899</c:v>
                </c:pt>
                <c:pt idx="1321">
                  <c:v>23.771282552524799</c:v>
                </c:pt>
                <c:pt idx="1322">
                  <c:v>31.076999159184702</c:v>
                </c:pt>
                <c:pt idx="1323">
                  <c:v>20.5461864775991</c:v>
                </c:pt>
                <c:pt idx="1324">
                  <c:v>4.22808615609922</c:v>
                </c:pt>
                <c:pt idx="1325">
                  <c:v>157.82319396796899</c:v>
                </c:pt>
                <c:pt idx="1326">
                  <c:v>304.67237655937703</c:v>
                </c:pt>
                <c:pt idx="1327">
                  <c:v>357.48410007508397</c:v>
                </c:pt>
                <c:pt idx="1328">
                  <c:v>275.98697092468598</c:v>
                </c:pt>
                <c:pt idx="1329">
                  <c:v>164.87373554806501</c:v>
                </c:pt>
                <c:pt idx="1330">
                  <c:v>38.770306116985203</c:v>
                </c:pt>
                <c:pt idx="1331">
                  <c:v>54.124020269293297</c:v>
                </c:pt>
                <c:pt idx="1332">
                  <c:v>159.63771519836999</c:v>
                </c:pt>
                <c:pt idx="1333">
                  <c:v>258.00554460077899</c:v>
                </c:pt>
                <c:pt idx="1334">
                  <c:v>100.287368843778</c:v>
                </c:pt>
                <c:pt idx="1335">
                  <c:v>248.57196272318899</c:v>
                </c:pt>
                <c:pt idx="1336">
                  <c:v>172.539233722924</c:v>
                </c:pt>
                <c:pt idx="1337">
                  <c:v>66.121300576743707</c:v>
                </c:pt>
                <c:pt idx="1338">
                  <c:v>64.381192404517506</c:v>
                </c:pt>
                <c:pt idx="1339">
                  <c:v>145.58098999913801</c:v>
                </c:pt>
                <c:pt idx="1340">
                  <c:v>379.653605727333</c:v>
                </c:pt>
                <c:pt idx="1341">
                  <c:v>500.99110065166298</c:v>
                </c:pt>
                <c:pt idx="1342">
                  <c:v>394.453592602735</c:v>
                </c:pt>
                <c:pt idx="1343">
                  <c:v>18.314325771179</c:v>
                </c:pt>
                <c:pt idx="1344">
                  <c:v>216.97097235722501</c:v>
                </c:pt>
                <c:pt idx="1345">
                  <c:v>121.816626082433</c:v>
                </c:pt>
                <c:pt idx="1346">
                  <c:v>84.319304585056003</c:v>
                </c:pt>
                <c:pt idx="1347">
                  <c:v>123.592501825582</c:v>
                </c:pt>
                <c:pt idx="1348">
                  <c:v>203.024158818046</c:v>
                </c:pt>
                <c:pt idx="1349">
                  <c:v>242.01803511514501</c:v>
                </c:pt>
                <c:pt idx="1350">
                  <c:v>81.551828801284302</c:v>
                </c:pt>
                <c:pt idx="1351">
                  <c:v>2.6236550074715899</c:v>
                </c:pt>
                <c:pt idx="1352">
                  <c:v>18.0173584299244</c:v>
                </c:pt>
                <c:pt idx="1353">
                  <c:v>29.205547313064201</c:v>
                </c:pt>
                <c:pt idx="1354">
                  <c:v>6.6523852047394199</c:v>
                </c:pt>
                <c:pt idx="1355">
                  <c:v>21.006444570084199</c:v>
                </c:pt>
                <c:pt idx="1356">
                  <c:v>27.213047156550601</c:v>
                </c:pt>
                <c:pt idx="1357">
                  <c:v>78.048641899359495</c:v>
                </c:pt>
                <c:pt idx="1358">
                  <c:v>96.018456924992506</c:v>
                </c:pt>
                <c:pt idx="1359">
                  <c:v>80.782970396328295</c:v>
                </c:pt>
                <c:pt idx="1360">
                  <c:v>97.246759961394801</c:v>
                </c:pt>
                <c:pt idx="1361">
                  <c:v>34.9258393394541</c:v>
                </c:pt>
                <c:pt idx="1362">
                  <c:v>88.799055878861793</c:v>
                </c:pt>
                <c:pt idx="1363">
                  <c:v>28.521135119695501</c:v>
                </c:pt>
                <c:pt idx="1364">
                  <c:v>10.6428147978465</c:v>
                </c:pt>
                <c:pt idx="1365">
                  <c:v>0</c:v>
                </c:pt>
                <c:pt idx="1366">
                  <c:v>11.008522622726</c:v>
                </c:pt>
                <c:pt idx="1367">
                  <c:v>81.817314899960706</c:v>
                </c:pt>
                <c:pt idx="1368">
                  <c:v>133.393387443862</c:v>
                </c:pt>
                <c:pt idx="1369">
                  <c:v>82.299589980195805</c:v>
                </c:pt>
                <c:pt idx="1370">
                  <c:v>355.969059332764</c:v>
                </c:pt>
                <c:pt idx="1371">
                  <c:v>204.964324878908</c:v>
                </c:pt>
                <c:pt idx="1372">
                  <c:v>116.046643405533</c:v>
                </c:pt>
                <c:pt idx="1373">
                  <c:v>142.11798723069401</c:v>
                </c:pt>
                <c:pt idx="1374">
                  <c:v>263.12234583715099</c:v>
                </c:pt>
                <c:pt idx="1375">
                  <c:v>153.69861804916701</c:v>
                </c:pt>
                <c:pt idx="1376">
                  <c:v>60.104923904148897</c:v>
                </c:pt>
                <c:pt idx="1377">
                  <c:v>89.968936488921102</c:v>
                </c:pt>
                <c:pt idx="1378">
                  <c:v>137.53332667530901</c:v>
                </c:pt>
                <c:pt idx="1379">
                  <c:v>170.134650346814</c:v>
                </c:pt>
                <c:pt idx="1380">
                  <c:v>178.34185539479799</c:v>
                </c:pt>
                <c:pt idx="1381">
                  <c:v>191.26640981801901</c:v>
                </c:pt>
                <c:pt idx="1382">
                  <c:v>179.78692384804901</c:v>
                </c:pt>
                <c:pt idx="1383">
                  <c:v>181.41091692354399</c:v>
                </c:pt>
                <c:pt idx="1384">
                  <c:v>80.225688463741093</c:v>
                </c:pt>
                <c:pt idx="1385">
                  <c:v>46.493448176268799</c:v>
                </c:pt>
                <c:pt idx="1386">
                  <c:v>13.851036062451801</c:v>
                </c:pt>
                <c:pt idx="1387">
                  <c:v>47.065162496354802</c:v>
                </c:pt>
                <c:pt idx="1388">
                  <c:v>93.443278585408194</c:v>
                </c:pt>
                <c:pt idx="1389">
                  <c:v>93.414924584307101</c:v>
                </c:pt>
                <c:pt idx="1390">
                  <c:v>150.21191113796101</c:v>
                </c:pt>
                <c:pt idx="1391">
                  <c:v>99.4468109981064</c:v>
                </c:pt>
                <c:pt idx="1392">
                  <c:v>55.590659988760201</c:v>
                </c:pt>
                <c:pt idx="1393">
                  <c:v>33.444484727502797</c:v>
                </c:pt>
                <c:pt idx="1394">
                  <c:v>23.016363787055901</c:v>
                </c:pt>
                <c:pt idx="1395">
                  <c:v>4.3268603469527802</c:v>
                </c:pt>
                <c:pt idx="1396">
                  <c:v>57.994297595004703</c:v>
                </c:pt>
                <c:pt idx="1397">
                  <c:v>136.91111202680901</c:v>
                </c:pt>
                <c:pt idx="1398">
                  <c:v>49.607352846161199</c:v>
                </c:pt>
                <c:pt idx="1399">
                  <c:v>1.6239211065445101</c:v>
                </c:pt>
                <c:pt idx="1400">
                  <c:v>0</c:v>
                </c:pt>
                <c:pt idx="1401">
                  <c:v>18.364406914960099</c:v>
                </c:pt>
                <c:pt idx="1402">
                  <c:v>58.114937665562003</c:v>
                </c:pt>
                <c:pt idx="1403">
                  <c:v>24.900087100330701</c:v>
                </c:pt>
                <c:pt idx="1404">
                  <c:v>101.237160219957</c:v>
                </c:pt>
                <c:pt idx="1405">
                  <c:v>39.116998297162297</c:v>
                </c:pt>
                <c:pt idx="1406">
                  <c:v>0</c:v>
                </c:pt>
                <c:pt idx="1407">
                  <c:v>52.443242226808401</c:v>
                </c:pt>
                <c:pt idx="1408">
                  <c:v>52.189548187006402</c:v>
                </c:pt>
                <c:pt idx="1409">
                  <c:v>6.9252933007611199</c:v>
                </c:pt>
                <c:pt idx="1410">
                  <c:v>29.572448913837</c:v>
                </c:pt>
                <c:pt idx="1411">
                  <c:v>56.214659712797001</c:v>
                </c:pt>
                <c:pt idx="1412">
                  <c:v>82.807344121792894</c:v>
                </c:pt>
                <c:pt idx="1413">
                  <c:v>81.870401297004193</c:v>
                </c:pt>
                <c:pt idx="1414">
                  <c:v>72.495481474082197</c:v>
                </c:pt>
                <c:pt idx="1415">
                  <c:v>80.041069200064598</c:v>
                </c:pt>
                <c:pt idx="1416">
                  <c:v>92.331718084682606</c:v>
                </c:pt>
                <c:pt idx="1417">
                  <c:v>76.7900902938011</c:v>
                </c:pt>
                <c:pt idx="1418">
                  <c:v>88.238835976266699</c:v>
                </c:pt>
                <c:pt idx="1419">
                  <c:v>29.944987109983</c:v>
                </c:pt>
                <c:pt idx="1420">
                  <c:v>78.987603868286598</c:v>
                </c:pt>
                <c:pt idx="1421">
                  <c:v>85.411304302161099</c:v>
                </c:pt>
                <c:pt idx="1422">
                  <c:v>55.622000689392898</c:v>
                </c:pt>
                <c:pt idx="1423">
                  <c:v>104.69657303072</c:v>
                </c:pt>
                <c:pt idx="1424">
                  <c:v>97.888869798849598</c:v>
                </c:pt>
                <c:pt idx="1425">
                  <c:v>89.056432096607097</c:v>
                </c:pt>
                <c:pt idx="1426">
                  <c:v>97.279860694091695</c:v>
                </c:pt>
                <c:pt idx="1427">
                  <c:v>7.02</c:v>
                </c:pt>
                <c:pt idx="1428">
                  <c:v>13.451960539257399</c:v>
                </c:pt>
                <c:pt idx="1429">
                  <c:v>55.635936884446501</c:v>
                </c:pt>
                <c:pt idx="1430">
                  <c:v>80.996922546245202</c:v>
                </c:pt>
                <c:pt idx="1431">
                  <c:v>3.51</c:v>
                </c:pt>
                <c:pt idx="1432">
                  <c:v>16.734322684625099</c:v>
                </c:pt>
                <c:pt idx="1433">
                  <c:v>38.663625805344097</c:v>
                </c:pt>
                <c:pt idx="1434">
                  <c:v>53.098349808214799</c:v>
                </c:pt>
                <c:pt idx="1435">
                  <c:v>49.415514293055303</c:v>
                </c:pt>
                <c:pt idx="1436">
                  <c:v>96.993060404138006</c:v>
                </c:pt>
                <c:pt idx="1437">
                  <c:v>236.704254098673</c:v>
                </c:pt>
                <c:pt idx="1438">
                  <c:v>75.664630404175597</c:v>
                </c:pt>
                <c:pt idx="1439">
                  <c:v>86.4588524296977</c:v>
                </c:pt>
                <c:pt idx="1440">
                  <c:v>58.822810843550499</c:v>
                </c:pt>
                <c:pt idx="1441">
                  <c:v>116.299055590538</c:v>
                </c:pt>
                <c:pt idx="1442">
                  <c:v>47.0463415349817</c:v>
                </c:pt>
                <c:pt idx="1443">
                  <c:v>182.74293505183101</c:v>
                </c:pt>
                <c:pt idx="1444">
                  <c:v>224.87787647916701</c:v>
                </c:pt>
                <c:pt idx="1445">
                  <c:v>311.58073899573901</c:v>
                </c:pt>
                <c:pt idx="1446">
                  <c:v>367.92457371947501</c:v>
                </c:pt>
                <c:pt idx="1447">
                  <c:v>290.90067544103601</c:v>
                </c:pt>
                <c:pt idx="1448">
                  <c:v>153.333645937911</c:v>
                </c:pt>
                <c:pt idx="1449">
                  <c:v>85.556314448347905</c:v>
                </c:pt>
                <c:pt idx="1450">
                  <c:v>42.585529034467598</c:v>
                </c:pt>
                <c:pt idx="1451">
                  <c:v>105.161516355933</c:v>
                </c:pt>
                <c:pt idx="1452">
                  <c:v>264.69739876463399</c:v>
                </c:pt>
                <c:pt idx="1453">
                  <c:v>366.31809232654501</c:v>
                </c:pt>
                <c:pt idx="1454">
                  <c:v>113.950309820809</c:v>
                </c:pt>
                <c:pt idx="1455">
                  <c:v>115.456949138906</c:v>
                </c:pt>
                <c:pt idx="1456">
                  <c:v>13.101713554001</c:v>
                </c:pt>
                <c:pt idx="1457">
                  <c:v>61.092637622153298</c:v>
                </c:pt>
                <c:pt idx="1458">
                  <c:v>19.809690861097099</c:v>
                </c:pt>
                <c:pt idx="1459">
                  <c:v>68.793937554351402</c:v>
                </c:pt>
                <c:pt idx="1460">
                  <c:v>80.806893867283605</c:v>
                </c:pt>
                <c:pt idx="1461">
                  <c:v>144.23248768880001</c:v>
                </c:pt>
                <c:pt idx="1462">
                  <c:v>149.75200223668099</c:v>
                </c:pt>
                <c:pt idx="1463">
                  <c:v>255.927473390909</c:v>
                </c:pt>
                <c:pt idx="1464">
                  <c:v>102.411600870173</c:v>
                </c:pt>
                <c:pt idx="1465">
                  <c:v>98.805541491640199</c:v>
                </c:pt>
                <c:pt idx="1466">
                  <c:v>158.478316156966</c:v>
                </c:pt>
                <c:pt idx="1467">
                  <c:v>258.17497383654501</c:v>
                </c:pt>
                <c:pt idx="1468">
                  <c:v>370.27873348337198</c:v>
                </c:pt>
                <c:pt idx="1469">
                  <c:v>373.955949836272</c:v>
                </c:pt>
                <c:pt idx="1470">
                  <c:v>187.65495282760099</c:v>
                </c:pt>
                <c:pt idx="1471">
                  <c:v>46.985998599110097</c:v>
                </c:pt>
                <c:pt idx="1472">
                  <c:v>73.026257421394504</c:v>
                </c:pt>
                <c:pt idx="1473">
                  <c:v>82.5546768784249</c:v>
                </c:pt>
                <c:pt idx="1474">
                  <c:v>74.394324221897506</c:v>
                </c:pt>
                <c:pt idx="1475">
                  <c:v>248.67956455622101</c:v>
                </c:pt>
                <c:pt idx="1476">
                  <c:v>263.78714947431899</c:v>
                </c:pt>
                <c:pt idx="1477">
                  <c:v>402.62127443432399</c:v>
                </c:pt>
                <c:pt idx="1478">
                  <c:v>443.15335723337</c:v>
                </c:pt>
                <c:pt idx="1479">
                  <c:v>246.62826030354901</c:v>
                </c:pt>
                <c:pt idx="1480">
                  <c:v>247.856705274879</c:v>
                </c:pt>
                <c:pt idx="1481">
                  <c:v>526.00571806843902</c:v>
                </c:pt>
                <c:pt idx="1482">
                  <c:v>870.75541061254398</c:v>
                </c:pt>
                <c:pt idx="1483">
                  <c:v>616.21889191038304</c:v>
                </c:pt>
                <c:pt idx="1484">
                  <c:v>386.79170033157698</c:v>
                </c:pt>
                <c:pt idx="1485">
                  <c:v>335.47121979519301</c:v>
                </c:pt>
                <c:pt idx="1486">
                  <c:v>385.72412440439803</c:v>
                </c:pt>
                <c:pt idx="1487">
                  <c:v>364.18347136408897</c:v>
                </c:pt>
                <c:pt idx="1488">
                  <c:v>211.901834307916</c:v>
                </c:pt>
                <c:pt idx="1489">
                  <c:v>1.2328514242666699</c:v>
                </c:pt>
                <c:pt idx="1490">
                  <c:v>0</c:v>
                </c:pt>
                <c:pt idx="1491">
                  <c:v>13.5556145408665</c:v>
                </c:pt>
                <c:pt idx="1492">
                  <c:v>518.57840361162096</c:v>
                </c:pt>
                <c:pt idx="1493">
                  <c:v>314.84845516486303</c:v>
                </c:pt>
                <c:pt idx="1494">
                  <c:v>154.696699001996</c:v>
                </c:pt>
                <c:pt idx="1495">
                  <c:v>155.20729288757499</c:v>
                </c:pt>
                <c:pt idx="1496">
                  <c:v>59.396222289310202</c:v>
                </c:pt>
                <c:pt idx="1497">
                  <c:v>6.3730576736184403</c:v>
                </c:pt>
                <c:pt idx="1498">
                  <c:v>9.2080650974842797</c:v>
                </c:pt>
                <c:pt idx="1499">
                  <c:v>16.0838303162061</c:v>
                </c:pt>
                <c:pt idx="1500">
                  <c:v>524.65502726751197</c:v>
                </c:pt>
                <c:pt idx="1501">
                  <c:v>955.43801054432004</c:v>
                </c:pt>
                <c:pt idx="1502">
                  <c:v>875.16071155989403</c:v>
                </c:pt>
                <c:pt idx="1503">
                  <c:v>1199.50830671328</c:v>
                </c:pt>
                <c:pt idx="1504">
                  <c:v>1038.2380457124</c:v>
                </c:pt>
                <c:pt idx="1505">
                  <c:v>652.48838377389905</c:v>
                </c:pt>
                <c:pt idx="1506">
                  <c:v>436.77128217150198</c:v>
                </c:pt>
                <c:pt idx="1507">
                  <c:v>422.27951170524699</c:v>
                </c:pt>
                <c:pt idx="1508">
                  <c:v>46.971977819258498</c:v>
                </c:pt>
                <c:pt idx="1509">
                  <c:v>138.10576363424701</c:v>
                </c:pt>
                <c:pt idx="1510">
                  <c:v>112.407261079937</c:v>
                </c:pt>
                <c:pt idx="1511">
                  <c:v>62.775502309714597</c:v>
                </c:pt>
                <c:pt idx="1512">
                  <c:v>293.992869910965</c:v>
                </c:pt>
                <c:pt idx="1513">
                  <c:v>230.53942249896099</c:v>
                </c:pt>
                <c:pt idx="1514">
                  <c:v>206.45370877947599</c:v>
                </c:pt>
                <c:pt idx="1515">
                  <c:v>60.16188105885</c:v>
                </c:pt>
                <c:pt idx="1516">
                  <c:v>357.32938623098403</c:v>
                </c:pt>
                <c:pt idx="1517">
                  <c:v>559.36298696364395</c:v>
                </c:pt>
                <c:pt idx="1518">
                  <c:v>462.80176285208699</c:v>
                </c:pt>
                <c:pt idx="1519">
                  <c:v>336.37783614449501</c:v>
                </c:pt>
                <c:pt idx="1520">
                  <c:v>0</c:v>
                </c:pt>
                <c:pt idx="1521">
                  <c:v>23.8319781226161</c:v>
                </c:pt>
                <c:pt idx="1522">
                  <c:v>26.919157369059</c:v>
                </c:pt>
                <c:pt idx="1523">
                  <c:v>428.54267239170201</c:v>
                </c:pt>
                <c:pt idx="1524">
                  <c:v>134.62225477540201</c:v>
                </c:pt>
                <c:pt idx="1525">
                  <c:v>56.148195340947296</c:v>
                </c:pt>
                <c:pt idx="1526">
                  <c:v>16.005333245969901</c:v>
                </c:pt>
                <c:pt idx="1527">
                  <c:v>2.8135778448741702</c:v>
                </c:pt>
                <c:pt idx="1528">
                  <c:v>70.526487696737902</c:v>
                </c:pt>
                <c:pt idx="1529">
                  <c:v>11.839137430820401</c:v>
                </c:pt>
                <c:pt idx="1530">
                  <c:v>212.15961463653599</c:v>
                </c:pt>
                <c:pt idx="1531">
                  <c:v>280.75268990458</c:v>
                </c:pt>
                <c:pt idx="1532">
                  <c:v>78.832848902498498</c:v>
                </c:pt>
                <c:pt idx="1533">
                  <c:v>14.445064068154499</c:v>
                </c:pt>
                <c:pt idx="1534">
                  <c:v>76.716829686724594</c:v>
                </c:pt>
                <c:pt idx="1535">
                  <c:v>45.464430091032</c:v>
                </c:pt>
                <c:pt idx="1536">
                  <c:v>33.607813768861902</c:v>
                </c:pt>
                <c:pt idx="1537">
                  <c:v>56.644532853879703</c:v>
                </c:pt>
                <c:pt idx="1538">
                  <c:v>340.04534123311203</c:v>
                </c:pt>
                <c:pt idx="1539">
                  <c:v>311.66148035567699</c:v>
                </c:pt>
                <c:pt idx="1540">
                  <c:v>71.177392861451594</c:v>
                </c:pt>
                <c:pt idx="1541">
                  <c:v>67.389496710899706</c:v>
                </c:pt>
                <c:pt idx="1542">
                  <c:v>177.252101008605</c:v>
                </c:pt>
                <c:pt idx="1543">
                  <c:v>250.25018179218301</c:v>
                </c:pt>
                <c:pt idx="1544">
                  <c:v>363.06197272295901</c:v>
                </c:pt>
                <c:pt idx="1545">
                  <c:v>465.264218207711</c:v>
                </c:pt>
                <c:pt idx="1546">
                  <c:v>310.71986174670599</c:v>
                </c:pt>
                <c:pt idx="1547">
                  <c:v>347.93013607900099</c:v>
                </c:pt>
                <c:pt idx="1548">
                  <c:v>386.17501069085301</c:v>
                </c:pt>
                <c:pt idx="1549">
                  <c:v>498.60813466157703</c:v>
                </c:pt>
                <c:pt idx="1550">
                  <c:v>755.75794397036805</c:v>
                </c:pt>
                <c:pt idx="1551">
                  <c:v>535.11287666459896</c:v>
                </c:pt>
                <c:pt idx="1552">
                  <c:v>213.62559333302801</c:v>
                </c:pt>
                <c:pt idx="1553">
                  <c:v>91.728660891087898</c:v>
                </c:pt>
                <c:pt idx="1554">
                  <c:v>152.47329765742799</c:v>
                </c:pt>
                <c:pt idx="1555">
                  <c:v>376.23934946653202</c:v>
                </c:pt>
                <c:pt idx="1556">
                  <c:v>289.06381040425202</c:v>
                </c:pt>
                <c:pt idx="1557">
                  <c:v>139.57001020671601</c:v>
                </c:pt>
                <c:pt idx="1558">
                  <c:v>14.1185967276786</c:v>
                </c:pt>
                <c:pt idx="1559">
                  <c:v>119.418639337645</c:v>
                </c:pt>
                <c:pt idx="1560">
                  <c:v>444.39611931982699</c:v>
                </c:pt>
                <c:pt idx="1561">
                  <c:v>304.91562267076802</c:v>
                </c:pt>
                <c:pt idx="1562">
                  <c:v>46.772890411177599</c:v>
                </c:pt>
                <c:pt idx="1563">
                  <c:v>297.45069606161798</c:v>
                </c:pt>
                <c:pt idx="1564">
                  <c:v>89.692479606410501</c:v>
                </c:pt>
                <c:pt idx="1565">
                  <c:v>65.103483134996097</c:v>
                </c:pt>
                <c:pt idx="1566">
                  <c:v>167.938083140629</c:v>
                </c:pt>
                <c:pt idx="1567">
                  <c:v>33.656582346911001</c:v>
                </c:pt>
                <c:pt idx="1568">
                  <c:v>0</c:v>
                </c:pt>
                <c:pt idx="1569">
                  <c:v>173.02559066061301</c:v>
                </c:pt>
                <c:pt idx="1570">
                  <c:v>74.858738710512</c:v>
                </c:pt>
                <c:pt idx="1571">
                  <c:v>91.241880861238201</c:v>
                </c:pt>
                <c:pt idx="1572">
                  <c:v>122.874284694859</c:v>
                </c:pt>
                <c:pt idx="1573">
                  <c:v>277.34665021867102</c:v>
                </c:pt>
                <c:pt idx="1574">
                  <c:v>548.97708057827299</c:v>
                </c:pt>
                <c:pt idx="1575">
                  <c:v>457.207891861066</c:v>
                </c:pt>
                <c:pt idx="1576">
                  <c:v>211.63975367806401</c:v>
                </c:pt>
                <c:pt idx="1577">
                  <c:v>98.387878872332806</c:v>
                </c:pt>
                <c:pt idx="1578">
                  <c:v>237.58991167392301</c:v>
                </c:pt>
                <c:pt idx="1579">
                  <c:v>259.68422941249997</c:v>
                </c:pt>
                <c:pt idx="1580">
                  <c:v>108.241547923827</c:v>
                </c:pt>
                <c:pt idx="1581">
                  <c:v>119.470239392183</c:v>
                </c:pt>
                <c:pt idx="1582">
                  <c:v>76.900521113191701</c:v>
                </c:pt>
                <c:pt idx="1583">
                  <c:v>52.484435356248497</c:v>
                </c:pt>
                <c:pt idx="1584">
                  <c:v>118.45105903331699</c:v>
                </c:pt>
                <c:pt idx="1585">
                  <c:v>64.053528749830207</c:v>
                </c:pt>
                <c:pt idx="1586">
                  <c:v>91.579955480909703</c:v>
                </c:pt>
                <c:pt idx="1587">
                  <c:v>100.989031126456</c:v>
                </c:pt>
                <c:pt idx="1588">
                  <c:v>78.691733661668295</c:v>
                </c:pt>
                <c:pt idx="1589">
                  <c:v>91.253824133173495</c:v>
                </c:pt>
                <c:pt idx="1590">
                  <c:v>62.215296168950204</c:v>
                </c:pt>
                <c:pt idx="1591">
                  <c:v>236.82270096721999</c:v>
                </c:pt>
                <c:pt idx="1592">
                  <c:v>207.900974702106</c:v>
                </c:pt>
                <c:pt idx="1593">
                  <c:v>4.2802118117213901</c:v>
                </c:pt>
                <c:pt idx="1594">
                  <c:v>73.484599059947399</c:v>
                </c:pt>
                <c:pt idx="1595">
                  <c:v>70.215692319997302</c:v>
                </c:pt>
                <c:pt idx="1596">
                  <c:v>0</c:v>
                </c:pt>
                <c:pt idx="1597">
                  <c:v>0</c:v>
                </c:pt>
                <c:pt idx="1598">
                  <c:v>0</c:v>
                </c:pt>
                <c:pt idx="1599">
                  <c:v>70.050208301800694</c:v>
                </c:pt>
                <c:pt idx="1600">
                  <c:v>62.294679516812998</c:v>
                </c:pt>
                <c:pt idx="1601">
                  <c:v>229.50669954147199</c:v>
                </c:pt>
                <c:pt idx="1602">
                  <c:v>118.860922622836</c:v>
                </c:pt>
                <c:pt idx="1603">
                  <c:v>85.556085336594407</c:v>
                </c:pt>
                <c:pt idx="1604">
                  <c:v>183.53786005051799</c:v>
                </c:pt>
                <c:pt idx="1605">
                  <c:v>87.983263571051097</c:v>
                </c:pt>
                <c:pt idx="1606">
                  <c:v>112.978108857122</c:v>
                </c:pt>
                <c:pt idx="1607">
                  <c:v>129.427502398087</c:v>
                </c:pt>
                <c:pt idx="1608">
                  <c:v>61.307268515277599</c:v>
                </c:pt>
                <c:pt idx="1609">
                  <c:v>124.829620060528</c:v>
                </c:pt>
                <c:pt idx="1610">
                  <c:v>69.676953093328606</c:v>
                </c:pt>
                <c:pt idx="1611">
                  <c:v>109.635209606114</c:v>
                </c:pt>
                <c:pt idx="1612">
                  <c:v>91.067523241369301</c:v>
                </c:pt>
                <c:pt idx="1613">
                  <c:v>162.342156636222</c:v>
                </c:pt>
                <c:pt idx="1614">
                  <c:v>133.15758256986899</c:v>
                </c:pt>
                <c:pt idx="1615">
                  <c:v>117.34025546415</c:v>
                </c:pt>
                <c:pt idx="1616">
                  <c:v>0</c:v>
                </c:pt>
                <c:pt idx="1617">
                  <c:v>147.812596629327</c:v>
                </c:pt>
                <c:pt idx="1618">
                  <c:v>252.12643168000599</c:v>
                </c:pt>
                <c:pt idx="1619">
                  <c:v>249.08922464574201</c:v>
                </c:pt>
                <c:pt idx="1620">
                  <c:v>190.855672812162</c:v>
                </c:pt>
                <c:pt idx="1621">
                  <c:v>47.120631932500601</c:v>
                </c:pt>
                <c:pt idx="1622">
                  <c:v>155.14019042298199</c:v>
                </c:pt>
                <c:pt idx="1623">
                  <c:v>190.22810977323601</c:v>
                </c:pt>
                <c:pt idx="1624">
                  <c:v>145.669656414098</c:v>
                </c:pt>
                <c:pt idx="1625">
                  <c:v>43.6617765402328</c:v>
                </c:pt>
                <c:pt idx="1626">
                  <c:v>32.681724963343399</c:v>
                </c:pt>
                <c:pt idx="1627">
                  <c:v>148.524720317245</c:v>
                </c:pt>
                <c:pt idx="1628">
                  <c:v>306.31333642520701</c:v>
                </c:pt>
                <c:pt idx="1629">
                  <c:v>92.264731024055095</c:v>
                </c:pt>
                <c:pt idx="1630">
                  <c:v>65.678619037040704</c:v>
                </c:pt>
                <c:pt idx="1631">
                  <c:v>17.2186530324107</c:v>
                </c:pt>
                <c:pt idx="1632">
                  <c:v>6.7193607550704799</c:v>
                </c:pt>
                <c:pt idx="1633">
                  <c:v>27.241391788337801</c:v>
                </c:pt>
                <c:pt idx="1634">
                  <c:v>124.546933063875</c:v>
                </c:pt>
                <c:pt idx="1635">
                  <c:v>29.057802699418499</c:v>
                </c:pt>
                <c:pt idx="1636">
                  <c:v>0</c:v>
                </c:pt>
                <c:pt idx="1637">
                  <c:v>9.1699810106677299E-2</c:v>
                </c:pt>
                <c:pt idx="1638">
                  <c:v>80.162238619017302</c:v>
                </c:pt>
                <c:pt idx="1639">
                  <c:v>25.360575024674901</c:v>
                </c:pt>
                <c:pt idx="1640">
                  <c:v>131.956636348763</c:v>
                </c:pt>
                <c:pt idx="1641">
                  <c:v>142.732134004805</c:v>
                </c:pt>
                <c:pt idx="1642">
                  <c:v>50.1263829073553</c:v>
                </c:pt>
                <c:pt idx="1643">
                  <c:v>134.96086130768401</c:v>
                </c:pt>
                <c:pt idx="1644">
                  <c:v>271.760318847294</c:v>
                </c:pt>
                <c:pt idx="1645">
                  <c:v>84.996757259179702</c:v>
                </c:pt>
                <c:pt idx="1646">
                  <c:v>6.7077324001171803</c:v>
                </c:pt>
                <c:pt idx="1647">
                  <c:v>75.887430406986695</c:v>
                </c:pt>
                <c:pt idx="1648">
                  <c:v>88.779697990179599</c:v>
                </c:pt>
                <c:pt idx="1649">
                  <c:v>90.903758179020997</c:v>
                </c:pt>
                <c:pt idx="1650">
                  <c:v>166.89163743406601</c:v>
                </c:pt>
                <c:pt idx="1651">
                  <c:v>264.884463740081</c:v>
                </c:pt>
                <c:pt idx="1652">
                  <c:v>155.447310903919</c:v>
                </c:pt>
                <c:pt idx="1653">
                  <c:v>141.11185337678401</c:v>
                </c:pt>
                <c:pt idx="1654">
                  <c:v>65.1986033109754</c:v>
                </c:pt>
                <c:pt idx="1655">
                  <c:v>109.769066269018</c:v>
                </c:pt>
                <c:pt idx="1656">
                  <c:v>86.214299792438496</c:v>
                </c:pt>
                <c:pt idx="1657">
                  <c:v>24.221349086417899</c:v>
                </c:pt>
                <c:pt idx="1658">
                  <c:v>75.550501266812105</c:v>
                </c:pt>
                <c:pt idx="1659">
                  <c:v>171.710430085631</c:v>
                </c:pt>
                <c:pt idx="1660">
                  <c:v>198.66088569850399</c:v>
                </c:pt>
                <c:pt idx="1661">
                  <c:v>175.102107536066</c:v>
                </c:pt>
                <c:pt idx="1662">
                  <c:v>87.6267627813546</c:v>
                </c:pt>
                <c:pt idx="1663">
                  <c:v>137.49145172640601</c:v>
                </c:pt>
                <c:pt idx="1664">
                  <c:v>120.935870528603</c:v>
                </c:pt>
                <c:pt idx="1665">
                  <c:v>10.964716623048</c:v>
                </c:pt>
                <c:pt idx="1666">
                  <c:v>72.569690656315004</c:v>
                </c:pt>
                <c:pt idx="1667">
                  <c:v>46.407626217338802</c:v>
                </c:pt>
                <c:pt idx="1668">
                  <c:v>67.843559313895099</c:v>
                </c:pt>
                <c:pt idx="1669">
                  <c:v>110.976526630571</c:v>
                </c:pt>
                <c:pt idx="1670">
                  <c:v>208.66863739585099</c:v>
                </c:pt>
                <c:pt idx="1671">
                  <c:v>308.90716649667098</c:v>
                </c:pt>
                <c:pt idx="1672">
                  <c:v>257.66086455793999</c:v>
                </c:pt>
                <c:pt idx="1673">
                  <c:v>291.83650114561999</c:v>
                </c:pt>
                <c:pt idx="1674">
                  <c:v>230.735230303733</c:v>
                </c:pt>
              </c:numCache>
            </c:numRef>
          </c:val>
          <c:extLst>
            <c:ext xmlns:c16="http://schemas.microsoft.com/office/drawing/2014/chart" uri="{C3380CC4-5D6E-409C-BE32-E72D297353CC}">
              <c16:uniqueId val="{00000001-03FE-4373-B0A1-A11C7CC2FD3A}"/>
            </c:ext>
          </c:extLst>
        </c:ser>
        <c:dLbls>
          <c:showLegendKey val="0"/>
          <c:showVal val="0"/>
          <c:showCatName val="0"/>
          <c:showSerName val="0"/>
          <c:showPercent val="0"/>
          <c:showBubbleSize val="0"/>
        </c:dLbls>
        <c:gapWidth val="150"/>
        <c:overlap val="100"/>
        <c:axId val="1060649504"/>
        <c:axId val="1110222080"/>
      </c:barChart>
      <c:lineChart>
        <c:grouping val="standard"/>
        <c:varyColors val="0"/>
        <c:ser>
          <c:idx val="2"/>
          <c:order val="2"/>
          <c:tx>
            <c:strRef>
              <c:f>'5.4'!$E$5</c:f>
              <c:strCache>
                <c:ptCount val="1"/>
                <c:pt idx="0">
                  <c:v>Max. southern production</c:v>
                </c:pt>
              </c:strCache>
            </c:strRef>
          </c:tx>
          <c:spPr>
            <a:ln w="28575" cap="rnd">
              <a:solidFill>
                <a:srgbClr val="60307F"/>
              </a:solidFill>
              <a:round/>
            </a:ln>
            <a:effectLst/>
          </c:spPr>
          <c:marker>
            <c:symbol val="none"/>
          </c:marker>
          <c:cat>
            <c:numRef>
              <c:f>'5.4'!$B$6:$B$1680</c:f>
              <c:numCache>
                <c:formatCode>m/d/yyyy</c:formatCode>
                <c:ptCount val="1675"/>
                <c:pt idx="0">
                  <c:v>45444</c:v>
                </c:pt>
                <c:pt idx="1">
                  <c:v>45445</c:v>
                </c:pt>
                <c:pt idx="2">
                  <c:v>45446</c:v>
                </c:pt>
                <c:pt idx="3">
                  <c:v>45447</c:v>
                </c:pt>
                <c:pt idx="4">
                  <c:v>45448</c:v>
                </c:pt>
                <c:pt idx="5">
                  <c:v>45449</c:v>
                </c:pt>
                <c:pt idx="6">
                  <c:v>45450</c:v>
                </c:pt>
                <c:pt idx="7">
                  <c:v>45451</c:v>
                </c:pt>
                <c:pt idx="8">
                  <c:v>45452</c:v>
                </c:pt>
                <c:pt idx="9">
                  <c:v>45453</c:v>
                </c:pt>
                <c:pt idx="10">
                  <c:v>45454</c:v>
                </c:pt>
                <c:pt idx="11">
                  <c:v>45455</c:v>
                </c:pt>
                <c:pt idx="12">
                  <c:v>45456</c:v>
                </c:pt>
                <c:pt idx="13">
                  <c:v>45457</c:v>
                </c:pt>
                <c:pt idx="14">
                  <c:v>45458</c:v>
                </c:pt>
                <c:pt idx="15">
                  <c:v>45459</c:v>
                </c:pt>
                <c:pt idx="16">
                  <c:v>45460</c:v>
                </c:pt>
                <c:pt idx="17">
                  <c:v>45461</c:v>
                </c:pt>
                <c:pt idx="18">
                  <c:v>45462</c:v>
                </c:pt>
                <c:pt idx="19">
                  <c:v>45463</c:v>
                </c:pt>
                <c:pt idx="20">
                  <c:v>45464</c:v>
                </c:pt>
                <c:pt idx="21">
                  <c:v>45465</c:v>
                </c:pt>
                <c:pt idx="22">
                  <c:v>45466</c:v>
                </c:pt>
                <c:pt idx="23">
                  <c:v>45467</c:v>
                </c:pt>
                <c:pt idx="24">
                  <c:v>45468</c:v>
                </c:pt>
                <c:pt idx="25">
                  <c:v>45469</c:v>
                </c:pt>
                <c:pt idx="26">
                  <c:v>45470</c:v>
                </c:pt>
                <c:pt idx="27">
                  <c:v>45471</c:v>
                </c:pt>
                <c:pt idx="28">
                  <c:v>45472</c:v>
                </c:pt>
                <c:pt idx="29">
                  <c:v>45473</c:v>
                </c:pt>
                <c:pt idx="30">
                  <c:v>45474</c:v>
                </c:pt>
                <c:pt idx="31">
                  <c:v>45475</c:v>
                </c:pt>
                <c:pt idx="32">
                  <c:v>45476</c:v>
                </c:pt>
                <c:pt idx="33">
                  <c:v>45477</c:v>
                </c:pt>
                <c:pt idx="34">
                  <c:v>45478</c:v>
                </c:pt>
                <c:pt idx="35">
                  <c:v>45479</c:v>
                </c:pt>
                <c:pt idx="36">
                  <c:v>45480</c:v>
                </c:pt>
                <c:pt idx="37">
                  <c:v>45481</c:v>
                </c:pt>
                <c:pt idx="38">
                  <c:v>45482</c:v>
                </c:pt>
                <c:pt idx="39">
                  <c:v>45483</c:v>
                </c:pt>
                <c:pt idx="40">
                  <c:v>45484</c:v>
                </c:pt>
                <c:pt idx="41">
                  <c:v>45485</c:v>
                </c:pt>
                <c:pt idx="42">
                  <c:v>45486</c:v>
                </c:pt>
                <c:pt idx="43">
                  <c:v>45487</c:v>
                </c:pt>
                <c:pt idx="44">
                  <c:v>45488</c:v>
                </c:pt>
                <c:pt idx="45">
                  <c:v>45489</c:v>
                </c:pt>
                <c:pt idx="46">
                  <c:v>45490</c:v>
                </c:pt>
                <c:pt idx="47">
                  <c:v>45491</c:v>
                </c:pt>
                <c:pt idx="48">
                  <c:v>45492</c:v>
                </c:pt>
                <c:pt idx="49">
                  <c:v>45493</c:v>
                </c:pt>
                <c:pt idx="50">
                  <c:v>45494</c:v>
                </c:pt>
                <c:pt idx="51">
                  <c:v>45495</c:v>
                </c:pt>
                <c:pt idx="52">
                  <c:v>45496</c:v>
                </c:pt>
                <c:pt idx="53">
                  <c:v>45497</c:v>
                </c:pt>
                <c:pt idx="54">
                  <c:v>45498</c:v>
                </c:pt>
                <c:pt idx="55">
                  <c:v>45499</c:v>
                </c:pt>
                <c:pt idx="56">
                  <c:v>45500</c:v>
                </c:pt>
                <c:pt idx="57">
                  <c:v>45501</c:v>
                </c:pt>
                <c:pt idx="58">
                  <c:v>45502</c:v>
                </c:pt>
                <c:pt idx="59">
                  <c:v>45503</c:v>
                </c:pt>
                <c:pt idx="60">
                  <c:v>45504</c:v>
                </c:pt>
                <c:pt idx="61">
                  <c:v>45505</c:v>
                </c:pt>
                <c:pt idx="62">
                  <c:v>45506</c:v>
                </c:pt>
                <c:pt idx="63">
                  <c:v>45507</c:v>
                </c:pt>
                <c:pt idx="64">
                  <c:v>45508</c:v>
                </c:pt>
                <c:pt idx="65">
                  <c:v>45509</c:v>
                </c:pt>
                <c:pt idx="66">
                  <c:v>45510</c:v>
                </c:pt>
                <c:pt idx="67">
                  <c:v>45511</c:v>
                </c:pt>
                <c:pt idx="68">
                  <c:v>45512</c:v>
                </c:pt>
                <c:pt idx="69">
                  <c:v>45513</c:v>
                </c:pt>
                <c:pt idx="70">
                  <c:v>45514</c:v>
                </c:pt>
                <c:pt idx="71">
                  <c:v>45515</c:v>
                </c:pt>
                <c:pt idx="72">
                  <c:v>45516</c:v>
                </c:pt>
                <c:pt idx="73">
                  <c:v>45517</c:v>
                </c:pt>
                <c:pt idx="74">
                  <c:v>45518</c:v>
                </c:pt>
                <c:pt idx="75">
                  <c:v>45519</c:v>
                </c:pt>
                <c:pt idx="76">
                  <c:v>45520</c:v>
                </c:pt>
                <c:pt idx="77">
                  <c:v>45521</c:v>
                </c:pt>
                <c:pt idx="78">
                  <c:v>45522</c:v>
                </c:pt>
                <c:pt idx="79">
                  <c:v>45523</c:v>
                </c:pt>
                <c:pt idx="80">
                  <c:v>45524</c:v>
                </c:pt>
                <c:pt idx="81">
                  <c:v>45525</c:v>
                </c:pt>
                <c:pt idx="82">
                  <c:v>45526</c:v>
                </c:pt>
                <c:pt idx="83">
                  <c:v>45527</c:v>
                </c:pt>
                <c:pt idx="84">
                  <c:v>45528</c:v>
                </c:pt>
                <c:pt idx="85">
                  <c:v>45529</c:v>
                </c:pt>
                <c:pt idx="86">
                  <c:v>45530</c:v>
                </c:pt>
                <c:pt idx="87">
                  <c:v>45531</c:v>
                </c:pt>
                <c:pt idx="88">
                  <c:v>45532</c:v>
                </c:pt>
                <c:pt idx="89">
                  <c:v>45533</c:v>
                </c:pt>
                <c:pt idx="90">
                  <c:v>45534</c:v>
                </c:pt>
                <c:pt idx="91">
                  <c:v>45535</c:v>
                </c:pt>
                <c:pt idx="92">
                  <c:v>45536</c:v>
                </c:pt>
                <c:pt idx="93">
                  <c:v>45537</c:v>
                </c:pt>
                <c:pt idx="94">
                  <c:v>45538</c:v>
                </c:pt>
                <c:pt idx="95">
                  <c:v>45539</c:v>
                </c:pt>
                <c:pt idx="96">
                  <c:v>45540</c:v>
                </c:pt>
                <c:pt idx="97">
                  <c:v>45541</c:v>
                </c:pt>
                <c:pt idx="98">
                  <c:v>45542</c:v>
                </c:pt>
                <c:pt idx="99">
                  <c:v>45543</c:v>
                </c:pt>
                <c:pt idx="100">
                  <c:v>45544</c:v>
                </c:pt>
                <c:pt idx="101">
                  <c:v>45545</c:v>
                </c:pt>
                <c:pt idx="102">
                  <c:v>45546</c:v>
                </c:pt>
                <c:pt idx="103">
                  <c:v>45547</c:v>
                </c:pt>
                <c:pt idx="104">
                  <c:v>45548</c:v>
                </c:pt>
                <c:pt idx="105">
                  <c:v>45549</c:v>
                </c:pt>
                <c:pt idx="106">
                  <c:v>45550</c:v>
                </c:pt>
                <c:pt idx="107">
                  <c:v>45551</c:v>
                </c:pt>
                <c:pt idx="108">
                  <c:v>45552</c:v>
                </c:pt>
                <c:pt idx="109">
                  <c:v>45553</c:v>
                </c:pt>
                <c:pt idx="110">
                  <c:v>45554</c:v>
                </c:pt>
                <c:pt idx="111">
                  <c:v>45555</c:v>
                </c:pt>
                <c:pt idx="112">
                  <c:v>45556</c:v>
                </c:pt>
                <c:pt idx="113">
                  <c:v>45557</c:v>
                </c:pt>
                <c:pt idx="114">
                  <c:v>45558</c:v>
                </c:pt>
                <c:pt idx="115">
                  <c:v>45559</c:v>
                </c:pt>
                <c:pt idx="116">
                  <c:v>45560</c:v>
                </c:pt>
                <c:pt idx="117">
                  <c:v>45561</c:v>
                </c:pt>
                <c:pt idx="118">
                  <c:v>45562</c:v>
                </c:pt>
                <c:pt idx="119">
                  <c:v>45563</c:v>
                </c:pt>
                <c:pt idx="120">
                  <c:v>45564</c:v>
                </c:pt>
                <c:pt idx="121">
                  <c:v>45565</c:v>
                </c:pt>
                <c:pt idx="122">
                  <c:v>45566</c:v>
                </c:pt>
                <c:pt idx="123">
                  <c:v>45567</c:v>
                </c:pt>
                <c:pt idx="124">
                  <c:v>45568</c:v>
                </c:pt>
                <c:pt idx="125">
                  <c:v>45569</c:v>
                </c:pt>
                <c:pt idx="126">
                  <c:v>45570</c:v>
                </c:pt>
                <c:pt idx="127">
                  <c:v>45571</c:v>
                </c:pt>
                <c:pt idx="128">
                  <c:v>45572</c:v>
                </c:pt>
                <c:pt idx="129">
                  <c:v>45573</c:v>
                </c:pt>
                <c:pt idx="130">
                  <c:v>45574</c:v>
                </c:pt>
                <c:pt idx="131">
                  <c:v>45575</c:v>
                </c:pt>
                <c:pt idx="132">
                  <c:v>45576</c:v>
                </c:pt>
                <c:pt idx="133">
                  <c:v>45577</c:v>
                </c:pt>
                <c:pt idx="134">
                  <c:v>45578</c:v>
                </c:pt>
                <c:pt idx="135">
                  <c:v>45579</c:v>
                </c:pt>
                <c:pt idx="136">
                  <c:v>45580</c:v>
                </c:pt>
                <c:pt idx="137">
                  <c:v>45581</c:v>
                </c:pt>
                <c:pt idx="138">
                  <c:v>45582</c:v>
                </c:pt>
                <c:pt idx="139">
                  <c:v>45583</c:v>
                </c:pt>
                <c:pt idx="140">
                  <c:v>45584</c:v>
                </c:pt>
                <c:pt idx="141">
                  <c:v>45585</c:v>
                </c:pt>
                <c:pt idx="142">
                  <c:v>45586</c:v>
                </c:pt>
                <c:pt idx="143">
                  <c:v>45587</c:v>
                </c:pt>
                <c:pt idx="144">
                  <c:v>45588</c:v>
                </c:pt>
                <c:pt idx="145">
                  <c:v>45589</c:v>
                </c:pt>
                <c:pt idx="146">
                  <c:v>45590</c:v>
                </c:pt>
                <c:pt idx="147">
                  <c:v>45591</c:v>
                </c:pt>
                <c:pt idx="148">
                  <c:v>45592</c:v>
                </c:pt>
                <c:pt idx="149">
                  <c:v>45593</c:v>
                </c:pt>
                <c:pt idx="150">
                  <c:v>45594</c:v>
                </c:pt>
                <c:pt idx="151">
                  <c:v>45595</c:v>
                </c:pt>
                <c:pt idx="152">
                  <c:v>45596</c:v>
                </c:pt>
                <c:pt idx="153">
                  <c:v>45597</c:v>
                </c:pt>
                <c:pt idx="154">
                  <c:v>45598</c:v>
                </c:pt>
                <c:pt idx="155">
                  <c:v>45599</c:v>
                </c:pt>
                <c:pt idx="156">
                  <c:v>45600</c:v>
                </c:pt>
                <c:pt idx="157">
                  <c:v>45601</c:v>
                </c:pt>
                <c:pt idx="158">
                  <c:v>45602</c:v>
                </c:pt>
                <c:pt idx="159">
                  <c:v>45603</c:v>
                </c:pt>
                <c:pt idx="160">
                  <c:v>45604</c:v>
                </c:pt>
                <c:pt idx="161">
                  <c:v>45605</c:v>
                </c:pt>
                <c:pt idx="162">
                  <c:v>45606</c:v>
                </c:pt>
                <c:pt idx="163">
                  <c:v>45607</c:v>
                </c:pt>
                <c:pt idx="164">
                  <c:v>45608</c:v>
                </c:pt>
                <c:pt idx="165">
                  <c:v>45609</c:v>
                </c:pt>
                <c:pt idx="166">
                  <c:v>45610</c:v>
                </c:pt>
                <c:pt idx="167">
                  <c:v>45611</c:v>
                </c:pt>
                <c:pt idx="168">
                  <c:v>45612</c:v>
                </c:pt>
                <c:pt idx="169">
                  <c:v>45613</c:v>
                </c:pt>
                <c:pt idx="170">
                  <c:v>45614</c:v>
                </c:pt>
                <c:pt idx="171">
                  <c:v>45615</c:v>
                </c:pt>
                <c:pt idx="172">
                  <c:v>45616</c:v>
                </c:pt>
                <c:pt idx="173">
                  <c:v>45617</c:v>
                </c:pt>
                <c:pt idx="174">
                  <c:v>45618</c:v>
                </c:pt>
                <c:pt idx="175">
                  <c:v>45619</c:v>
                </c:pt>
                <c:pt idx="176">
                  <c:v>45620</c:v>
                </c:pt>
                <c:pt idx="177">
                  <c:v>45621</c:v>
                </c:pt>
                <c:pt idx="178">
                  <c:v>45622</c:v>
                </c:pt>
                <c:pt idx="179">
                  <c:v>45623</c:v>
                </c:pt>
                <c:pt idx="180">
                  <c:v>45624</c:v>
                </c:pt>
                <c:pt idx="181">
                  <c:v>45625</c:v>
                </c:pt>
                <c:pt idx="182">
                  <c:v>45626</c:v>
                </c:pt>
                <c:pt idx="183">
                  <c:v>45627</c:v>
                </c:pt>
                <c:pt idx="184">
                  <c:v>45628</c:v>
                </c:pt>
                <c:pt idx="185">
                  <c:v>45629</c:v>
                </c:pt>
                <c:pt idx="186">
                  <c:v>45630</c:v>
                </c:pt>
                <c:pt idx="187">
                  <c:v>45631</c:v>
                </c:pt>
                <c:pt idx="188">
                  <c:v>45632</c:v>
                </c:pt>
                <c:pt idx="189">
                  <c:v>45633</c:v>
                </c:pt>
                <c:pt idx="190">
                  <c:v>45634</c:v>
                </c:pt>
                <c:pt idx="191">
                  <c:v>45635</c:v>
                </c:pt>
                <c:pt idx="192">
                  <c:v>45636</c:v>
                </c:pt>
                <c:pt idx="193">
                  <c:v>45637</c:v>
                </c:pt>
                <c:pt idx="194">
                  <c:v>45638</c:v>
                </c:pt>
                <c:pt idx="195">
                  <c:v>45639</c:v>
                </c:pt>
                <c:pt idx="196">
                  <c:v>45640</c:v>
                </c:pt>
                <c:pt idx="197">
                  <c:v>45641</c:v>
                </c:pt>
                <c:pt idx="198">
                  <c:v>45642</c:v>
                </c:pt>
                <c:pt idx="199">
                  <c:v>45643</c:v>
                </c:pt>
                <c:pt idx="200">
                  <c:v>45644</c:v>
                </c:pt>
                <c:pt idx="201">
                  <c:v>45645</c:v>
                </c:pt>
                <c:pt idx="202">
                  <c:v>45646</c:v>
                </c:pt>
                <c:pt idx="203">
                  <c:v>45647</c:v>
                </c:pt>
                <c:pt idx="204">
                  <c:v>45648</c:v>
                </c:pt>
                <c:pt idx="205">
                  <c:v>45649</c:v>
                </c:pt>
                <c:pt idx="206">
                  <c:v>45650</c:v>
                </c:pt>
                <c:pt idx="207">
                  <c:v>45651</c:v>
                </c:pt>
                <c:pt idx="208">
                  <c:v>45652</c:v>
                </c:pt>
                <c:pt idx="209">
                  <c:v>45653</c:v>
                </c:pt>
                <c:pt idx="210">
                  <c:v>45654</c:v>
                </c:pt>
                <c:pt idx="211">
                  <c:v>45655</c:v>
                </c:pt>
                <c:pt idx="212">
                  <c:v>45656</c:v>
                </c:pt>
                <c:pt idx="213">
                  <c:v>45657</c:v>
                </c:pt>
                <c:pt idx="214">
                  <c:v>45658</c:v>
                </c:pt>
                <c:pt idx="215">
                  <c:v>45659</c:v>
                </c:pt>
                <c:pt idx="216">
                  <c:v>45660</c:v>
                </c:pt>
                <c:pt idx="217">
                  <c:v>45661</c:v>
                </c:pt>
                <c:pt idx="218">
                  <c:v>45662</c:v>
                </c:pt>
                <c:pt idx="219">
                  <c:v>45663</c:v>
                </c:pt>
                <c:pt idx="220">
                  <c:v>45664</c:v>
                </c:pt>
                <c:pt idx="221">
                  <c:v>45665</c:v>
                </c:pt>
                <c:pt idx="222">
                  <c:v>45666</c:v>
                </c:pt>
                <c:pt idx="223">
                  <c:v>45667</c:v>
                </c:pt>
                <c:pt idx="224">
                  <c:v>45668</c:v>
                </c:pt>
                <c:pt idx="225">
                  <c:v>45669</c:v>
                </c:pt>
                <c:pt idx="226">
                  <c:v>45670</c:v>
                </c:pt>
                <c:pt idx="227">
                  <c:v>45671</c:v>
                </c:pt>
                <c:pt idx="228">
                  <c:v>45672</c:v>
                </c:pt>
                <c:pt idx="229">
                  <c:v>45673</c:v>
                </c:pt>
                <c:pt idx="230">
                  <c:v>45674</c:v>
                </c:pt>
                <c:pt idx="231">
                  <c:v>45675</c:v>
                </c:pt>
                <c:pt idx="232">
                  <c:v>45676</c:v>
                </c:pt>
                <c:pt idx="233">
                  <c:v>45677</c:v>
                </c:pt>
                <c:pt idx="234">
                  <c:v>45678</c:v>
                </c:pt>
                <c:pt idx="235">
                  <c:v>45679</c:v>
                </c:pt>
                <c:pt idx="236">
                  <c:v>45680</c:v>
                </c:pt>
                <c:pt idx="237">
                  <c:v>45681</c:v>
                </c:pt>
                <c:pt idx="238">
                  <c:v>45682</c:v>
                </c:pt>
                <c:pt idx="239">
                  <c:v>45683</c:v>
                </c:pt>
                <c:pt idx="240">
                  <c:v>45684</c:v>
                </c:pt>
                <c:pt idx="241">
                  <c:v>45685</c:v>
                </c:pt>
                <c:pt idx="242">
                  <c:v>45686</c:v>
                </c:pt>
                <c:pt idx="243">
                  <c:v>45687</c:v>
                </c:pt>
                <c:pt idx="244">
                  <c:v>45688</c:v>
                </c:pt>
                <c:pt idx="245">
                  <c:v>45689</c:v>
                </c:pt>
                <c:pt idx="246">
                  <c:v>45690</c:v>
                </c:pt>
                <c:pt idx="247">
                  <c:v>45691</c:v>
                </c:pt>
                <c:pt idx="248">
                  <c:v>45692</c:v>
                </c:pt>
                <c:pt idx="249">
                  <c:v>45693</c:v>
                </c:pt>
                <c:pt idx="250">
                  <c:v>45694</c:v>
                </c:pt>
                <c:pt idx="251">
                  <c:v>45695</c:v>
                </c:pt>
                <c:pt idx="252">
                  <c:v>45696</c:v>
                </c:pt>
                <c:pt idx="253">
                  <c:v>45697</c:v>
                </c:pt>
                <c:pt idx="254">
                  <c:v>45698</c:v>
                </c:pt>
                <c:pt idx="255">
                  <c:v>45699</c:v>
                </c:pt>
                <c:pt idx="256">
                  <c:v>45700</c:v>
                </c:pt>
                <c:pt idx="257">
                  <c:v>45701</c:v>
                </c:pt>
                <c:pt idx="258">
                  <c:v>45702</c:v>
                </c:pt>
                <c:pt idx="259">
                  <c:v>45703</c:v>
                </c:pt>
                <c:pt idx="260">
                  <c:v>45704</c:v>
                </c:pt>
                <c:pt idx="261">
                  <c:v>45705</c:v>
                </c:pt>
                <c:pt idx="262">
                  <c:v>45706</c:v>
                </c:pt>
                <c:pt idx="263">
                  <c:v>45707</c:v>
                </c:pt>
                <c:pt idx="264">
                  <c:v>45708</c:v>
                </c:pt>
                <c:pt idx="265">
                  <c:v>45709</c:v>
                </c:pt>
                <c:pt idx="266">
                  <c:v>45710</c:v>
                </c:pt>
                <c:pt idx="267">
                  <c:v>45711</c:v>
                </c:pt>
                <c:pt idx="268">
                  <c:v>45712</c:v>
                </c:pt>
                <c:pt idx="269">
                  <c:v>45713</c:v>
                </c:pt>
                <c:pt idx="270">
                  <c:v>45714</c:v>
                </c:pt>
                <c:pt idx="271">
                  <c:v>45715</c:v>
                </c:pt>
                <c:pt idx="272">
                  <c:v>45716</c:v>
                </c:pt>
                <c:pt idx="273">
                  <c:v>45717</c:v>
                </c:pt>
                <c:pt idx="274">
                  <c:v>45718</c:v>
                </c:pt>
                <c:pt idx="275">
                  <c:v>45719</c:v>
                </c:pt>
                <c:pt idx="276">
                  <c:v>45720</c:v>
                </c:pt>
                <c:pt idx="277">
                  <c:v>45721</c:v>
                </c:pt>
                <c:pt idx="278">
                  <c:v>45722</c:v>
                </c:pt>
                <c:pt idx="279">
                  <c:v>45723</c:v>
                </c:pt>
                <c:pt idx="280">
                  <c:v>45724</c:v>
                </c:pt>
                <c:pt idx="281">
                  <c:v>45725</c:v>
                </c:pt>
                <c:pt idx="282">
                  <c:v>45726</c:v>
                </c:pt>
                <c:pt idx="283">
                  <c:v>45727</c:v>
                </c:pt>
                <c:pt idx="284">
                  <c:v>45728</c:v>
                </c:pt>
                <c:pt idx="285">
                  <c:v>45729</c:v>
                </c:pt>
                <c:pt idx="286">
                  <c:v>45730</c:v>
                </c:pt>
                <c:pt idx="287">
                  <c:v>45731</c:v>
                </c:pt>
                <c:pt idx="288">
                  <c:v>45732</c:v>
                </c:pt>
                <c:pt idx="289">
                  <c:v>45733</c:v>
                </c:pt>
                <c:pt idx="290">
                  <c:v>45734</c:v>
                </c:pt>
                <c:pt idx="291">
                  <c:v>45735</c:v>
                </c:pt>
                <c:pt idx="292">
                  <c:v>45736</c:v>
                </c:pt>
                <c:pt idx="293">
                  <c:v>45737</c:v>
                </c:pt>
                <c:pt idx="294">
                  <c:v>45738</c:v>
                </c:pt>
                <c:pt idx="295">
                  <c:v>45739</c:v>
                </c:pt>
                <c:pt idx="296">
                  <c:v>45740</c:v>
                </c:pt>
                <c:pt idx="297">
                  <c:v>45741</c:v>
                </c:pt>
                <c:pt idx="298">
                  <c:v>45742</c:v>
                </c:pt>
                <c:pt idx="299">
                  <c:v>45743</c:v>
                </c:pt>
                <c:pt idx="300">
                  <c:v>45744</c:v>
                </c:pt>
                <c:pt idx="301">
                  <c:v>45745</c:v>
                </c:pt>
                <c:pt idx="302">
                  <c:v>45746</c:v>
                </c:pt>
                <c:pt idx="303">
                  <c:v>45747</c:v>
                </c:pt>
                <c:pt idx="304">
                  <c:v>45748</c:v>
                </c:pt>
                <c:pt idx="305">
                  <c:v>45749</c:v>
                </c:pt>
                <c:pt idx="306">
                  <c:v>45750</c:v>
                </c:pt>
                <c:pt idx="307">
                  <c:v>45751</c:v>
                </c:pt>
                <c:pt idx="308">
                  <c:v>45752</c:v>
                </c:pt>
                <c:pt idx="309">
                  <c:v>45753</c:v>
                </c:pt>
                <c:pt idx="310">
                  <c:v>45754</c:v>
                </c:pt>
                <c:pt idx="311">
                  <c:v>45755</c:v>
                </c:pt>
                <c:pt idx="312">
                  <c:v>45756</c:v>
                </c:pt>
                <c:pt idx="313">
                  <c:v>45757</c:v>
                </c:pt>
                <c:pt idx="314">
                  <c:v>45758</c:v>
                </c:pt>
                <c:pt idx="315">
                  <c:v>45759</c:v>
                </c:pt>
                <c:pt idx="316">
                  <c:v>45760</c:v>
                </c:pt>
                <c:pt idx="317">
                  <c:v>45761</c:v>
                </c:pt>
                <c:pt idx="318">
                  <c:v>45762</c:v>
                </c:pt>
                <c:pt idx="319">
                  <c:v>45763</c:v>
                </c:pt>
                <c:pt idx="320">
                  <c:v>45764</c:v>
                </c:pt>
                <c:pt idx="321">
                  <c:v>45765</c:v>
                </c:pt>
                <c:pt idx="322">
                  <c:v>45766</c:v>
                </c:pt>
                <c:pt idx="323">
                  <c:v>45767</c:v>
                </c:pt>
                <c:pt idx="324">
                  <c:v>45768</c:v>
                </c:pt>
                <c:pt idx="325">
                  <c:v>45769</c:v>
                </c:pt>
                <c:pt idx="326">
                  <c:v>45770</c:v>
                </c:pt>
                <c:pt idx="327">
                  <c:v>45771</c:v>
                </c:pt>
                <c:pt idx="328">
                  <c:v>45772</c:v>
                </c:pt>
                <c:pt idx="329">
                  <c:v>45773</c:v>
                </c:pt>
                <c:pt idx="330">
                  <c:v>45774</c:v>
                </c:pt>
                <c:pt idx="331">
                  <c:v>45775</c:v>
                </c:pt>
                <c:pt idx="332">
                  <c:v>45776</c:v>
                </c:pt>
                <c:pt idx="333">
                  <c:v>45777</c:v>
                </c:pt>
                <c:pt idx="334">
                  <c:v>45778</c:v>
                </c:pt>
                <c:pt idx="335">
                  <c:v>45779</c:v>
                </c:pt>
                <c:pt idx="336">
                  <c:v>45780</c:v>
                </c:pt>
                <c:pt idx="337">
                  <c:v>45781</c:v>
                </c:pt>
                <c:pt idx="338">
                  <c:v>45782</c:v>
                </c:pt>
                <c:pt idx="339">
                  <c:v>45783</c:v>
                </c:pt>
                <c:pt idx="340">
                  <c:v>45784</c:v>
                </c:pt>
                <c:pt idx="341">
                  <c:v>45785</c:v>
                </c:pt>
                <c:pt idx="342">
                  <c:v>45786</c:v>
                </c:pt>
                <c:pt idx="343">
                  <c:v>45787</c:v>
                </c:pt>
                <c:pt idx="344">
                  <c:v>45788</c:v>
                </c:pt>
                <c:pt idx="345">
                  <c:v>45789</c:v>
                </c:pt>
                <c:pt idx="346">
                  <c:v>45790</c:v>
                </c:pt>
                <c:pt idx="347">
                  <c:v>45791</c:v>
                </c:pt>
                <c:pt idx="348">
                  <c:v>45792</c:v>
                </c:pt>
                <c:pt idx="349">
                  <c:v>45793</c:v>
                </c:pt>
                <c:pt idx="350">
                  <c:v>45794</c:v>
                </c:pt>
                <c:pt idx="351">
                  <c:v>45795</c:v>
                </c:pt>
                <c:pt idx="352">
                  <c:v>45796</c:v>
                </c:pt>
                <c:pt idx="353">
                  <c:v>45797</c:v>
                </c:pt>
                <c:pt idx="354">
                  <c:v>45798</c:v>
                </c:pt>
                <c:pt idx="355">
                  <c:v>45799</c:v>
                </c:pt>
                <c:pt idx="356">
                  <c:v>45800</c:v>
                </c:pt>
                <c:pt idx="357">
                  <c:v>45801</c:v>
                </c:pt>
                <c:pt idx="358">
                  <c:v>45802</c:v>
                </c:pt>
                <c:pt idx="359">
                  <c:v>45803</c:v>
                </c:pt>
                <c:pt idx="360">
                  <c:v>45804</c:v>
                </c:pt>
                <c:pt idx="361">
                  <c:v>45805</c:v>
                </c:pt>
                <c:pt idx="362">
                  <c:v>45806</c:v>
                </c:pt>
                <c:pt idx="363">
                  <c:v>45807</c:v>
                </c:pt>
                <c:pt idx="364">
                  <c:v>45808</c:v>
                </c:pt>
                <c:pt idx="365">
                  <c:v>45809</c:v>
                </c:pt>
                <c:pt idx="366">
                  <c:v>45810</c:v>
                </c:pt>
                <c:pt idx="367">
                  <c:v>45811</c:v>
                </c:pt>
                <c:pt idx="368">
                  <c:v>45812</c:v>
                </c:pt>
                <c:pt idx="369">
                  <c:v>45813</c:v>
                </c:pt>
                <c:pt idx="370">
                  <c:v>45814</c:v>
                </c:pt>
                <c:pt idx="371">
                  <c:v>45815</c:v>
                </c:pt>
                <c:pt idx="372">
                  <c:v>45816</c:v>
                </c:pt>
                <c:pt idx="373">
                  <c:v>45817</c:v>
                </c:pt>
                <c:pt idx="374">
                  <c:v>45818</c:v>
                </c:pt>
                <c:pt idx="375">
                  <c:v>45819</c:v>
                </c:pt>
                <c:pt idx="376">
                  <c:v>45820</c:v>
                </c:pt>
                <c:pt idx="377">
                  <c:v>45821</c:v>
                </c:pt>
                <c:pt idx="378">
                  <c:v>45822</c:v>
                </c:pt>
                <c:pt idx="379">
                  <c:v>45823</c:v>
                </c:pt>
                <c:pt idx="380">
                  <c:v>45824</c:v>
                </c:pt>
                <c:pt idx="381">
                  <c:v>45825</c:v>
                </c:pt>
                <c:pt idx="382">
                  <c:v>45826</c:v>
                </c:pt>
                <c:pt idx="383">
                  <c:v>45827</c:v>
                </c:pt>
                <c:pt idx="384">
                  <c:v>45828</c:v>
                </c:pt>
                <c:pt idx="385">
                  <c:v>45829</c:v>
                </c:pt>
                <c:pt idx="386">
                  <c:v>45830</c:v>
                </c:pt>
                <c:pt idx="387">
                  <c:v>45831</c:v>
                </c:pt>
                <c:pt idx="388">
                  <c:v>45832</c:v>
                </c:pt>
                <c:pt idx="389">
                  <c:v>45833</c:v>
                </c:pt>
                <c:pt idx="390">
                  <c:v>45834</c:v>
                </c:pt>
                <c:pt idx="391">
                  <c:v>45835</c:v>
                </c:pt>
                <c:pt idx="392">
                  <c:v>45836</c:v>
                </c:pt>
                <c:pt idx="393">
                  <c:v>45837</c:v>
                </c:pt>
                <c:pt idx="394">
                  <c:v>45838</c:v>
                </c:pt>
                <c:pt idx="395">
                  <c:v>45839</c:v>
                </c:pt>
                <c:pt idx="396">
                  <c:v>45840</c:v>
                </c:pt>
                <c:pt idx="397">
                  <c:v>45841</c:v>
                </c:pt>
                <c:pt idx="398">
                  <c:v>45842</c:v>
                </c:pt>
                <c:pt idx="399">
                  <c:v>45843</c:v>
                </c:pt>
                <c:pt idx="400">
                  <c:v>45844</c:v>
                </c:pt>
                <c:pt idx="401">
                  <c:v>45845</c:v>
                </c:pt>
                <c:pt idx="402">
                  <c:v>45846</c:v>
                </c:pt>
                <c:pt idx="403">
                  <c:v>45847</c:v>
                </c:pt>
                <c:pt idx="404">
                  <c:v>45848</c:v>
                </c:pt>
                <c:pt idx="405">
                  <c:v>45849</c:v>
                </c:pt>
                <c:pt idx="406">
                  <c:v>45850</c:v>
                </c:pt>
                <c:pt idx="407">
                  <c:v>45851</c:v>
                </c:pt>
                <c:pt idx="408">
                  <c:v>45852</c:v>
                </c:pt>
                <c:pt idx="409">
                  <c:v>45853</c:v>
                </c:pt>
                <c:pt idx="410">
                  <c:v>45854</c:v>
                </c:pt>
                <c:pt idx="411">
                  <c:v>45855</c:v>
                </c:pt>
                <c:pt idx="412">
                  <c:v>45856</c:v>
                </c:pt>
                <c:pt idx="413">
                  <c:v>45857</c:v>
                </c:pt>
                <c:pt idx="414">
                  <c:v>45858</c:v>
                </c:pt>
                <c:pt idx="415">
                  <c:v>45859</c:v>
                </c:pt>
                <c:pt idx="416">
                  <c:v>45860</c:v>
                </c:pt>
                <c:pt idx="417">
                  <c:v>45861</c:v>
                </c:pt>
                <c:pt idx="418">
                  <c:v>45862</c:v>
                </c:pt>
                <c:pt idx="419">
                  <c:v>45863</c:v>
                </c:pt>
                <c:pt idx="420">
                  <c:v>45864</c:v>
                </c:pt>
                <c:pt idx="421">
                  <c:v>45865</c:v>
                </c:pt>
                <c:pt idx="422">
                  <c:v>45866</c:v>
                </c:pt>
                <c:pt idx="423">
                  <c:v>45867</c:v>
                </c:pt>
                <c:pt idx="424">
                  <c:v>45868</c:v>
                </c:pt>
                <c:pt idx="425">
                  <c:v>45869</c:v>
                </c:pt>
                <c:pt idx="426">
                  <c:v>45870</c:v>
                </c:pt>
                <c:pt idx="427">
                  <c:v>45871</c:v>
                </c:pt>
                <c:pt idx="428">
                  <c:v>45872</c:v>
                </c:pt>
                <c:pt idx="429">
                  <c:v>45873</c:v>
                </c:pt>
                <c:pt idx="430">
                  <c:v>45874</c:v>
                </c:pt>
                <c:pt idx="431">
                  <c:v>45875</c:v>
                </c:pt>
                <c:pt idx="432">
                  <c:v>45876</c:v>
                </c:pt>
                <c:pt idx="433">
                  <c:v>45877</c:v>
                </c:pt>
                <c:pt idx="434">
                  <c:v>45878</c:v>
                </c:pt>
                <c:pt idx="435">
                  <c:v>45879</c:v>
                </c:pt>
                <c:pt idx="436">
                  <c:v>45880</c:v>
                </c:pt>
                <c:pt idx="437">
                  <c:v>45881</c:v>
                </c:pt>
                <c:pt idx="438">
                  <c:v>45882</c:v>
                </c:pt>
                <c:pt idx="439">
                  <c:v>45883</c:v>
                </c:pt>
                <c:pt idx="440">
                  <c:v>45884</c:v>
                </c:pt>
                <c:pt idx="441">
                  <c:v>45885</c:v>
                </c:pt>
                <c:pt idx="442">
                  <c:v>45886</c:v>
                </c:pt>
                <c:pt idx="443">
                  <c:v>45887</c:v>
                </c:pt>
                <c:pt idx="444">
                  <c:v>45888</c:v>
                </c:pt>
                <c:pt idx="445">
                  <c:v>45889</c:v>
                </c:pt>
                <c:pt idx="446">
                  <c:v>45890</c:v>
                </c:pt>
                <c:pt idx="447">
                  <c:v>45891</c:v>
                </c:pt>
                <c:pt idx="448">
                  <c:v>45892</c:v>
                </c:pt>
                <c:pt idx="449">
                  <c:v>45893</c:v>
                </c:pt>
                <c:pt idx="450">
                  <c:v>45894</c:v>
                </c:pt>
                <c:pt idx="451">
                  <c:v>45895</c:v>
                </c:pt>
                <c:pt idx="452">
                  <c:v>45896</c:v>
                </c:pt>
                <c:pt idx="453">
                  <c:v>45897</c:v>
                </c:pt>
                <c:pt idx="454">
                  <c:v>45898</c:v>
                </c:pt>
                <c:pt idx="455">
                  <c:v>45899</c:v>
                </c:pt>
                <c:pt idx="456">
                  <c:v>45900</c:v>
                </c:pt>
                <c:pt idx="457">
                  <c:v>45901</c:v>
                </c:pt>
                <c:pt idx="458">
                  <c:v>45902</c:v>
                </c:pt>
                <c:pt idx="459">
                  <c:v>45903</c:v>
                </c:pt>
                <c:pt idx="460">
                  <c:v>45904</c:v>
                </c:pt>
                <c:pt idx="461">
                  <c:v>45905</c:v>
                </c:pt>
                <c:pt idx="462">
                  <c:v>45906</c:v>
                </c:pt>
                <c:pt idx="463">
                  <c:v>45907</c:v>
                </c:pt>
                <c:pt idx="464">
                  <c:v>45908</c:v>
                </c:pt>
                <c:pt idx="465">
                  <c:v>45909</c:v>
                </c:pt>
                <c:pt idx="466">
                  <c:v>45910</c:v>
                </c:pt>
                <c:pt idx="467">
                  <c:v>45911</c:v>
                </c:pt>
                <c:pt idx="468">
                  <c:v>45912</c:v>
                </c:pt>
                <c:pt idx="469">
                  <c:v>45913</c:v>
                </c:pt>
                <c:pt idx="470">
                  <c:v>45914</c:v>
                </c:pt>
                <c:pt idx="471">
                  <c:v>45915</c:v>
                </c:pt>
                <c:pt idx="472">
                  <c:v>45916</c:v>
                </c:pt>
                <c:pt idx="473">
                  <c:v>45917</c:v>
                </c:pt>
                <c:pt idx="474">
                  <c:v>45918</c:v>
                </c:pt>
                <c:pt idx="475">
                  <c:v>45919</c:v>
                </c:pt>
                <c:pt idx="476">
                  <c:v>45920</c:v>
                </c:pt>
                <c:pt idx="477">
                  <c:v>45921</c:v>
                </c:pt>
                <c:pt idx="478">
                  <c:v>45922</c:v>
                </c:pt>
                <c:pt idx="479">
                  <c:v>45923</c:v>
                </c:pt>
                <c:pt idx="480">
                  <c:v>45924</c:v>
                </c:pt>
                <c:pt idx="481">
                  <c:v>45925</c:v>
                </c:pt>
                <c:pt idx="482">
                  <c:v>45926</c:v>
                </c:pt>
                <c:pt idx="483">
                  <c:v>45927</c:v>
                </c:pt>
                <c:pt idx="484">
                  <c:v>45928</c:v>
                </c:pt>
                <c:pt idx="485">
                  <c:v>45929</c:v>
                </c:pt>
                <c:pt idx="486">
                  <c:v>45930</c:v>
                </c:pt>
                <c:pt idx="487">
                  <c:v>45931</c:v>
                </c:pt>
                <c:pt idx="488">
                  <c:v>45932</c:v>
                </c:pt>
                <c:pt idx="489">
                  <c:v>45933</c:v>
                </c:pt>
                <c:pt idx="490">
                  <c:v>45934</c:v>
                </c:pt>
                <c:pt idx="491">
                  <c:v>45935</c:v>
                </c:pt>
                <c:pt idx="492">
                  <c:v>45936</c:v>
                </c:pt>
                <c:pt idx="493">
                  <c:v>45937</c:v>
                </c:pt>
                <c:pt idx="494">
                  <c:v>45938</c:v>
                </c:pt>
                <c:pt idx="495">
                  <c:v>45939</c:v>
                </c:pt>
                <c:pt idx="496">
                  <c:v>45940</c:v>
                </c:pt>
                <c:pt idx="497">
                  <c:v>45941</c:v>
                </c:pt>
                <c:pt idx="498">
                  <c:v>45942</c:v>
                </c:pt>
                <c:pt idx="499">
                  <c:v>45943</c:v>
                </c:pt>
                <c:pt idx="500">
                  <c:v>45944</c:v>
                </c:pt>
                <c:pt idx="501">
                  <c:v>45945</c:v>
                </c:pt>
                <c:pt idx="502">
                  <c:v>45946</c:v>
                </c:pt>
                <c:pt idx="503">
                  <c:v>45947</c:v>
                </c:pt>
                <c:pt idx="504">
                  <c:v>45948</c:v>
                </c:pt>
                <c:pt idx="505">
                  <c:v>45949</c:v>
                </c:pt>
                <c:pt idx="506">
                  <c:v>45950</c:v>
                </c:pt>
                <c:pt idx="507">
                  <c:v>45951</c:v>
                </c:pt>
                <c:pt idx="508">
                  <c:v>45952</c:v>
                </c:pt>
                <c:pt idx="509">
                  <c:v>45953</c:v>
                </c:pt>
                <c:pt idx="510">
                  <c:v>45954</c:v>
                </c:pt>
                <c:pt idx="511">
                  <c:v>45955</c:v>
                </c:pt>
                <c:pt idx="512">
                  <c:v>45956</c:v>
                </c:pt>
                <c:pt idx="513">
                  <c:v>45957</c:v>
                </c:pt>
                <c:pt idx="514">
                  <c:v>45958</c:v>
                </c:pt>
                <c:pt idx="515">
                  <c:v>45959</c:v>
                </c:pt>
                <c:pt idx="516">
                  <c:v>45960</c:v>
                </c:pt>
                <c:pt idx="517">
                  <c:v>45961</c:v>
                </c:pt>
                <c:pt idx="518">
                  <c:v>45962</c:v>
                </c:pt>
                <c:pt idx="519">
                  <c:v>45963</c:v>
                </c:pt>
                <c:pt idx="520">
                  <c:v>45964</c:v>
                </c:pt>
                <c:pt idx="521">
                  <c:v>45965</c:v>
                </c:pt>
                <c:pt idx="522">
                  <c:v>45966</c:v>
                </c:pt>
                <c:pt idx="523">
                  <c:v>45967</c:v>
                </c:pt>
                <c:pt idx="524">
                  <c:v>45968</c:v>
                </c:pt>
                <c:pt idx="525">
                  <c:v>45969</c:v>
                </c:pt>
                <c:pt idx="526">
                  <c:v>45970</c:v>
                </c:pt>
                <c:pt idx="527">
                  <c:v>45971</c:v>
                </c:pt>
                <c:pt idx="528">
                  <c:v>45972</c:v>
                </c:pt>
                <c:pt idx="529">
                  <c:v>45973</c:v>
                </c:pt>
                <c:pt idx="530">
                  <c:v>45974</c:v>
                </c:pt>
                <c:pt idx="531">
                  <c:v>45975</c:v>
                </c:pt>
                <c:pt idx="532">
                  <c:v>45976</c:v>
                </c:pt>
                <c:pt idx="533">
                  <c:v>45977</c:v>
                </c:pt>
                <c:pt idx="534">
                  <c:v>45978</c:v>
                </c:pt>
                <c:pt idx="535">
                  <c:v>45979</c:v>
                </c:pt>
                <c:pt idx="536">
                  <c:v>45980</c:v>
                </c:pt>
                <c:pt idx="537">
                  <c:v>45981</c:v>
                </c:pt>
                <c:pt idx="538">
                  <c:v>45982</c:v>
                </c:pt>
                <c:pt idx="539">
                  <c:v>45983</c:v>
                </c:pt>
                <c:pt idx="540">
                  <c:v>45984</c:v>
                </c:pt>
                <c:pt idx="541">
                  <c:v>45985</c:v>
                </c:pt>
                <c:pt idx="542">
                  <c:v>45986</c:v>
                </c:pt>
                <c:pt idx="543">
                  <c:v>45987</c:v>
                </c:pt>
                <c:pt idx="544">
                  <c:v>45988</c:v>
                </c:pt>
                <c:pt idx="545">
                  <c:v>45989</c:v>
                </c:pt>
                <c:pt idx="546">
                  <c:v>45990</c:v>
                </c:pt>
                <c:pt idx="547">
                  <c:v>45991</c:v>
                </c:pt>
                <c:pt idx="548">
                  <c:v>45992</c:v>
                </c:pt>
                <c:pt idx="549">
                  <c:v>45993</c:v>
                </c:pt>
                <c:pt idx="550">
                  <c:v>45994</c:v>
                </c:pt>
                <c:pt idx="551">
                  <c:v>45995</c:v>
                </c:pt>
                <c:pt idx="552">
                  <c:v>45996</c:v>
                </c:pt>
                <c:pt idx="553">
                  <c:v>45997</c:v>
                </c:pt>
                <c:pt idx="554">
                  <c:v>45998</c:v>
                </c:pt>
                <c:pt idx="555">
                  <c:v>45999</c:v>
                </c:pt>
                <c:pt idx="556">
                  <c:v>46000</c:v>
                </c:pt>
                <c:pt idx="557">
                  <c:v>46001</c:v>
                </c:pt>
                <c:pt idx="558">
                  <c:v>46002</c:v>
                </c:pt>
                <c:pt idx="559">
                  <c:v>46003</c:v>
                </c:pt>
                <c:pt idx="560">
                  <c:v>46004</c:v>
                </c:pt>
                <c:pt idx="561">
                  <c:v>46005</c:v>
                </c:pt>
                <c:pt idx="562">
                  <c:v>46006</c:v>
                </c:pt>
                <c:pt idx="563">
                  <c:v>46007</c:v>
                </c:pt>
                <c:pt idx="564">
                  <c:v>46008</c:v>
                </c:pt>
                <c:pt idx="565">
                  <c:v>46009</c:v>
                </c:pt>
                <c:pt idx="566">
                  <c:v>46010</c:v>
                </c:pt>
                <c:pt idx="567">
                  <c:v>46011</c:v>
                </c:pt>
                <c:pt idx="568">
                  <c:v>46012</c:v>
                </c:pt>
                <c:pt idx="569">
                  <c:v>46013</c:v>
                </c:pt>
                <c:pt idx="570">
                  <c:v>46014</c:v>
                </c:pt>
                <c:pt idx="571">
                  <c:v>46015</c:v>
                </c:pt>
                <c:pt idx="572">
                  <c:v>46016</c:v>
                </c:pt>
                <c:pt idx="573">
                  <c:v>46017</c:v>
                </c:pt>
                <c:pt idx="574">
                  <c:v>46018</c:v>
                </c:pt>
                <c:pt idx="575">
                  <c:v>46019</c:v>
                </c:pt>
                <c:pt idx="576">
                  <c:v>46020</c:v>
                </c:pt>
                <c:pt idx="577">
                  <c:v>46021</c:v>
                </c:pt>
                <c:pt idx="578">
                  <c:v>46022</c:v>
                </c:pt>
                <c:pt idx="579">
                  <c:v>46023</c:v>
                </c:pt>
                <c:pt idx="580">
                  <c:v>46024</c:v>
                </c:pt>
                <c:pt idx="581">
                  <c:v>46025</c:v>
                </c:pt>
                <c:pt idx="582">
                  <c:v>46026</c:v>
                </c:pt>
                <c:pt idx="583">
                  <c:v>46027</c:v>
                </c:pt>
                <c:pt idx="584">
                  <c:v>46028</c:v>
                </c:pt>
                <c:pt idx="585">
                  <c:v>46029</c:v>
                </c:pt>
                <c:pt idx="586">
                  <c:v>46030</c:v>
                </c:pt>
                <c:pt idx="587">
                  <c:v>46031</c:v>
                </c:pt>
                <c:pt idx="588">
                  <c:v>46032</c:v>
                </c:pt>
                <c:pt idx="589">
                  <c:v>46033</c:v>
                </c:pt>
                <c:pt idx="590">
                  <c:v>46034</c:v>
                </c:pt>
                <c:pt idx="591">
                  <c:v>46035</c:v>
                </c:pt>
                <c:pt idx="592">
                  <c:v>46036</c:v>
                </c:pt>
                <c:pt idx="593">
                  <c:v>46037</c:v>
                </c:pt>
                <c:pt idx="594">
                  <c:v>46038</c:v>
                </c:pt>
                <c:pt idx="595">
                  <c:v>46039</c:v>
                </c:pt>
                <c:pt idx="596">
                  <c:v>46040</c:v>
                </c:pt>
                <c:pt idx="597">
                  <c:v>46041</c:v>
                </c:pt>
                <c:pt idx="598">
                  <c:v>46042</c:v>
                </c:pt>
                <c:pt idx="599">
                  <c:v>46043</c:v>
                </c:pt>
                <c:pt idx="600">
                  <c:v>46044</c:v>
                </c:pt>
                <c:pt idx="601">
                  <c:v>46045</c:v>
                </c:pt>
                <c:pt idx="602">
                  <c:v>46046</c:v>
                </c:pt>
                <c:pt idx="603">
                  <c:v>46047</c:v>
                </c:pt>
                <c:pt idx="604">
                  <c:v>46048</c:v>
                </c:pt>
                <c:pt idx="605">
                  <c:v>46049</c:v>
                </c:pt>
                <c:pt idx="606">
                  <c:v>46050</c:v>
                </c:pt>
                <c:pt idx="607">
                  <c:v>46051</c:v>
                </c:pt>
                <c:pt idx="608">
                  <c:v>46052</c:v>
                </c:pt>
                <c:pt idx="609">
                  <c:v>46053</c:v>
                </c:pt>
                <c:pt idx="610">
                  <c:v>46054</c:v>
                </c:pt>
                <c:pt idx="611">
                  <c:v>46055</c:v>
                </c:pt>
                <c:pt idx="612">
                  <c:v>46056</c:v>
                </c:pt>
                <c:pt idx="613">
                  <c:v>46057</c:v>
                </c:pt>
                <c:pt idx="614">
                  <c:v>46058</c:v>
                </c:pt>
                <c:pt idx="615">
                  <c:v>46059</c:v>
                </c:pt>
                <c:pt idx="616">
                  <c:v>46060</c:v>
                </c:pt>
                <c:pt idx="617">
                  <c:v>46061</c:v>
                </c:pt>
                <c:pt idx="618">
                  <c:v>46062</c:v>
                </c:pt>
                <c:pt idx="619">
                  <c:v>46063</c:v>
                </c:pt>
                <c:pt idx="620">
                  <c:v>46064</c:v>
                </c:pt>
                <c:pt idx="621">
                  <c:v>46065</c:v>
                </c:pt>
                <c:pt idx="622">
                  <c:v>46066</c:v>
                </c:pt>
                <c:pt idx="623">
                  <c:v>46067</c:v>
                </c:pt>
                <c:pt idx="624">
                  <c:v>46068</c:v>
                </c:pt>
                <c:pt idx="625">
                  <c:v>46069</c:v>
                </c:pt>
                <c:pt idx="626">
                  <c:v>46070</c:v>
                </c:pt>
                <c:pt idx="627">
                  <c:v>46071</c:v>
                </c:pt>
                <c:pt idx="628">
                  <c:v>46072</c:v>
                </c:pt>
                <c:pt idx="629">
                  <c:v>46073</c:v>
                </c:pt>
                <c:pt idx="630">
                  <c:v>46074</c:v>
                </c:pt>
                <c:pt idx="631">
                  <c:v>46075</c:v>
                </c:pt>
                <c:pt idx="632">
                  <c:v>46076</c:v>
                </c:pt>
                <c:pt idx="633">
                  <c:v>46077</c:v>
                </c:pt>
                <c:pt idx="634">
                  <c:v>46078</c:v>
                </c:pt>
                <c:pt idx="635">
                  <c:v>46079</c:v>
                </c:pt>
                <c:pt idx="636">
                  <c:v>46080</c:v>
                </c:pt>
                <c:pt idx="637">
                  <c:v>46081</c:v>
                </c:pt>
                <c:pt idx="638">
                  <c:v>46082</c:v>
                </c:pt>
                <c:pt idx="639">
                  <c:v>46083</c:v>
                </c:pt>
                <c:pt idx="640">
                  <c:v>46084</c:v>
                </c:pt>
                <c:pt idx="641">
                  <c:v>46085</c:v>
                </c:pt>
                <c:pt idx="642">
                  <c:v>46086</c:v>
                </c:pt>
                <c:pt idx="643">
                  <c:v>46087</c:v>
                </c:pt>
                <c:pt idx="644">
                  <c:v>46088</c:v>
                </c:pt>
                <c:pt idx="645">
                  <c:v>46089</c:v>
                </c:pt>
                <c:pt idx="646">
                  <c:v>46090</c:v>
                </c:pt>
                <c:pt idx="647">
                  <c:v>46091</c:v>
                </c:pt>
                <c:pt idx="648">
                  <c:v>46092</c:v>
                </c:pt>
                <c:pt idx="649">
                  <c:v>46093</c:v>
                </c:pt>
                <c:pt idx="650">
                  <c:v>46094</c:v>
                </c:pt>
                <c:pt idx="651">
                  <c:v>46095</c:v>
                </c:pt>
                <c:pt idx="652">
                  <c:v>46096</c:v>
                </c:pt>
                <c:pt idx="653">
                  <c:v>46097</c:v>
                </c:pt>
                <c:pt idx="654">
                  <c:v>46098</c:v>
                </c:pt>
                <c:pt idx="655">
                  <c:v>46099</c:v>
                </c:pt>
                <c:pt idx="656">
                  <c:v>46100</c:v>
                </c:pt>
                <c:pt idx="657">
                  <c:v>46101</c:v>
                </c:pt>
                <c:pt idx="658">
                  <c:v>46102</c:v>
                </c:pt>
                <c:pt idx="659">
                  <c:v>46103</c:v>
                </c:pt>
                <c:pt idx="660">
                  <c:v>46104</c:v>
                </c:pt>
                <c:pt idx="661">
                  <c:v>46105</c:v>
                </c:pt>
                <c:pt idx="662">
                  <c:v>46106</c:v>
                </c:pt>
                <c:pt idx="663">
                  <c:v>46107</c:v>
                </c:pt>
                <c:pt idx="664">
                  <c:v>46108</c:v>
                </c:pt>
                <c:pt idx="665">
                  <c:v>46109</c:v>
                </c:pt>
                <c:pt idx="666">
                  <c:v>46110</c:v>
                </c:pt>
                <c:pt idx="667">
                  <c:v>46111</c:v>
                </c:pt>
                <c:pt idx="668">
                  <c:v>46112</c:v>
                </c:pt>
                <c:pt idx="669">
                  <c:v>46113</c:v>
                </c:pt>
                <c:pt idx="670">
                  <c:v>46114</c:v>
                </c:pt>
                <c:pt idx="671">
                  <c:v>46115</c:v>
                </c:pt>
                <c:pt idx="672">
                  <c:v>46116</c:v>
                </c:pt>
                <c:pt idx="673">
                  <c:v>46117</c:v>
                </c:pt>
                <c:pt idx="674">
                  <c:v>46118</c:v>
                </c:pt>
                <c:pt idx="675">
                  <c:v>46119</c:v>
                </c:pt>
                <c:pt idx="676">
                  <c:v>46120</c:v>
                </c:pt>
                <c:pt idx="677">
                  <c:v>46121</c:v>
                </c:pt>
                <c:pt idx="678">
                  <c:v>46122</c:v>
                </c:pt>
                <c:pt idx="679">
                  <c:v>46123</c:v>
                </c:pt>
                <c:pt idx="680">
                  <c:v>46124</c:v>
                </c:pt>
                <c:pt idx="681">
                  <c:v>46125</c:v>
                </c:pt>
                <c:pt idx="682">
                  <c:v>46126</c:v>
                </c:pt>
                <c:pt idx="683">
                  <c:v>46127</c:v>
                </c:pt>
                <c:pt idx="684">
                  <c:v>46128</c:v>
                </c:pt>
                <c:pt idx="685">
                  <c:v>46129</c:v>
                </c:pt>
                <c:pt idx="686">
                  <c:v>46130</c:v>
                </c:pt>
                <c:pt idx="687">
                  <c:v>46131</c:v>
                </c:pt>
                <c:pt idx="688">
                  <c:v>46132</c:v>
                </c:pt>
                <c:pt idx="689">
                  <c:v>46133</c:v>
                </c:pt>
                <c:pt idx="690">
                  <c:v>46134</c:v>
                </c:pt>
                <c:pt idx="691">
                  <c:v>46135</c:v>
                </c:pt>
                <c:pt idx="692">
                  <c:v>46136</c:v>
                </c:pt>
                <c:pt idx="693">
                  <c:v>46137</c:v>
                </c:pt>
                <c:pt idx="694">
                  <c:v>46138</c:v>
                </c:pt>
                <c:pt idx="695">
                  <c:v>46139</c:v>
                </c:pt>
                <c:pt idx="696">
                  <c:v>46140</c:v>
                </c:pt>
                <c:pt idx="697">
                  <c:v>46141</c:v>
                </c:pt>
                <c:pt idx="698">
                  <c:v>46142</c:v>
                </c:pt>
                <c:pt idx="699">
                  <c:v>46143</c:v>
                </c:pt>
                <c:pt idx="700">
                  <c:v>46144</c:v>
                </c:pt>
                <c:pt idx="701">
                  <c:v>46145</c:v>
                </c:pt>
                <c:pt idx="702">
                  <c:v>46146</c:v>
                </c:pt>
                <c:pt idx="703">
                  <c:v>46147</c:v>
                </c:pt>
                <c:pt idx="704">
                  <c:v>46148</c:v>
                </c:pt>
                <c:pt idx="705">
                  <c:v>46149</c:v>
                </c:pt>
                <c:pt idx="706">
                  <c:v>46150</c:v>
                </c:pt>
                <c:pt idx="707">
                  <c:v>46151</c:v>
                </c:pt>
                <c:pt idx="708">
                  <c:v>46152</c:v>
                </c:pt>
                <c:pt idx="709">
                  <c:v>46153</c:v>
                </c:pt>
                <c:pt idx="710">
                  <c:v>46154</c:v>
                </c:pt>
                <c:pt idx="711">
                  <c:v>46155</c:v>
                </c:pt>
                <c:pt idx="712">
                  <c:v>46156</c:v>
                </c:pt>
                <c:pt idx="713">
                  <c:v>46157</c:v>
                </c:pt>
                <c:pt idx="714">
                  <c:v>46158</c:v>
                </c:pt>
                <c:pt idx="715">
                  <c:v>46159</c:v>
                </c:pt>
                <c:pt idx="716">
                  <c:v>46160</c:v>
                </c:pt>
                <c:pt idx="717">
                  <c:v>46161</c:v>
                </c:pt>
                <c:pt idx="718">
                  <c:v>46162</c:v>
                </c:pt>
                <c:pt idx="719">
                  <c:v>46163</c:v>
                </c:pt>
                <c:pt idx="720">
                  <c:v>46164</c:v>
                </c:pt>
                <c:pt idx="721">
                  <c:v>46165</c:v>
                </c:pt>
                <c:pt idx="722">
                  <c:v>46166</c:v>
                </c:pt>
                <c:pt idx="723">
                  <c:v>46167</c:v>
                </c:pt>
                <c:pt idx="724">
                  <c:v>46168</c:v>
                </c:pt>
                <c:pt idx="725">
                  <c:v>46169</c:v>
                </c:pt>
                <c:pt idx="726">
                  <c:v>46170</c:v>
                </c:pt>
                <c:pt idx="727">
                  <c:v>46171</c:v>
                </c:pt>
                <c:pt idx="728">
                  <c:v>46172</c:v>
                </c:pt>
                <c:pt idx="729">
                  <c:v>46173</c:v>
                </c:pt>
                <c:pt idx="730">
                  <c:v>46174</c:v>
                </c:pt>
                <c:pt idx="731">
                  <c:v>46175</c:v>
                </c:pt>
                <c:pt idx="732">
                  <c:v>46176</c:v>
                </c:pt>
                <c:pt idx="733">
                  <c:v>46177</c:v>
                </c:pt>
                <c:pt idx="734">
                  <c:v>46178</c:v>
                </c:pt>
                <c:pt idx="735">
                  <c:v>46179</c:v>
                </c:pt>
                <c:pt idx="736">
                  <c:v>46180</c:v>
                </c:pt>
                <c:pt idx="737">
                  <c:v>46181</c:v>
                </c:pt>
                <c:pt idx="738">
                  <c:v>46182</c:v>
                </c:pt>
                <c:pt idx="739">
                  <c:v>46183</c:v>
                </c:pt>
                <c:pt idx="740">
                  <c:v>46184</c:v>
                </c:pt>
                <c:pt idx="741">
                  <c:v>46185</c:v>
                </c:pt>
                <c:pt idx="742">
                  <c:v>46186</c:v>
                </c:pt>
                <c:pt idx="743">
                  <c:v>46187</c:v>
                </c:pt>
                <c:pt idx="744">
                  <c:v>46188</c:v>
                </c:pt>
                <c:pt idx="745">
                  <c:v>46189</c:v>
                </c:pt>
                <c:pt idx="746">
                  <c:v>46190</c:v>
                </c:pt>
                <c:pt idx="747">
                  <c:v>46191</c:v>
                </c:pt>
                <c:pt idx="748">
                  <c:v>46192</c:v>
                </c:pt>
                <c:pt idx="749">
                  <c:v>46193</c:v>
                </c:pt>
                <c:pt idx="750">
                  <c:v>46194</c:v>
                </c:pt>
                <c:pt idx="751">
                  <c:v>46195</c:v>
                </c:pt>
                <c:pt idx="752">
                  <c:v>46196</c:v>
                </c:pt>
                <c:pt idx="753">
                  <c:v>46197</c:v>
                </c:pt>
                <c:pt idx="754">
                  <c:v>46198</c:v>
                </c:pt>
                <c:pt idx="755">
                  <c:v>46199</c:v>
                </c:pt>
                <c:pt idx="756">
                  <c:v>46200</c:v>
                </c:pt>
                <c:pt idx="757">
                  <c:v>46201</c:v>
                </c:pt>
                <c:pt idx="758">
                  <c:v>46202</c:v>
                </c:pt>
                <c:pt idx="759">
                  <c:v>46203</c:v>
                </c:pt>
                <c:pt idx="760">
                  <c:v>46204</c:v>
                </c:pt>
                <c:pt idx="761">
                  <c:v>46205</c:v>
                </c:pt>
                <c:pt idx="762">
                  <c:v>46206</c:v>
                </c:pt>
                <c:pt idx="763">
                  <c:v>46207</c:v>
                </c:pt>
                <c:pt idx="764">
                  <c:v>46208</c:v>
                </c:pt>
                <c:pt idx="765">
                  <c:v>46209</c:v>
                </c:pt>
                <c:pt idx="766">
                  <c:v>46210</c:v>
                </c:pt>
                <c:pt idx="767">
                  <c:v>46211</c:v>
                </c:pt>
                <c:pt idx="768">
                  <c:v>46212</c:v>
                </c:pt>
                <c:pt idx="769">
                  <c:v>46213</c:v>
                </c:pt>
                <c:pt idx="770">
                  <c:v>46214</c:v>
                </c:pt>
                <c:pt idx="771">
                  <c:v>46215</c:v>
                </c:pt>
                <c:pt idx="772">
                  <c:v>46216</c:v>
                </c:pt>
                <c:pt idx="773">
                  <c:v>46217</c:v>
                </c:pt>
                <c:pt idx="774">
                  <c:v>46218</c:v>
                </c:pt>
                <c:pt idx="775">
                  <c:v>46219</c:v>
                </c:pt>
                <c:pt idx="776">
                  <c:v>46220</c:v>
                </c:pt>
                <c:pt idx="777">
                  <c:v>46221</c:v>
                </c:pt>
                <c:pt idx="778">
                  <c:v>46222</c:v>
                </c:pt>
                <c:pt idx="779">
                  <c:v>46223</c:v>
                </c:pt>
                <c:pt idx="780">
                  <c:v>46224</c:v>
                </c:pt>
                <c:pt idx="781">
                  <c:v>46225</c:v>
                </c:pt>
                <c:pt idx="782">
                  <c:v>46226</c:v>
                </c:pt>
                <c:pt idx="783">
                  <c:v>46227</c:v>
                </c:pt>
                <c:pt idx="784">
                  <c:v>46228</c:v>
                </c:pt>
                <c:pt idx="785">
                  <c:v>46229</c:v>
                </c:pt>
                <c:pt idx="786">
                  <c:v>46230</c:v>
                </c:pt>
                <c:pt idx="787">
                  <c:v>46231</c:v>
                </c:pt>
                <c:pt idx="788">
                  <c:v>46232</c:v>
                </c:pt>
                <c:pt idx="789">
                  <c:v>46233</c:v>
                </c:pt>
                <c:pt idx="790">
                  <c:v>46234</c:v>
                </c:pt>
                <c:pt idx="791">
                  <c:v>46235</c:v>
                </c:pt>
                <c:pt idx="792">
                  <c:v>46236</c:v>
                </c:pt>
                <c:pt idx="793">
                  <c:v>46237</c:v>
                </c:pt>
                <c:pt idx="794">
                  <c:v>46238</c:v>
                </c:pt>
                <c:pt idx="795">
                  <c:v>46239</c:v>
                </c:pt>
                <c:pt idx="796">
                  <c:v>46240</c:v>
                </c:pt>
                <c:pt idx="797">
                  <c:v>46241</c:v>
                </c:pt>
                <c:pt idx="798">
                  <c:v>46242</c:v>
                </c:pt>
                <c:pt idx="799">
                  <c:v>46243</c:v>
                </c:pt>
                <c:pt idx="800">
                  <c:v>46244</c:v>
                </c:pt>
                <c:pt idx="801">
                  <c:v>46245</c:v>
                </c:pt>
                <c:pt idx="802">
                  <c:v>46246</c:v>
                </c:pt>
                <c:pt idx="803">
                  <c:v>46247</c:v>
                </c:pt>
                <c:pt idx="804">
                  <c:v>46248</c:v>
                </c:pt>
                <c:pt idx="805">
                  <c:v>46249</c:v>
                </c:pt>
                <c:pt idx="806">
                  <c:v>46250</c:v>
                </c:pt>
                <c:pt idx="807">
                  <c:v>46251</c:v>
                </c:pt>
                <c:pt idx="808">
                  <c:v>46252</c:v>
                </c:pt>
                <c:pt idx="809">
                  <c:v>46253</c:v>
                </c:pt>
                <c:pt idx="810">
                  <c:v>46254</c:v>
                </c:pt>
                <c:pt idx="811">
                  <c:v>46255</c:v>
                </c:pt>
                <c:pt idx="812">
                  <c:v>46256</c:v>
                </c:pt>
                <c:pt idx="813">
                  <c:v>46257</c:v>
                </c:pt>
                <c:pt idx="814">
                  <c:v>46258</c:v>
                </c:pt>
                <c:pt idx="815">
                  <c:v>46259</c:v>
                </c:pt>
                <c:pt idx="816">
                  <c:v>46260</c:v>
                </c:pt>
                <c:pt idx="817">
                  <c:v>46261</c:v>
                </c:pt>
                <c:pt idx="818">
                  <c:v>46262</c:v>
                </c:pt>
                <c:pt idx="819">
                  <c:v>46263</c:v>
                </c:pt>
                <c:pt idx="820">
                  <c:v>46264</c:v>
                </c:pt>
                <c:pt idx="821">
                  <c:v>46265</c:v>
                </c:pt>
                <c:pt idx="822">
                  <c:v>46266</c:v>
                </c:pt>
                <c:pt idx="823">
                  <c:v>46267</c:v>
                </c:pt>
                <c:pt idx="824">
                  <c:v>46268</c:v>
                </c:pt>
                <c:pt idx="825">
                  <c:v>46269</c:v>
                </c:pt>
                <c:pt idx="826">
                  <c:v>46270</c:v>
                </c:pt>
                <c:pt idx="827">
                  <c:v>46271</c:v>
                </c:pt>
                <c:pt idx="828">
                  <c:v>46272</c:v>
                </c:pt>
                <c:pt idx="829">
                  <c:v>46273</c:v>
                </c:pt>
                <c:pt idx="830">
                  <c:v>46274</c:v>
                </c:pt>
                <c:pt idx="831">
                  <c:v>46275</c:v>
                </c:pt>
                <c:pt idx="832">
                  <c:v>46276</c:v>
                </c:pt>
                <c:pt idx="833">
                  <c:v>46277</c:v>
                </c:pt>
                <c:pt idx="834">
                  <c:v>46278</c:v>
                </c:pt>
                <c:pt idx="835">
                  <c:v>46279</c:v>
                </c:pt>
                <c:pt idx="836">
                  <c:v>46280</c:v>
                </c:pt>
                <c:pt idx="837">
                  <c:v>46281</c:v>
                </c:pt>
                <c:pt idx="838">
                  <c:v>46282</c:v>
                </c:pt>
                <c:pt idx="839">
                  <c:v>46283</c:v>
                </c:pt>
                <c:pt idx="840">
                  <c:v>46284</c:v>
                </c:pt>
                <c:pt idx="841">
                  <c:v>46285</c:v>
                </c:pt>
                <c:pt idx="842">
                  <c:v>46286</c:v>
                </c:pt>
                <c:pt idx="843">
                  <c:v>46287</c:v>
                </c:pt>
                <c:pt idx="844">
                  <c:v>46288</c:v>
                </c:pt>
                <c:pt idx="845">
                  <c:v>46289</c:v>
                </c:pt>
                <c:pt idx="846">
                  <c:v>46290</c:v>
                </c:pt>
                <c:pt idx="847">
                  <c:v>46291</c:v>
                </c:pt>
                <c:pt idx="848">
                  <c:v>46292</c:v>
                </c:pt>
                <c:pt idx="849">
                  <c:v>46293</c:v>
                </c:pt>
                <c:pt idx="850">
                  <c:v>46294</c:v>
                </c:pt>
                <c:pt idx="851">
                  <c:v>46295</c:v>
                </c:pt>
                <c:pt idx="852">
                  <c:v>46296</c:v>
                </c:pt>
                <c:pt idx="853">
                  <c:v>46297</c:v>
                </c:pt>
                <c:pt idx="854">
                  <c:v>46298</c:v>
                </c:pt>
                <c:pt idx="855">
                  <c:v>46299</c:v>
                </c:pt>
                <c:pt idx="856">
                  <c:v>46300</c:v>
                </c:pt>
                <c:pt idx="857">
                  <c:v>46301</c:v>
                </c:pt>
                <c:pt idx="858">
                  <c:v>46302</c:v>
                </c:pt>
                <c:pt idx="859">
                  <c:v>46303</c:v>
                </c:pt>
                <c:pt idx="860">
                  <c:v>46304</c:v>
                </c:pt>
                <c:pt idx="861">
                  <c:v>46305</c:v>
                </c:pt>
                <c:pt idx="862">
                  <c:v>46306</c:v>
                </c:pt>
                <c:pt idx="863">
                  <c:v>46307</c:v>
                </c:pt>
                <c:pt idx="864">
                  <c:v>46308</c:v>
                </c:pt>
                <c:pt idx="865">
                  <c:v>46309</c:v>
                </c:pt>
                <c:pt idx="866">
                  <c:v>46310</c:v>
                </c:pt>
                <c:pt idx="867">
                  <c:v>46311</c:v>
                </c:pt>
                <c:pt idx="868">
                  <c:v>46312</c:v>
                </c:pt>
                <c:pt idx="869">
                  <c:v>46313</c:v>
                </c:pt>
                <c:pt idx="870">
                  <c:v>46314</c:v>
                </c:pt>
                <c:pt idx="871">
                  <c:v>46315</c:v>
                </c:pt>
                <c:pt idx="872">
                  <c:v>46316</c:v>
                </c:pt>
                <c:pt idx="873">
                  <c:v>46317</c:v>
                </c:pt>
                <c:pt idx="874">
                  <c:v>46318</c:v>
                </c:pt>
                <c:pt idx="875">
                  <c:v>46319</c:v>
                </c:pt>
                <c:pt idx="876">
                  <c:v>46320</c:v>
                </c:pt>
                <c:pt idx="877">
                  <c:v>46321</c:v>
                </c:pt>
                <c:pt idx="878">
                  <c:v>46322</c:v>
                </c:pt>
                <c:pt idx="879">
                  <c:v>46323</c:v>
                </c:pt>
                <c:pt idx="880">
                  <c:v>46324</c:v>
                </c:pt>
                <c:pt idx="881">
                  <c:v>46325</c:v>
                </c:pt>
                <c:pt idx="882">
                  <c:v>46326</c:v>
                </c:pt>
                <c:pt idx="883">
                  <c:v>46327</c:v>
                </c:pt>
                <c:pt idx="884">
                  <c:v>46328</c:v>
                </c:pt>
                <c:pt idx="885">
                  <c:v>46329</c:v>
                </c:pt>
                <c:pt idx="886">
                  <c:v>46330</c:v>
                </c:pt>
                <c:pt idx="887">
                  <c:v>46331</c:v>
                </c:pt>
                <c:pt idx="888">
                  <c:v>46332</c:v>
                </c:pt>
                <c:pt idx="889">
                  <c:v>46333</c:v>
                </c:pt>
                <c:pt idx="890">
                  <c:v>46334</c:v>
                </c:pt>
                <c:pt idx="891">
                  <c:v>46335</c:v>
                </c:pt>
                <c:pt idx="892">
                  <c:v>46336</c:v>
                </c:pt>
                <c:pt idx="893">
                  <c:v>46337</c:v>
                </c:pt>
                <c:pt idx="894">
                  <c:v>46338</c:v>
                </c:pt>
                <c:pt idx="895">
                  <c:v>46339</c:v>
                </c:pt>
                <c:pt idx="896">
                  <c:v>46340</c:v>
                </c:pt>
                <c:pt idx="897">
                  <c:v>46341</c:v>
                </c:pt>
                <c:pt idx="898">
                  <c:v>46342</c:v>
                </c:pt>
                <c:pt idx="899">
                  <c:v>46343</c:v>
                </c:pt>
                <c:pt idx="900">
                  <c:v>46344</c:v>
                </c:pt>
                <c:pt idx="901">
                  <c:v>46345</c:v>
                </c:pt>
                <c:pt idx="902">
                  <c:v>46346</c:v>
                </c:pt>
                <c:pt idx="903">
                  <c:v>46347</c:v>
                </c:pt>
                <c:pt idx="904">
                  <c:v>46348</c:v>
                </c:pt>
                <c:pt idx="905">
                  <c:v>46349</c:v>
                </c:pt>
                <c:pt idx="906">
                  <c:v>46350</c:v>
                </c:pt>
                <c:pt idx="907">
                  <c:v>46351</c:v>
                </c:pt>
                <c:pt idx="908">
                  <c:v>46352</c:v>
                </c:pt>
                <c:pt idx="909">
                  <c:v>46353</c:v>
                </c:pt>
                <c:pt idx="910">
                  <c:v>46354</c:v>
                </c:pt>
                <c:pt idx="911">
                  <c:v>46355</c:v>
                </c:pt>
                <c:pt idx="912">
                  <c:v>46356</c:v>
                </c:pt>
                <c:pt idx="913">
                  <c:v>46357</c:v>
                </c:pt>
                <c:pt idx="914">
                  <c:v>46358</c:v>
                </c:pt>
                <c:pt idx="915">
                  <c:v>46359</c:v>
                </c:pt>
                <c:pt idx="916">
                  <c:v>46360</c:v>
                </c:pt>
                <c:pt idx="917">
                  <c:v>46361</c:v>
                </c:pt>
                <c:pt idx="918">
                  <c:v>46362</c:v>
                </c:pt>
                <c:pt idx="919">
                  <c:v>46363</c:v>
                </c:pt>
                <c:pt idx="920">
                  <c:v>46364</c:v>
                </c:pt>
                <c:pt idx="921">
                  <c:v>46365</c:v>
                </c:pt>
                <c:pt idx="922">
                  <c:v>46366</c:v>
                </c:pt>
                <c:pt idx="923">
                  <c:v>46367</c:v>
                </c:pt>
                <c:pt idx="924">
                  <c:v>46368</c:v>
                </c:pt>
                <c:pt idx="925">
                  <c:v>46369</c:v>
                </c:pt>
                <c:pt idx="926">
                  <c:v>46370</c:v>
                </c:pt>
                <c:pt idx="927">
                  <c:v>46371</c:v>
                </c:pt>
                <c:pt idx="928">
                  <c:v>46372</c:v>
                </c:pt>
                <c:pt idx="929">
                  <c:v>46373</c:v>
                </c:pt>
                <c:pt idx="930">
                  <c:v>46374</c:v>
                </c:pt>
                <c:pt idx="931">
                  <c:v>46375</c:v>
                </c:pt>
                <c:pt idx="932">
                  <c:v>46376</c:v>
                </c:pt>
                <c:pt idx="933">
                  <c:v>46377</c:v>
                </c:pt>
                <c:pt idx="934">
                  <c:v>46378</c:v>
                </c:pt>
                <c:pt idx="935">
                  <c:v>46379</c:v>
                </c:pt>
                <c:pt idx="936">
                  <c:v>46380</c:v>
                </c:pt>
                <c:pt idx="937">
                  <c:v>46381</c:v>
                </c:pt>
                <c:pt idx="938">
                  <c:v>46382</c:v>
                </c:pt>
                <c:pt idx="939">
                  <c:v>46383</c:v>
                </c:pt>
                <c:pt idx="940">
                  <c:v>46384</c:v>
                </c:pt>
                <c:pt idx="941">
                  <c:v>46385</c:v>
                </c:pt>
                <c:pt idx="942">
                  <c:v>46386</c:v>
                </c:pt>
                <c:pt idx="943">
                  <c:v>46387</c:v>
                </c:pt>
                <c:pt idx="944">
                  <c:v>46388</c:v>
                </c:pt>
                <c:pt idx="945">
                  <c:v>46389</c:v>
                </c:pt>
                <c:pt idx="946">
                  <c:v>46390</c:v>
                </c:pt>
                <c:pt idx="947">
                  <c:v>46391</c:v>
                </c:pt>
                <c:pt idx="948">
                  <c:v>46392</c:v>
                </c:pt>
                <c:pt idx="949">
                  <c:v>46393</c:v>
                </c:pt>
                <c:pt idx="950">
                  <c:v>46394</c:v>
                </c:pt>
                <c:pt idx="951">
                  <c:v>46395</c:v>
                </c:pt>
                <c:pt idx="952">
                  <c:v>46396</c:v>
                </c:pt>
                <c:pt idx="953">
                  <c:v>46397</c:v>
                </c:pt>
                <c:pt idx="954">
                  <c:v>46398</c:v>
                </c:pt>
                <c:pt idx="955">
                  <c:v>46399</c:v>
                </c:pt>
                <c:pt idx="956">
                  <c:v>46400</c:v>
                </c:pt>
                <c:pt idx="957">
                  <c:v>46401</c:v>
                </c:pt>
                <c:pt idx="958">
                  <c:v>46402</c:v>
                </c:pt>
                <c:pt idx="959">
                  <c:v>46403</c:v>
                </c:pt>
                <c:pt idx="960">
                  <c:v>46404</c:v>
                </c:pt>
                <c:pt idx="961">
                  <c:v>46405</c:v>
                </c:pt>
                <c:pt idx="962">
                  <c:v>46406</c:v>
                </c:pt>
                <c:pt idx="963">
                  <c:v>46407</c:v>
                </c:pt>
                <c:pt idx="964">
                  <c:v>46408</c:v>
                </c:pt>
                <c:pt idx="965">
                  <c:v>46409</c:v>
                </c:pt>
                <c:pt idx="966">
                  <c:v>46410</c:v>
                </c:pt>
                <c:pt idx="967">
                  <c:v>46411</c:v>
                </c:pt>
                <c:pt idx="968">
                  <c:v>46412</c:v>
                </c:pt>
                <c:pt idx="969">
                  <c:v>46413</c:v>
                </c:pt>
                <c:pt idx="970">
                  <c:v>46414</c:v>
                </c:pt>
                <c:pt idx="971">
                  <c:v>46415</c:v>
                </c:pt>
                <c:pt idx="972">
                  <c:v>46416</c:v>
                </c:pt>
                <c:pt idx="973">
                  <c:v>46417</c:v>
                </c:pt>
                <c:pt idx="974">
                  <c:v>46418</c:v>
                </c:pt>
                <c:pt idx="975">
                  <c:v>46419</c:v>
                </c:pt>
                <c:pt idx="976">
                  <c:v>46420</c:v>
                </c:pt>
                <c:pt idx="977">
                  <c:v>46421</c:v>
                </c:pt>
                <c:pt idx="978">
                  <c:v>46422</c:v>
                </c:pt>
                <c:pt idx="979">
                  <c:v>46423</c:v>
                </c:pt>
                <c:pt idx="980">
                  <c:v>46424</c:v>
                </c:pt>
                <c:pt idx="981">
                  <c:v>46425</c:v>
                </c:pt>
                <c:pt idx="982">
                  <c:v>46426</c:v>
                </c:pt>
                <c:pt idx="983">
                  <c:v>46427</c:v>
                </c:pt>
                <c:pt idx="984">
                  <c:v>46428</c:v>
                </c:pt>
                <c:pt idx="985">
                  <c:v>46429</c:v>
                </c:pt>
                <c:pt idx="986">
                  <c:v>46430</c:v>
                </c:pt>
                <c:pt idx="987">
                  <c:v>46431</c:v>
                </c:pt>
                <c:pt idx="988">
                  <c:v>46432</c:v>
                </c:pt>
                <c:pt idx="989">
                  <c:v>46433</c:v>
                </c:pt>
                <c:pt idx="990">
                  <c:v>46434</c:v>
                </c:pt>
                <c:pt idx="991">
                  <c:v>46435</c:v>
                </c:pt>
                <c:pt idx="992">
                  <c:v>46436</c:v>
                </c:pt>
                <c:pt idx="993">
                  <c:v>46437</c:v>
                </c:pt>
                <c:pt idx="994">
                  <c:v>46438</c:v>
                </c:pt>
                <c:pt idx="995">
                  <c:v>46439</c:v>
                </c:pt>
                <c:pt idx="996">
                  <c:v>46440</c:v>
                </c:pt>
                <c:pt idx="997">
                  <c:v>46441</c:v>
                </c:pt>
                <c:pt idx="998">
                  <c:v>46442</c:v>
                </c:pt>
                <c:pt idx="999">
                  <c:v>46443</c:v>
                </c:pt>
                <c:pt idx="1000">
                  <c:v>46444</c:v>
                </c:pt>
                <c:pt idx="1001">
                  <c:v>46445</c:v>
                </c:pt>
                <c:pt idx="1002">
                  <c:v>46446</c:v>
                </c:pt>
                <c:pt idx="1003">
                  <c:v>46447</c:v>
                </c:pt>
                <c:pt idx="1004">
                  <c:v>46448</c:v>
                </c:pt>
                <c:pt idx="1005">
                  <c:v>46449</c:v>
                </c:pt>
                <c:pt idx="1006">
                  <c:v>46450</c:v>
                </c:pt>
                <c:pt idx="1007">
                  <c:v>46451</c:v>
                </c:pt>
                <c:pt idx="1008">
                  <c:v>46452</c:v>
                </c:pt>
                <c:pt idx="1009">
                  <c:v>46453</c:v>
                </c:pt>
                <c:pt idx="1010">
                  <c:v>46454</c:v>
                </c:pt>
                <c:pt idx="1011">
                  <c:v>46455</c:v>
                </c:pt>
                <c:pt idx="1012">
                  <c:v>46456</c:v>
                </c:pt>
                <c:pt idx="1013">
                  <c:v>46457</c:v>
                </c:pt>
                <c:pt idx="1014">
                  <c:v>46458</c:v>
                </c:pt>
                <c:pt idx="1015">
                  <c:v>46459</c:v>
                </c:pt>
                <c:pt idx="1016">
                  <c:v>46460</c:v>
                </c:pt>
                <c:pt idx="1017">
                  <c:v>46461</c:v>
                </c:pt>
                <c:pt idx="1018">
                  <c:v>46462</c:v>
                </c:pt>
                <c:pt idx="1019">
                  <c:v>46463</c:v>
                </c:pt>
                <c:pt idx="1020">
                  <c:v>46464</c:v>
                </c:pt>
                <c:pt idx="1021">
                  <c:v>46465</c:v>
                </c:pt>
                <c:pt idx="1022">
                  <c:v>46466</c:v>
                </c:pt>
                <c:pt idx="1023">
                  <c:v>46467</c:v>
                </c:pt>
                <c:pt idx="1024">
                  <c:v>46468</c:v>
                </c:pt>
                <c:pt idx="1025">
                  <c:v>46469</c:v>
                </c:pt>
                <c:pt idx="1026">
                  <c:v>46470</c:v>
                </c:pt>
                <c:pt idx="1027">
                  <c:v>46471</c:v>
                </c:pt>
                <c:pt idx="1028">
                  <c:v>46472</c:v>
                </c:pt>
                <c:pt idx="1029">
                  <c:v>46473</c:v>
                </c:pt>
                <c:pt idx="1030">
                  <c:v>46474</c:v>
                </c:pt>
                <c:pt idx="1031">
                  <c:v>46475</c:v>
                </c:pt>
                <c:pt idx="1032">
                  <c:v>46476</c:v>
                </c:pt>
                <c:pt idx="1033">
                  <c:v>46477</c:v>
                </c:pt>
                <c:pt idx="1034">
                  <c:v>46478</c:v>
                </c:pt>
                <c:pt idx="1035">
                  <c:v>46479</c:v>
                </c:pt>
                <c:pt idx="1036">
                  <c:v>46480</c:v>
                </c:pt>
                <c:pt idx="1037">
                  <c:v>46481</c:v>
                </c:pt>
                <c:pt idx="1038">
                  <c:v>46482</c:v>
                </c:pt>
                <c:pt idx="1039">
                  <c:v>46483</c:v>
                </c:pt>
                <c:pt idx="1040">
                  <c:v>46484</c:v>
                </c:pt>
                <c:pt idx="1041">
                  <c:v>46485</c:v>
                </c:pt>
                <c:pt idx="1042">
                  <c:v>46486</c:v>
                </c:pt>
                <c:pt idx="1043">
                  <c:v>46487</c:v>
                </c:pt>
                <c:pt idx="1044">
                  <c:v>46488</c:v>
                </c:pt>
                <c:pt idx="1045">
                  <c:v>46489</c:v>
                </c:pt>
                <c:pt idx="1046">
                  <c:v>46490</c:v>
                </c:pt>
                <c:pt idx="1047">
                  <c:v>46491</c:v>
                </c:pt>
                <c:pt idx="1048">
                  <c:v>46492</c:v>
                </c:pt>
                <c:pt idx="1049">
                  <c:v>46493</c:v>
                </c:pt>
                <c:pt idx="1050">
                  <c:v>46494</c:v>
                </c:pt>
                <c:pt idx="1051">
                  <c:v>46495</c:v>
                </c:pt>
                <c:pt idx="1052">
                  <c:v>46496</c:v>
                </c:pt>
                <c:pt idx="1053">
                  <c:v>46497</c:v>
                </c:pt>
                <c:pt idx="1054">
                  <c:v>46498</c:v>
                </c:pt>
                <c:pt idx="1055">
                  <c:v>46499</c:v>
                </c:pt>
                <c:pt idx="1056">
                  <c:v>46500</c:v>
                </c:pt>
                <c:pt idx="1057">
                  <c:v>46501</c:v>
                </c:pt>
                <c:pt idx="1058">
                  <c:v>46502</c:v>
                </c:pt>
                <c:pt idx="1059">
                  <c:v>46503</c:v>
                </c:pt>
                <c:pt idx="1060">
                  <c:v>46504</c:v>
                </c:pt>
                <c:pt idx="1061">
                  <c:v>46505</c:v>
                </c:pt>
                <c:pt idx="1062">
                  <c:v>46506</c:v>
                </c:pt>
                <c:pt idx="1063">
                  <c:v>46507</c:v>
                </c:pt>
                <c:pt idx="1064">
                  <c:v>46508</c:v>
                </c:pt>
                <c:pt idx="1065">
                  <c:v>46509</c:v>
                </c:pt>
                <c:pt idx="1066">
                  <c:v>46510</c:v>
                </c:pt>
                <c:pt idx="1067">
                  <c:v>46511</c:v>
                </c:pt>
                <c:pt idx="1068">
                  <c:v>46512</c:v>
                </c:pt>
                <c:pt idx="1069">
                  <c:v>46513</c:v>
                </c:pt>
                <c:pt idx="1070">
                  <c:v>46514</c:v>
                </c:pt>
                <c:pt idx="1071">
                  <c:v>46515</c:v>
                </c:pt>
                <c:pt idx="1072">
                  <c:v>46516</c:v>
                </c:pt>
                <c:pt idx="1073">
                  <c:v>46517</c:v>
                </c:pt>
                <c:pt idx="1074">
                  <c:v>46518</c:v>
                </c:pt>
                <c:pt idx="1075">
                  <c:v>46519</c:v>
                </c:pt>
                <c:pt idx="1076">
                  <c:v>46520</c:v>
                </c:pt>
                <c:pt idx="1077">
                  <c:v>46521</c:v>
                </c:pt>
                <c:pt idx="1078">
                  <c:v>46522</c:v>
                </c:pt>
                <c:pt idx="1079">
                  <c:v>46523</c:v>
                </c:pt>
                <c:pt idx="1080">
                  <c:v>46524</c:v>
                </c:pt>
                <c:pt idx="1081">
                  <c:v>46525</c:v>
                </c:pt>
                <c:pt idx="1082">
                  <c:v>46526</c:v>
                </c:pt>
                <c:pt idx="1083">
                  <c:v>46527</c:v>
                </c:pt>
                <c:pt idx="1084">
                  <c:v>46528</c:v>
                </c:pt>
                <c:pt idx="1085">
                  <c:v>46529</c:v>
                </c:pt>
                <c:pt idx="1086">
                  <c:v>46530</c:v>
                </c:pt>
                <c:pt idx="1087">
                  <c:v>46531</c:v>
                </c:pt>
                <c:pt idx="1088">
                  <c:v>46532</c:v>
                </c:pt>
                <c:pt idx="1089">
                  <c:v>46533</c:v>
                </c:pt>
                <c:pt idx="1090">
                  <c:v>46534</c:v>
                </c:pt>
                <c:pt idx="1091">
                  <c:v>46535</c:v>
                </c:pt>
                <c:pt idx="1092">
                  <c:v>46536</c:v>
                </c:pt>
                <c:pt idx="1093">
                  <c:v>46537</c:v>
                </c:pt>
                <c:pt idx="1094">
                  <c:v>46538</c:v>
                </c:pt>
                <c:pt idx="1095">
                  <c:v>46539</c:v>
                </c:pt>
                <c:pt idx="1096">
                  <c:v>46540</c:v>
                </c:pt>
                <c:pt idx="1097">
                  <c:v>46541</c:v>
                </c:pt>
                <c:pt idx="1098">
                  <c:v>46542</c:v>
                </c:pt>
                <c:pt idx="1099">
                  <c:v>46543</c:v>
                </c:pt>
                <c:pt idx="1100">
                  <c:v>46544</c:v>
                </c:pt>
                <c:pt idx="1101">
                  <c:v>46545</c:v>
                </c:pt>
                <c:pt idx="1102">
                  <c:v>46546</c:v>
                </c:pt>
                <c:pt idx="1103">
                  <c:v>46547</c:v>
                </c:pt>
                <c:pt idx="1104">
                  <c:v>46548</c:v>
                </c:pt>
                <c:pt idx="1105">
                  <c:v>46549</c:v>
                </c:pt>
                <c:pt idx="1106">
                  <c:v>46550</c:v>
                </c:pt>
                <c:pt idx="1107">
                  <c:v>46551</c:v>
                </c:pt>
                <c:pt idx="1108">
                  <c:v>46552</c:v>
                </c:pt>
                <c:pt idx="1109">
                  <c:v>46553</c:v>
                </c:pt>
                <c:pt idx="1110">
                  <c:v>46554</c:v>
                </c:pt>
                <c:pt idx="1111">
                  <c:v>46555</c:v>
                </c:pt>
                <c:pt idx="1112">
                  <c:v>46556</c:v>
                </c:pt>
                <c:pt idx="1113">
                  <c:v>46557</c:v>
                </c:pt>
                <c:pt idx="1114">
                  <c:v>46558</c:v>
                </c:pt>
                <c:pt idx="1115">
                  <c:v>46559</c:v>
                </c:pt>
                <c:pt idx="1116">
                  <c:v>46560</c:v>
                </c:pt>
                <c:pt idx="1117">
                  <c:v>46561</c:v>
                </c:pt>
                <c:pt idx="1118">
                  <c:v>46562</c:v>
                </c:pt>
                <c:pt idx="1119">
                  <c:v>46563</c:v>
                </c:pt>
                <c:pt idx="1120">
                  <c:v>46564</c:v>
                </c:pt>
                <c:pt idx="1121">
                  <c:v>46565</c:v>
                </c:pt>
                <c:pt idx="1122">
                  <c:v>46566</c:v>
                </c:pt>
                <c:pt idx="1123">
                  <c:v>46567</c:v>
                </c:pt>
                <c:pt idx="1124">
                  <c:v>46568</c:v>
                </c:pt>
                <c:pt idx="1125">
                  <c:v>46569</c:v>
                </c:pt>
                <c:pt idx="1126">
                  <c:v>46570</c:v>
                </c:pt>
                <c:pt idx="1127">
                  <c:v>46571</c:v>
                </c:pt>
                <c:pt idx="1128">
                  <c:v>46572</c:v>
                </c:pt>
                <c:pt idx="1129">
                  <c:v>46573</c:v>
                </c:pt>
                <c:pt idx="1130">
                  <c:v>46574</c:v>
                </c:pt>
                <c:pt idx="1131">
                  <c:v>46575</c:v>
                </c:pt>
                <c:pt idx="1132">
                  <c:v>46576</c:v>
                </c:pt>
                <c:pt idx="1133">
                  <c:v>46577</c:v>
                </c:pt>
                <c:pt idx="1134">
                  <c:v>46578</c:v>
                </c:pt>
                <c:pt idx="1135">
                  <c:v>46579</c:v>
                </c:pt>
                <c:pt idx="1136">
                  <c:v>46580</c:v>
                </c:pt>
                <c:pt idx="1137">
                  <c:v>46581</c:v>
                </c:pt>
                <c:pt idx="1138">
                  <c:v>46582</c:v>
                </c:pt>
                <c:pt idx="1139">
                  <c:v>46583</c:v>
                </c:pt>
                <c:pt idx="1140">
                  <c:v>46584</c:v>
                </c:pt>
                <c:pt idx="1141">
                  <c:v>46585</c:v>
                </c:pt>
                <c:pt idx="1142">
                  <c:v>46586</c:v>
                </c:pt>
                <c:pt idx="1143">
                  <c:v>46587</c:v>
                </c:pt>
                <c:pt idx="1144">
                  <c:v>46588</c:v>
                </c:pt>
                <c:pt idx="1145">
                  <c:v>46589</c:v>
                </c:pt>
                <c:pt idx="1146">
                  <c:v>46590</c:v>
                </c:pt>
                <c:pt idx="1147">
                  <c:v>46591</c:v>
                </c:pt>
                <c:pt idx="1148">
                  <c:v>46592</c:v>
                </c:pt>
                <c:pt idx="1149">
                  <c:v>46593</c:v>
                </c:pt>
                <c:pt idx="1150">
                  <c:v>46594</c:v>
                </c:pt>
                <c:pt idx="1151">
                  <c:v>46595</c:v>
                </c:pt>
                <c:pt idx="1152">
                  <c:v>46596</c:v>
                </c:pt>
                <c:pt idx="1153">
                  <c:v>46597</c:v>
                </c:pt>
                <c:pt idx="1154">
                  <c:v>46598</c:v>
                </c:pt>
                <c:pt idx="1155">
                  <c:v>46599</c:v>
                </c:pt>
                <c:pt idx="1156">
                  <c:v>46600</c:v>
                </c:pt>
                <c:pt idx="1157">
                  <c:v>46601</c:v>
                </c:pt>
                <c:pt idx="1158">
                  <c:v>46602</c:v>
                </c:pt>
                <c:pt idx="1159">
                  <c:v>46603</c:v>
                </c:pt>
                <c:pt idx="1160">
                  <c:v>46604</c:v>
                </c:pt>
                <c:pt idx="1161">
                  <c:v>46605</c:v>
                </c:pt>
                <c:pt idx="1162">
                  <c:v>46606</c:v>
                </c:pt>
                <c:pt idx="1163">
                  <c:v>46607</c:v>
                </c:pt>
                <c:pt idx="1164">
                  <c:v>46608</c:v>
                </c:pt>
                <c:pt idx="1165">
                  <c:v>46609</c:v>
                </c:pt>
                <c:pt idx="1166">
                  <c:v>46610</c:v>
                </c:pt>
                <c:pt idx="1167">
                  <c:v>46611</c:v>
                </c:pt>
                <c:pt idx="1168">
                  <c:v>46612</c:v>
                </c:pt>
                <c:pt idx="1169">
                  <c:v>46613</c:v>
                </c:pt>
                <c:pt idx="1170">
                  <c:v>46614</c:v>
                </c:pt>
                <c:pt idx="1171">
                  <c:v>46615</c:v>
                </c:pt>
                <c:pt idx="1172">
                  <c:v>46616</c:v>
                </c:pt>
                <c:pt idx="1173">
                  <c:v>46617</c:v>
                </c:pt>
                <c:pt idx="1174">
                  <c:v>46618</c:v>
                </c:pt>
                <c:pt idx="1175">
                  <c:v>46619</c:v>
                </c:pt>
                <c:pt idx="1176">
                  <c:v>46620</c:v>
                </c:pt>
                <c:pt idx="1177">
                  <c:v>46621</c:v>
                </c:pt>
                <c:pt idx="1178">
                  <c:v>46622</c:v>
                </c:pt>
                <c:pt idx="1179">
                  <c:v>46623</c:v>
                </c:pt>
                <c:pt idx="1180">
                  <c:v>46624</c:v>
                </c:pt>
                <c:pt idx="1181">
                  <c:v>46625</c:v>
                </c:pt>
                <c:pt idx="1182">
                  <c:v>46626</c:v>
                </c:pt>
                <c:pt idx="1183">
                  <c:v>46627</c:v>
                </c:pt>
                <c:pt idx="1184">
                  <c:v>46628</c:v>
                </c:pt>
                <c:pt idx="1185">
                  <c:v>46629</c:v>
                </c:pt>
                <c:pt idx="1186">
                  <c:v>46630</c:v>
                </c:pt>
                <c:pt idx="1187">
                  <c:v>46631</c:v>
                </c:pt>
                <c:pt idx="1188">
                  <c:v>46632</c:v>
                </c:pt>
                <c:pt idx="1189">
                  <c:v>46633</c:v>
                </c:pt>
                <c:pt idx="1190">
                  <c:v>46634</c:v>
                </c:pt>
                <c:pt idx="1191">
                  <c:v>46635</c:v>
                </c:pt>
                <c:pt idx="1192">
                  <c:v>46636</c:v>
                </c:pt>
                <c:pt idx="1193">
                  <c:v>46637</c:v>
                </c:pt>
                <c:pt idx="1194">
                  <c:v>46638</c:v>
                </c:pt>
                <c:pt idx="1195">
                  <c:v>46639</c:v>
                </c:pt>
                <c:pt idx="1196">
                  <c:v>46640</c:v>
                </c:pt>
                <c:pt idx="1197">
                  <c:v>46641</c:v>
                </c:pt>
                <c:pt idx="1198">
                  <c:v>46642</c:v>
                </c:pt>
                <c:pt idx="1199">
                  <c:v>46643</c:v>
                </c:pt>
                <c:pt idx="1200">
                  <c:v>46644</c:v>
                </c:pt>
                <c:pt idx="1201">
                  <c:v>46645</c:v>
                </c:pt>
                <c:pt idx="1202">
                  <c:v>46646</c:v>
                </c:pt>
                <c:pt idx="1203">
                  <c:v>46647</c:v>
                </c:pt>
                <c:pt idx="1204">
                  <c:v>46648</c:v>
                </c:pt>
                <c:pt idx="1205">
                  <c:v>46649</c:v>
                </c:pt>
                <c:pt idx="1206">
                  <c:v>46650</c:v>
                </c:pt>
                <c:pt idx="1207">
                  <c:v>46651</c:v>
                </c:pt>
                <c:pt idx="1208">
                  <c:v>46652</c:v>
                </c:pt>
                <c:pt idx="1209">
                  <c:v>46653</c:v>
                </c:pt>
                <c:pt idx="1210">
                  <c:v>46654</c:v>
                </c:pt>
                <c:pt idx="1211">
                  <c:v>46655</c:v>
                </c:pt>
                <c:pt idx="1212">
                  <c:v>46656</c:v>
                </c:pt>
                <c:pt idx="1213">
                  <c:v>46657</c:v>
                </c:pt>
                <c:pt idx="1214">
                  <c:v>46658</c:v>
                </c:pt>
                <c:pt idx="1215">
                  <c:v>46659</c:v>
                </c:pt>
                <c:pt idx="1216">
                  <c:v>46660</c:v>
                </c:pt>
                <c:pt idx="1217">
                  <c:v>46661</c:v>
                </c:pt>
                <c:pt idx="1218">
                  <c:v>46662</c:v>
                </c:pt>
                <c:pt idx="1219">
                  <c:v>46663</c:v>
                </c:pt>
                <c:pt idx="1220">
                  <c:v>46664</c:v>
                </c:pt>
                <c:pt idx="1221">
                  <c:v>46665</c:v>
                </c:pt>
                <c:pt idx="1222">
                  <c:v>46666</c:v>
                </c:pt>
                <c:pt idx="1223">
                  <c:v>46667</c:v>
                </c:pt>
                <c:pt idx="1224">
                  <c:v>46668</c:v>
                </c:pt>
                <c:pt idx="1225">
                  <c:v>46669</c:v>
                </c:pt>
                <c:pt idx="1226">
                  <c:v>46670</c:v>
                </c:pt>
                <c:pt idx="1227">
                  <c:v>46671</c:v>
                </c:pt>
                <c:pt idx="1228">
                  <c:v>46672</c:v>
                </c:pt>
                <c:pt idx="1229">
                  <c:v>46673</c:v>
                </c:pt>
                <c:pt idx="1230">
                  <c:v>46674</c:v>
                </c:pt>
                <c:pt idx="1231">
                  <c:v>46675</c:v>
                </c:pt>
                <c:pt idx="1232">
                  <c:v>46676</c:v>
                </c:pt>
                <c:pt idx="1233">
                  <c:v>46677</c:v>
                </c:pt>
                <c:pt idx="1234">
                  <c:v>46678</c:v>
                </c:pt>
                <c:pt idx="1235">
                  <c:v>46679</c:v>
                </c:pt>
                <c:pt idx="1236">
                  <c:v>46680</c:v>
                </c:pt>
                <c:pt idx="1237">
                  <c:v>46681</c:v>
                </c:pt>
                <c:pt idx="1238">
                  <c:v>46682</c:v>
                </c:pt>
                <c:pt idx="1239">
                  <c:v>46683</c:v>
                </c:pt>
                <c:pt idx="1240">
                  <c:v>46684</c:v>
                </c:pt>
                <c:pt idx="1241">
                  <c:v>46685</c:v>
                </c:pt>
                <c:pt idx="1242">
                  <c:v>46686</c:v>
                </c:pt>
                <c:pt idx="1243">
                  <c:v>46687</c:v>
                </c:pt>
                <c:pt idx="1244">
                  <c:v>46688</c:v>
                </c:pt>
                <c:pt idx="1245">
                  <c:v>46689</c:v>
                </c:pt>
                <c:pt idx="1246">
                  <c:v>46690</c:v>
                </c:pt>
                <c:pt idx="1247">
                  <c:v>46691</c:v>
                </c:pt>
                <c:pt idx="1248">
                  <c:v>46692</c:v>
                </c:pt>
                <c:pt idx="1249">
                  <c:v>46693</c:v>
                </c:pt>
                <c:pt idx="1250">
                  <c:v>46694</c:v>
                </c:pt>
                <c:pt idx="1251">
                  <c:v>46695</c:v>
                </c:pt>
                <c:pt idx="1252">
                  <c:v>46696</c:v>
                </c:pt>
                <c:pt idx="1253">
                  <c:v>46697</c:v>
                </c:pt>
                <c:pt idx="1254">
                  <c:v>46698</c:v>
                </c:pt>
                <c:pt idx="1255">
                  <c:v>46699</c:v>
                </c:pt>
                <c:pt idx="1256">
                  <c:v>46700</c:v>
                </c:pt>
                <c:pt idx="1257">
                  <c:v>46701</c:v>
                </c:pt>
                <c:pt idx="1258">
                  <c:v>46702</c:v>
                </c:pt>
                <c:pt idx="1259">
                  <c:v>46703</c:v>
                </c:pt>
                <c:pt idx="1260">
                  <c:v>46704</c:v>
                </c:pt>
                <c:pt idx="1261">
                  <c:v>46705</c:v>
                </c:pt>
                <c:pt idx="1262">
                  <c:v>46706</c:v>
                </c:pt>
                <c:pt idx="1263">
                  <c:v>46707</c:v>
                </c:pt>
                <c:pt idx="1264">
                  <c:v>46708</c:v>
                </c:pt>
                <c:pt idx="1265">
                  <c:v>46709</c:v>
                </c:pt>
                <c:pt idx="1266">
                  <c:v>46710</c:v>
                </c:pt>
                <c:pt idx="1267">
                  <c:v>46711</c:v>
                </c:pt>
                <c:pt idx="1268">
                  <c:v>46712</c:v>
                </c:pt>
                <c:pt idx="1269">
                  <c:v>46713</c:v>
                </c:pt>
                <c:pt idx="1270">
                  <c:v>46714</c:v>
                </c:pt>
                <c:pt idx="1271">
                  <c:v>46715</c:v>
                </c:pt>
                <c:pt idx="1272">
                  <c:v>46716</c:v>
                </c:pt>
                <c:pt idx="1273">
                  <c:v>46717</c:v>
                </c:pt>
                <c:pt idx="1274">
                  <c:v>46718</c:v>
                </c:pt>
                <c:pt idx="1275">
                  <c:v>46719</c:v>
                </c:pt>
                <c:pt idx="1276">
                  <c:v>46720</c:v>
                </c:pt>
                <c:pt idx="1277">
                  <c:v>46721</c:v>
                </c:pt>
                <c:pt idx="1278">
                  <c:v>46722</c:v>
                </c:pt>
                <c:pt idx="1279">
                  <c:v>46723</c:v>
                </c:pt>
                <c:pt idx="1280">
                  <c:v>46724</c:v>
                </c:pt>
                <c:pt idx="1281">
                  <c:v>46725</c:v>
                </c:pt>
                <c:pt idx="1282">
                  <c:v>46726</c:v>
                </c:pt>
                <c:pt idx="1283">
                  <c:v>46727</c:v>
                </c:pt>
                <c:pt idx="1284">
                  <c:v>46728</c:v>
                </c:pt>
                <c:pt idx="1285">
                  <c:v>46729</c:v>
                </c:pt>
                <c:pt idx="1286">
                  <c:v>46730</c:v>
                </c:pt>
                <c:pt idx="1287">
                  <c:v>46731</c:v>
                </c:pt>
                <c:pt idx="1288">
                  <c:v>46732</c:v>
                </c:pt>
                <c:pt idx="1289">
                  <c:v>46733</c:v>
                </c:pt>
                <c:pt idx="1290">
                  <c:v>46734</c:v>
                </c:pt>
                <c:pt idx="1291">
                  <c:v>46735</c:v>
                </c:pt>
                <c:pt idx="1292">
                  <c:v>46736</c:v>
                </c:pt>
                <c:pt idx="1293">
                  <c:v>46737</c:v>
                </c:pt>
                <c:pt idx="1294">
                  <c:v>46738</c:v>
                </c:pt>
                <c:pt idx="1295">
                  <c:v>46739</c:v>
                </c:pt>
                <c:pt idx="1296">
                  <c:v>46740</c:v>
                </c:pt>
                <c:pt idx="1297">
                  <c:v>46741</c:v>
                </c:pt>
                <c:pt idx="1298">
                  <c:v>46742</c:v>
                </c:pt>
                <c:pt idx="1299">
                  <c:v>46743</c:v>
                </c:pt>
                <c:pt idx="1300">
                  <c:v>46744</c:v>
                </c:pt>
                <c:pt idx="1301">
                  <c:v>46745</c:v>
                </c:pt>
                <c:pt idx="1302">
                  <c:v>46746</c:v>
                </c:pt>
                <c:pt idx="1303">
                  <c:v>46747</c:v>
                </c:pt>
                <c:pt idx="1304">
                  <c:v>46748</c:v>
                </c:pt>
                <c:pt idx="1305">
                  <c:v>46749</c:v>
                </c:pt>
                <c:pt idx="1306">
                  <c:v>46750</c:v>
                </c:pt>
                <c:pt idx="1307">
                  <c:v>46751</c:v>
                </c:pt>
                <c:pt idx="1308">
                  <c:v>46752</c:v>
                </c:pt>
                <c:pt idx="1309">
                  <c:v>46753</c:v>
                </c:pt>
                <c:pt idx="1310">
                  <c:v>46754</c:v>
                </c:pt>
                <c:pt idx="1311">
                  <c:v>46755</c:v>
                </c:pt>
                <c:pt idx="1312">
                  <c:v>46756</c:v>
                </c:pt>
                <c:pt idx="1313">
                  <c:v>46757</c:v>
                </c:pt>
                <c:pt idx="1314">
                  <c:v>46758</c:v>
                </c:pt>
                <c:pt idx="1315">
                  <c:v>46759</c:v>
                </c:pt>
                <c:pt idx="1316">
                  <c:v>46760</c:v>
                </c:pt>
                <c:pt idx="1317">
                  <c:v>46761</c:v>
                </c:pt>
                <c:pt idx="1318">
                  <c:v>46762</c:v>
                </c:pt>
                <c:pt idx="1319">
                  <c:v>46763</c:v>
                </c:pt>
                <c:pt idx="1320">
                  <c:v>46764</c:v>
                </c:pt>
                <c:pt idx="1321">
                  <c:v>46765</c:v>
                </c:pt>
                <c:pt idx="1322">
                  <c:v>46766</c:v>
                </c:pt>
                <c:pt idx="1323">
                  <c:v>46767</c:v>
                </c:pt>
                <c:pt idx="1324">
                  <c:v>46768</c:v>
                </c:pt>
                <c:pt idx="1325">
                  <c:v>46769</c:v>
                </c:pt>
                <c:pt idx="1326">
                  <c:v>46770</c:v>
                </c:pt>
                <c:pt idx="1327">
                  <c:v>46771</c:v>
                </c:pt>
                <c:pt idx="1328">
                  <c:v>46772</c:v>
                </c:pt>
                <c:pt idx="1329">
                  <c:v>46773</c:v>
                </c:pt>
                <c:pt idx="1330">
                  <c:v>46774</c:v>
                </c:pt>
                <c:pt idx="1331">
                  <c:v>46775</c:v>
                </c:pt>
                <c:pt idx="1332">
                  <c:v>46776</c:v>
                </c:pt>
                <c:pt idx="1333">
                  <c:v>46777</c:v>
                </c:pt>
                <c:pt idx="1334">
                  <c:v>46778</c:v>
                </c:pt>
                <c:pt idx="1335">
                  <c:v>46779</c:v>
                </c:pt>
                <c:pt idx="1336">
                  <c:v>46780</c:v>
                </c:pt>
                <c:pt idx="1337">
                  <c:v>46781</c:v>
                </c:pt>
                <c:pt idx="1338">
                  <c:v>46782</c:v>
                </c:pt>
                <c:pt idx="1339">
                  <c:v>46783</c:v>
                </c:pt>
                <c:pt idx="1340">
                  <c:v>46784</c:v>
                </c:pt>
                <c:pt idx="1341">
                  <c:v>46785</c:v>
                </c:pt>
                <c:pt idx="1342">
                  <c:v>46786</c:v>
                </c:pt>
                <c:pt idx="1343">
                  <c:v>46787</c:v>
                </c:pt>
                <c:pt idx="1344">
                  <c:v>46788</c:v>
                </c:pt>
                <c:pt idx="1345">
                  <c:v>46789</c:v>
                </c:pt>
                <c:pt idx="1346">
                  <c:v>46790</c:v>
                </c:pt>
                <c:pt idx="1347">
                  <c:v>46791</c:v>
                </c:pt>
                <c:pt idx="1348">
                  <c:v>46792</c:v>
                </c:pt>
                <c:pt idx="1349">
                  <c:v>46793</c:v>
                </c:pt>
                <c:pt idx="1350">
                  <c:v>46794</c:v>
                </c:pt>
                <c:pt idx="1351">
                  <c:v>46795</c:v>
                </c:pt>
                <c:pt idx="1352">
                  <c:v>46796</c:v>
                </c:pt>
                <c:pt idx="1353">
                  <c:v>46797</c:v>
                </c:pt>
                <c:pt idx="1354">
                  <c:v>46798</c:v>
                </c:pt>
                <c:pt idx="1355">
                  <c:v>46799</c:v>
                </c:pt>
                <c:pt idx="1356">
                  <c:v>46800</c:v>
                </c:pt>
                <c:pt idx="1357">
                  <c:v>46801</c:v>
                </c:pt>
                <c:pt idx="1358">
                  <c:v>46802</c:v>
                </c:pt>
                <c:pt idx="1359">
                  <c:v>46803</c:v>
                </c:pt>
                <c:pt idx="1360">
                  <c:v>46804</c:v>
                </c:pt>
                <c:pt idx="1361">
                  <c:v>46805</c:v>
                </c:pt>
                <c:pt idx="1362">
                  <c:v>46806</c:v>
                </c:pt>
                <c:pt idx="1363">
                  <c:v>46807</c:v>
                </c:pt>
                <c:pt idx="1364">
                  <c:v>46808</c:v>
                </c:pt>
                <c:pt idx="1365">
                  <c:v>46809</c:v>
                </c:pt>
                <c:pt idx="1366">
                  <c:v>46810</c:v>
                </c:pt>
                <c:pt idx="1367">
                  <c:v>46811</c:v>
                </c:pt>
                <c:pt idx="1368">
                  <c:v>46812</c:v>
                </c:pt>
                <c:pt idx="1369">
                  <c:v>46813</c:v>
                </c:pt>
                <c:pt idx="1370">
                  <c:v>46814</c:v>
                </c:pt>
                <c:pt idx="1371">
                  <c:v>46815</c:v>
                </c:pt>
                <c:pt idx="1372">
                  <c:v>46816</c:v>
                </c:pt>
                <c:pt idx="1373">
                  <c:v>46817</c:v>
                </c:pt>
                <c:pt idx="1374">
                  <c:v>46818</c:v>
                </c:pt>
                <c:pt idx="1375">
                  <c:v>46819</c:v>
                </c:pt>
                <c:pt idx="1376">
                  <c:v>46820</c:v>
                </c:pt>
                <c:pt idx="1377">
                  <c:v>46821</c:v>
                </c:pt>
                <c:pt idx="1378">
                  <c:v>46822</c:v>
                </c:pt>
                <c:pt idx="1379">
                  <c:v>46823</c:v>
                </c:pt>
                <c:pt idx="1380">
                  <c:v>46824</c:v>
                </c:pt>
                <c:pt idx="1381">
                  <c:v>46825</c:v>
                </c:pt>
                <c:pt idx="1382">
                  <c:v>46826</c:v>
                </c:pt>
                <c:pt idx="1383">
                  <c:v>46827</c:v>
                </c:pt>
                <c:pt idx="1384">
                  <c:v>46828</c:v>
                </c:pt>
                <c:pt idx="1385">
                  <c:v>46829</c:v>
                </c:pt>
                <c:pt idx="1386">
                  <c:v>46830</c:v>
                </c:pt>
                <c:pt idx="1387">
                  <c:v>46831</c:v>
                </c:pt>
                <c:pt idx="1388">
                  <c:v>46832</c:v>
                </c:pt>
                <c:pt idx="1389">
                  <c:v>46833</c:v>
                </c:pt>
                <c:pt idx="1390">
                  <c:v>46834</c:v>
                </c:pt>
                <c:pt idx="1391">
                  <c:v>46835</c:v>
                </c:pt>
                <c:pt idx="1392">
                  <c:v>46836</c:v>
                </c:pt>
                <c:pt idx="1393">
                  <c:v>46837</c:v>
                </c:pt>
                <c:pt idx="1394">
                  <c:v>46838</c:v>
                </c:pt>
                <c:pt idx="1395">
                  <c:v>46839</c:v>
                </c:pt>
                <c:pt idx="1396">
                  <c:v>46840</c:v>
                </c:pt>
                <c:pt idx="1397">
                  <c:v>46841</c:v>
                </c:pt>
                <c:pt idx="1398">
                  <c:v>46842</c:v>
                </c:pt>
                <c:pt idx="1399">
                  <c:v>46843</c:v>
                </c:pt>
                <c:pt idx="1400">
                  <c:v>46844</c:v>
                </c:pt>
                <c:pt idx="1401">
                  <c:v>46845</c:v>
                </c:pt>
                <c:pt idx="1402">
                  <c:v>46846</c:v>
                </c:pt>
                <c:pt idx="1403">
                  <c:v>46847</c:v>
                </c:pt>
                <c:pt idx="1404">
                  <c:v>46848</c:v>
                </c:pt>
                <c:pt idx="1405">
                  <c:v>46849</c:v>
                </c:pt>
                <c:pt idx="1406">
                  <c:v>46850</c:v>
                </c:pt>
                <c:pt idx="1407">
                  <c:v>46851</c:v>
                </c:pt>
                <c:pt idx="1408">
                  <c:v>46852</c:v>
                </c:pt>
                <c:pt idx="1409">
                  <c:v>46853</c:v>
                </c:pt>
                <c:pt idx="1410">
                  <c:v>46854</c:v>
                </c:pt>
                <c:pt idx="1411">
                  <c:v>46855</c:v>
                </c:pt>
                <c:pt idx="1412">
                  <c:v>46856</c:v>
                </c:pt>
                <c:pt idx="1413">
                  <c:v>46857</c:v>
                </c:pt>
                <c:pt idx="1414">
                  <c:v>46858</c:v>
                </c:pt>
                <c:pt idx="1415">
                  <c:v>46859</c:v>
                </c:pt>
                <c:pt idx="1416">
                  <c:v>46860</c:v>
                </c:pt>
                <c:pt idx="1417">
                  <c:v>46861</c:v>
                </c:pt>
                <c:pt idx="1418">
                  <c:v>46862</c:v>
                </c:pt>
                <c:pt idx="1419">
                  <c:v>46863</c:v>
                </c:pt>
                <c:pt idx="1420">
                  <c:v>46864</c:v>
                </c:pt>
                <c:pt idx="1421">
                  <c:v>46865</c:v>
                </c:pt>
                <c:pt idx="1422">
                  <c:v>46866</c:v>
                </c:pt>
                <c:pt idx="1423">
                  <c:v>46867</c:v>
                </c:pt>
                <c:pt idx="1424">
                  <c:v>46868</c:v>
                </c:pt>
                <c:pt idx="1425">
                  <c:v>46869</c:v>
                </c:pt>
                <c:pt idx="1426">
                  <c:v>46870</c:v>
                </c:pt>
                <c:pt idx="1427">
                  <c:v>46871</c:v>
                </c:pt>
                <c:pt idx="1428">
                  <c:v>46872</c:v>
                </c:pt>
                <c:pt idx="1429">
                  <c:v>46873</c:v>
                </c:pt>
                <c:pt idx="1430">
                  <c:v>46874</c:v>
                </c:pt>
                <c:pt idx="1431">
                  <c:v>46875</c:v>
                </c:pt>
                <c:pt idx="1432">
                  <c:v>46876</c:v>
                </c:pt>
                <c:pt idx="1433">
                  <c:v>46877</c:v>
                </c:pt>
                <c:pt idx="1434">
                  <c:v>46878</c:v>
                </c:pt>
                <c:pt idx="1435">
                  <c:v>46879</c:v>
                </c:pt>
                <c:pt idx="1436">
                  <c:v>46880</c:v>
                </c:pt>
                <c:pt idx="1437">
                  <c:v>46881</c:v>
                </c:pt>
                <c:pt idx="1438">
                  <c:v>46882</c:v>
                </c:pt>
                <c:pt idx="1439">
                  <c:v>46883</c:v>
                </c:pt>
                <c:pt idx="1440">
                  <c:v>46884</c:v>
                </c:pt>
                <c:pt idx="1441">
                  <c:v>46885</c:v>
                </c:pt>
                <c:pt idx="1442">
                  <c:v>46886</c:v>
                </c:pt>
                <c:pt idx="1443">
                  <c:v>46887</c:v>
                </c:pt>
                <c:pt idx="1444">
                  <c:v>46888</c:v>
                </c:pt>
                <c:pt idx="1445">
                  <c:v>46889</c:v>
                </c:pt>
                <c:pt idx="1446">
                  <c:v>46890</c:v>
                </c:pt>
                <c:pt idx="1447">
                  <c:v>46891</c:v>
                </c:pt>
                <c:pt idx="1448">
                  <c:v>46892</c:v>
                </c:pt>
                <c:pt idx="1449">
                  <c:v>46893</c:v>
                </c:pt>
                <c:pt idx="1450">
                  <c:v>46894</c:v>
                </c:pt>
                <c:pt idx="1451">
                  <c:v>46895</c:v>
                </c:pt>
                <c:pt idx="1452">
                  <c:v>46896</c:v>
                </c:pt>
                <c:pt idx="1453">
                  <c:v>46897</c:v>
                </c:pt>
                <c:pt idx="1454">
                  <c:v>46898</c:v>
                </c:pt>
                <c:pt idx="1455">
                  <c:v>46899</c:v>
                </c:pt>
                <c:pt idx="1456">
                  <c:v>46900</c:v>
                </c:pt>
                <c:pt idx="1457">
                  <c:v>46901</c:v>
                </c:pt>
                <c:pt idx="1458">
                  <c:v>46902</c:v>
                </c:pt>
                <c:pt idx="1459">
                  <c:v>46903</c:v>
                </c:pt>
                <c:pt idx="1460">
                  <c:v>46904</c:v>
                </c:pt>
                <c:pt idx="1461">
                  <c:v>46905</c:v>
                </c:pt>
                <c:pt idx="1462">
                  <c:v>46906</c:v>
                </c:pt>
                <c:pt idx="1463">
                  <c:v>46907</c:v>
                </c:pt>
                <c:pt idx="1464">
                  <c:v>46908</c:v>
                </c:pt>
                <c:pt idx="1465">
                  <c:v>46909</c:v>
                </c:pt>
                <c:pt idx="1466">
                  <c:v>46910</c:v>
                </c:pt>
                <c:pt idx="1467">
                  <c:v>46911</c:v>
                </c:pt>
                <c:pt idx="1468">
                  <c:v>46912</c:v>
                </c:pt>
                <c:pt idx="1469">
                  <c:v>46913</c:v>
                </c:pt>
                <c:pt idx="1470">
                  <c:v>46914</c:v>
                </c:pt>
                <c:pt idx="1471">
                  <c:v>46915</c:v>
                </c:pt>
                <c:pt idx="1472">
                  <c:v>46916</c:v>
                </c:pt>
                <c:pt idx="1473">
                  <c:v>46917</c:v>
                </c:pt>
                <c:pt idx="1474">
                  <c:v>46918</c:v>
                </c:pt>
                <c:pt idx="1475">
                  <c:v>46919</c:v>
                </c:pt>
                <c:pt idx="1476">
                  <c:v>46920</c:v>
                </c:pt>
                <c:pt idx="1477">
                  <c:v>46921</c:v>
                </c:pt>
                <c:pt idx="1478">
                  <c:v>46922</c:v>
                </c:pt>
                <c:pt idx="1479">
                  <c:v>46923</c:v>
                </c:pt>
                <c:pt idx="1480">
                  <c:v>46924</c:v>
                </c:pt>
                <c:pt idx="1481">
                  <c:v>46925</c:v>
                </c:pt>
                <c:pt idx="1482">
                  <c:v>46926</c:v>
                </c:pt>
                <c:pt idx="1483">
                  <c:v>46927</c:v>
                </c:pt>
                <c:pt idx="1484">
                  <c:v>46928</c:v>
                </c:pt>
                <c:pt idx="1485">
                  <c:v>46929</c:v>
                </c:pt>
                <c:pt idx="1486">
                  <c:v>46930</c:v>
                </c:pt>
                <c:pt idx="1487">
                  <c:v>46931</c:v>
                </c:pt>
                <c:pt idx="1488">
                  <c:v>46932</c:v>
                </c:pt>
                <c:pt idx="1489">
                  <c:v>46933</c:v>
                </c:pt>
                <c:pt idx="1490">
                  <c:v>46934</c:v>
                </c:pt>
                <c:pt idx="1491">
                  <c:v>46935</c:v>
                </c:pt>
                <c:pt idx="1492">
                  <c:v>46936</c:v>
                </c:pt>
                <c:pt idx="1493">
                  <c:v>46937</c:v>
                </c:pt>
                <c:pt idx="1494">
                  <c:v>46938</c:v>
                </c:pt>
                <c:pt idx="1495">
                  <c:v>46939</c:v>
                </c:pt>
                <c:pt idx="1496">
                  <c:v>46940</c:v>
                </c:pt>
                <c:pt idx="1497">
                  <c:v>46941</c:v>
                </c:pt>
                <c:pt idx="1498">
                  <c:v>46942</c:v>
                </c:pt>
                <c:pt idx="1499">
                  <c:v>46943</c:v>
                </c:pt>
                <c:pt idx="1500">
                  <c:v>46944</c:v>
                </c:pt>
                <c:pt idx="1501">
                  <c:v>46945</c:v>
                </c:pt>
                <c:pt idx="1502">
                  <c:v>46946</c:v>
                </c:pt>
                <c:pt idx="1503">
                  <c:v>46947</c:v>
                </c:pt>
                <c:pt idx="1504">
                  <c:v>46948</c:v>
                </c:pt>
                <c:pt idx="1505">
                  <c:v>46949</c:v>
                </c:pt>
                <c:pt idx="1506">
                  <c:v>46950</c:v>
                </c:pt>
                <c:pt idx="1507">
                  <c:v>46951</c:v>
                </c:pt>
                <c:pt idx="1508">
                  <c:v>46952</c:v>
                </c:pt>
                <c:pt idx="1509">
                  <c:v>46953</c:v>
                </c:pt>
                <c:pt idx="1510">
                  <c:v>46954</c:v>
                </c:pt>
                <c:pt idx="1511">
                  <c:v>46955</c:v>
                </c:pt>
                <c:pt idx="1512">
                  <c:v>46956</c:v>
                </c:pt>
                <c:pt idx="1513">
                  <c:v>46957</c:v>
                </c:pt>
                <c:pt idx="1514">
                  <c:v>46958</c:v>
                </c:pt>
                <c:pt idx="1515">
                  <c:v>46959</c:v>
                </c:pt>
                <c:pt idx="1516">
                  <c:v>46960</c:v>
                </c:pt>
                <c:pt idx="1517">
                  <c:v>46961</c:v>
                </c:pt>
                <c:pt idx="1518">
                  <c:v>46962</c:v>
                </c:pt>
                <c:pt idx="1519">
                  <c:v>46963</c:v>
                </c:pt>
                <c:pt idx="1520">
                  <c:v>46964</c:v>
                </c:pt>
                <c:pt idx="1521">
                  <c:v>46965</c:v>
                </c:pt>
                <c:pt idx="1522">
                  <c:v>46966</c:v>
                </c:pt>
                <c:pt idx="1523">
                  <c:v>46967</c:v>
                </c:pt>
                <c:pt idx="1524">
                  <c:v>46968</c:v>
                </c:pt>
                <c:pt idx="1525">
                  <c:v>46969</c:v>
                </c:pt>
                <c:pt idx="1526">
                  <c:v>46970</c:v>
                </c:pt>
                <c:pt idx="1527">
                  <c:v>46971</c:v>
                </c:pt>
                <c:pt idx="1528">
                  <c:v>46972</c:v>
                </c:pt>
                <c:pt idx="1529">
                  <c:v>46973</c:v>
                </c:pt>
                <c:pt idx="1530">
                  <c:v>46974</c:v>
                </c:pt>
                <c:pt idx="1531">
                  <c:v>46975</c:v>
                </c:pt>
                <c:pt idx="1532">
                  <c:v>46976</c:v>
                </c:pt>
                <c:pt idx="1533">
                  <c:v>46977</c:v>
                </c:pt>
                <c:pt idx="1534">
                  <c:v>46978</c:v>
                </c:pt>
                <c:pt idx="1535">
                  <c:v>46979</c:v>
                </c:pt>
                <c:pt idx="1536">
                  <c:v>46980</c:v>
                </c:pt>
                <c:pt idx="1537">
                  <c:v>46981</c:v>
                </c:pt>
                <c:pt idx="1538">
                  <c:v>46982</c:v>
                </c:pt>
                <c:pt idx="1539">
                  <c:v>46983</c:v>
                </c:pt>
                <c:pt idx="1540">
                  <c:v>46984</c:v>
                </c:pt>
                <c:pt idx="1541">
                  <c:v>46985</c:v>
                </c:pt>
                <c:pt idx="1542">
                  <c:v>46986</c:v>
                </c:pt>
                <c:pt idx="1543">
                  <c:v>46987</c:v>
                </c:pt>
                <c:pt idx="1544">
                  <c:v>46988</c:v>
                </c:pt>
                <c:pt idx="1545">
                  <c:v>46989</c:v>
                </c:pt>
                <c:pt idx="1546">
                  <c:v>46990</c:v>
                </c:pt>
                <c:pt idx="1547">
                  <c:v>46991</c:v>
                </c:pt>
                <c:pt idx="1548">
                  <c:v>46992</c:v>
                </c:pt>
                <c:pt idx="1549">
                  <c:v>46993</c:v>
                </c:pt>
                <c:pt idx="1550">
                  <c:v>46994</c:v>
                </c:pt>
                <c:pt idx="1551">
                  <c:v>46995</c:v>
                </c:pt>
                <c:pt idx="1552">
                  <c:v>46996</c:v>
                </c:pt>
                <c:pt idx="1553">
                  <c:v>46997</c:v>
                </c:pt>
                <c:pt idx="1554">
                  <c:v>46998</c:v>
                </c:pt>
                <c:pt idx="1555">
                  <c:v>46999</c:v>
                </c:pt>
                <c:pt idx="1556">
                  <c:v>47000</c:v>
                </c:pt>
                <c:pt idx="1557">
                  <c:v>47001</c:v>
                </c:pt>
                <c:pt idx="1558">
                  <c:v>47002</c:v>
                </c:pt>
                <c:pt idx="1559">
                  <c:v>47003</c:v>
                </c:pt>
                <c:pt idx="1560">
                  <c:v>47004</c:v>
                </c:pt>
                <c:pt idx="1561">
                  <c:v>47005</c:v>
                </c:pt>
                <c:pt idx="1562">
                  <c:v>47006</c:v>
                </c:pt>
                <c:pt idx="1563">
                  <c:v>47007</c:v>
                </c:pt>
                <c:pt idx="1564">
                  <c:v>47008</c:v>
                </c:pt>
                <c:pt idx="1565">
                  <c:v>47009</c:v>
                </c:pt>
                <c:pt idx="1566">
                  <c:v>47010</c:v>
                </c:pt>
                <c:pt idx="1567">
                  <c:v>47011</c:v>
                </c:pt>
                <c:pt idx="1568">
                  <c:v>47012</c:v>
                </c:pt>
                <c:pt idx="1569">
                  <c:v>47013</c:v>
                </c:pt>
                <c:pt idx="1570">
                  <c:v>47014</c:v>
                </c:pt>
                <c:pt idx="1571">
                  <c:v>47015</c:v>
                </c:pt>
                <c:pt idx="1572">
                  <c:v>47016</c:v>
                </c:pt>
                <c:pt idx="1573">
                  <c:v>47017</c:v>
                </c:pt>
                <c:pt idx="1574">
                  <c:v>47018</c:v>
                </c:pt>
                <c:pt idx="1575">
                  <c:v>47019</c:v>
                </c:pt>
                <c:pt idx="1576">
                  <c:v>47020</c:v>
                </c:pt>
                <c:pt idx="1577">
                  <c:v>47021</c:v>
                </c:pt>
                <c:pt idx="1578">
                  <c:v>47022</c:v>
                </c:pt>
                <c:pt idx="1579">
                  <c:v>47023</c:v>
                </c:pt>
                <c:pt idx="1580">
                  <c:v>47024</c:v>
                </c:pt>
                <c:pt idx="1581">
                  <c:v>47025</c:v>
                </c:pt>
                <c:pt idx="1582">
                  <c:v>47026</c:v>
                </c:pt>
                <c:pt idx="1583">
                  <c:v>47027</c:v>
                </c:pt>
                <c:pt idx="1584">
                  <c:v>47028</c:v>
                </c:pt>
                <c:pt idx="1585">
                  <c:v>47029</c:v>
                </c:pt>
                <c:pt idx="1586">
                  <c:v>47030</c:v>
                </c:pt>
                <c:pt idx="1587">
                  <c:v>47031</c:v>
                </c:pt>
                <c:pt idx="1588">
                  <c:v>47032</c:v>
                </c:pt>
                <c:pt idx="1589">
                  <c:v>47033</c:v>
                </c:pt>
                <c:pt idx="1590">
                  <c:v>47034</c:v>
                </c:pt>
                <c:pt idx="1591">
                  <c:v>47035</c:v>
                </c:pt>
                <c:pt idx="1592">
                  <c:v>47036</c:v>
                </c:pt>
                <c:pt idx="1593">
                  <c:v>47037</c:v>
                </c:pt>
                <c:pt idx="1594">
                  <c:v>47038</c:v>
                </c:pt>
                <c:pt idx="1595">
                  <c:v>47039</c:v>
                </c:pt>
                <c:pt idx="1596">
                  <c:v>47040</c:v>
                </c:pt>
                <c:pt idx="1597">
                  <c:v>47041</c:v>
                </c:pt>
                <c:pt idx="1598">
                  <c:v>47042</c:v>
                </c:pt>
                <c:pt idx="1599">
                  <c:v>47043</c:v>
                </c:pt>
                <c:pt idx="1600">
                  <c:v>47044</c:v>
                </c:pt>
                <c:pt idx="1601">
                  <c:v>47045</c:v>
                </c:pt>
                <c:pt idx="1602">
                  <c:v>47046</c:v>
                </c:pt>
                <c:pt idx="1603">
                  <c:v>47047</c:v>
                </c:pt>
                <c:pt idx="1604">
                  <c:v>47048</c:v>
                </c:pt>
                <c:pt idx="1605">
                  <c:v>47049</c:v>
                </c:pt>
                <c:pt idx="1606">
                  <c:v>47050</c:v>
                </c:pt>
                <c:pt idx="1607">
                  <c:v>47051</c:v>
                </c:pt>
                <c:pt idx="1608">
                  <c:v>47052</c:v>
                </c:pt>
                <c:pt idx="1609">
                  <c:v>47053</c:v>
                </c:pt>
                <c:pt idx="1610">
                  <c:v>47054</c:v>
                </c:pt>
                <c:pt idx="1611">
                  <c:v>47055</c:v>
                </c:pt>
                <c:pt idx="1612">
                  <c:v>47056</c:v>
                </c:pt>
                <c:pt idx="1613">
                  <c:v>47057</c:v>
                </c:pt>
                <c:pt idx="1614">
                  <c:v>47058</c:v>
                </c:pt>
                <c:pt idx="1615">
                  <c:v>47059</c:v>
                </c:pt>
                <c:pt idx="1616">
                  <c:v>47060</c:v>
                </c:pt>
                <c:pt idx="1617">
                  <c:v>47061</c:v>
                </c:pt>
                <c:pt idx="1618">
                  <c:v>47062</c:v>
                </c:pt>
                <c:pt idx="1619">
                  <c:v>47063</c:v>
                </c:pt>
                <c:pt idx="1620">
                  <c:v>47064</c:v>
                </c:pt>
                <c:pt idx="1621">
                  <c:v>47065</c:v>
                </c:pt>
                <c:pt idx="1622">
                  <c:v>47066</c:v>
                </c:pt>
                <c:pt idx="1623">
                  <c:v>47067</c:v>
                </c:pt>
                <c:pt idx="1624">
                  <c:v>47068</c:v>
                </c:pt>
                <c:pt idx="1625">
                  <c:v>47069</c:v>
                </c:pt>
                <c:pt idx="1626">
                  <c:v>47070</c:v>
                </c:pt>
                <c:pt idx="1627">
                  <c:v>47071</c:v>
                </c:pt>
                <c:pt idx="1628">
                  <c:v>47072</c:v>
                </c:pt>
                <c:pt idx="1629">
                  <c:v>47073</c:v>
                </c:pt>
                <c:pt idx="1630">
                  <c:v>47074</c:v>
                </c:pt>
                <c:pt idx="1631">
                  <c:v>47075</c:v>
                </c:pt>
                <c:pt idx="1632">
                  <c:v>47076</c:v>
                </c:pt>
                <c:pt idx="1633">
                  <c:v>47077</c:v>
                </c:pt>
                <c:pt idx="1634">
                  <c:v>47078</c:v>
                </c:pt>
                <c:pt idx="1635">
                  <c:v>47079</c:v>
                </c:pt>
                <c:pt idx="1636">
                  <c:v>47080</c:v>
                </c:pt>
                <c:pt idx="1637">
                  <c:v>47081</c:v>
                </c:pt>
                <c:pt idx="1638">
                  <c:v>47082</c:v>
                </c:pt>
                <c:pt idx="1639">
                  <c:v>47083</c:v>
                </c:pt>
                <c:pt idx="1640">
                  <c:v>47084</c:v>
                </c:pt>
                <c:pt idx="1641">
                  <c:v>47085</c:v>
                </c:pt>
                <c:pt idx="1642">
                  <c:v>47086</c:v>
                </c:pt>
                <c:pt idx="1643">
                  <c:v>47087</c:v>
                </c:pt>
                <c:pt idx="1644">
                  <c:v>47088</c:v>
                </c:pt>
                <c:pt idx="1645">
                  <c:v>47089</c:v>
                </c:pt>
                <c:pt idx="1646">
                  <c:v>47090</c:v>
                </c:pt>
                <c:pt idx="1647">
                  <c:v>47091</c:v>
                </c:pt>
                <c:pt idx="1648">
                  <c:v>47092</c:v>
                </c:pt>
                <c:pt idx="1649">
                  <c:v>47093</c:v>
                </c:pt>
                <c:pt idx="1650">
                  <c:v>47094</c:v>
                </c:pt>
                <c:pt idx="1651">
                  <c:v>47095</c:v>
                </c:pt>
                <c:pt idx="1652">
                  <c:v>47096</c:v>
                </c:pt>
                <c:pt idx="1653">
                  <c:v>47097</c:v>
                </c:pt>
                <c:pt idx="1654">
                  <c:v>47098</c:v>
                </c:pt>
                <c:pt idx="1655">
                  <c:v>47099</c:v>
                </c:pt>
                <c:pt idx="1656">
                  <c:v>47100</c:v>
                </c:pt>
                <c:pt idx="1657">
                  <c:v>47101</c:v>
                </c:pt>
                <c:pt idx="1658">
                  <c:v>47102</c:v>
                </c:pt>
                <c:pt idx="1659">
                  <c:v>47103</c:v>
                </c:pt>
                <c:pt idx="1660">
                  <c:v>47104</c:v>
                </c:pt>
                <c:pt idx="1661">
                  <c:v>47105</c:v>
                </c:pt>
                <c:pt idx="1662">
                  <c:v>47106</c:v>
                </c:pt>
                <c:pt idx="1663">
                  <c:v>47107</c:v>
                </c:pt>
                <c:pt idx="1664">
                  <c:v>47108</c:v>
                </c:pt>
                <c:pt idx="1665">
                  <c:v>47109</c:v>
                </c:pt>
                <c:pt idx="1666">
                  <c:v>47110</c:v>
                </c:pt>
                <c:pt idx="1667">
                  <c:v>47111</c:v>
                </c:pt>
                <c:pt idx="1668">
                  <c:v>47112</c:v>
                </c:pt>
                <c:pt idx="1669">
                  <c:v>47113</c:v>
                </c:pt>
                <c:pt idx="1670">
                  <c:v>47114</c:v>
                </c:pt>
                <c:pt idx="1671">
                  <c:v>47115</c:v>
                </c:pt>
                <c:pt idx="1672">
                  <c:v>47116</c:v>
                </c:pt>
                <c:pt idx="1673">
                  <c:v>47117</c:v>
                </c:pt>
                <c:pt idx="1674">
                  <c:v>47118</c:v>
                </c:pt>
              </c:numCache>
            </c:numRef>
          </c:cat>
          <c:val>
            <c:numRef>
              <c:f>'5.4'!$E$6:$E$1680</c:f>
              <c:numCache>
                <c:formatCode>0</c:formatCode>
                <c:ptCount val="1675"/>
                <c:pt idx="0">
                  <c:v>1211.4928864898</c:v>
                </c:pt>
                <c:pt idx="1">
                  <c:v>1211.4928864898</c:v>
                </c:pt>
                <c:pt idx="2">
                  <c:v>1211.4928864898</c:v>
                </c:pt>
                <c:pt idx="3">
                  <c:v>1211.4928864898</c:v>
                </c:pt>
                <c:pt idx="4">
                  <c:v>1211.4928864898</c:v>
                </c:pt>
                <c:pt idx="5">
                  <c:v>1211.4928864898</c:v>
                </c:pt>
                <c:pt idx="6">
                  <c:v>1211.4928864898</c:v>
                </c:pt>
                <c:pt idx="7">
                  <c:v>1211.4928864898</c:v>
                </c:pt>
                <c:pt idx="8">
                  <c:v>1211.4928864898</c:v>
                </c:pt>
                <c:pt idx="9">
                  <c:v>1211.4928864898</c:v>
                </c:pt>
                <c:pt idx="10">
                  <c:v>1211.4928864898</c:v>
                </c:pt>
                <c:pt idx="11">
                  <c:v>1211.4928864898</c:v>
                </c:pt>
                <c:pt idx="12">
                  <c:v>1211.4928864898</c:v>
                </c:pt>
                <c:pt idx="13">
                  <c:v>1211.4928864898</c:v>
                </c:pt>
                <c:pt idx="14">
                  <c:v>1211.4928864898</c:v>
                </c:pt>
                <c:pt idx="15">
                  <c:v>1211.4928864898</c:v>
                </c:pt>
                <c:pt idx="16">
                  <c:v>1211.4928864898</c:v>
                </c:pt>
                <c:pt idx="17">
                  <c:v>1211.4928864898</c:v>
                </c:pt>
                <c:pt idx="18">
                  <c:v>1211.4928864898</c:v>
                </c:pt>
                <c:pt idx="19">
                  <c:v>1211.4928864898</c:v>
                </c:pt>
                <c:pt idx="20">
                  <c:v>1211.4928864898</c:v>
                </c:pt>
                <c:pt idx="21">
                  <c:v>1211.4928864898</c:v>
                </c:pt>
                <c:pt idx="22">
                  <c:v>1211.4928864898</c:v>
                </c:pt>
                <c:pt idx="23">
                  <c:v>1211.4928864898</c:v>
                </c:pt>
                <c:pt idx="24">
                  <c:v>1211.4928864898</c:v>
                </c:pt>
                <c:pt idx="25">
                  <c:v>1211.4928864898</c:v>
                </c:pt>
                <c:pt idx="26">
                  <c:v>1211.4928864898</c:v>
                </c:pt>
                <c:pt idx="27">
                  <c:v>1211.4928864898</c:v>
                </c:pt>
                <c:pt idx="28">
                  <c:v>1211.4928864898</c:v>
                </c:pt>
                <c:pt idx="29">
                  <c:v>1211.4928864898</c:v>
                </c:pt>
                <c:pt idx="30">
                  <c:v>1143.48</c:v>
                </c:pt>
                <c:pt idx="31">
                  <c:v>1143.48</c:v>
                </c:pt>
                <c:pt idx="32">
                  <c:v>1143.48</c:v>
                </c:pt>
                <c:pt idx="33">
                  <c:v>1143.48</c:v>
                </c:pt>
                <c:pt idx="34">
                  <c:v>1143.48</c:v>
                </c:pt>
                <c:pt idx="35">
                  <c:v>1143.48</c:v>
                </c:pt>
                <c:pt idx="36">
                  <c:v>1143.48</c:v>
                </c:pt>
                <c:pt idx="37">
                  <c:v>1143.48</c:v>
                </c:pt>
                <c:pt idx="38">
                  <c:v>1143.48</c:v>
                </c:pt>
                <c:pt idx="39">
                  <c:v>1143.48</c:v>
                </c:pt>
                <c:pt idx="40">
                  <c:v>1143.48</c:v>
                </c:pt>
                <c:pt idx="41">
                  <c:v>1143.48</c:v>
                </c:pt>
                <c:pt idx="42">
                  <c:v>1143.48</c:v>
                </c:pt>
                <c:pt idx="43">
                  <c:v>1143.48</c:v>
                </c:pt>
                <c:pt idx="44">
                  <c:v>1143.48</c:v>
                </c:pt>
                <c:pt idx="45">
                  <c:v>1143.48</c:v>
                </c:pt>
                <c:pt idx="46">
                  <c:v>1143.48</c:v>
                </c:pt>
                <c:pt idx="47">
                  <c:v>1143.48</c:v>
                </c:pt>
                <c:pt idx="48">
                  <c:v>1143.48</c:v>
                </c:pt>
                <c:pt idx="49">
                  <c:v>1143.48</c:v>
                </c:pt>
                <c:pt idx="50">
                  <c:v>1143.48</c:v>
                </c:pt>
                <c:pt idx="51">
                  <c:v>1143.48</c:v>
                </c:pt>
                <c:pt idx="52">
                  <c:v>1143.48</c:v>
                </c:pt>
                <c:pt idx="53">
                  <c:v>1143.48</c:v>
                </c:pt>
                <c:pt idx="54">
                  <c:v>1143.48</c:v>
                </c:pt>
                <c:pt idx="55">
                  <c:v>1143.48</c:v>
                </c:pt>
                <c:pt idx="56">
                  <c:v>1143.48</c:v>
                </c:pt>
                <c:pt idx="57">
                  <c:v>1143.48</c:v>
                </c:pt>
                <c:pt idx="58">
                  <c:v>1143.48</c:v>
                </c:pt>
                <c:pt idx="59">
                  <c:v>1143.48</c:v>
                </c:pt>
                <c:pt idx="60">
                  <c:v>1143.48</c:v>
                </c:pt>
                <c:pt idx="61">
                  <c:v>1143.48</c:v>
                </c:pt>
                <c:pt idx="62">
                  <c:v>1143.48</c:v>
                </c:pt>
                <c:pt idx="63">
                  <c:v>1143.48</c:v>
                </c:pt>
                <c:pt idx="64">
                  <c:v>1143.48</c:v>
                </c:pt>
                <c:pt idx="65">
                  <c:v>1143.48</c:v>
                </c:pt>
                <c:pt idx="66">
                  <c:v>1143.48</c:v>
                </c:pt>
                <c:pt idx="67">
                  <c:v>1143.48</c:v>
                </c:pt>
                <c:pt idx="68">
                  <c:v>1143.48</c:v>
                </c:pt>
                <c:pt idx="69">
                  <c:v>1143.48</c:v>
                </c:pt>
                <c:pt idx="70">
                  <c:v>1143.48</c:v>
                </c:pt>
                <c:pt idx="71">
                  <c:v>1143.48</c:v>
                </c:pt>
                <c:pt idx="72">
                  <c:v>1143.48</c:v>
                </c:pt>
                <c:pt idx="73">
                  <c:v>1143.48</c:v>
                </c:pt>
                <c:pt idx="74">
                  <c:v>1143.48</c:v>
                </c:pt>
                <c:pt idx="75">
                  <c:v>1143.48</c:v>
                </c:pt>
                <c:pt idx="76">
                  <c:v>1143.48</c:v>
                </c:pt>
                <c:pt idx="77">
                  <c:v>1143.48</c:v>
                </c:pt>
                <c:pt idx="78">
                  <c:v>1143.48</c:v>
                </c:pt>
                <c:pt idx="79">
                  <c:v>1143.48</c:v>
                </c:pt>
                <c:pt idx="80">
                  <c:v>1143.48</c:v>
                </c:pt>
                <c:pt idx="81">
                  <c:v>1143.48</c:v>
                </c:pt>
                <c:pt idx="82">
                  <c:v>1143.48</c:v>
                </c:pt>
                <c:pt idx="83">
                  <c:v>1143.48</c:v>
                </c:pt>
                <c:pt idx="84">
                  <c:v>1143.48</c:v>
                </c:pt>
                <c:pt idx="85">
                  <c:v>1143.48</c:v>
                </c:pt>
                <c:pt idx="86">
                  <c:v>1143.48</c:v>
                </c:pt>
                <c:pt idx="87">
                  <c:v>1143.48</c:v>
                </c:pt>
                <c:pt idx="88">
                  <c:v>1143.48</c:v>
                </c:pt>
                <c:pt idx="89">
                  <c:v>1143.48</c:v>
                </c:pt>
                <c:pt idx="90">
                  <c:v>1143.48</c:v>
                </c:pt>
                <c:pt idx="91">
                  <c:v>1143.48</c:v>
                </c:pt>
                <c:pt idx="92">
                  <c:v>1143.48</c:v>
                </c:pt>
                <c:pt idx="93">
                  <c:v>1143.48</c:v>
                </c:pt>
                <c:pt idx="94">
                  <c:v>1143.48</c:v>
                </c:pt>
                <c:pt idx="95">
                  <c:v>1143.48</c:v>
                </c:pt>
                <c:pt idx="96">
                  <c:v>1143.48</c:v>
                </c:pt>
                <c:pt idx="97">
                  <c:v>1143.48</c:v>
                </c:pt>
                <c:pt idx="98">
                  <c:v>1143.48</c:v>
                </c:pt>
                <c:pt idx="99">
                  <c:v>1143.48</c:v>
                </c:pt>
                <c:pt idx="100">
                  <c:v>1143.48</c:v>
                </c:pt>
                <c:pt idx="101">
                  <c:v>1143.48</c:v>
                </c:pt>
                <c:pt idx="102">
                  <c:v>1143.48</c:v>
                </c:pt>
                <c:pt idx="103">
                  <c:v>1143.48</c:v>
                </c:pt>
                <c:pt idx="104">
                  <c:v>1143.48</c:v>
                </c:pt>
                <c:pt idx="105">
                  <c:v>1143.48</c:v>
                </c:pt>
                <c:pt idx="106">
                  <c:v>1143.48</c:v>
                </c:pt>
                <c:pt idx="107">
                  <c:v>1143.48</c:v>
                </c:pt>
                <c:pt idx="108">
                  <c:v>1143.48</c:v>
                </c:pt>
                <c:pt idx="109">
                  <c:v>1143.48</c:v>
                </c:pt>
                <c:pt idx="110">
                  <c:v>1143.48</c:v>
                </c:pt>
                <c:pt idx="111">
                  <c:v>1143.48</c:v>
                </c:pt>
                <c:pt idx="112">
                  <c:v>1143.48</c:v>
                </c:pt>
                <c:pt idx="113">
                  <c:v>1143.48</c:v>
                </c:pt>
                <c:pt idx="114">
                  <c:v>1143.48</c:v>
                </c:pt>
                <c:pt idx="115">
                  <c:v>1143.48</c:v>
                </c:pt>
                <c:pt idx="116">
                  <c:v>1143.48</c:v>
                </c:pt>
                <c:pt idx="117">
                  <c:v>1143.48</c:v>
                </c:pt>
                <c:pt idx="118">
                  <c:v>1143.48</c:v>
                </c:pt>
                <c:pt idx="119">
                  <c:v>1143.48</c:v>
                </c:pt>
                <c:pt idx="120">
                  <c:v>1143.48</c:v>
                </c:pt>
                <c:pt idx="121">
                  <c:v>1143.48</c:v>
                </c:pt>
                <c:pt idx="122">
                  <c:v>1143.48</c:v>
                </c:pt>
                <c:pt idx="123">
                  <c:v>1143.48</c:v>
                </c:pt>
                <c:pt idx="124">
                  <c:v>1143.48</c:v>
                </c:pt>
                <c:pt idx="125">
                  <c:v>1143.48</c:v>
                </c:pt>
                <c:pt idx="126">
                  <c:v>1143.48</c:v>
                </c:pt>
                <c:pt idx="127">
                  <c:v>1143.48</c:v>
                </c:pt>
                <c:pt idx="128">
                  <c:v>1143.48</c:v>
                </c:pt>
                <c:pt idx="129">
                  <c:v>1143.48</c:v>
                </c:pt>
                <c:pt idx="130">
                  <c:v>1143.48</c:v>
                </c:pt>
                <c:pt idx="131">
                  <c:v>1143.48</c:v>
                </c:pt>
                <c:pt idx="132">
                  <c:v>1143.48</c:v>
                </c:pt>
                <c:pt idx="133">
                  <c:v>1143.48</c:v>
                </c:pt>
                <c:pt idx="134">
                  <c:v>1143.48</c:v>
                </c:pt>
                <c:pt idx="135">
                  <c:v>1143.48</c:v>
                </c:pt>
                <c:pt idx="136">
                  <c:v>1143.48</c:v>
                </c:pt>
                <c:pt idx="137">
                  <c:v>1143.48</c:v>
                </c:pt>
                <c:pt idx="138">
                  <c:v>1143.48</c:v>
                </c:pt>
                <c:pt idx="139">
                  <c:v>1143.48</c:v>
                </c:pt>
                <c:pt idx="140">
                  <c:v>1143.48</c:v>
                </c:pt>
                <c:pt idx="141">
                  <c:v>1143.48</c:v>
                </c:pt>
                <c:pt idx="142">
                  <c:v>1143.48</c:v>
                </c:pt>
                <c:pt idx="143">
                  <c:v>1143.48</c:v>
                </c:pt>
                <c:pt idx="144">
                  <c:v>1143.48</c:v>
                </c:pt>
                <c:pt idx="145">
                  <c:v>1143.48</c:v>
                </c:pt>
                <c:pt idx="146">
                  <c:v>1143.48</c:v>
                </c:pt>
                <c:pt idx="147">
                  <c:v>1143.48</c:v>
                </c:pt>
                <c:pt idx="148">
                  <c:v>1143.48</c:v>
                </c:pt>
                <c:pt idx="149">
                  <c:v>1143.48</c:v>
                </c:pt>
                <c:pt idx="150">
                  <c:v>1143.48</c:v>
                </c:pt>
                <c:pt idx="151">
                  <c:v>1143.48</c:v>
                </c:pt>
                <c:pt idx="152">
                  <c:v>1143.48</c:v>
                </c:pt>
                <c:pt idx="153">
                  <c:v>1143.48</c:v>
                </c:pt>
                <c:pt idx="154">
                  <c:v>1143.48</c:v>
                </c:pt>
                <c:pt idx="155">
                  <c:v>1143.48</c:v>
                </c:pt>
                <c:pt idx="156">
                  <c:v>1143.48</c:v>
                </c:pt>
                <c:pt idx="157">
                  <c:v>1143.48</c:v>
                </c:pt>
                <c:pt idx="158">
                  <c:v>1143.48</c:v>
                </c:pt>
                <c:pt idx="159">
                  <c:v>1143.48</c:v>
                </c:pt>
                <c:pt idx="160">
                  <c:v>1143.48</c:v>
                </c:pt>
                <c:pt idx="161">
                  <c:v>1143.48</c:v>
                </c:pt>
                <c:pt idx="162">
                  <c:v>1143.48</c:v>
                </c:pt>
                <c:pt idx="163">
                  <c:v>1143.48</c:v>
                </c:pt>
                <c:pt idx="164">
                  <c:v>1143.48</c:v>
                </c:pt>
                <c:pt idx="165">
                  <c:v>1143.48</c:v>
                </c:pt>
                <c:pt idx="166">
                  <c:v>1143.48</c:v>
                </c:pt>
                <c:pt idx="167">
                  <c:v>1143.48</c:v>
                </c:pt>
                <c:pt idx="168">
                  <c:v>1143.48</c:v>
                </c:pt>
                <c:pt idx="169">
                  <c:v>1143.48</c:v>
                </c:pt>
                <c:pt idx="170">
                  <c:v>1143.48</c:v>
                </c:pt>
                <c:pt idx="171">
                  <c:v>1143.48</c:v>
                </c:pt>
                <c:pt idx="172">
                  <c:v>1143.48</c:v>
                </c:pt>
                <c:pt idx="173">
                  <c:v>1143.48</c:v>
                </c:pt>
                <c:pt idx="174">
                  <c:v>1143.48</c:v>
                </c:pt>
                <c:pt idx="175">
                  <c:v>1143.48</c:v>
                </c:pt>
                <c:pt idx="176">
                  <c:v>1143.48</c:v>
                </c:pt>
                <c:pt idx="177">
                  <c:v>1143.48</c:v>
                </c:pt>
                <c:pt idx="178">
                  <c:v>1143.48</c:v>
                </c:pt>
                <c:pt idx="179">
                  <c:v>1143.48</c:v>
                </c:pt>
                <c:pt idx="180">
                  <c:v>1143.48</c:v>
                </c:pt>
                <c:pt idx="181">
                  <c:v>1143.48</c:v>
                </c:pt>
                <c:pt idx="182">
                  <c:v>1143.48</c:v>
                </c:pt>
                <c:pt idx="183">
                  <c:v>1143.48</c:v>
                </c:pt>
                <c:pt idx="184">
                  <c:v>1143.48</c:v>
                </c:pt>
                <c:pt idx="185">
                  <c:v>1143.48</c:v>
                </c:pt>
                <c:pt idx="186">
                  <c:v>1143.48</c:v>
                </c:pt>
                <c:pt idx="187">
                  <c:v>1143.48</c:v>
                </c:pt>
                <c:pt idx="188">
                  <c:v>1143.48</c:v>
                </c:pt>
                <c:pt idx="189">
                  <c:v>1143.48</c:v>
                </c:pt>
                <c:pt idx="190">
                  <c:v>1143.48</c:v>
                </c:pt>
                <c:pt idx="191">
                  <c:v>1143.48</c:v>
                </c:pt>
                <c:pt idx="192">
                  <c:v>1143.48</c:v>
                </c:pt>
                <c:pt idx="193">
                  <c:v>1143.48</c:v>
                </c:pt>
                <c:pt idx="194">
                  <c:v>1143.48</c:v>
                </c:pt>
                <c:pt idx="195">
                  <c:v>1143.48</c:v>
                </c:pt>
                <c:pt idx="196">
                  <c:v>1143.48</c:v>
                </c:pt>
                <c:pt idx="197">
                  <c:v>1143.48</c:v>
                </c:pt>
                <c:pt idx="198">
                  <c:v>1143.48</c:v>
                </c:pt>
                <c:pt idx="199">
                  <c:v>1143.48</c:v>
                </c:pt>
                <c:pt idx="200">
                  <c:v>1143.48</c:v>
                </c:pt>
                <c:pt idx="201">
                  <c:v>1143.48</c:v>
                </c:pt>
                <c:pt idx="202">
                  <c:v>1143.48</c:v>
                </c:pt>
                <c:pt idx="203">
                  <c:v>1143.48</c:v>
                </c:pt>
                <c:pt idx="204">
                  <c:v>1143.48</c:v>
                </c:pt>
                <c:pt idx="205">
                  <c:v>1143.48</c:v>
                </c:pt>
                <c:pt idx="206">
                  <c:v>1143.48</c:v>
                </c:pt>
                <c:pt idx="207">
                  <c:v>1143.48</c:v>
                </c:pt>
                <c:pt idx="208">
                  <c:v>1143.48</c:v>
                </c:pt>
                <c:pt idx="209">
                  <c:v>1143.48</c:v>
                </c:pt>
                <c:pt idx="210">
                  <c:v>1143.48</c:v>
                </c:pt>
                <c:pt idx="211">
                  <c:v>1143.48</c:v>
                </c:pt>
                <c:pt idx="212">
                  <c:v>1143.48</c:v>
                </c:pt>
                <c:pt idx="213">
                  <c:v>1143.48</c:v>
                </c:pt>
                <c:pt idx="214">
                  <c:v>1135.0757394607001</c:v>
                </c:pt>
                <c:pt idx="215">
                  <c:v>1135.0757394607001</c:v>
                </c:pt>
                <c:pt idx="216">
                  <c:v>1135.0757394607001</c:v>
                </c:pt>
                <c:pt idx="217">
                  <c:v>1135.0757394607001</c:v>
                </c:pt>
                <c:pt idx="218">
                  <c:v>1135.0757394607001</c:v>
                </c:pt>
                <c:pt idx="219">
                  <c:v>1135.0757394607001</c:v>
                </c:pt>
                <c:pt idx="220">
                  <c:v>1135.0757394607001</c:v>
                </c:pt>
                <c:pt idx="221">
                  <c:v>1135.0757394607001</c:v>
                </c:pt>
                <c:pt idx="222">
                  <c:v>1135.0757394607001</c:v>
                </c:pt>
                <c:pt idx="223">
                  <c:v>1135.0757394607001</c:v>
                </c:pt>
                <c:pt idx="224">
                  <c:v>1135.0757394607001</c:v>
                </c:pt>
                <c:pt idx="225">
                  <c:v>1135.0757394607001</c:v>
                </c:pt>
                <c:pt idx="226">
                  <c:v>1135.0757394607001</c:v>
                </c:pt>
                <c:pt idx="227">
                  <c:v>1135.0757394607001</c:v>
                </c:pt>
                <c:pt idx="228">
                  <c:v>1135.0757394607001</c:v>
                </c:pt>
                <c:pt idx="229">
                  <c:v>1135.0757394607001</c:v>
                </c:pt>
                <c:pt idx="230">
                  <c:v>1135.0757394607001</c:v>
                </c:pt>
                <c:pt idx="231">
                  <c:v>1135.0757394607001</c:v>
                </c:pt>
                <c:pt idx="232">
                  <c:v>1135.0757394607001</c:v>
                </c:pt>
                <c:pt idx="233">
                  <c:v>1135.0757394607001</c:v>
                </c:pt>
                <c:pt idx="234">
                  <c:v>1135.0757394607001</c:v>
                </c:pt>
                <c:pt idx="235">
                  <c:v>1135.0757394607001</c:v>
                </c:pt>
                <c:pt idx="236">
                  <c:v>1135.0757394607001</c:v>
                </c:pt>
                <c:pt idx="237">
                  <c:v>1135.0757394607001</c:v>
                </c:pt>
                <c:pt idx="238">
                  <c:v>1135.0757394607001</c:v>
                </c:pt>
                <c:pt idx="239">
                  <c:v>1135.0757394607001</c:v>
                </c:pt>
                <c:pt idx="240">
                  <c:v>1135.0757394607001</c:v>
                </c:pt>
                <c:pt idx="241">
                  <c:v>1135.0757394607001</c:v>
                </c:pt>
                <c:pt idx="242">
                  <c:v>1135.0757394607001</c:v>
                </c:pt>
                <c:pt idx="243">
                  <c:v>1135.0757394607001</c:v>
                </c:pt>
                <c:pt idx="244">
                  <c:v>1135.0757394607001</c:v>
                </c:pt>
                <c:pt idx="245">
                  <c:v>1135.0757394607001</c:v>
                </c:pt>
                <c:pt idx="246">
                  <c:v>1135.0757394607001</c:v>
                </c:pt>
                <c:pt idx="247">
                  <c:v>1135.0757394607001</c:v>
                </c:pt>
                <c:pt idx="248">
                  <c:v>1135.0757394607001</c:v>
                </c:pt>
                <c:pt idx="249">
                  <c:v>1135.0757394607001</c:v>
                </c:pt>
                <c:pt idx="250">
                  <c:v>1135.0757394607001</c:v>
                </c:pt>
                <c:pt idx="251">
                  <c:v>1135.0757394607001</c:v>
                </c:pt>
                <c:pt idx="252">
                  <c:v>1135.0757394607001</c:v>
                </c:pt>
                <c:pt idx="253">
                  <c:v>1135.0757394607001</c:v>
                </c:pt>
                <c:pt idx="254">
                  <c:v>1135.0757394607001</c:v>
                </c:pt>
                <c:pt idx="255">
                  <c:v>1135.0757394607001</c:v>
                </c:pt>
                <c:pt idx="256">
                  <c:v>1135.0757394607001</c:v>
                </c:pt>
                <c:pt idx="257">
                  <c:v>1135.0757394607001</c:v>
                </c:pt>
                <c:pt idx="258">
                  <c:v>1135.0757394607001</c:v>
                </c:pt>
                <c:pt idx="259">
                  <c:v>1135.0757394607001</c:v>
                </c:pt>
                <c:pt idx="260">
                  <c:v>1135.0757394607001</c:v>
                </c:pt>
                <c:pt idx="261">
                  <c:v>1135.0757394607001</c:v>
                </c:pt>
                <c:pt idx="262">
                  <c:v>1135.0757394607001</c:v>
                </c:pt>
                <c:pt idx="263">
                  <c:v>1135.0757394607001</c:v>
                </c:pt>
                <c:pt idx="264">
                  <c:v>1135.0757394607001</c:v>
                </c:pt>
                <c:pt idx="265">
                  <c:v>1135.0757394607001</c:v>
                </c:pt>
                <c:pt idx="266">
                  <c:v>1135.0757394607001</c:v>
                </c:pt>
                <c:pt idx="267">
                  <c:v>1135.0757394607001</c:v>
                </c:pt>
                <c:pt idx="268">
                  <c:v>1135.0757394607001</c:v>
                </c:pt>
                <c:pt idx="269">
                  <c:v>1135.0757394607001</c:v>
                </c:pt>
                <c:pt idx="270">
                  <c:v>1135.0757394607001</c:v>
                </c:pt>
                <c:pt idx="271">
                  <c:v>1135.0757394607001</c:v>
                </c:pt>
                <c:pt idx="272">
                  <c:v>1135.0757394607001</c:v>
                </c:pt>
                <c:pt idx="273">
                  <c:v>1135.0757394607001</c:v>
                </c:pt>
                <c:pt idx="274">
                  <c:v>1135.0757394607001</c:v>
                </c:pt>
                <c:pt idx="275">
                  <c:v>1135.0757394607001</c:v>
                </c:pt>
                <c:pt idx="276">
                  <c:v>1135.0757394607001</c:v>
                </c:pt>
                <c:pt idx="277">
                  <c:v>1135.0757394607001</c:v>
                </c:pt>
                <c:pt idx="278">
                  <c:v>1135.0757394607001</c:v>
                </c:pt>
                <c:pt idx="279">
                  <c:v>1135.0757394607001</c:v>
                </c:pt>
                <c:pt idx="280">
                  <c:v>1135.0757394607001</c:v>
                </c:pt>
                <c:pt idx="281">
                  <c:v>1135.0757394607001</c:v>
                </c:pt>
                <c:pt idx="282">
                  <c:v>1135.0757394607001</c:v>
                </c:pt>
                <c:pt idx="283">
                  <c:v>1135.0757394607001</c:v>
                </c:pt>
                <c:pt idx="284">
                  <c:v>1135.0757394607001</c:v>
                </c:pt>
                <c:pt idx="285">
                  <c:v>1135.0757394607001</c:v>
                </c:pt>
                <c:pt idx="286">
                  <c:v>1135.0757394607001</c:v>
                </c:pt>
                <c:pt idx="287">
                  <c:v>1135.0757394607001</c:v>
                </c:pt>
                <c:pt idx="288">
                  <c:v>1135.0757394607001</c:v>
                </c:pt>
                <c:pt idx="289">
                  <c:v>1135.0757394607001</c:v>
                </c:pt>
                <c:pt idx="290">
                  <c:v>1135.0757394607001</c:v>
                </c:pt>
                <c:pt idx="291">
                  <c:v>1135.0757394607001</c:v>
                </c:pt>
                <c:pt idx="292">
                  <c:v>1135.0757394607001</c:v>
                </c:pt>
                <c:pt idx="293">
                  <c:v>1135.0757394607001</c:v>
                </c:pt>
                <c:pt idx="294">
                  <c:v>1135.0757394607001</c:v>
                </c:pt>
                <c:pt idx="295">
                  <c:v>1135.0757394607001</c:v>
                </c:pt>
                <c:pt idx="296">
                  <c:v>1135.0757394607001</c:v>
                </c:pt>
                <c:pt idx="297">
                  <c:v>1135.0757394607001</c:v>
                </c:pt>
                <c:pt idx="298">
                  <c:v>1135.0757394607001</c:v>
                </c:pt>
                <c:pt idx="299">
                  <c:v>1135.0757394607001</c:v>
                </c:pt>
                <c:pt idx="300">
                  <c:v>1135.0757394607001</c:v>
                </c:pt>
                <c:pt idx="301">
                  <c:v>1135.0757394607001</c:v>
                </c:pt>
                <c:pt idx="302">
                  <c:v>1135.0757394607001</c:v>
                </c:pt>
                <c:pt idx="303">
                  <c:v>1135.0757394607001</c:v>
                </c:pt>
                <c:pt idx="304">
                  <c:v>1135.0757394607001</c:v>
                </c:pt>
                <c:pt idx="305">
                  <c:v>1135.0757394607001</c:v>
                </c:pt>
                <c:pt idx="306">
                  <c:v>1135.0757394607001</c:v>
                </c:pt>
                <c:pt idx="307">
                  <c:v>1135.0757394607001</c:v>
                </c:pt>
                <c:pt idx="308">
                  <c:v>1135.0757394607001</c:v>
                </c:pt>
                <c:pt idx="309">
                  <c:v>1135.0757394607001</c:v>
                </c:pt>
                <c:pt idx="310">
                  <c:v>1135.0757394607001</c:v>
                </c:pt>
                <c:pt idx="311">
                  <c:v>1135.0757394607001</c:v>
                </c:pt>
                <c:pt idx="312">
                  <c:v>1135.0757394607001</c:v>
                </c:pt>
                <c:pt idx="313">
                  <c:v>1135.0757394607001</c:v>
                </c:pt>
                <c:pt idx="314">
                  <c:v>1135.0757394607001</c:v>
                </c:pt>
                <c:pt idx="315">
                  <c:v>1135.0757394607001</c:v>
                </c:pt>
                <c:pt idx="316">
                  <c:v>1135.0757394607001</c:v>
                </c:pt>
                <c:pt idx="317">
                  <c:v>1135.0757394607001</c:v>
                </c:pt>
                <c:pt idx="318">
                  <c:v>1135.0757394607001</c:v>
                </c:pt>
                <c:pt idx="319">
                  <c:v>1135.0757394607001</c:v>
                </c:pt>
                <c:pt idx="320">
                  <c:v>1135.0757394607001</c:v>
                </c:pt>
                <c:pt idx="321">
                  <c:v>1135.0757394607001</c:v>
                </c:pt>
                <c:pt idx="322">
                  <c:v>1135.0757394607001</c:v>
                </c:pt>
                <c:pt idx="323">
                  <c:v>1135.0757394607001</c:v>
                </c:pt>
                <c:pt idx="324">
                  <c:v>1135.0757394607001</c:v>
                </c:pt>
                <c:pt idx="325">
                  <c:v>1135.0757394607001</c:v>
                </c:pt>
                <c:pt idx="326">
                  <c:v>1135.0757394607001</c:v>
                </c:pt>
                <c:pt idx="327">
                  <c:v>1135.0757394607001</c:v>
                </c:pt>
                <c:pt idx="328">
                  <c:v>1135.0757394607001</c:v>
                </c:pt>
                <c:pt idx="329">
                  <c:v>1135.0757394607001</c:v>
                </c:pt>
                <c:pt idx="330">
                  <c:v>1135.0757394607001</c:v>
                </c:pt>
                <c:pt idx="331">
                  <c:v>1135.0757394607001</c:v>
                </c:pt>
                <c:pt idx="332">
                  <c:v>1135.0757394607001</c:v>
                </c:pt>
                <c:pt idx="333">
                  <c:v>1135.0757394607001</c:v>
                </c:pt>
                <c:pt idx="334">
                  <c:v>1135.0757394607001</c:v>
                </c:pt>
                <c:pt idx="335">
                  <c:v>1135.0757394607001</c:v>
                </c:pt>
                <c:pt idx="336">
                  <c:v>1135.0757394607001</c:v>
                </c:pt>
                <c:pt idx="337">
                  <c:v>1135.0757394607001</c:v>
                </c:pt>
                <c:pt idx="338">
                  <c:v>1135.0757394607001</c:v>
                </c:pt>
                <c:pt idx="339">
                  <c:v>1135.0757394607001</c:v>
                </c:pt>
                <c:pt idx="340">
                  <c:v>1135.0757394607001</c:v>
                </c:pt>
                <c:pt idx="341">
                  <c:v>1135.0757394607001</c:v>
                </c:pt>
                <c:pt idx="342">
                  <c:v>1135.0757394607001</c:v>
                </c:pt>
                <c:pt idx="343">
                  <c:v>1135.0757394607001</c:v>
                </c:pt>
                <c:pt idx="344">
                  <c:v>1135.0757394607001</c:v>
                </c:pt>
                <c:pt idx="345">
                  <c:v>1135.0757394607001</c:v>
                </c:pt>
                <c:pt idx="346">
                  <c:v>1135.0757394607001</c:v>
                </c:pt>
                <c:pt idx="347">
                  <c:v>1135.0757394607001</c:v>
                </c:pt>
                <c:pt idx="348">
                  <c:v>1135.0757394607001</c:v>
                </c:pt>
                <c:pt idx="349">
                  <c:v>1135.0757394607001</c:v>
                </c:pt>
                <c:pt idx="350">
                  <c:v>1135.0757394607001</c:v>
                </c:pt>
                <c:pt idx="351">
                  <c:v>1135.0757394607001</c:v>
                </c:pt>
                <c:pt idx="352">
                  <c:v>1135.0757394607001</c:v>
                </c:pt>
                <c:pt idx="353">
                  <c:v>1135.0757394607001</c:v>
                </c:pt>
                <c:pt idx="354">
                  <c:v>1135.0757394607001</c:v>
                </c:pt>
                <c:pt idx="355">
                  <c:v>1135.0757394607001</c:v>
                </c:pt>
                <c:pt idx="356">
                  <c:v>1135.0757394607001</c:v>
                </c:pt>
                <c:pt idx="357">
                  <c:v>1135.0757394607001</c:v>
                </c:pt>
                <c:pt idx="358">
                  <c:v>1135.0757394607001</c:v>
                </c:pt>
                <c:pt idx="359">
                  <c:v>1135.0757394607001</c:v>
                </c:pt>
                <c:pt idx="360">
                  <c:v>1135.0757394607001</c:v>
                </c:pt>
                <c:pt idx="361">
                  <c:v>1135.0757394607001</c:v>
                </c:pt>
                <c:pt idx="362">
                  <c:v>1135.0757394607001</c:v>
                </c:pt>
                <c:pt idx="363">
                  <c:v>1135.0757394607001</c:v>
                </c:pt>
                <c:pt idx="364">
                  <c:v>1135.0757394607001</c:v>
                </c:pt>
                <c:pt idx="365">
                  <c:v>1135.0757394607001</c:v>
                </c:pt>
                <c:pt idx="366">
                  <c:v>1135.0757394607001</c:v>
                </c:pt>
                <c:pt idx="367">
                  <c:v>1135.0757394607001</c:v>
                </c:pt>
                <c:pt idx="368">
                  <c:v>1135.0757394607001</c:v>
                </c:pt>
                <c:pt idx="369">
                  <c:v>1135.0757394607001</c:v>
                </c:pt>
                <c:pt idx="370">
                  <c:v>1135.0757394607001</c:v>
                </c:pt>
                <c:pt idx="371">
                  <c:v>1135.0757394607001</c:v>
                </c:pt>
                <c:pt idx="372">
                  <c:v>1135.0757394607001</c:v>
                </c:pt>
                <c:pt idx="373">
                  <c:v>1135.0757394607001</c:v>
                </c:pt>
                <c:pt idx="374">
                  <c:v>1135.0757394607001</c:v>
                </c:pt>
                <c:pt idx="375">
                  <c:v>1135.0757394607001</c:v>
                </c:pt>
                <c:pt idx="376">
                  <c:v>1135.0757394607001</c:v>
                </c:pt>
                <c:pt idx="377">
                  <c:v>1135.0757394607001</c:v>
                </c:pt>
                <c:pt idx="378">
                  <c:v>1135.0757394607001</c:v>
                </c:pt>
                <c:pt idx="379">
                  <c:v>1135.0757394607001</c:v>
                </c:pt>
                <c:pt idx="380">
                  <c:v>1135.0757394607001</c:v>
                </c:pt>
                <c:pt idx="381">
                  <c:v>1135.0757394607001</c:v>
                </c:pt>
                <c:pt idx="382">
                  <c:v>1135.0757394607001</c:v>
                </c:pt>
                <c:pt idx="383">
                  <c:v>1135.0757394607001</c:v>
                </c:pt>
                <c:pt idx="384">
                  <c:v>1135.0757394607001</c:v>
                </c:pt>
                <c:pt idx="385">
                  <c:v>1135.0757394607001</c:v>
                </c:pt>
                <c:pt idx="386">
                  <c:v>1135.0757394607001</c:v>
                </c:pt>
                <c:pt idx="387">
                  <c:v>1135.0757394607001</c:v>
                </c:pt>
                <c:pt idx="388">
                  <c:v>1135.0757394607001</c:v>
                </c:pt>
                <c:pt idx="389">
                  <c:v>1135.0757394607001</c:v>
                </c:pt>
                <c:pt idx="390">
                  <c:v>1135.0757394607001</c:v>
                </c:pt>
                <c:pt idx="391">
                  <c:v>1135.0757394607001</c:v>
                </c:pt>
                <c:pt idx="392">
                  <c:v>1135.0757394607001</c:v>
                </c:pt>
                <c:pt idx="393">
                  <c:v>1135.0757394607001</c:v>
                </c:pt>
                <c:pt idx="394">
                  <c:v>1135.0757394607001</c:v>
                </c:pt>
                <c:pt idx="395">
                  <c:v>1135.0757394607001</c:v>
                </c:pt>
                <c:pt idx="396">
                  <c:v>1135.0757394607001</c:v>
                </c:pt>
                <c:pt idx="397">
                  <c:v>1135.0757394607001</c:v>
                </c:pt>
                <c:pt idx="398">
                  <c:v>1135.0757394607001</c:v>
                </c:pt>
                <c:pt idx="399">
                  <c:v>1135.0757394607001</c:v>
                </c:pt>
                <c:pt idx="400">
                  <c:v>1135.0757394607001</c:v>
                </c:pt>
                <c:pt idx="401">
                  <c:v>1135.0757394607001</c:v>
                </c:pt>
                <c:pt idx="402">
                  <c:v>1135.0757394607001</c:v>
                </c:pt>
                <c:pt idx="403">
                  <c:v>1135.0757394607001</c:v>
                </c:pt>
                <c:pt idx="404">
                  <c:v>1135.0757394607001</c:v>
                </c:pt>
                <c:pt idx="405">
                  <c:v>1135.0757394607001</c:v>
                </c:pt>
                <c:pt idx="406">
                  <c:v>1135.0757394607001</c:v>
                </c:pt>
                <c:pt idx="407">
                  <c:v>1135.0757394607001</c:v>
                </c:pt>
                <c:pt idx="408">
                  <c:v>1135.0757394607001</c:v>
                </c:pt>
                <c:pt idx="409">
                  <c:v>1135.0757394607001</c:v>
                </c:pt>
                <c:pt idx="410">
                  <c:v>1135.0757394607001</c:v>
                </c:pt>
                <c:pt idx="411">
                  <c:v>1135.0757394607001</c:v>
                </c:pt>
                <c:pt idx="412">
                  <c:v>1135.0757394607001</c:v>
                </c:pt>
                <c:pt idx="413">
                  <c:v>1135.0757394607001</c:v>
                </c:pt>
                <c:pt idx="414">
                  <c:v>1135.0757394607001</c:v>
                </c:pt>
                <c:pt idx="415">
                  <c:v>1135.0757394607001</c:v>
                </c:pt>
                <c:pt idx="416">
                  <c:v>1135.0757394607001</c:v>
                </c:pt>
                <c:pt idx="417">
                  <c:v>1135.0757394607001</c:v>
                </c:pt>
                <c:pt idx="418">
                  <c:v>1135.0757394607001</c:v>
                </c:pt>
                <c:pt idx="419">
                  <c:v>1135.0757394607001</c:v>
                </c:pt>
                <c:pt idx="420">
                  <c:v>1135.0757394607001</c:v>
                </c:pt>
                <c:pt idx="421">
                  <c:v>1135.0757394607001</c:v>
                </c:pt>
                <c:pt idx="422">
                  <c:v>1135.0757394607001</c:v>
                </c:pt>
                <c:pt idx="423">
                  <c:v>1135.0757394607001</c:v>
                </c:pt>
                <c:pt idx="424">
                  <c:v>1135.0757394607001</c:v>
                </c:pt>
                <c:pt idx="425">
                  <c:v>1135.0757394607001</c:v>
                </c:pt>
                <c:pt idx="426">
                  <c:v>1135.0757394607001</c:v>
                </c:pt>
                <c:pt idx="427">
                  <c:v>1135.0757394607001</c:v>
                </c:pt>
                <c:pt idx="428">
                  <c:v>1135.0757394607001</c:v>
                </c:pt>
                <c:pt idx="429">
                  <c:v>1135.0757394607001</c:v>
                </c:pt>
                <c:pt idx="430">
                  <c:v>1135.0757394607001</c:v>
                </c:pt>
                <c:pt idx="431">
                  <c:v>1135.0757394607001</c:v>
                </c:pt>
                <c:pt idx="432">
                  <c:v>1135.0757394607001</c:v>
                </c:pt>
                <c:pt idx="433">
                  <c:v>1135.0757394607001</c:v>
                </c:pt>
                <c:pt idx="434">
                  <c:v>1135.0757394607001</c:v>
                </c:pt>
                <c:pt idx="435">
                  <c:v>1135.0757394607001</c:v>
                </c:pt>
                <c:pt idx="436">
                  <c:v>1135.0757394607001</c:v>
                </c:pt>
                <c:pt idx="437">
                  <c:v>1135.0757394607001</c:v>
                </c:pt>
                <c:pt idx="438">
                  <c:v>1135.0757394607001</c:v>
                </c:pt>
                <c:pt idx="439">
                  <c:v>1135.0757394607001</c:v>
                </c:pt>
                <c:pt idx="440">
                  <c:v>1135.0757394607001</c:v>
                </c:pt>
                <c:pt idx="441">
                  <c:v>1135.0757394607001</c:v>
                </c:pt>
                <c:pt idx="442">
                  <c:v>1135.0757394607001</c:v>
                </c:pt>
                <c:pt idx="443">
                  <c:v>1135.0757394607001</c:v>
                </c:pt>
                <c:pt idx="444">
                  <c:v>1135.0757394607001</c:v>
                </c:pt>
                <c:pt idx="445">
                  <c:v>1135.0757394607001</c:v>
                </c:pt>
                <c:pt idx="446">
                  <c:v>1135.0757394607001</c:v>
                </c:pt>
                <c:pt idx="447">
                  <c:v>1135.0757394607001</c:v>
                </c:pt>
                <c:pt idx="448">
                  <c:v>1135.0757394607001</c:v>
                </c:pt>
                <c:pt idx="449">
                  <c:v>1135.0757394607001</c:v>
                </c:pt>
                <c:pt idx="450">
                  <c:v>1135.0757394607001</c:v>
                </c:pt>
                <c:pt idx="451">
                  <c:v>1135.0757394607001</c:v>
                </c:pt>
                <c:pt idx="452">
                  <c:v>1135.0757394607001</c:v>
                </c:pt>
                <c:pt idx="453">
                  <c:v>1135.0757394607001</c:v>
                </c:pt>
                <c:pt idx="454">
                  <c:v>1135.0757394607001</c:v>
                </c:pt>
                <c:pt idx="455">
                  <c:v>1135.0757394607001</c:v>
                </c:pt>
                <c:pt idx="456">
                  <c:v>1135.0757394607001</c:v>
                </c:pt>
                <c:pt idx="457">
                  <c:v>1135.0757394607001</c:v>
                </c:pt>
                <c:pt idx="458">
                  <c:v>1135.0757394607001</c:v>
                </c:pt>
                <c:pt idx="459">
                  <c:v>1135.0757394607001</c:v>
                </c:pt>
                <c:pt idx="460">
                  <c:v>1135.0757394607001</c:v>
                </c:pt>
                <c:pt idx="461">
                  <c:v>1135.0757394607001</c:v>
                </c:pt>
                <c:pt idx="462">
                  <c:v>1135.0757394607001</c:v>
                </c:pt>
                <c:pt idx="463">
                  <c:v>1135.0757394607001</c:v>
                </c:pt>
                <c:pt idx="464">
                  <c:v>1135.0757394607001</c:v>
                </c:pt>
                <c:pt idx="465">
                  <c:v>1135.0757394607001</c:v>
                </c:pt>
                <c:pt idx="466">
                  <c:v>1135.0757394607001</c:v>
                </c:pt>
                <c:pt idx="467">
                  <c:v>1135.0757394607001</c:v>
                </c:pt>
                <c:pt idx="468">
                  <c:v>1135.0757394607001</c:v>
                </c:pt>
                <c:pt idx="469">
                  <c:v>1135.0757394607001</c:v>
                </c:pt>
                <c:pt idx="470">
                  <c:v>1135.0757394607001</c:v>
                </c:pt>
                <c:pt idx="471">
                  <c:v>1135.0757394607001</c:v>
                </c:pt>
                <c:pt idx="472">
                  <c:v>1135.0757394607001</c:v>
                </c:pt>
                <c:pt idx="473">
                  <c:v>1135.0757394607001</c:v>
                </c:pt>
                <c:pt idx="474">
                  <c:v>1135.0757394607001</c:v>
                </c:pt>
                <c:pt idx="475">
                  <c:v>1135.0757394607001</c:v>
                </c:pt>
                <c:pt idx="476">
                  <c:v>1135.0757394607001</c:v>
                </c:pt>
                <c:pt idx="477">
                  <c:v>1135.0757394607001</c:v>
                </c:pt>
                <c:pt idx="478">
                  <c:v>1135.0757394607001</c:v>
                </c:pt>
                <c:pt idx="479">
                  <c:v>1135.0757394607001</c:v>
                </c:pt>
                <c:pt idx="480">
                  <c:v>1135.0757394607001</c:v>
                </c:pt>
                <c:pt idx="481">
                  <c:v>1135.0757394607001</c:v>
                </c:pt>
                <c:pt idx="482">
                  <c:v>1135.0757394607001</c:v>
                </c:pt>
                <c:pt idx="483">
                  <c:v>1135.0757394607001</c:v>
                </c:pt>
                <c:pt idx="484">
                  <c:v>1135.0757394607001</c:v>
                </c:pt>
                <c:pt idx="485">
                  <c:v>1135.0757394607001</c:v>
                </c:pt>
                <c:pt idx="486">
                  <c:v>1135.0757394607001</c:v>
                </c:pt>
                <c:pt idx="487">
                  <c:v>1135.0757394607001</c:v>
                </c:pt>
                <c:pt idx="488">
                  <c:v>1135.0757394607001</c:v>
                </c:pt>
                <c:pt idx="489">
                  <c:v>1135.0757394607001</c:v>
                </c:pt>
                <c:pt idx="490">
                  <c:v>1135.0757394607001</c:v>
                </c:pt>
                <c:pt idx="491">
                  <c:v>1135.0757394607001</c:v>
                </c:pt>
                <c:pt idx="492">
                  <c:v>1135.0757394607001</c:v>
                </c:pt>
                <c:pt idx="493">
                  <c:v>1135.0757394607001</c:v>
                </c:pt>
                <c:pt idx="494">
                  <c:v>1135.0757394607001</c:v>
                </c:pt>
                <c:pt idx="495">
                  <c:v>1135.0757394607001</c:v>
                </c:pt>
                <c:pt idx="496">
                  <c:v>1135.0757394607001</c:v>
                </c:pt>
                <c:pt idx="497">
                  <c:v>1135.0757394607001</c:v>
                </c:pt>
                <c:pt idx="498">
                  <c:v>1135.0757394607001</c:v>
                </c:pt>
                <c:pt idx="499">
                  <c:v>1135.0757394607001</c:v>
                </c:pt>
                <c:pt idx="500">
                  <c:v>1135.0757394607001</c:v>
                </c:pt>
                <c:pt idx="501">
                  <c:v>1135.0757394607001</c:v>
                </c:pt>
                <c:pt idx="502">
                  <c:v>1135.0757394607001</c:v>
                </c:pt>
                <c:pt idx="503">
                  <c:v>1135.0757394607001</c:v>
                </c:pt>
                <c:pt idx="504">
                  <c:v>1135.0757394607001</c:v>
                </c:pt>
                <c:pt idx="505">
                  <c:v>1135.0757394607001</c:v>
                </c:pt>
                <c:pt idx="506">
                  <c:v>1135.0757394607001</c:v>
                </c:pt>
                <c:pt idx="507">
                  <c:v>1135.0757394607001</c:v>
                </c:pt>
                <c:pt idx="508">
                  <c:v>1135.0757394607001</c:v>
                </c:pt>
                <c:pt idx="509">
                  <c:v>1135.0757394607001</c:v>
                </c:pt>
                <c:pt idx="510">
                  <c:v>1135.0757394607001</c:v>
                </c:pt>
                <c:pt idx="511">
                  <c:v>1135.0757394607001</c:v>
                </c:pt>
                <c:pt idx="512">
                  <c:v>1135.0757394607001</c:v>
                </c:pt>
                <c:pt idx="513">
                  <c:v>1135.0757394607001</c:v>
                </c:pt>
                <c:pt idx="514">
                  <c:v>1135.0757394607001</c:v>
                </c:pt>
                <c:pt idx="515">
                  <c:v>1135.0757394607001</c:v>
                </c:pt>
                <c:pt idx="516">
                  <c:v>1135.0757394607001</c:v>
                </c:pt>
                <c:pt idx="517">
                  <c:v>1135.0757394607001</c:v>
                </c:pt>
                <c:pt idx="518">
                  <c:v>1135.0757394607001</c:v>
                </c:pt>
                <c:pt idx="519">
                  <c:v>1135.0757394607001</c:v>
                </c:pt>
                <c:pt idx="520">
                  <c:v>1135.0757394607001</c:v>
                </c:pt>
                <c:pt idx="521">
                  <c:v>1135.0757394607001</c:v>
                </c:pt>
                <c:pt idx="522">
                  <c:v>1135.0757394607001</c:v>
                </c:pt>
                <c:pt idx="523">
                  <c:v>1135.0757394607001</c:v>
                </c:pt>
                <c:pt idx="524">
                  <c:v>1135.0757394607001</c:v>
                </c:pt>
                <c:pt idx="525">
                  <c:v>1135.0757394607001</c:v>
                </c:pt>
                <c:pt idx="526">
                  <c:v>1135.0757394607001</c:v>
                </c:pt>
                <c:pt idx="527">
                  <c:v>1135.0757394607001</c:v>
                </c:pt>
                <c:pt idx="528">
                  <c:v>1135.0757394607001</c:v>
                </c:pt>
                <c:pt idx="529">
                  <c:v>1135.0757394607001</c:v>
                </c:pt>
                <c:pt idx="530">
                  <c:v>1135.0757394607001</c:v>
                </c:pt>
                <c:pt idx="531">
                  <c:v>1135.0757394607001</c:v>
                </c:pt>
                <c:pt idx="532">
                  <c:v>1135.0757394607001</c:v>
                </c:pt>
                <c:pt idx="533">
                  <c:v>1135.0757394607001</c:v>
                </c:pt>
                <c:pt idx="534">
                  <c:v>1135.0757394607001</c:v>
                </c:pt>
                <c:pt idx="535">
                  <c:v>1135.0757394607001</c:v>
                </c:pt>
                <c:pt idx="536">
                  <c:v>1135.0757394607001</c:v>
                </c:pt>
                <c:pt idx="537">
                  <c:v>1135.0757394607001</c:v>
                </c:pt>
                <c:pt idx="538">
                  <c:v>1135.0757394607001</c:v>
                </c:pt>
                <c:pt idx="539">
                  <c:v>1135.0757394607001</c:v>
                </c:pt>
                <c:pt idx="540">
                  <c:v>1135.0757394607001</c:v>
                </c:pt>
                <c:pt idx="541">
                  <c:v>1135.0757394607001</c:v>
                </c:pt>
                <c:pt idx="542">
                  <c:v>1135.0757394607001</c:v>
                </c:pt>
                <c:pt idx="543">
                  <c:v>1135.0757394607001</c:v>
                </c:pt>
                <c:pt idx="544">
                  <c:v>1135.0757394607001</c:v>
                </c:pt>
                <c:pt idx="545">
                  <c:v>1135.0757394607001</c:v>
                </c:pt>
                <c:pt idx="546">
                  <c:v>1135.0757394607001</c:v>
                </c:pt>
                <c:pt idx="547">
                  <c:v>1135.0757394607001</c:v>
                </c:pt>
                <c:pt idx="548">
                  <c:v>1135.0757394607001</c:v>
                </c:pt>
                <c:pt idx="549">
                  <c:v>1135.0757394607001</c:v>
                </c:pt>
                <c:pt idx="550">
                  <c:v>1135.0757394607001</c:v>
                </c:pt>
                <c:pt idx="551">
                  <c:v>1135.0757394607001</c:v>
                </c:pt>
                <c:pt idx="552">
                  <c:v>1135.0757394607001</c:v>
                </c:pt>
                <c:pt idx="553">
                  <c:v>1135.0757394607001</c:v>
                </c:pt>
                <c:pt idx="554">
                  <c:v>1135.0757394607001</c:v>
                </c:pt>
                <c:pt idx="555">
                  <c:v>1135.0757394607001</c:v>
                </c:pt>
                <c:pt idx="556">
                  <c:v>1135.0757394607001</c:v>
                </c:pt>
                <c:pt idx="557">
                  <c:v>1135.0757394607001</c:v>
                </c:pt>
                <c:pt idx="558">
                  <c:v>1135.0757394607001</c:v>
                </c:pt>
                <c:pt idx="559">
                  <c:v>1135.0757394607001</c:v>
                </c:pt>
                <c:pt idx="560">
                  <c:v>1135.0757394607001</c:v>
                </c:pt>
                <c:pt idx="561">
                  <c:v>1135.0757394607001</c:v>
                </c:pt>
                <c:pt idx="562">
                  <c:v>1135.0757394607001</c:v>
                </c:pt>
                <c:pt idx="563">
                  <c:v>1135.0757394607001</c:v>
                </c:pt>
                <c:pt idx="564">
                  <c:v>1135.0757394607001</c:v>
                </c:pt>
                <c:pt idx="565">
                  <c:v>1135.0757394607001</c:v>
                </c:pt>
                <c:pt idx="566">
                  <c:v>1135.0757394607001</c:v>
                </c:pt>
                <c:pt idx="567">
                  <c:v>1135.0757394607001</c:v>
                </c:pt>
                <c:pt idx="568">
                  <c:v>1135.0757394607001</c:v>
                </c:pt>
                <c:pt idx="569">
                  <c:v>1135.0757394607001</c:v>
                </c:pt>
                <c:pt idx="570">
                  <c:v>1135.0757394607001</c:v>
                </c:pt>
                <c:pt idx="571">
                  <c:v>1135.0757394607001</c:v>
                </c:pt>
                <c:pt idx="572">
                  <c:v>1135.0757394607001</c:v>
                </c:pt>
                <c:pt idx="573">
                  <c:v>1135.0757394607001</c:v>
                </c:pt>
                <c:pt idx="574">
                  <c:v>1135.0757394607001</c:v>
                </c:pt>
                <c:pt idx="575">
                  <c:v>1135.0757394607001</c:v>
                </c:pt>
                <c:pt idx="576">
                  <c:v>1135.0757394607001</c:v>
                </c:pt>
                <c:pt idx="577">
                  <c:v>1135.0757394607001</c:v>
                </c:pt>
                <c:pt idx="578">
                  <c:v>1135.0757394607001</c:v>
                </c:pt>
                <c:pt idx="579">
                  <c:v>967.50741375439998</c:v>
                </c:pt>
                <c:pt idx="580">
                  <c:v>967.50741375439998</c:v>
                </c:pt>
                <c:pt idx="581">
                  <c:v>967.50741375439998</c:v>
                </c:pt>
                <c:pt idx="582">
                  <c:v>967.50741375439998</c:v>
                </c:pt>
                <c:pt idx="583">
                  <c:v>967.50741375439998</c:v>
                </c:pt>
                <c:pt idx="584">
                  <c:v>967.50741375439998</c:v>
                </c:pt>
                <c:pt idx="585">
                  <c:v>967.50741375439998</c:v>
                </c:pt>
                <c:pt idx="586">
                  <c:v>967.50741375439998</c:v>
                </c:pt>
                <c:pt idx="587">
                  <c:v>967.50741375439998</c:v>
                </c:pt>
                <c:pt idx="588">
                  <c:v>967.50741375439998</c:v>
                </c:pt>
                <c:pt idx="589">
                  <c:v>967.50741375439998</c:v>
                </c:pt>
                <c:pt idx="590">
                  <c:v>967.50741375439998</c:v>
                </c:pt>
                <c:pt idx="591">
                  <c:v>967.50741375439998</c:v>
                </c:pt>
                <c:pt idx="592">
                  <c:v>967.50741375439998</c:v>
                </c:pt>
                <c:pt idx="593">
                  <c:v>967.50741375439998</c:v>
                </c:pt>
                <c:pt idx="594">
                  <c:v>967.50741375439998</c:v>
                </c:pt>
                <c:pt idx="595">
                  <c:v>967.50741375439998</c:v>
                </c:pt>
                <c:pt idx="596">
                  <c:v>967.50741375439998</c:v>
                </c:pt>
                <c:pt idx="597">
                  <c:v>967.50741375439998</c:v>
                </c:pt>
                <c:pt idx="598">
                  <c:v>967.50741375439998</c:v>
                </c:pt>
                <c:pt idx="599">
                  <c:v>967.50741375439998</c:v>
                </c:pt>
                <c:pt idx="600">
                  <c:v>967.50741375439998</c:v>
                </c:pt>
                <c:pt idx="601">
                  <c:v>967.50741375439998</c:v>
                </c:pt>
                <c:pt idx="602">
                  <c:v>967.50741375439998</c:v>
                </c:pt>
                <c:pt idx="603">
                  <c:v>967.50741375439998</c:v>
                </c:pt>
                <c:pt idx="604">
                  <c:v>967.50741375439998</c:v>
                </c:pt>
                <c:pt idx="605">
                  <c:v>967.50741375439998</c:v>
                </c:pt>
                <c:pt idx="606">
                  <c:v>967.50741375439998</c:v>
                </c:pt>
                <c:pt idx="607">
                  <c:v>967.50741375439998</c:v>
                </c:pt>
                <c:pt idx="608">
                  <c:v>967.50741375439998</c:v>
                </c:pt>
                <c:pt idx="609">
                  <c:v>967.50741375439998</c:v>
                </c:pt>
                <c:pt idx="610">
                  <c:v>967.50741375439998</c:v>
                </c:pt>
                <c:pt idx="611">
                  <c:v>967.50741375439998</c:v>
                </c:pt>
                <c:pt idx="612">
                  <c:v>967.50741375439998</c:v>
                </c:pt>
                <c:pt idx="613">
                  <c:v>967.50741375439998</c:v>
                </c:pt>
                <c:pt idx="614">
                  <c:v>967.50741375439998</c:v>
                </c:pt>
                <c:pt idx="615">
                  <c:v>967.50741375439998</c:v>
                </c:pt>
                <c:pt idx="616">
                  <c:v>967.50741375439998</c:v>
                </c:pt>
                <c:pt idx="617">
                  <c:v>967.50741375439998</c:v>
                </c:pt>
                <c:pt idx="618">
                  <c:v>967.50741375439998</c:v>
                </c:pt>
                <c:pt idx="619">
                  <c:v>967.50741375439998</c:v>
                </c:pt>
                <c:pt idx="620">
                  <c:v>967.50741375439998</c:v>
                </c:pt>
                <c:pt idx="621">
                  <c:v>967.50741375439998</c:v>
                </c:pt>
                <c:pt idx="622">
                  <c:v>967.50741375439998</c:v>
                </c:pt>
                <c:pt idx="623">
                  <c:v>967.50741375439998</c:v>
                </c:pt>
                <c:pt idx="624">
                  <c:v>967.50741375439998</c:v>
                </c:pt>
                <c:pt idx="625">
                  <c:v>967.50741375439998</c:v>
                </c:pt>
                <c:pt idx="626">
                  <c:v>967.50741375439998</c:v>
                </c:pt>
                <c:pt idx="627">
                  <c:v>967.50741375439998</c:v>
                </c:pt>
                <c:pt idx="628">
                  <c:v>967.50741375439998</c:v>
                </c:pt>
                <c:pt idx="629">
                  <c:v>967.50741375439998</c:v>
                </c:pt>
                <c:pt idx="630">
                  <c:v>967.50741375439998</c:v>
                </c:pt>
                <c:pt idx="631">
                  <c:v>967.50741375439998</c:v>
                </c:pt>
                <c:pt idx="632">
                  <c:v>967.50741375439998</c:v>
                </c:pt>
                <c:pt idx="633">
                  <c:v>967.50741375439998</c:v>
                </c:pt>
                <c:pt idx="634">
                  <c:v>967.50741375439998</c:v>
                </c:pt>
                <c:pt idx="635">
                  <c:v>967.50741375439998</c:v>
                </c:pt>
                <c:pt idx="636">
                  <c:v>967.50741375439998</c:v>
                </c:pt>
                <c:pt idx="637">
                  <c:v>967.50741375439998</c:v>
                </c:pt>
                <c:pt idx="638">
                  <c:v>967.50741375439998</c:v>
                </c:pt>
                <c:pt idx="639">
                  <c:v>967.50741375439998</c:v>
                </c:pt>
                <c:pt idx="640">
                  <c:v>967.50741375439998</c:v>
                </c:pt>
                <c:pt idx="641">
                  <c:v>967.50741375439998</c:v>
                </c:pt>
                <c:pt idx="642">
                  <c:v>967.50741375439998</c:v>
                </c:pt>
                <c:pt idx="643">
                  <c:v>967.50741375439998</c:v>
                </c:pt>
                <c:pt idx="644">
                  <c:v>967.50741375439998</c:v>
                </c:pt>
                <c:pt idx="645">
                  <c:v>967.50741375439998</c:v>
                </c:pt>
                <c:pt idx="646">
                  <c:v>967.50741375439998</c:v>
                </c:pt>
                <c:pt idx="647">
                  <c:v>967.50741375439998</c:v>
                </c:pt>
                <c:pt idx="648">
                  <c:v>967.50741375439998</c:v>
                </c:pt>
                <c:pt idx="649">
                  <c:v>967.50741375439998</c:v>
                </c:pt>
                <c:pt idx="650">
                  <c:v>967.50741375439998</c:v>
                </c:pt>
                <c:pt idx="651">
                  <c:v>967.50741375439998</c:v>
                </c:pt>
                <c:pt idx="652">
                  <c:v>967.50741375439998</c:v>
                </c:pt>
                <c:pt idx="653">
                  <c:v>967.50741375439998</c:v>
                </c:pt>
                <c:pt idx="654">
                  <c:v>967.50741375439998</c:v>
                </c:pt>
                <c:pt idx="655">
                  <c:v>967.50741375439998</c:v>
                </c:pt>
                <c:pt idx="656">
                  <c:v>967.50741375439998</c:v>
                </c:pt>
                <c:pt idx="657">
                  <c:v>967.50741375439998</c:v>
                </c:pt>
                <c:pt idx="658">
                  <c:v>967.50741375439998</c:v>
                </c:pt>
                <c:pt idx="659">
                  <c:v>967.50741375439998</c:v>
                </c:pt>
                <c:pt idx="660">
                  <c:v>967.50741375439998</c:v>
                </c:pt>
                <c:pt idx="661">
                  <c:v>967.50741375439998</c:v>
                </c:pt>
                <c:pt idx="662">
                  <c:v>967.50741375439998</c:v>
                </c:pt>
                <c:pt idx="663">
                  <c:v>967.50741375439998</c:v>
                </c:pt>
                <c:pt idx="664">
                  <c:v>967.50741375439998</c:v>
                </c:pt>
                <c:pt idx="665">
                  <c:v>967.50741375439998</c:v>
                </c:pt>
                <c:pt idx="666">
                  <c:v>967.50741375439998</c:v>
                </c:pt>
                <c:pt idx="667">
                  <c:v>967.50741375439998</c:v>
                </c:pt>
                <c:pt idx="668">
                  <c:v>967.50741375439998</c:v>
                </c:pt>
                <c:pt idx="669">
                  <c:v>967.50741375439998</c:v>
                </c:pt>
                <c:pt idx="670">
                  <c:v>967.50741375439998</c:v>
                </c:pt>
                <c:pt idx="671">
                  <c:v>967.50741375439998</c:v>
                </c:pt>
                <c:pt idx="672">
                  <c:v>967.50741375439998</c:v>
                </c:pt>
                <c:pt idx="673">
                  <c:v>967.50741375439998</c:v>
                </c:pt>
                <c:pt idx="674">
                  <c:v>967.50741375439998</c:v>
                </c:pt>
                <c:pt idx="675">
                  <c:v>967.50741375439998</c:v>
                </c:pt>
                <c:pt idx="676">
                  <c:v>967.50741375439998</c:v>
                </c:pt>
                <c:pt idx="677">
                  <c:v>967.50741375439998</c:v>
                </c:pt>
                <c:pt idx="678">
                  <c:v>967.50741375439998</c:v>
                </c:pt>
                <c:pt idx="679">
                  <c:v>967.50741375439998</c:v>
                </c:pt>
                <c:pt idx="680">
                  <c:v>967.50741375439998</c:v>
                </c:pt>
                <c:pt idx="681">
                  <c:v>967.50741375439998</c:v>
                </c:pt>
                <c:pt idx="682">
                  <c:v>967.50741375439998</c:v>
                </c:pt>
                <c:pt idx="683">
                  <c:v>967.50741375439998</c:v>
                </c:pt>
                <c:pt idx="684">
                  <c:v>967.50741375439998</c:v>
                </c:pt>
                <c:pt idx="685">
                  <c:v>967.50741375439998</c:v>
                </c:pt>
                <c:pt idx="686">
                  <c:v>967.50741375439998</c:v>
                </c:pt>
                <c:pt idx="687">
                  <c:v>967.50741375439998</c:v>
                </c:pt>
                <c:pt idx="688">
                  <c:v>967.50741375439998</c:v>
                </c:pt>
                <c:pt idx="689">
                  <c:v>967.50741375439998</c:v>
                </c:pt>
                <c:pt idx="690">
                  <c:v>967.50741375439998</c:v>
                </c:pt>
                <c:pt idx="691">
                  <c:v>967.50741375439998</c:v>
                </c:pt>
                <c:pt idx="692">
                  <c:v>967.50741375439998</c:v>
                </c:pt>
                <c:pt idx="693">
                  <c:v>967.50741375439998</c:v>
                </c:pt>
                <c:pt idx="694">
                  <c:v>967.50741375439998</c:v>
                </c:pt>
                <c:pt idx="695">
                  <c:v>967.50741375439998</c:v>
                </c:pt>
                <c:pt idx="696">
                  <c:v>967.50741375439998</c:v>
                </c:pt>
                <c:pt idx="697">
                  <c:v>967.50741375439998</c:v>
                </c:pt>
                <c:pt idx="698">
                  <c:v>967.50741375439998</c:v>
                </c:pt>
                <c:pt idx="699">
                  <c:v>967.50741375439998</c:v>
                </c:pt>
                <c:pt idx="700">
                  <c:v>967.50741375439998</c:v>
                </c:pt>
                <c:pt idx="701">
                  <c:v>967.50741375439998</c:v>
                </c:pt>
                <c:pt idx="702">
                  <c:v>967.50741375439998</c:v>
                </c:pt>
                <c:pt idx="703">
                  <c:v>967.50741375439998</c:v>
                </c:pt>
                <c:pt idx="704">
                  <c:v>967.50741375439998</c:v>
                </c:pt>
                <c:pt idx="705">
                  <c:v>967.50741375439998</c:v>
                </c:pt>
                <c:pt idx="706">
                  <c:v>967.50741375439998</c:v>
                </c:pt>
                <c:pt idx="707">
                  <c:v>967.50741375439998</c:v>
                </c:pt>
                <c:pt idx="708">
                  <c:v>967.50741375439998</c:v>
                </c:pt>
                <c:pt idx="709">
                  <c:v>967.50741375439998</c:v>
                </c:pt>
                <c:pt idx="710">
                  <c:v>967.50741375439998</c:v>
                </c:pt>
                <c:pt idx="711">
                  <c:v>967.50741375439998</c:v>
                </c:pt>
                <c:pt idx="712">
                  <c:v>967.50741375439998</c:v>
                </c:pt>
                <c:pt idx="713">
                  <c:v>967.50741375439998</c:v>
                </c:pt>
                <c:pt idx="714">
                  <c:v>967.50741375439998</c:v>
                </c:pt>
                <c:pt idx="715">
                  <c:v>967.50741375439998</c:v>
                </c:pt>
                <c:pt idx="716">
                  <c:v>967.50741375439998</c:v>
                </c:pt>
                <c:pt idx="717">
                  <c:v>967.50741375439998</c:v>
                </c:pt>
                <c:pt idx="718">
                  <c:v>967.50741375439998</c:v>
                </c:pt>
                <c:pt idx="719">
                  <c:v>967.50741375439998</c:v>
                </c:pt>
                <c:pt idx="720">
                  <c:v>967.50741375439998</c:v>
                </c:pt>
                <c:pt idx="721">
                  <c:v>967.50741375439998</c:v>
                </c:pt>
                <c:pt idx="722">
                  <c:v>967.50741375439998</c:v>
                </c:pt>
                <c:pt idx="723">
                  <c:v>967.50741375439998</c:v>
                </c:pt>
                <c:pt idx="724">
                  <c:v>967.50741375439998</c:v>
                </c:pt>
                <c:pt idx="725">
                  <c:v>967.50741375439998</c:v>
                </c:pt>
                <c:pt idx="726">
                  <c:v>967.50741375439998</c:v>
                </c:pt>
                <c:pt idx="727">
                  <c:v>967.50741375439998</c:v>
                </c:pt>
                <c:pt idx="728">
                  <c:v>967.50741375439998</c:v>
                </c:pt>
                <c:pt idx="729">
                  <c:v>967.50741375439998</c:v>
                </c:pt>
                <c:pt idx="730">
                  <c:v>967.50741375439998</c:v>
                </c:pt>
                <c:pt idx="731">
                  <c:v>967.50741375439998</c:v>
                </c:pt>
                <c:pt idx="732">
                  <c:v>967.50741375439998</c:v>
                </c:pt>
                <c:pt idx="733">
                  <c:v>967.50741375439998</c:v>
                </c:pt>
                <c:pt idx="734">
                  <c:v>967.50741375439998</c:v>
                </c:pt>
                <c:pt idx="735">
                  <c:v>967.50741375439998</c:v>
                </c:pt>
                <c:pt idx="736">
                  <c:v>967.50741375439998</c:v>
                </c:pt>
                <c:pt idx="737">
                  <c:v>967.50741375439998</c:v>
                </c:pt>
                <c:pt idx="738">
                  <c:v>967.50741375439998</c:v>
                </c:pt>
                <c:pt idx="739">
                  <c:v>967.50741375439998</c:v>
                </c:pt>
                <c:pt idx="740">
                  <c:v>967.50741375439998</c:v>
                </c:pt>
                <c:pt idx="741">
                  <c:v>967.50741375439998</c:v>
                </c:pt>
                <c:pt idx="742">
                  <c:v>967.50741375439998</c:v>
                </c:pt>
                <c:pt idx="743">
                  <c:v>967.50741375439998</c:v>
                </c:pt>
                <c:pt idx="744">
                  <c:v>967.50741375439998</c:v>
                </c:pt>
                <c:pt idx="745">
                  <c:v>967.50741375439998</c:v>
                </c:pt>
                <c:pt idx="746">
                  <c:v>967.50741375439998</c:v>
                </c:pt>
                <c:pt idx="747">
                  <c:v>967.50741375439998</c:v>
                </c:pt>
                <c:pt idx="748">
                  <c:v>967.50741375439998</c:v>
                </c:pt>
                <c:pt idx="749">
                  <c:v>967.50741375439998</c:v>
                </c:pt>
                <c:pt idx="750">
                  <c:v>967.50741375439998</c:v>
                </c:pt>
                <c:pt idx="751">
                  <c:v>967.50741375439998</c:v>
                </c:pt>
                <c:pt idx="752">
                  <c:v>967.50741375439998</c:v>
                </c:pt>
                <c:pt idx="753">
                  <c:v>967.50741375439998</c:v>
                </c:pt>
                <c:pt idx="754">
                  <c:v>967.50741375439998</c:v>
                </c:pt>
                <c:pt idx="755">
                  <c:v>967.50741375439998</c:v>
                </c:pt>
                <c:pt idx="756">
                  <c:v>967.50741375439998</c:v>
                </c:pt>
                <c:pt idx="757">
                  <c:v>967.50741375439998</c:v>
                </c:pt>
                <c:pt idx="758">
                  <c:v>967.50741375439998</c:v>
                </c:pt>
                <c:pt idx="759">
                  <c:v>967.50741375439998</c:v>
                </c:pt>
                <c:pt idx="760">
                  <c:v>967.50741375439998</c:v>
                </c:pt>
                <c:pt idx="761">
                  <c:v>967.50741375439998</c:v>
                </c:pt>
                <c:pt idx="762">
                  <c:v>967.50741375439998</c:v>
                </c:pt>
                <c:pt idx="763">
                  <c:v>967.50741375439998</c:v>
                </c:pt>
                <c:pt idx="764">
                  <c:v>967.50741375439998</c:v>
                </c:pt>
                <c:pt idx="765">
                  <c:v>967.50741375439998</c:v>
                </c:pt>
                <c:pt idx="766">
                  <c:v>967.50741375439998</c:v>
                </c:pt>
                <c:pt idx="767">
                  <c:v>967.50741375439998</c:v>
                </c:pt>
                <c:pt idx="768">
                  <c:v>967.50741375439998</c:v>
                </c:pt>
                <c:pt idx="769">
                  <c:v>967.50741375439998</c:v>
                </c:pt>
                <c:pt idx="770">
                  <c:v>967.50741375439998</c:v>
                </c:pt>
                <c:pt idx="771">
                  <c:v>967.50741375439998</c:v>
                </c:pt>
                <c:pt idx="772">
                  <c:v>967.50741375439998</c:v>
                </c:pt>
                <c:pt idx="773">
                  <c:v>967.50741375439998</c:v>
                </c:pt>
                <c:pt idx="774">
                  <c:v>967.50741375439998</c:v>
                </c:pt>
                <c:pt idx="775">
                  <c:v>967.50741375439998</c:v>
                </c:pt>
                <c:pt idx="776">
                  <c:v>967.50741375439998</c:v>
                </c:pt>
                <c:pt idx="777">
                  <c:v>967.50741375439998</c:v>
                </c:pt>
                <c:pt idx="778">
                  <c:v>967.50741375439998</c:v>
                </c:pt>
                <c:pt idx="779">
                  <c:v>967.50741375439998</c:v>
                </c:pt>
                <c:pt idx="780">
                  <c:v>967.50741375439998</c:v>
                </c:pt>
                <c:pt idx="781">
                  <c:v>967.50741375439998</c:v>
                </c:pt>
                <c:pt idx="782">
                  <c:v>967.50741375439998</c:v>
                </c:pt>
                <c:pt idx="783">
                  <c:v>967.50741375439998</c:v>
                </c:pt>
                <c:pt idx="784">
                  <c:v>967.50741375439998</c:v>
                </c:pt>
                <c:pt idx="785">
                  <c:v>967.50741375439998</c:v>
                </c:pt>
                <c:pt idx="786">
                  <c:v>967.50741375439998</c:v>
                </c:pt>
                <c:pt idx="787">
                  <c:v>967.50741375439998</c:v>
                </c:pt>
                <c:pt idx="788">
                  <c:v>967.50741375439998</c:v>
                </c:pt>
                <c:pt idx="789">
                  <c:v>967.50741375439998</c:v>
                </c:pt>
                <c:pt idx="790">
                  <c:v>967.50741375439998</c:v>
                </c:pt>
                <c:pt idx="791">
                  <c:v>967.50741375439998</c:v>
                </c:pt>
                <c:pt idx="792">
                  <c:v>967.50741375439998</c:v>
                </c:pt>
                <c:pt idx="793">
                  <c:v>967.50741375439998</c:v>
                </c:pt>
                <c:pt idx="794">
                  <c:v>967.50741375439998</c:v>
                </c:pt>
                <c:pt idx="795">
                  <c:v>967.50741375439998</c:v>
                </c:pt>
                <c:pt idx="796">
                  <c:v>967.50741375439998</c:v>
                </c:pt>
                <c:pt idx="797">
                  <c:v>967.50741375439998</c:v>
                </c:pt>
                <c:pt idx="798">
                  <c:v>967.50741375439998</c:v>
                </c:pt>
                <c:pt idx="799">
                  <c:v>967.50741375439998</c:v>
                </c:pt>
                <c:pt idx="800">
                  <c:v>967.50741375439998</c:v>
                </c:pt>
                <c:pt idx="801">
                  <c:v>967.50741375439998</c:v>
                </c:pt>
                <c:pt idx="802">
                  <c:v>967.50741375439998</c:v>
                </c:pt>
                <c:pt idx="803">
                  <c:v>967.50741375439998</c:v>
                </c:pt>
                <c:pt idx="804">
                  <c:v>967.50741375439998</c:v>
                </c:pt>
                <c:pt idx="805">
                  <c:v>967.50741375439998</c:v>
                </c:pt>
                <c:pt idx="806">
                  <c:v>967.50741375439998</c:v>
                </c:pt>
                <c:pt idx="807">
                  <c:v>967.50741375439998</c:v>
                </c:pt>
                <c:pt idx="808">
                  <c:v>967.50741375439998</c:v>
                </c:pt>
                <c:pt idx="809">
                  <c:v>967.50741375439998</c:v>
                </c:pt>
                <c:pt idx="810">
                  <c:v>967.50741375439998</c:v>
                </c:pt>
                <c:pt idx="811">
                  <c:v>967.50741375439998</c:v>
                </c:pt>
                <c:pt idx="812">
                  <c:v>967.50741375439998</c:v>
                </c:pt>
                <c:pt idx="813">
                  <c:v>967.50741375439998</c:v>
                </c:pt>
                <c:pt idx="814">
                  <c:v>967.50741375439998</c:v>
                </c:pt>
                <c:pt idx="815">
                  <c:v>967.50741375439998</c:v>
                </c:pt>
                <c:pt idx="816">
                  <c:v>967.50741375439998</c:v>
                </c:pt>
                <c:pt idx="817">
                  <c:v>967.50741375439998</c:v>
                </c:pt>
                <c:pt idx="818">
                  <c:v>967.50741375439998</c:v>
                </c:pt>
                <c:pt idx="819">
                  <c:v>967.50741375439998</c:v>
                </c:pt>
                <c:pt idx="820">
                  <c:v>967.50741375439998</c:v>
                </c:pt>
                <c:pt idx="821">
                  <c:v>967.50741375439998</c:v>
                </c:pt>
                <c:pt idx="822">
                  <c:v>967.50741375439998</c:v>
                </c:pt>
                <c:pt idx="823">
                  <c:v>967.50741375439998</c:v>
                </c:pt>
                <c:pt idx="824">
                  <c:v>967.50741375439998</c:v>
                </c:pt>
                <c:pt idx="825">
                  <c:v>967.50741375439998</c:v>
                </c:pt>
                <c:pt idx="826">
                  <c:v>967.50741375439998</c:v>
                </c:pt>
                <c:pt idx="827">
                  <c:v>967.50741375439998</c:v>
                </c:pt>
                <c:pt idx="828">
                  <c:v>967.50741375439998</c:v>
                </c:pt>
                <c:pt idx="829">
                  <c:v>967.50741375439998</c:v>
                </c:pt>
                <c:pt idx="830">
                  <c:v>967.50741375439998</c:v>
                </c:pt>
                <c:pt idx="831">
                  <c:v>967.50741375439998</c:v>
                </c:pt>
                <c:pt idx="832">
                  <c:v>967.50741375439998</c:v>
                </c:pt>
                <c:pt idx="833">
                  <c:v>967.50741375439998</c:v>
                </c:pt>
                <c:pt idx="834">
                  <c:v>967.50741375439998</c:v>
                </c:pt>
                <c:pt idx="835">
                  <c:v>967.50741375439998</c:v>
                </c:pt>
                <c:pt idx="836">
                  <c:v>967.50741375439998</c:v>
                </c:pt>
                <c:pt idx="837">
                  <c:v>967.50741375439998</c:v>
                </c:pt>
                <c:pt idx="838">
                  <c:v>967.50741375439998</c:v>
                </c:pt>
                <c:pt idx="839">
                  <c:v>967.50741375439998</c:v>
                </c:pt>
                <c:pt idx="840">
                  <c:v>967.50741375439998</c:v>
                </c:pt>
                <c:pt idx="841">
                  <c:v>967.50741375439998</c:v>
                </c:pt>
                <c:pt idx="842">
                  <c:v>967.50741375439998</c:v>
                </c:pt>
                <c:pt idx="843">
                  <c:v>967.50741375439998</c:v>
                </c:pt>
                <c:pt idx="844">
                  <c:v>967.50741375439998</c:v>
                </c:pt>
                <c:pt idx="845">
                  <c:v>967.50741375439998</c:v>
                </c:pt>
                <c:pt idx="846">
                  <c:v>967.50741375439998</c:v>
                </c:pt>
                <c:pt idx="847">
                  <c:v>967.50741375439998</c:v>
                </c:pt>
                <c:pt idx="848">
                  <c:v>967.50741375439998</c:v>
                </c:pt>
                <c:pt idx="849">
                  <c:v>967.50741375439998</c:v>
                </c:pt>
                <c:pt idx="850">
                  <c:v>967.50741375439998</c:v>
                </c:pt>
                <c:pt idx="851">
                  <c:v>967.50741375439998</c:v>
                </c:pt>
                <c:pt idx="852">
                  <c:v>967.50741375439998</c:v>
                </c:pt>
                <c:pt idx="853">
                  <c:v>967.50741375439998</c:v>
                </c:pt>
                <c:pt idx="854">
                  <c:v>967.50741375439998</c:v>
                </c:pt>
                <c:pt idx="855">
                  <c:v>967.50741375439998</c:v>
                </c:pt>
                <c:pt idx="856">
                  <c:v>967.50741375439998</c:v>
                </c:pt>
                <c:pt idx="857">
                  <c:v>967.50741375439998</c:v>
                </c:pt>
                <c:pt idx="858">
                  <c:v>967.50741375439998</c:v>
                </c:pt>
                <c:pt idx="859">
                  <c:v>967.50741375439998</c:v>
                </c:pt>
                <c:pt idx="860">
                  <c:v>967.50741375439998</c:v>
                </c:pt>
                <c:pt idx="861">
                  <c:v>967.50741375439998</c:v>
                </c:pt>
                <c:pt idx="862">
                  <c:v>967.50741375439998</c:v>
                </c:pt>
                <c:pt idx="863">
                  <c:v>967.50741375439998</c:v>
                </c:pt>
                <c:pt idx="864">
                  <c:v>967.50741375439998</c:v>
                </c:pt>
                <c:pt idx="865">
                  <c:v>967.50741375439998</c:v>
                </c:pt>
                <c:pt idx="866">
                  <c:v>967.50741375439998</c:v>
                </c:pt>
                <c:pt idx="867">
                  <c:v>967.50741375439998</c:v>
                </c:pt>
                <c:pt idx="868">
                  <c:v>967.50741375439998</c:v>
                </c:pt>
                <c:pt idx="869">
                  <c:v>967.50741375439998</c:v>
                </c:pt>
                <c:pt idx="870">
                  <c:v>967.50741375439998</c:v>
                </c:pt>
                <c:pt idx="871">
                  <c:v>967.50741375439998</c:v>
                </c:pt>
                <c:pt idx="872">
                  <c:v>967.50741375439998</c:v>
                </c:pt>
                <c:pt idx="873">
                  <c:v>967.50741375439998</c:v>
                </c:pt>
                <c:pt idx="874">
                  <c:v>967.50741375439998</c:v>
                </c:pt>
                <c:pt idx="875">
                  <c:v>967.50741375439998</c:v>
                </c:pt>
                <c:pt idx="876">
                  <c:v>967.50741375439998</c:v>
                </c:pt>
                <c:pt idx="877">
                  <c:v>967.50741375439998</c:v>
                </c:pt>
                <c:pt idx="878">
                  <c:v>967.50741375439998</c:v>
                </c:pt>
                <c:pt idx="879">
                  <c:v>967.50741375439998</c:v>
                </c:pt>
                <c:pt idx="880">
                  <c:v>967.50741375439998</c:v>
                </c:pt>
                <c:pt idx="881">
                  <c:v>967.50741375439998</c:v>
                </c:pt>
                <c:pt idx="882">
                  <c:v>967.50741375439998</c:v>
                </c:pt>
                <c:pt idx="883">
                  <c:v>967.50741375439998</c:v>
                </c:pt>
                <c:pt idx="884">
                  <c:v>967.50741375439998</c:v>
                </c:pt>
                <c:pt idx="885">
                  <c:v>967.50741375439998</c:v>
                </c:pt>
                <c:pt idx="886">
                  <c:v>967.50741375439998</c:v>
                </c:pt>
                <c:pt idx="887">
                  <c:v>967.50741375439998</c:v>
                </c:pt>
                <c:pt idx="888">
                  <c:v>967.50741375439998</c:v>
                </c:pt>
                <c:pt idx="889">
                  <c:v>967.50741375439998</c:v>
                </c:pt>
                <c:pt idx="890">
                  <c:v>967.50741375439998</c:v>
                </c:pt>
                <c:pt idx="891">
                  <c:v>967.50741375439998</c:v>
                </c:pt>
                <c:pt idx="892">
                  <c:v>967.50741375439998</c:v>
                </c:pt>
                <c:pt idx="893">
                  <c:v>967.50741375439998</c:v>
                </c:pt>
                <c:pt idx="894">
                  <c:v>967.50741375439998</c:v>
                </c:pt>
                <c:pt idx="895">
                  <c:v>967.50741375439998</c:v>
                </c:pt>
                <c:pt idx="896">
                  <c:v>967.50741375439998</c:v>
                </c:pt>
                <c:pt idx="897">
                  <c:v>967.50741375439998</c:v>
                </c:pt>
                <c:pt idx="898">
                  <c:v>967.50741375439998</c:v>
                </c:pt>
                <c:pt idx="899">
                  <c:v>967.50741375439998</c:v>
                </c:pt>
                <c:pt idx="900">
                  <c:v>967.50741375439998</c:v>
                </c:pt>
                <c:pt idx="901">
                  <c:v>967.50741375439998</c:v>
                </c:pt>
                <c:pt idx="902">
                  <c:v>967.50741375439998</c:v>
                </c:pt>
                <c:pt idx="903">
                  <c:v>967.50741375439998</c:v>
                </c:pt>
                <c:pt idx="904">
                  <c:v>967.50741375439998</c:v>
                </c:pt>
                <c:pt idx="905">
                  <c:v>967.50741375439998</c:v>
                </c:pt>
                <c:pt idx="906">
                  <c:v>967.50741375439998</c:v>
                </c:pt>
                <c:pt idx="907">
                  <c:v>967.50741375439998</c:v>
                </c:pt>
                <c:pt idx="908">
                  <c:v>967.50741375439998</c:v>
                </c:pt>
                <c:pt idx="909">
                  <c:v>967.50741375439998</c:v>
                </c:pt>
                <c:pt idx="910">
                  <c:v>967.50741375439998</c:v>
                </c:pt>
                <c:pt idx="911">
                  <c:v>967.50741375439998</c:v>
                </c:pt>
                <c:pt idx="912">
                  <c:v>967.50741375439998</c:v>
                </c:pt>
                <c:pt idx="913">
                  <c:v>967.50741375439998</c:v>
                </c:pt>
                <c:pt idx="914">
                  <c:v>967.50741375439998</c:v>
                </c:pt>
                <c:pt idx="915">
                  <c:v>967.50741375439998</c:v>
                </c:pt>
                <c:pt idx="916">
                  <c:v>967.50741375439998</c:v>
                </c:pt>
                <c:pt idx="917">
                  <c:v>967.50741375439998</c:v>
                </c:pt>
                <c:pt idx="918">
                  <c:v>967.50741375439998</c:v>
                </c:pt>
                <c:pt idx="919">
                  <c:v>967.50741375439998</c:v>
                </c:pt>
                <c:pt idx="920">
                  <c:v>967.50741375439998</c:v>
                </c:pt>
                <c:pt idx="921">
                  <c:v>967.50741375439998</c:v>
                </c:pt>
                <c:pt idx="922">
                  <c:v>967.50741375439998</c:v>
                </c:pt>
                <c:pt idx="923">
                  <c:v>967.50741375439998</c:v>
                </c:pt>
                <c:pt idx="924">
                  <c:v>967.50741375439998</c:v>
                </c:pt>
                <c:pt idx="925">
                  <c:v>967.50741375439998</c:v>
                </c:pt>
                <c:pt idx="926">
                  <c:v>967.50741375439998</c:v>
                </c:pt>
                <c:pt idx="927">
                  <c:v>967.50741375439998</c:v>
                </c:pt>
                <c:pt idx="928">
                  <c:v>967.50741375439998</c:v>
                </c:pt>
                <c:pt idx="929">
                  <c:v>967.50741375439998</c:v>
                </c:pt>
                <c:pt idx="930">
                  <c:v>967.50741375439998</c:v>
                </c:pt>
                <c:pt idx="931">
                  <c:v>967.50741375439998</c:v>
                </c:pt>
                <c:pt idx="932">
                  <c:v>967.50741375439998</c:v>
                </c:pt>
                <c:pt idx="933">
                  <c:v>967.50741375439998</c:v>
                </c:pt>
                <c:pt idx="934">
                  <c:v>967.50741375439998</c:v>
                </c:pt>
                <c:pt idx="935">
                  <c:v>967.50741375439998</c:v>
                </c:pt>
                <c:pt idx="936">
                  <c:v>967.50741375439998</c:v>
                </c:pt>
                <c:pt idx="937">
                  <c:v>967.50741375439998</c:v>
                </c:pt>
                <c:pt idx="938">
                  <c:v>967.50741375439998</c:v>
                </c:pt>
                <c:pt idx="939">
                  <c:v>967.50741375439998</c:v>
                </c:pt>
                <c:pt idx="940">
                  <c:v>967.50741375439998</c:v>
                </c:pt>
                <c:pt idx="941">
                  <c:v>967.50741375439998</c:v>
                </c:pt>
                <c:pt idx="942">
                  <c:v>967.50741375439998</c:v>
                </c:pt>
                <c:pt idx="943">
                  <c:v>967.50741375439998</c:v>
                </c:pt>
                <c:pt idx="944">
                  <c:v>776.37149368779899</c:v>
                </c:pt>
                <c:pt idx="945">
                  <c:v>776.37149368779899</c:v>
                </c:pt>
                <c:pt idx="946">
                  <c:v>776.37149368779899</c:v>
                </c:pt>
                <c:pt idx="947">
                  <c:v>776.37149368779899</c:v>
                </c:pt>
                <c:pt idx="948">
                  <c:v>776.37149368779899</c:v>
                </c:pt>
                <c:pt idx="949">
                  <c:v>776.37149368779899</c:v>
                </c:pt>
                <c:pt idx="950">
                  <c:v>776.37149368779899</c:v>
                </c:pt>
                <c:pt idx="951">
                  <c:v>776.37149368779899</c:v>
                </c:pt>
                <c:pt idx="952">
                  <c:v>776.37149368779899</c:v>
                </c:pt>
                <c:pt idx="953">
                  <c:v>776.37149368779899</c:v>
                </c:pt>
                <c:pt idx="954">
                  <c:v>776.37149368779899</c:v>
                </c:pt>
                <c:pt idx="955">
                  <c:v>776.37149368779899</c:v>
                </c:pt>
                <c:pt idx="956">
                  <c:v>776.37149368779899</c:v>
                </c:pt>
                <c:pt idx="957">
                  <c:v>776.37149368779899</c:v>
                </c:pt>
                <c:pt idx="958">
                  <c:v>776.37149368779899</c:v>
                </c:pt>
                <c:pt idx="959">
                  <c:v>776.37149368779899</c:v>
                </c:pt>
                <c:pt idx="960">
                  <c:v>776.37149368779899</c:v>
                </c:pt>
                <c:pt idx="961">
                  <c:v>776.37149368779899</c:v>
                </c:pt>
                <c:pt idx="962">
                  <c:v>776.37149368779899</c:v>
                </c:pt>
                <c:pt idx="963">
                  <c:v>776.37149368779899</c:v>
                </c:pt>
                <c:pt idx="964">
                  <c:v>776.37149368779899</c:v>
                </c:pt>
                <c:pt idx="965">
                  <c:v>776.37149368779899</c:v>
                </c:pt>
                <c:pt idx="966">
                  <c:v>776.37149368779899</c:v>
                </c:pt>
                <c:pt idx="967">
                  <c:v>776.37149368779899</c:v>
                </c:pt>
                <c:pt idx="968">
                  <c:v>776.37149368779899</c:v>
                </c:pt>
                <c:pt idx="969">
                  <c:v>776.37149368779899</c:v>
                </c:pt>
                <c:pt idx="970">
                  <c:v>776.37149368779899</c:v>
                </c:pt>
                <c:pt idx="971">
                  <c:v>776.37149368779899</c:v>
                </c:pt>
                <c:pt idx="972">
                  <c:v>776.37149368779899</c:v>
                </c:pt>
                <c:pt idx="973">
                  <c:v>776.37149368779899</c:v>
                </c:pt>
                <c:pt idx="974">
                  <c:v>776.37149368779899</c:v>
                </c:pt>
                <c:pt idx="975">
                  <c:v>776.37149368779899</c:v>
                </c:pt>
                <c:pt idx="976">
                  <c:v>776.37149368779899</c:v>
                </c:pt>
                <c:pt idx="977">
                  <c:v>776.37149368779899</c:v>
                </c:pt>
                <c:pt idx="978">
                  <c:v>776.37149368779899</c:v>
                </c:pt>
                <c:pt idx="979">
                  <c:v>776.37149368779899</c:v>
                </c:pt>
                <c:pt idx="980">
                  <c:v>776.37149368779899</c:v>
                </c:pt>
                <c:pt idx="981">
                  <c:v>776.37149368779899</c:v>
                </c:pt>
                <c:pt idx="982">
                  <c:v>776.37149368779899</c:v>
                </c:pt>
                <c:pt idx="983">
                  <c:v>776.37149368779899</c:v>
                </c:pt>
                <c:pt idx="984">
                  <c:v>776.37149368779899</c:v>
                </c:pt>
                <c:pt idx="985">
                  <c:v>776.37149368779899</c:v>
                </c:pt>
                <c:pt idx="986">
                  <c:v>776.37149368779899</c:v>
                </c:pt>
                <c:pt idx="987">
                  <c:v>776.37149368779899</c:v>
                </c:pt>
                <c:pt idx="988">
                  <c:v>776.37149368779899</c:v>
                </c:pt>
                <c:pt idx="989">
                  <c:v>776.37149368779899</c:v>
                </c:pt>
                <c:pt idx="990">
                  <c:v>776.37149368779899</c:v>
                </c:pt>
                <c:pt idx="991">
                  <c:v>776.37149368779899</c:v>
                </c:pt>
                <c:pt idx="992">
                  <c:v>776.37149368779899</c:v>
                </c:pt>
                <c:pt idx="993">
                  <c:v>776.37149368779899</c:v>
                </c:pt>
                <c:pt idx="994">
                  <c:v>776.37149368779899</c:v>
                </c:pt>
                <c:pt idx="995">
                  <c:v>776.37149368779899</c:v>
                </c:pt>
                <c:pt idx="996">
                  <c:v>776.37149368779899</c:v>
                </c:pt>
                <c:pt idx="997">
                  <c:v>776.37149368779899</c:v>
                </c:pt>
                <c:pt idx="998">
                  <c:v>776.37149368779899</c:v>
                </c:pt>
                <c:pt idx="999">
                  <c:v>776.37149368779899</c:v>
                </c:pt>
                <c:pt idx="1000">
                  <c:v>776.37149368779899</c:v>
                </c:pt>
                <c:pt idx="1001">
                  <c:v>776.37149368779899</c:v>
                </c:pt>
                <c:pt idx="1002">
                  <c:v>776.37149368779899</c:v>
                </c:pt>
                <c:pt idx="1003">
                  <c:v>776.37149368779899</c:v>
                </c:pt>
                <c:pt idx="1004">
                  <c:v>776.37149368779899</c:v>
                </c:pt>
                <c:pt idx="1005">
                  <c:v>776.37149368779899</c:v>
                </c:pt>
                <c:pt idx="1006">
                  <c:v>776.37149368779899</c:v>
                </c:pt>
                <c:pt idx="1007">
                  <c:v>776.37149368779899</c:v>
                </c:pt>
                <c:pt idx="1008">
                  <c:v>776.37149368779899</c:v>
                </c:pt>
                <c:pt idx="1009">
                  <c:v>776.37149368779899</c:v>
                </c:pt>
                <c:pt idx="1010">
                  <c:v>776.37149368779899</c:v>
                </c:pt>
                <c:pt idx="1011">
                  <c:v>776.37149368779899</c:v>
                </c:pt>
                <c:pt idx="1012">
                  <c:v>776.37149368779899</c:v>
                </c:pt>
                <c:pt idx="1013">
                  <c:v>776.37149368779899</c:v>
                </c:pt>
                <c:pt idx="1014">
                  <c:v>776.37149368779899</c:v>
                </c:pt>
                <c:pt idx="1015">
                  <c:v>776.37149368779899</c:v>
                </c:pt>
                <c:pt idx="1016">
                  <c:v>776.37149368779899</c:v>
                </c:pt>
                <c:pt idx="1017">
                  <c:v>776.37149368779899</c:v>
                </c:pt>
                <c:pt idx="1018">
                  <c:v>776.37149368779899</c:v>
                </c:pt>
                <c:pt idx="1019">
                  <c:v>776.37149368779899</c:v>
                </c:pt>
                <c:pt idx="1020">
                  <c:v>776.37149368779899</c:v>
                </c:pt>
                <c:pt idx="1021">
                  <c:v>776.37149368779899</c:v>
                </c:pt>
                <c:pt idx="1022">
                  <c:v>776.37149368779899</c:v>
                </c:pt>
                <c:pt idx="1023">
                  <c:v>776.37149368779899</c:v>
                </c:pt>
                <c:pt idx="1024">
                  <c:v>776.37149368779899</c:v>
                </c:pt>
                <c:pt idx="1025">
                  <c:v>776.37149368779899</c:v>
                </c:pt>
                <c:pt idx="1026">
                  <c:v>776.37149368779899</c:v>
                </c:pt>
                <c:pt idx="1027">
                  <c:v>776.37149368779899</c:v>
                </c:pt>
                <c:pt idx="1028">
                  <c:v>776.37149368779899</c:v>
                </c:pt>
                <c:pt idx="1029">
                  <c:v>776.37149368779899</c:v>
                </c:pt>
                <c:pt idx="1030">
                  <c:v>776.37149368779899</c:v>
                </c:pt>
                <c:pt idx="1031">
                  <c:v>776.37149368779899</c:v>
                </c:pt>
                <c:pt idx="1032">
                  <c:v>776.37149368779899</c:v>
                </c:pt>
                <c:pt idx="1033">
                  <c:v>776.37149368779899</c:v>
                </c:pt>
                <c:pt idx="1034">
                  <c:v>776.37149368779899</c:v>
                </c:pt>
                <c:pt idx="1035">
                  <c:v>776.37149368779899</c:v>
                </c:pt>
                <c:pt idx="1036">
                  <c:v>776.37149368779899</c:v>
                </c:pt>
                <c:pt idx="1037">
                  <c:v>776.37149368779899</c:v>
                </c:pt>
                <c:pt idx="1038">
                  <c:v>776.37149368779899</c:v>
                </c:pt>
                <c:pt idx="1039">
                  <c:v>776.37149368779899</c:v>
                </c:pt>
                <c:pt idx="1040">
                  <c:v>776.37149368779899</c:v>
                </c:pt>
                <c:pt idx="1041">
                  <c:v>776.37149368779899</c:v>
                </c:pt>
                <c:pt idx="1042">
                  <c:v>776.37149368779899</c:v>
                </c:pt>
                <c:pt idx="1043">
                  <c:v>776.37149368779899</c:v>
                </c:pt>
                <c:pt idx="1044">
                  <c:v>776.37149368779899</c:v>
                </c:pt>
                <c:pt idx="1045">
                  <c:v>776.37149368779899</c:v>
                </c:pt>
                <c:pt idx="1046">
                  <c:v>776.37149368779899</c:v>
                </c:pt>
                <c:pt idx="1047">
                  <c:v>776.37149368779899</c:v>
                </c:pt>
                <c:pt idx="1048">
                  <c:v>776.37149368779899</c:v>
                </c:pt>
                <c:pt idx="1049">
                  <c:v>776.37149368779899</c:v>
                </c:pt>
                <c:pt idx="1050">
                  <c:v>776.37149368779899</c:v>
                </c:pt>
                <c:pt idx="1051">
                  <c:v>776.37149368779899</c:v>
                </c:pt>
                <c:pt idx="1052">
                  <c:v>776.37149368779899</c:v>
                </c:pt>
                <c:pt idx="1053">
                  <c:v>776.37149368779899</c:v>
                </c:pt>
                <c:pt idx="1054">
                  <c:v>776.37149368779899</c:v>
                </c:pt>
                <c:pt idx="1055">
                  <c:v>776.37149368779899</c:v>
                </c:pt>
                <c:pt idx="1056">
                  <c:v>776.37149368779899</c:v>
                </c:pt>
                <c:pt idx="1057">
                  <c:v>776.37149368779899</c:v>
                </c:pt>
                <c:pt idx="1058">
                  <c:v>776.37149368779899</c:v>
                </c:pt>
                <c:pt idx="1059">
                  <c:v>776.37149368779899</c:v>
                </c:pt>
                <c:pt idx="1060">
                  <c:v>776.37149368779899</c:v>
                </c:pt>
                <c:pt idx="1061">
                  <c:v>776.37149368779899</c:v>
                </c:pt>
                <c:pt idx="1062">
                  <c:v>776.37149368779899</c:v>
                </c:pt>
                <c:pt idx="1063">
                  <c:v>776.37149368779899</c:v>
                </c:pt>
                <c:pt idx="1064">
                  <c:v>776.37149368779899</c:v>
                </c:pt>
                <c:pt idx="1065">
                  <c:v>776.37149368779899</c:v>
                </c:pt>
                <c:pt idx="1066">
                  <c:v>776.37149368779899</c:v>
                </c:pt>
                <c:pt idx="1067">
                  <c:v>776.37149368779899</c:v>
                </c:pt>
                <c:pt idx="1068">
                  <c:v>776.37149368779899</c:v>
                </c:pt>
                <c:pt idx="1069">
                  <c:v>776.37149368779899</c:v>
                </c:pt>
                <c:pt idx="1070">
                  <c:v>776.37149368779899</c:v>
                </c:pt>
                <c:pt idx="1071">
                  <c:v>776.37149368779899</c:v>
                </c:pt>
                <c:pt idx="1072">
                  <c:v>776.37149368779899</c:v>
                </c:pt>
                <c:pt idx="1073">
                  <c:v>776.37149368779899</c:v>
                </c:pt>
                <c:pt idx="1074">
                  <c:v>776.37149368779899</c:v>
                </c:pt>
                <c:pt idx="1075">
                  <c:v>776.37149368779899</c:v>
                </c:pt>
                <c:pt idx="1076">
                  <c:v>776.37149368779899</c:v>
                </c:pt>
                <c:pt idx="1077">
                  <c:v>776.37149368779899</c:v>
                </c:pt>
                <c:pt idx="1078">
                  <c:v>776.37149368779899</c:v>
                </c:pt>
                <c:pt idx="1079">
                  <c:v>776.37149368779899</c:v>
                </c:pt>
                <c:pt idx="1080">
                  <c:v>776.37149368779899</c:v>
                </c:pt>
                <c:pt idx="1081">
                  <c:v>776.37149368779899</c:v>
                </c:pt>
                <c:pt idx="1082">
                  <c:v>776.37149368779899</c:v>
                </c:pt>
                <c:pt idx="1083">
                  <c:v>776.37149368779899</c:v>
                </c:pt>
                <c:pt idx="1084">
                  <c:v>776.37149368779899</c:v>
                </c:pt>
                <c:pt idx="1085">
                  <c:v>776.37149368779899</c:v>
                </c:pt>
                <c:pt idx="1086">
                  <c:v>776.37149368779899</c:v>
                </c:pt>
                <c:pt idx="1087">
                  <c:v>776.37149368779899</c:v>
                </c:pt>
                <c:pt idx="1088">
                  <c:v>776.37149368779899</c:v>
                </c:pt>
                <c:pt idx="1089">
                  <c:v>776.37149368779899</c:v>
                </c:pt>
                <c:pt idx="1090">
                  <c:v>776.37149368779899</c:v>
                </c:pt>
                <c:pt idx="1091">
                  <c:v>776.37149368779899</c:v>
                </c:pt>
                <c:pt idx="1092">
                  <c:v>776.37149368779899</c:v>
                </c:pt>
                <c:pt idx="1093">
                  <c:v>776.37149368779899</c:v>
                </c:pt>
                <c:pt idx="1094">
                  <c:v>776.37149368779899</c:v>
                </c:pt>
                <c:pt idx="1095">
                  <c:v>776.37149368779899</c:v>
                </c:pt>
                <c:pt idx="1096">
                  <c:v>776.37149368779899</c:v>
                </c:pt>
                <c:pt idx="1097">
                  <c:v>776.37149368779899</c:v>
                </c:pt>
                <c:pt idx="1098">
                  <c:v>776.37149368779899</c:v>
                </c:pt>
                <c:pt idx="1099">
                  <c:v>776.37149368779899</c:v>
                </c:pt>
                <c:pt idx="1100">
                  <c:v>776.37149368779899</c:v>
                </c:pt>
                <c:pt idx="1101">
                  <c:v>776.37149368779899</c:v>
                </c:pt>
                <c:pt idx="1102">
                  <c:v>776.37149368779899</c:v>
                </c:pt>
                <c:pt idx="1103">
                  <c:v>776.37149368779899</c:v>
                </c:pt>
                <c:pt idx="1104">
                  <c:v>776.37149368779899</c:v>
                </c:pt>
                <c:pt idx="1105">
                  <c:v>776.37149368779899</c:v>
                </c:pt>
                <c:pt idx="1106">
                  <c:v>776.37149368779899</c:v>
                </c:pt>
                <c:pt idx="1107">
                  <c:v>776.37149368779899</c:v>
                </c:pt>
                <c:pt idx="1108">
                  <c:v>776.37149368779899</c:v>
                </c:pt>
                <c:pt idx="1109">
                  <c:v>776.37149368779899</c:v>
                </c:pt>
                <c:pt idx="1110">
                  <c:v>776.37149368779899</c:v>
                </c:pt>
                <c:pt idx="1111">
                  <c:v>776.37149368779899</c:v>
                </c:pt>
                <c:pt idx="1112">
                  <c:v>776.37149368779899</c:v>
                </c:pt>
                <c:pt idx="1113">
                  <c:v>776.37149368779899</c:v>
                </c:pt>
                <c:pt idx="1114">
                  <c:v>776.37149368779899</c:v>
                </c:pt>
                <c:pt idx="1115">
                  <c:v>776.37149368779899</c:v>
                </c:pt>
                <c:pt idx="1116">
                  <c:v>776.37149368779899</c:v>
                </c:pt>
                <c:pt idx="1117">
                  <c:v>776.37149368779899</c:v>
                </c:pt>
                <c:pt idx="1118">
                  <c:v>776.37149368779899</c:v>
                </c:pt>
                <c:pt idx="1119">
                  <c:v>776.37149368779899</c:v>
                </c:pt>
                <c:pt idx="1120">
                  <c:v>776.37149368779899</c:v>
                </c:pt>
                <c:pt idx="1121">
                  <c:v>776.37149368779899</c:v>
                </c:pt>
                <c:pt idx="1122">
                  <c:v>776.37149368779899</c:v>
                </c:pt>
                <c:pt idx="1123">
                  <c:v>776.37149368779899</c:v>
                </c:pt>
                <c:pt idx="1124">
                  <c:v>776.37149368779899</c:v>
                </c:pt>
                <c:pt idx="1125">
                  <c:v>776.37149368779899</c:v>
                </c:pt>
                <c:pt idx="1126">
                  <c:v>776.37149368779899</c:v>
                </c:pt>
                <c:pt idx="1127">
                  <c:v>776.37149368779899</c:v>
                </c:pt>
                <c:pt idx="1128">
                  <c:v>776.37149368779899</c:v>
                </c:pt>
                <c:pt idx="1129">
                  <c:v>776.37149368779899</c:v>
                </c:pt>
                <c:pt idx="1130">
                  <c:v>776.37149368779899</c:v>
                </c:pt>
                <c:pt idx="1131">
                  <c:v>776.37149368779899</c:v>
                </c:pt>
                <c:pt idx="1132">
                  <c:v>776.37149368779899</c:v>
                </c:pt>
                <c:pt idx="1133">
                  <c:v>776.37149368779899</c:v>
                </c:pt>
                <c:pt idx="1134">
                  <c:v>776.37149368779899</c:v>
                </c:pt>
                <c:pt idx="1135">
                  <c:v>776.37149368779899</c:v>
                </c:pt>
                <c:pt idx="1136">
                  <c:v>776.37149368779899</c:v>
                </c:pt>
                <c:pt idx="1137">
                  <c:v>776.37149368779899</c:v>
                </c:pt>
                <c:pt idx="1138">
                  <c:v>776.37149368779899</c:v>
                </c:pt>
                <c:pt idx="1139">
                  <c:v>776.37149368779899</c:v>
                </c:pt>
                <c:pt idx="1140">
                  <c:v>776.37149368779899</c:v>
                </c:pt>
                <c:pt idx="1141">
                  <c:v>776.37149368779899</c:v>
                </c:pt>
                <c:pt idx="1142">
                  <c:v>776.37149368779899</c:v>
                </c:pt>
                <c:pt idx="1143">
                  <c:v>776.37149368779899</c:v>
                </c:pt>
                <c:pt idx="1144">
                  <c:v>776.37149368779899</c:v>
                </c:pt>
                <c:pt idx="1145">
                  <c:v>776.37149368779899</c:v>
                </c:pt>
                <c:pt idx="1146">
                  <c:v>776.37149368779899</c:v>
                </c:pt>
                <c:pt idx="1147">
                  <c:v>776.37149368779899</c:v>
                </c:pt>
                <c:pt idx="1148">
                  <c:v>776.37149368779899</c:v>
                </c:pt>
                <c:pt idx="1149">
                  <c:v>776.37149368779899</c:v>
                </c:pt>
                <c:pt idx="1150">
                  <c:v>776.37149368779899</c:v>
                </c:pt>
                <c:pt idx="1151">
                  <c:v>776.37149368779899</c:v>
                </c:pt>
                <c:pt idx="1152">
                  <c:v>776.37149368779899</c:v>
                </c:pt>
                <c:pt idx="1153">
                  <c:v>776.37149368779899</c:v>
                </c:pt>
                <c:pt idx="1154">
                  <c:v>776.37149368779899</c:v>
                </c:pt>
                <c:pt idx="1155">
                  <c:v>776.37149368779899</c:v>
                </c:pt>
                <c:pt idx="1156">
                  <c:v>776.37149368779899</c:v>
                </c:pt>
                <c:pt idx="1157">
                  <c:v>776.37149368779899</c:v>
                </c:pt>
                <c:pt idx="1158">
                  <c:v>776.37149368779899</c:v>
                </c:pt>
                <c:pt idx="1159">
                  <c:v>776.37149368779899</c:v>
                </c:pt>
                <c:pt idx="1160">
                  <c:v>776.37149368779899</c:v>
                </c:pt>
                <c:pt idx="1161">
                  <c:v>776.37149368779899</c:v>
                </c:pt>
                <c:pt idx="1162">
                  <c:v>776.37149368779899</c:v>
                </c:pt>
                <c:pt idx="1163">
                  <c:v>776.37149368779899</c:v>
                </c:pt>
                <c:pt idx="1164">
                  <c:v>776.37149368779899</c:v>
                </c:pt>
                <c:pt idx="1165">
                  <c:v>776.37149368779899</c:v>
                </c:pt>
                <c:pt idx="1166">
                  <c:v>776.37149368779899</c:v>
                </c:pt>
                <c:pt idx="1167">
                  <c:v>776.37149368779899</c:v>
                </c:pt>
                <c:pt idx="1168">
                  <c:v>776.37149368779899</c:v>
                </c:pt>
                <c:pt idx="1169">
                  <c:v>776.37149368779899</c:v>
                </c:pt>
                <c:pt idx="1170">
                  <c:v>776.37149368779899</c:v>
                </c:pt>
                <c:pt idx="1171">
                  <c:v>776.37149368779899</c:v>
                </c:pt>
                <c:pt idx="1172">
                  <c:v>776.37149368779899</c:v>
                </c:pt>
                <c:pt idx="1173">
                  <c:v>776.37149368779899</c:v>
                </c:pt>
                <c:pt idx="1174">
                  <c:v>776.37149368779899</c:v>
                </c:pt>
                <c:pt idx="1175">
                  <c:v>776.37149368779899</c:v>
                </c:pt>
                <c:pt idx="1176">
                  <c:v>776.37149368779899</c:v>
                </c:pt>
                <c:pt idx="1177">
                  <c:v>776.37149368779899</c:v>
                </c:pt>
                <c:pt idx="1178">
                  <c:v>776.37149368779899</c:v>
                </c:pt>
                <c:pt idx="1179">
                  <c:v>776.37149368779899</c:v>
                </c:pt>
                <c:pt idx="1180">
                  <c:v>776.37149368779899</c:v>
                </c:pt>
                <c:pt idx="1181">
                  <c:v>776.37149368779899</c:v>
                </c:pt>
                <c:pt idx="1182">
                  <c:v>776.37149368779899</c:v>
                </c:pt>
                <c:pt idx="1183">
                  <c:v>776.37149368779899</c:v>
                </c:pt>
                <c:pt idx="1184">
                  <c:v>776.37149368779899</c:v>
                </c:pt>
                <c:pt idx="1185">
                  <c:v>776.37149368779899</c:v>
                </c:pt>
                <c:pt idx="1186">
                  <c:v>776.37149368779899</c:v>
                </c:pt>
                <c:pt idx="1187">
                  <c:v>776.37149368779899</c:v>
                </c:pt>
                <c:pt idx="1188">
                  <c:v>776.37149368779899</c:v>
                </c:pt>
                <c:pt idx="1189">
                  <c:v>776.37149368779899</c:v>
                </c:pt>
                <c:pt idx="1190">
                  <c:v>776.37149368779899</c:v>
                </c:pt>
                <c:pt idx="1191">
                  <c:v>776.37149368779899</c:v>
                </c:pt>
                <c:pt idx="1192">
                  <c:v>776.37149368779899</c:v>
                </c:pt>
                <c:pt idx="1193">
                  <c:v>776.37149368779899</c:v>
                </c:pt>
                <c:pt idx="1194">
                  <c:v>776.37149368779899</c:v>
                </c:pt>
                <c:pt idx="1195">
                  <c:v>776.37149368779899</c:v>
                </c:pt>
                <c:pt idx="1196">
                  <c:v>776.37149368779899</c:v>
                </c:pt>
                <c:pt idx="1197">
                  <c:v>776.37149368779899</c:v>
                </c:pt>
                <c:pt idx="1198">
                  <c:v>776.37149368779899</c:v>
                </c:pt>
                <c:pt idx="1199">
                  <c:v>776.37149368779899</c:v>
                </c:pt>
                <c:pt idx="1200">
                  <c:v>776.37149368779899</c:v>
                </c:pt>
                <c:pt idx="1201">
                  <c:v>776.37149368779899</c:v>
                </c:pt>
                <c:pt idx="1202">
                  <c:v>776.37149368779899</c:v>
                </c:pt>
                <c:pt idx="1203">
                  <c:v>776.37149368779899</c:v>
                </c:pt>
                <c:pt idx="1204">
                  <c:v>776.37149368779899</c:v>
                </c:pt>
                <c:pt idx="1205">
                  <c:v>776.37149368779899</c:v>
                </c:pt>
                <c:pt idx="1206">
                  <c:v>776.37149368779899</c:v>
                </c:pt>
                <c:pt idx="1207">
                  <c:v>776.37149368779899</c:v>
                </c:pt>
                <c:pt idx="1208">
                  <c:v>776.37149368779899</c:v>
                </c:pt>
                <c:pt idx="1209">
                  <c:v>776.37149368779899</c:v>
                </c:pt>
                <c:pt idx="1210">
                  <c:v>776.37149368779899</c:v>
                </c:pt>
                <c:pt idx="1211">
                  <c:v>776.37149368779899</c:v>
                </c:pt>
                <c:pt idx="1212">
                  <c:v>776.37149368779899</c:v>
                </c:pt>
                <c:pt idx="1213">
                  <c:v>776.37149368779899</c:v>
                </c:pt>
                <c:pt idx="1214">
                  <c:v>776.37149368779899</c:v>
                </c:pt>
                <c:pt idx="1215">
                  <c:v>776.37149368779899</c:v>
                </c:pt>
                <c:pt idx="1216">
                  <c:v>776.37149368779899</c:v>
                </c:pt>
                <c:pt idx="1217">
                  <c:v>776.37149368779899</c:v>
                </c:pt>
                <c:pt idx="1218">
                  <c:v>776.37149368779899</c:v>
                </c:pt>
                <c:pt idx="1219">
                  <c:v>776.37149368779899</c:v>
                </c:pt>
                <c:pt idx="1220">
                  <c:v>776.37149368779899</c:v>
                </c:pt>
                <c:pt idx="1221">
                  <c:v>776.37149368779899</c:v>
                </c:pt>
                <c:pt idx="1222">
                  <c:v>776.37149368779899</c:v>
                </c:pt>
                <c:pt idx="1223">
                  <c:v>776.37149368779899</c:v>
                </c:pt>
                <c:pt idx="1224">
                  <c:v>776.37149368779899</c:v>
                </c:pt>
                <c:pt idx="1225">
                  <c:v>776.37149368779899</c:v>
                </c:pt>
                <c:pt idx="1226">
                  <c:v>776.37149368779899</c:v>
                </c:pt>
                <c:pt idx="1227">
                  <c:v>776.37149368779899</c:v>
                </c:pt>
                <c:pt idx="1228">
                  <c:v>776.37149368779899</c:v>
                </c:pt>
                <c:pt idx="1229">
                  <c:v>776.37149368779899</c:v>
                </c:pt>
                <c:pt idx="1230">
                  <c:v>776.37149368779899</c:v>
                </c:pt>
                <c:pt idx="1231">
                  <c:v>776.37149368779899</c:v>
                </c:pt>
                <c:pt idx="1232">
                  <c:v>776.37149368779899</c:v>
                </c:pt>
                <c:pt idx="1233">
                  <c:v>776.37149368779899</c:v>
                </c:pt>
                <c:pt idx="1234">
                  <c:v>776.37149368779899</c:v>
                </c:pt>
                <c:pt idx="1235">
                  <c:v>776.37149368779899</c:v>
                </c:pt>
                <c:pt idx="1236">
                  <c:v>776.37149368779899</c:v>
                </c:pt>
                <c:pt idx="1237">
                  <c:v>776.37149368779899</c:v>
                </c:pt>
                <c:pt idx="1238">
                  <c:v>776.37149368779899</c:v>
                </c:pt>
                <c:pt idx="1239">
                  <c:v>776.37149368779899</c:v>
                </c:pt>
                <c:pt idx="1240">
                  <c:v>776.37149368779899</c:v>
                </c:pt>
                <c:pt idx="1241">
                  <c:v>776.37149368779899</c:v>
                </c:pt>
                <c:pt idx="1242">
                  <c:v>776.37149368779899</c:v>
                </c:pt>
                <c:pt idx="1243">
                  <c:v>776.37149368779899</c:v>
                </c:pt>
                <c:pt idx="1244">
                  <c:v>776.37149368779899</c:v>
                </c:pt>
                <c:pt idx="1245">
                  <c:v>776.37149368779899</c:v>
                </c:pt>
                <c:pt idx="1246">
                  <c:v>776.37149368779899</c:v>
                </c:pt>
                <c:pt idx="1247">
                  <c:v>776.37149368779899</c:v>
                </c:pt>
                <c:pt idx="1248">
                  <c:v>776.37149368779899</c:v>
                </c:pt>
                <c:pt idx="1249">
                  <c:v>776.37149368779899</c:v>
                </c:pt>
                <c:pt idx="1250">
                  <c:v>776.37149368779899</c:v>
                </c:pt>
                <c:pt idx="1251">
                  <c:v>776.37149368779899</c:v>
                </c:pt>
                <c:pt idx="1252">
                  <c:v>776.37149368779899</c:v>
                </c:pt>
                <c:pt idx="1253">
                  <c:v>776.37149368779899</c:v>
                </c:pt>
                <c:pt idx="1254">
                  <c:v>776.37149368779899</c:v>
                </c:pt>
                <c:pt idx="1255">
                  <c:v>776.37149368779899</c:v>
                </c:pt>
                <c:pt idx="1256">
                  <c:v>776.37149368779899</c:v>
                </c:pt>
                <c:pt idx="1257">
                  <c:v>776.37149368779899</c:v>
                </c:pt>
                <c:pt idx="1258">
                  <c:v>776.37149368779899</c:v>
                </c:pt>
                <c:pt idx="1259">
                  <c:v>776.37149368779899</c:v>
                </c:pt>
                <c:pt idx="1260">
                  <c:v>776.37149368779899</c:v>
                </c:pt>
                <c:pt idx="1261">
                  <c:v>776.37149368779899</c:v>
                </c:pt>
                <c:pt idx="1262">
                  <c:v>776.37149368779899</c:v>
                </c:pt>
                <c:pt idx="1263">
                  <c:v>776.37149368779899</c:v>
                </c:pt>
                <c:pt idx="1264">
                  <c:v>776.37149368779899</c:v>
                </c:pt>
                <c:pt idx="1265">
                  <c:v>776.37149368779899</c:v>
                </c:pt>
                <c:pt idx="1266">
                  <c:v>776.37149368779899</c:v>
                </c:pt>
                <c:pt idx="1267">
                  <c:v>776.37149368779899</c:v>
                </c:pt>
                <c:pt idx="1268">
                  <c:v>776.37149368779899</c:v>
                </c:pt>
                <c:pt idx="1269">
                  <c:v>776.37149368779899</c:v>
                </c:pt>
                <c:pt idx="1270">
                  <c:v>776.37149368779899</c:v>
                </c:pt>
                <c:pt idx="1271">
                  <c:v>776.37149368779899</c:v>
                </c:pt>
                <c:pt idx="1272">
                  <c:v>776.37149368779899</c:v>
                </c:pt>
                <c:pt idx="1273">
                  <c:v>776.37149368779899</c:v>
                </c:pt>
                <c:pt idx="1274">
                  <c:v>776.37149368779899</c:v>
                </c:pt>
                <c:pt idx="1275">
                  <c:v>776.37149368779899</c:v>
                </c:pt>
                <c:pt idx="1276">
                  <c:v>776.37149368779899</c:v>
                </c:pt>
                <c:pt idx="1277">
                  <c:v>776.37149368779899</c:v>
                </c:pt>
                <c:pt idx="1278">
                  <c:v>776.37149368779899</c:v>
                </c:pt>
                <c:pt idx="1279">
                  <c:v>776.37149368779899</c:v>
                </c:pt>
                <c:pt idx="1280">
                  <c:v>776.37149368779899</c:v>
                </c:pt>
                <c:pt idx="1281">
                  <c:v>776.37149368779899</c:v>
                </c:pt>
                <c:pt idx="1282">
                  <c:v>776.37149368779899</c:v>
                </c:pt>
                <c:pt idx="1283">
                  <c:v>776.37149368779899</c:v>
                </c:pt>
                <c:pt idx="1284">
                  <c:v>776.37149368779899</c:v>
                </c:pt>
                <c:pt idx="1285">
                  <c:v>776.37149368779899</c:v>
                </c:pt>
                <c:pt idx="1286">
                  <c:v>776.37149368779899</c:v>
                </c:pt>
                <c:pt idx="1287">
                  <c:v>776.37149368779899</c:v>
                </c:pt>
                <c:pt idx="1288">
                  <c:v>776.37149368779899</c:v>
                </c:pt>
                <c:pt idx="1289">
                  <c:v>776.37149368779899</c:v>
                </c:pt>
                <c:pt idx="1290">
                  <c:v>776.37149368779899</c:v>
                </c:pt>
                <c:pt idx="1291">
                  <c:v>776.37149368779899</c:v>
                </c:pt>
                <c:pt idx="1292">
                  <c:v>776.37149368779899</c:v>
                </c:pt>
                <c:pt idx="1293">
                  <c:v>776.37149368779899</c:v>
                </c:pt>
                <c:pt idx="1294">
                  <c:v>776.37149368779899</c:v>
                </c:pt>
                <c:pt idx="1295">
                  <c:v>776.37149368779899</c:v>
                </c:pt>
                <c:pt idx="1296">
                  <c:v>776.37149368779899</c:v>
                </c:pt>
                <c:pt idx="1297">
                  <c:v>776.37149368779899</c:v>
                </c:pt>
                <c:pt idx="1298">
                  <c:v>776.37149368779899</c:v>
                </c:pt>
                <c:pt idx="1299">
                  <c:v>776.37149368779899</c:v>
                </c:pt>
                <c:pt idx="1300">
                  <c:v>776.37149368779899</c:v>
                </c:pt>
                <c:pt idx="1301">
                  <c:v>776.37149368779899</c:v>
                </c:pt>
                <c:pt idx="1302">
                  <c:v>776.37149368779899</c:v>
                </c:pt>
                <c:pt idx="1303">
                  <c:v>776.37149368779899</c:v>
                </c:pt>
                <c:pt idx="1304">
                  <c:v>776.37149368779899</c:v>
                </c:pt>
                <c:pt idx="1305">
                  <c:v>776.37149368779899</c:v>
                </c:pt>
                <c:pt idx="1306">
                  <c:v>776.37149368779899</c:v>
                </c:pt>
                <c:pt idx="1307">
                  <c:v>776.37149368779899</c:v>
                </c:pt>
                <c:pt idx="1308">
                  <c:v>776.37149368779899</c:v>
                </c:pt>
                <c:pt idx="1309">
                  <c:v>612.72902893479898</c:v>
                </c:pt>
                <c:pt idx="1310">
                  <c:v>612.72902893479898</c:v>
                </c:pt>
                <c:pt idx="1311">
                  <c:v>612.72902893479898</c:v>
                </c:pt>
                <c:pt idx="1312">
                  <c:v>612.72902893479898</c:v>
                </c:pt>
                <c:pt idx="1313">
                  <c:v>612.72902893479898</c:v>
                </c:pt>
                <c:pt idx="1314">
                  <c:v>612.72902893479898</c:v>
                </c:pt>
                <c:pt idx="1315">
                  <c:v>612.72902893479898</c:v>
                </c:pt>
                <c:pt idx="1316">
                  <c:v>612.72902893479898</c:v>
                </c:pt>
                <c:pt idx="1317">
                  <c:v>612.72902893479898</c:v>
                </c:pt>
                <c:pt idx="1318">
                  <c:v>612.72902893479898</c:v>
                </c:pt>
                <c:pt idx="1319">
                  <c:v>612.72902893479898</c:v>
                </c:pt>
                <c:pt idx="1320">
                  <c:v>612.72902893479898</c:v>
                </c:pt>
                <c:pt idx="1321">
                  <c:v>612.72902893479898</c:v>
                </c:pt>
                <c:pt idx="1322">
                  <c:v>612.72902893479898</c:v>
                </c:pt>
                <c:pt idx="1323">
                  <c:v>612.72902893479898</c:v>
                </c:pt>
                <c:pt idx="1324">
                  <c:v>612.72902893479898</c:v>
                </c:pt>
                <c:pt idx="1325">
                  <c:v>612.72902893479898</c:v>
                </c:pt>
                <c:pt idx="1326">
                  <c:v>612.72902893479898</c:v>
                </c:pt>
                <c:pt idx="1327">
                  <c:v>612.72902893479898</c:v>
                </c:pt>
                <c:pt idx="1328">
                  <c:v>612.72902893479898</c:v>
                </c:pt>
                <c:pt idx="1329">
                  <c:v>612.72902893479898</c:v>
                </c:pt>
                <c:pt idx="1330">
                  <c:v>612.72902893479898</c:v>
                </c:pt>
                <c:pt idx="1331">
                  <c:v>612.72902893479898</c:v>
                </c:pt>
                <c:pt idx="1332">
                  <c:v>612.72902893479898</c:v>
                </c:pt>
                <c:pt idx="1333">
                  <c:v>612.72902893479898</c:v>
                </c:pt>
                <c:pt idx="1334">
                  <c:v>612.72902893479898</c:v>
                </c:pt>
                <c:pt idx="1335">
                  <c:v>612.72902893479898</c:v>
                </c:pt>
                <c:pt idx="1336">
                  <c:v>612.72902893479898</c:v>
                </c:pt>
                <c:pt idx="1337">
                  <c:v>612.72902893479898</c:v>
                </c:pt>
                <c:pt idx="1338">
                  <c:v>612.72902893479898</c:v>
                </c:pt>
                <c:pt idx="1339">
                  <c:v>612.72902893479898</c:v>
                </c:pt>
                <c:pt idx="1340">
                  <c:v>612.72902893479898</c:v>
                </c:pt>
                <c:pt idx="1341">
                  <c:v>612.72902893479898</c:v>
                </c:pt>
                <c:pt idx="1342">
                  <c:v>612.72902893479898</c:v>
                </c:pt>
                <c:pt idx="1343">
                  <c:v>612.72902893479898</c:v>
                </c:pt>
                <c:pt idx="1344">
                  <c:v>612.72902893479898</c:v>
                </c:pt>
                <c:pt idx="1345">
                  <c:v>612.72902893479898</c:v>
                </c:pt>
                <c:pt idx="1346">
                  <c:v>612.72902893479898</c:v>
                </c:pt>
                <c:pt idx="1347">
                  <c:v>612.72902893479898</c:v>
                </c:pt>
                <c:pt idx="1348">
                  <c:v>612.72902893479898</c:v>
                </c:pt>
                <c:pt idx="1349">
                  <c:v>612.72902893479898</c:v>
                </c:pt>
                <c:pt idx="1350">
                  <c:v>612.72902893479898</c:v>
                </c:pt>
                <c:pt idx="1351">
                  <c:v>612.72902893479898</c:v>
                </c:pt>
                <c:pt idx="1352">
                  <c:v>612.72902893479898</c:v>
                </c:pt>
                <c:pt idx="1353">
                  <c:v>612.72902893479898</c:v>
                </c:pt>
                <c:pt idx="1354">
                  <c:v>612.72902893479898</c:v>
                </c:pt>
                <c:pt idx="1355">
                  <c:v>612.72902893479898</c:v>
                </c:pt>
                <c:pt idx="1356">
                  <c:v>612.72902893479898</c:v>
                </c:pt>
                <c:pt idx="1357">
                  <c:v>612.72902893479898</c:v>
                </c:pt>
                <c:pt idx="1358">
                  <c:v>612.72902893479898</c:v>
                </c:pt>
                <c:pt idx="1359">
                  <c:v>612.72902893479898</c:v>
                </c:pt>
                <c:pt idx="1360">
                  <c:v>612.72902893479898</c:v>
                </c:pt>
                <c:pt idx="1361">
                  <c:v>612.72902893479898</c:v>
                </c:pt>
                <c:pt idx="1362">
                  <c:v>612.72902893479898</c:v>
                </c:pt>
                <c:pt idx="1363">
                  <c:v>612.72902893479898</c:v>
                </c:pt>
                <c:pt idx="1364">
                  <c:v>612.72902893479898</c:v>
                </c:pt>
                <c:pt idx="1365">
                  <c:v>612.72902893479898</c:v>
                </c:pt>
                <c:pt idx="1366">
                  <c:v>612.72902893479898</c:v>
                </c:pt>
                <c:pt idx="1367">
                  <c:v>612.72902893479898</c:v>
                </c:pt>
                <c:pt idx="1368">
                  <c:v>612.72902893479898</c:v>
                </c:pt>
                <c:pt idx="1369">
                  <c:v>612.72902893479898</c:v>
                </c:pt>
                <c:pt idx="1370">
                  <c:v>612.72902893479898</c:v>
                </c:pt>
                <c:pt idx="1371">
                  <c:v>612.72902893479898</c:v>
                </c:pt>
                <c:pt idx="1372">
                  <c:v>612.72902893479898</c:v>
                </c:pt>
                <c:pt idx="1373">
                  <c:v>612.72902893479898</c:v>
                </c:pt>
                <c:pt idx="1374">
                  <c:v>612.72902893479898</c:v>
                </c:pt>
                <c:pt idx="1375">
                  <c:v>612.72902893479898</c:v>
                </c:pt>
                <c:pt idx="1376">
                  <c:v>612.72902893479898</c:v>
                </c:pt>
                <c:pt idx="1377">
                  <c:v>612.72902893479898</c:v>
                </c:pt>
                <c:pt idx="1378">
                  <c:v>612.72902893479898</c:v>
                </c:pt>
                <c:pt idx="1379">
                  <c:v>612.72902893479898</c:v>
                </c:pt>
                <c:pt idx="1380">
                  <c:v>612.72902893479898</c:v>
                </c:pt>
                <c:pt idx="1381">
                  <c:v>612.72902893479898</c:v>
                </c:pt>
                <c:pt idx="1382">
                  <c:v>612.72902893479898</c:v>
                </c:pt>
                <c:pt idx="1383">
                  <c:v>612.72902893479898</c:v>
                </c:pt>
                <c:pt idx="1384">
                  <c:v>612.72902893479898</c:v>
                </c:pt>
                <c:pt idx="1385">
                  <c:v>612.72902893479898</c:v>
                </c:pt>
                <c:pt idx="1386">
                  <c:v>612.72902893479898</c:v>
                </c:pt>
                <c:pt idx="1387">
                  <c:v>612.72902893479898</c:v>
                </c:pt>
                <c:pt idx="1388">
                  <c:v>612.72902893479898</c:v>
                </c:pt>
                <c:pt idx="1389">
                  <c:v>612.72902893479898</c:v>
                </c:pt>
                <c:pt idx="1390">
                  <c:v>612.72902893479898</c:v>
                </c:pt>
                <c:pt idx="1391">
                  <c:v>612.72902893479898</c:v>
                </c:pt>
                <c:pt idx="1392">
                  <c:v>612.72902893479898</c:v>
                </c:pt>
                <c:pt idx="1393">
                  <c:v>612.72902893479898</c:v>
                </c:pt>
                <c:pt idx="1394">
                  <c:v>612.72902893479898</c:v>
                </c:pt>
                <c:pt idx="1395">
                  <c:v>612.72902893479898</c:v>
                </c:pt>
                <c:pt idx="1396">
                  <c:v>612.72902893479898</c:v>
                </c:pt>
                <c:pt idx="1397">
                  <c:v>612.72902893479898</c:v>
                </c:pt>
                <c:pt idx="1398">
                  <c:v>612.72902893479898</c:v>
                </c:pt>
                <c:pt idx="1399">
                  <c:v>612.72902893479898</c:v>
                </c:pt>
                <c:pt idx="1400">
                  <c:v>612.72902893479898</c:v>
                </c:pt>
                <c:pt idx="1401">
                  <c:v>612.72902893479898</c:v>
                </c:pt>
                <c:pt idx="1402">
                  <c:v>612.72902893479898</c:v>
                </c:pt>
                <c:pt idx="1403">
                  <c:v>612.72902893479898</c:v>
                </c:pt>
                <c:pt idx="1404">
                  <c:v>612.72902893479898</c:v>
                </c:pt>
                <c:pt idx="1405">
                  <c:v>612.72902893479898</c:v>
                </c:pt>
                <c:pt idx="1406">
                  <c:v>612.72902893479898</c:v>
                </c:pt>
                <c:pt idx="1407">
                  <c:v>612.72902893479898</c:v>
                </c:pt>
                <c:pt idx="1408">
                  <c:v>612.72902893479898</c:v>
                </c:pt>
                <c:pt idx="1409">
                  <c:v>612.72902893479898</c:v>
                </c:pt>
                <c:pt idx="1410">
                  <c:v>612.72902893479898</c:v>
                </c:pt>
                <c:pt idx="1411">
                  <c:v>612.72902893479898</c:v>
                </c:pt>
                <c:pt idx="1412">
                  <c:v>612.72902893479898</c:v>
                </c:pt>
                <c:pt idx="1413">
                  <c:v>612.72902893479898</c:v>
                </c:pt>
                <c:pt idx="1414">
                  <c:v>612.72902893479898</c:v>
                </c:pt>
                <c:pt idx="1415">
                  <c:v>612.72902893479898</c:v>
                </c:pt>
                <c:pt idx="1416">
                  <c:v>612.72902893479898</c:v>
                </c:pt>
                <c:pt idx="1417">
                  <c:v>612.72902893479898</c:v>
                </c:pt>
                <c:pt idx="1418">
                  <c:v>612.72902893479898</c:v>
                </c:pt>
                <c:pt idx="1419">
                  <c:v>612.72902893479898</c:v>
                </c:pt>
                <c:pt idx="1420">
                  <c:v>612.72902893479898</c:v>
                </c:pt>
                <c:pt idx="1421">
                  <c:v>612.72902893479898</c:v>
                </c:pt>
                <c:pt idx="1422">
                  <c:v>612.72902893479898</c:v>
                </c:pt>
                <c:pt idx="1423">
                  <c:v>612.72902893479898</c:v>
                </c:pt>
                <c:pt idx="1424">
                  <c:v>612.72902893479898</c:v>
                </c:pt>
                <c:pt idx="1425">
                  <c:v>612.72902893479898</c:v>
                </c:pt>
                <c:pt idx="1426">
                  <c:v>612.72902893479898</c:v>
                </c:pt>
                <c:pt idx="1427">
                  <c:v>612.72902893479898</c:v>
                </c:pt>
                <c:pt idx="1428">
                  <c:v>612.72902893479898</c:v>
                </c:pt>
                <c:pt idx="1429">
                  <c:v>612.72902893479898</c:v>
                </c:pt>
                <c:pt idx="1430">
                  <c:v>612.72902893479898</c:v>
                </c:pt>
                <c:pt idx="1431">
                  <c:v>612.72902893479898</c:v>
                </c:pt>
                <c:pt idx="1432">
                  <c:v>612.72902893479898</c:v>
                </c:pt>
                <c:pt idx="1433">
                  <c:v>612.72902893479898</c:v>
                </c:pt>
                <c:pt idx="1434">
                  <c:v>612.72902893479898</c:v>
                </c:pt>
                <c:pt idx="1435">
                  <c:v>612.72902893479898</c:v>
                </c:pt>
                <c:pt idx="1436">
                  <c:v>612.72902893479898</c:v>
                </c:pt>
                <c:pt idx="1437">
                  <c:v>612.72902893479898</c:v>
                </c:pt>
                <c:pt idx="1438">
                  <c:v>612.72902893479898</c:v>
                </c:pt>
                <c:pt idx="1439">
                  <c:v>612.72902893479898</c:v>
                </c:pt>
                <c:pt idx="1440">
                  <c:v>612.72902893479898</c:v>
                </c:pt>
                <c:pt idx="1441">
                  <c:v>612.72902893479898</c:v>
                </c:pt>
                <c:pt idx="1442">
                  <c:v>612.72902893479898</c:v>
                </c:pt>
                <c:pt idx="1443">
                  <c:v>612.72902893479898</c:v>
                </c:pt>
                <c:pt idx="1444">
                  <c:v>612.72902893479898</c:v>
                </c:pt>
                <c:pt idx="1445">
                  <c:v>612.72902893479898</c:v>
                </c:pt>
                <c:pt idx="1446">
                  <c:v>612.72902893479898</c:v>
                </c:pt>
                <c:pt idx="1447">
                  <c:v>612.72902893479898</c:v>
                </c:pt>
                <c:pt idx="1448">
                  <c:v>612.72902893479898</c:v>
                </c:pt>
                <c:pt idx="1449">
                  <c:v>612.72902893479898</c:v>
                </c:pt>
                <c:pt idx="1450">
                  <c:v>612.72902893479898</c:v>
                </c:pt>
                <c:pt idx="1451">
                  <c:v>612.72902893479898</c:v>
                </c:pt>
                <c:pt idx="1452">
                  <c:v>612.72902893479898</c:v>
                </c:pt>
                <c:pt idx="1453">
                  <c:v>612.72902893479898</c:v>
                </c:pt>
                <c:pt idx="1454">
                  <c:v>612.72902893479898</c:v>
                </c:pt>
                <c:pt idx="1455">
                  <c:v>612.72902893479898</c:v>
                </c:pt>
                <c:pt idx="1456">
                  <c:v>612.72902893479898</c:v>
                </c:pt>
                <c:pt idx="1457">
                  <c:v>612.72902893479898</c:v>
                </c:pt>
                <c:pt idx="1458">
                  <c:v>612.72902893479898</c:v>
                </c:pt>
                <c:pt idx="1459">
                  <c:v>612.72902893479898</c:v>
                </c:pt>
                <c:pt idx="1460">
                  <c:v>612.72902893479898</c:v>
                </c:pt>
                <c:pt idx="1461">
                  <c:v>612.72902893479898</c:v>
                </c:pt>
                <c:pt idx="1462">
                  <c:v>612.72902893479898</c:v>
                </c:pt>
                <c:pt idx="1463">
                  <c:v>612.72902893479898</c:v>
                </c:pt>
                <c:pt idx="1464">
                  <c:v>612.72902893479898</c:v>
                </c:pt>
                <c:pt idx="1465">
                  <c:v>612.72902893479898</c:v>
                </c:pt>
                <c:pt idx="1466">
                  <c:v>612.72902893479898</c:v>
                </c:pt>
                <c:pt idx="1467">
                  <c:v>612.72902893479898</c:v>
                </c:pt>
                <c:pt idx="1468">
                  <c:v>612.72902893479898</c:v>
                </c:pt>
                <c:pt idx="1469">
                  <c:v>612.72902893479898</c:v>
                </c:pt>
                <c:pt idx="1470">
                  <c:v>612.72902893479898</c:v>
                </c:pt>
                <c:pt idx="1471">
                  <c:v>612.72902893479898</c:v>
                </c:pt>
                <c:pt idx="1472">
                  <c:v>612.72902893479898</c:v>
                </c:pt>
                <c:pt idx="1473">
                  <c:v>612.72902893479898</c:v>
                </c:pt>
                <c:pt idx="1474">
                  <c:v>612.72902893479898</c:v>
                </c:pt>
                <c:pt idx="1475">
                  <c:v>612.72902893479898</c:v>
                </c:pt>
                <c:pt idx="1476">
                  <c:v>612.72902893479898</c:v>
                </c:pt>
                <c:pt idx="1477">
                  <c:v>612.72902893479898</c:v>
                </c:pt>
                <c:pt idx="1478">
                  <c:v>612.72902893479898</c:v>
                </c:pt>
                <c:pt idx="1479">
                  <c:v>612.72902893479898</c:v>
                </c:pt>
                <c:pt idx="1480">
                  <c:v>612.72902893479898</c:v>
                </c:pt>
                <c:pt idx="1481">
                  <c:v>612.72902893479898</c:v>
                </c:pt>
                <c:pt idx="1482">
                  <c:v>612.72902893479898</c:v>
                </c:pt>
                <c:pt idx="1483">
                  <c:v>612.72902893479898</c:v>
                </c:pt>
                <c:pt idx="1484">
                  <c:v>612.72902893479898</c:v>
                </c:pt>
                <c:pt idx="1485">
                  <c:v>612.72902893479898</c:v>
                </c:pt>
                <c:pt idx="1486">
                  <c:v>612.72902893479898</c:v>
                </c:pt>
                <c:pt idx="1487">
                  <c:v>612.72902893479898</c:v>
                </c:pt>
                <c:pt idx="1488">
                  <c:v>612.72902893479898</c:v>
                </c:pt>
                <c:pt idx="1489">
                  <c:v>612.72902893479898</c:v>
                </c:pt>
                <c:pt idx="1490">
                  <c:v>612.72902893479898</c:v>
                </c:pt>
                <c:pt idx="1491">
                  <c:v>612.72902893479898</c:v>
                </c:pt>
                <c:pt idx="1492">
                  <c:v>612.72902893479898</c:v>
                </c:pt>
                <c:pt idx="1493">
                  <c:v>612.72902893479898</c:v>
                </c:pt>
                <c:pt idx="1494">
                  <c:v>612.72902893479898</c:v>
                </c:pt>
                <c:pt idx="1495">
                  <c:v>612.72902893479898</c:v>
                </c:pt>
                <c:pt idx="1496">
                  <c:v>612.72902893479898</c:v>
                </c:pt>
                <c:pt idx="1497">
                  <c:v>612.72902893479898</c:v>
                </c:pt>
                <c:pt idx="1498">
                  <c:v>612.72902893479898</c:v>
                </c:pt>
                <c:pt idx="1499">
                  <c:v>612.72902893479898</c:v>
                </c:pt>
                <c:pt idx="1500">
                  <c:v>612.72902893479898</c:v>
                </c:pt>
                <c:pt idx="1501">
                  <c:v>612.72902893479898</c:v>
                </c:pt>
                <c:pt idx="1502">
                  <c:v>612.72902893479898</c:v>
                </c:pt>
                <c:pt idx="1503">
                  <c:v>612.72902893479898</c:v>
                </c:pt>
                <c:pt idx="1504">
                  <c:v>612.72902893479898</c:v>
                </c:pt>
                <c:pt idx="1505">
                  <c:v>612.72902893479898</c:v>
                </c:pt>
                <c:pt idx="1506">
                  <c:v>612.72902893479898</c:v>
                </c:pt>
                <c:pt idx="1507">
                  <c:v>612.72902893479898</c:v>
                </c:pt>
                <c:pt idx="1508">
                  <c:v>612.72902893479898</c:v>
                </c:pt>
                <c:pt idx="1509">
                  <c:v>612.72902893479898</c:v>
                </c:pt>
                <c:pt idx="1510">
                  <c:v>612.72902893479898</c:v>
                </c:pt>
                <c:pt idx="1511">
                  <c:v>612.72902893479898</c:v>
                </c:pt>
                <c:pt idx="1512">
                  <c:v>612.72902893479898</c:v>
                </c:pt>
                <c:pt idx="1513">
                  <c:v>612.72902893479898</c:v>
                </c:pt>
                <c:pt idx="1514">
                  <c:v>612.72902893479898</c:v>
                </c:pt>
                <c:pt idx="1515">
                  <c:v>612.72902893479898</c:v>
                </c:pt>
                <c:pt idx="1516">
                  <c:v>612.72902893479898</c:v>
                </c:pt>
                <c:pt idx="1517">
                  <c:v>612.72902893479898</c:v>
                </c:pt>
                <c:pt idx="1518">
                  <c:v>612.72902893479898</c:v>
                </c:pt>
                <c:pt idx="1519">
                  <c:v>612.72902893479898</c:v>
                </c:pt>
                <c:pt idx="1520">
                  <c:v>612.72902893479898</c:v>
                </c:pt>
                <c:pt idx="1521">
                  <c:v>612.72902893479898</c:v>
                </c:pt>
                <c:pt idx="1522">
                  <c:v>612.72902893479898</c:v>
                </c:pt>
                <c:pt idx="1523">
                  <c:v>612.72902893479898</c:v>
                </c:pt>
                <c:pt idx="1524">
                  <c:v>612.72902893479898</c:v>
                </c:pt>
                <c:pt idx="1525">
                  <c:v>612.72902893479898</c:v>
                </c:pt>
                <c:pt idx="1526">
                  <c:v>612.72902893479898</c:v>
                </c:pt>
                <c:pt idx="1527">
                  <c:v>612.72902893479898</c:v>
                </c:pt>
                <c:pt idx="1528">
                  <c:v>612.72902893479898</c:v>
                </c:pt>
                <c:pt idx="1529">
                  <c:v>612.72902893479898</c:v>
                </c:pt>
                <c:pt idx="1530">
                  <c:v>612.72902893479898</c:v>
                </c:pt>
                <c:pt idx="1531">
                  <c:v>612.72902893479898</c:v>
                </c:pt>
                <c:pt idx="1532">
                  <c:v>612.72902893479898</c:v>
                </c:pt>
                <c:pt idx="1533">
                  <c:v>612.72902893479898</c:v>
                </c:pt>
                <c:pt idx="1534">
                  <c:v>612.72902893479898</c:v>
                </c:pt>
                <c:pt idx="1535">
                  <c:v>612.72902893479898</c:v>
                </c:pt>
                <c:pt idx="1536">
                  <c:v>612.72902893479898</c:v>
                </c:pt>
                <c:pt idx="1537">
                  <c:v>612.72902893479898</c:v>
                </c:pt>
                <c:pt idx="1538">
                  <c:v>612.72902893479898</c:v>
                </c:pt>
                <c:pt idx="1539">
                  <c:v>612.72902893479898</c:v>
                </c:pt>
                <c:pt idx="1540">
                  <c:v>612.72902893479898</c:v>
                </c:pt>
                <c:pt idx="1541">
                  <c:v>612.72902893479898</c:v>
                </c:pt>
                <c:pt idx="1542">
                  <c:v>612.72902893479898</c:v>
                </c:pt>
                <c:pt idx="1543">
                  <c:v>612.72902893479898</c:v>
                </c:pt>
                <c:pt idx="1544">
                  <c:v>612.72902893479898</c:v>
                </c:pt>
                <c:pt idx="1545">
                  <c:v>612.72902893479898</c:v>
                </c:pt>
                <c:pt idx="1546">
                  <c:v>612.72902893479898</c:v>
                </c:pt>
                <c:pt idx="1547">
                  <c:v>612.72902893479898</c:v>
                </c:pt>
                <c:pt idx="1548">
                  <c:v>612.72902893479898</c:v>
                </c:pt>
                <c:pt idx="1549">
                  <c:v>612.72902893479898</c:v>
                </c:pt>
                <c:pt idx="1550">
                  <c:v>612.72902893479898</c:v>
                </c:pt>
                <c:pt idx="1551">
                  <c:v>612.72902893479898</c:v>
                </c:pt>
                <c:pt idx="1552">
                  <c:v>612.72902893479898</c:v>
                </c:pt>
                <c:pt idx="1553">
                  <c:v>612.72902893479898</c:v>
                </c:pt>
                <c:pt idx="1554">
                  <c:v>612.72902893479898</c:v>
                </c:pt>
                <c:pt idx="1555">
                  <c:v>612.72902893479898</c:v>
                </c:pt>
                <c:pt idx="1556">
                  <c:v>612.72902893479898</c:v>
                </c:pt>
                <c:pt idx="1557">
                  <c:v>612.72902893479898</c:v>
                </c:pt>
                <c:pt idx="1558">
                  <c:v>612.72902893479898</c:v>
                </c:pt>
                <c:pt idx="1559">
                  <c:v>612.72902893479898</c:v>
                </c:pt>
                <c:pt idx="1560">
                  <c:v>612.72902893479898</c:v>
                </c:pt>
                <c:pt idx="1561">
                  <c:v>612.72902893479898</c:v>
                </c:pt>
                <c:pt idx="1562">
                  <c:v>612.72902893479898</c:v>
                </c:pt>
                <c:pt idx="1563">
                  <c:v>612.72902893479898</c:v>
                </c:pt>
                <c:pt idx="1564">
                  <c:v>612.72902893479898</c:v>
                </c:pt>
                <c:pt idx="1565">
                  <c:v>612.72902893479898</c:v>
                </c:pt>
                <c:pt idx="1566">
                  <c:v>612.72902893479898</c:v>
                </c:pt>
                <c:pt idx="1567">
                  <c:v>612.72902893479898</c:v>
                </c:pt>
                <c:pt idx="1568">
                  <c:v>612.72902893479898</c:v>
                </c:pt>
                <c:pt idx="1569">
                  <c:v>612.72902893479898</c:v>
                </c:pt>
                <c:pt idx="1570">
                  <c:v>612.72902893479898</c:v>
                </c:pt>
                <c:pt idx="1571">
                  <c:v>612.72902893479898</c:v>
                </c:pt>
                <c:pt idx="1572">
                  <c:v>612.72902893479898</c:v>
                </c:pt>
                <c:pt idx="1573">
                  <c:v>612.72902893479898</c:v>
                </c:pt>
                <c:pt idx="1574">
                  <c:v>612.72902893479898</c:v>
                </c:pt>
                <c:pt idx="1575">
                  <c:v>612.72902893479898</c:v>
                </c:pt>
                <c:pt idx="1576">
                  <c:v>612.72902893479898</c:v>
                </c:pt>
                <c:pt idx="1577">
                  <c:v>612.72902893479898</c:v>
                </c:pt>
                <c:pt idx="1578">
                  <c:v>612.72902893479898</c:v>
                </c:pt>
                <c:pt idx="1579">
                  <c:v>612.72902893479898</c:v>
                </c:pt>
                <c:pt idx="1580">
                  <c:v>612.72902893479898</c:v>
                </c:pt>
                <c:pt idx="1581">
                  <c:v>612.72902893479898</c:v>
                </c:pt>
                <c:pt idx="1582">
                  <c:v>612.72902893479898</c:v>
                </c:pt>
                <c:pt idx="1583">
                  <c:v>612.72902893479898</c:v>
                </c:pt>
                <c:pt idx="1584">
                  <c:v>612.72902893479898</c:v>
                </c:pt>
                <c:pt idx="1585">
                  <c:v>612.72902893479898</c:v>
                </c:pt>
                <c:pt idx="1586">
                  <c:v>612.72902893479898</c:v>
                </c:pt>
                <c:pt idx="1587">
                  <c:v>612.72902893479898</c:v>
                </c:pt>
                <c:pt idx="1588">
                  <c:v>612.72902893479898</c:v>
                </c:pt>
                <c:pt idx="1589">
                  <c:v>612.72902893479898</c:v>
                </c:pt>
                <c:pt idx="1590">
                  <c:v>612.72902893479898</c:v>
                </c:pt>
                <c:pt idx="1591">
                  <c:v>612.72902893479898</c:v>
                </c:pt>
                <c:pt idx="1592">
                  <c:v>612.72902893479898</c:v>
                </c:pt>
                <c:pt idx="1593">
                  <c:v>612.72902893479898</c:v>
                </c:pt>
                <c:pt idx="1594">
                  <c:v>612.72902893479898</c:v>
                </c:pt>
                <c:pt idx="1595">
                  <c:v>612.72902893479898</c:v>
                </c:pt>
                <c:pt idx="1596">
                  <c:v>612.72902893479898</c:v>
                </c:pt>
                <c:pt idx="1597">
                  <c:v>612.72902893479898</c:v>
                </c:pt>
                <c:pt idx="1598">
                  <c:v>612.72902893479898</c:v>
                </c:pt>
                <c:pt idx="1599">
                  <c:v>612.72902893479898</c:v>
                </c:pt>
                <c:pt idx="1600">
                  <c:v>612.72902893479898</c:v>
                </c:pt>
                <c:pt idx="1601">
                  <c:v>612.72902893479898</c:v>
                </c:pt>
                <c:pt idx="1602">
                  <c:v>612.72902893479898</c:v>
                </c:pt>
                <c:pt idx="1603">
                  <c:v>612.72902893479898</c:v>
                </c:pt>
                <c:pt idx="1604">
                  <c:v>612.72902893479898</c:v>
                </c:pt>
                <c:pt idx="1605">
                  <c:v>612.72902893479898</c:v>
                </c:pt>
                <c:pt idx="1606">
                  <c:v>612.72902893479898</c:v>
                </c:pt>
                <c:pt idx="1607">
                  <c:v>612.72902893479898</c:v>
                </c:pt>
                <c:pt idx="1608">
                  <c:v>612.72902893479898</c:v>
                </c:pt>
                <c:pt idx="1609">
                  <c:v>612.72902893479898</c:v>
                </c:pt>
                <c:pt idx="1610">
                  <c:v>612.72902893479898</c:v>
                </c:pt>
                <c:pt idx="1611">
                  <c:v>612.72902893479898</c:v>
                </c:pt>
                <c:pt idx="1612">
                  <c:v>612.72902893479898</c:v>
                </c:pt>
                <c:pt idx="1613">
                  <c:v>612.72902893479898</c:v>
                </c:pt>
                <c:pt idx="1614">
                  <c:v>612.72902893479898</c:v>
                </c:pt>
                <c:pt idx="1615">
                  <c:v>612.72902893479898</c:v>
                </c:pt>
                <c:pt idx="1616">
                  <c:v>612.72902893479898</c:v>
                </c:pt>
                <c:pt idx="1617">
                  <c:v>612.72902893479898</c:v>
                </c:pt>
                <c:pt idx="1618">
                  <c:v>612.72902893479898</c:v>
                </c:pt>
                <c:pt idx="1619">
                  <c:v>612.72902893479898</c:v>
                </c:pt>
                <c:pt idx="1620">
                  <c:v>612.72902893479898</c:v>
                </c:pt>
                <c:pt idx="1621">
                  <c:v>612.72902893479898</c:v>
                </c:pt>
                <c:pt idx="1622">
                  <c:v>612.72902893479898</c:v>
                </c:pt>
                <c:pt idx="1623">
                  <c:v>612.72902893479898</c:v>
                </c:pt>
                <c:pt idx="1624">
                  <c:v>612.72902893479898</c:v>
                </c:pt>
                <c:pt idx="1625">
                  <c:v>612.72902893479898</c:v>
                </c:pt>
                <c:pt idx="1626">
                  <c:v>612.72902893479898</c:v>
                </c:pt>
                <c:pt idx="1627">
                  <c:v>612.72902893479898</c:v>
                </c:pt>
                <c:pt idx="1628">
                  <c:v>612.72902893479898</c:v>
                </c:pt>
                <c:pt idx="1629">
                  <c:v>612.72902893479898</c:v>
                </c:pt>
                <c:pt idx="1630">
                  <c:v>612.72902893479898</c:v>
                </c:pt>
                <c:pt idx="1631">
                  <c:v>612.72902893479898</c:v>
                </c:pt>
                <c:pt idx="1632">
                  <c:v>612.72902893479898</c:v>
                </c:pt>
                <c:pt idx="1633">
                  <c:v>612.72902893479898</c:v>
                </c:pt>
                <c:pt idx="1634">
                  <c:v>612.72902893479898</c:v>
                </c:pt>
                <c:pt idx="1635">
                  <c:v>612.72902893479898</c:v>
                </c:pt>
                <c:pt idx="1636">
                  <c:v>612.72902893479898</c:v>
                </c:pt>
                <c:pt idx="1637">
                  <c:v>612.72902893479898</c:v>
                </c:pt>
                <c:pt idx="1638">
                  <c:v>612.72902893479898</c:v>
                </c:pt>
                <c:pt idx="1639">
                  <c:v>612.72902893479898</c:v>
                </c:pt>
                <c:pt idx="1640">
                  <c:v>612.72902893479898</c:v>
                </c:pt>
                <c:pt idx="1641">
                  <c:v>612.72902893479898</c:v>
                </c:pt>
                <c:pt idx="1642">
                  <c:v>612.72902893479898</c:v>
                </c:pt>
                <c:pt idx="1643">
                  <c:v>612.72902893479898</c:v>
                </c:pt>
                <c:pt idx="1644">
                  <c:v>612.72902893479898</c:v>
                </c:pt>
                <c:pt idx="1645">
                  <c:v>612.72902893479898</c:v>
                </c:pt>
                <c:pt idx="1646">
                  <c:v>612.72902893479898</c:v>
                </c:pt>
                <c:pt idx="1647">
                  <c:v>612.72902893479898</c:v>
                </c:pt>
                <c:pt idx="1648">
                  <c:v>612.72902893479898</c:v>
                </c:pt>
                <c:pt idx="1649">
                  <c:v>612.72902893479898</c:v>
                </c:pt>
                <c:pt idx="1650">
                  <c:v>612.72902893479898</c:v>
                </c:pt>
                <c:pt idx="1651">
                  <c:v>612.72902893479898</c:v>
                </c:pt>
                <c:pt idx="1652">
                  <c:v>612.72902893479898</c:v>
                </c:pt>
                <c:pt idx="1653">
                  <c:v>612.72902893479898</c:v>
                </c:pt>
                <c:pt idx="1654">
                  <c:v>612.72902893479898</c:v>
                </c:pt>
                <c:pt idx="1655">
                  <c:v>612.72902893479898</c:v>
                </c:pt>
                <c:pt idx="1656">
                  <c:v>612.72902893479898</c:v>
                </c:pt>
                <c:pt idx="1657">
                  <c:v>612.72902893479898</c:v>
                </c:pt>
                <c:pt idx="1658">
                  <c:v>612.72902893479898</c:v>
                </c:pt>
                <c:pt idx="1659">
                  <c:v>612.72902893479898</c:v>
                </c:pt>
                <c:pt idx="1660">
                  <c:v>612.72902893479898</c:v>
                </c:pt>
                <c:pt idx="1661">
                  <c:v>612.72902893479898</c:v>
                </c:pt>
                <c:pt idx="1662">
                  <c:v>612.72902893479898</c:v>
                </c:pt>
                <c:pt idx="1663">
                  <c:v>612.72902893479898</c:v>
                </c:pt>
                <c:pt idx="1664">
                  <c:v>612.72902893479898</c:v>
                </c:pt>
                <c:pt idx="1665">
                  <c:v>612.72902893479898</c:v>
                </c:pt>
                <c:pt idx="1666">
                  <c:v>612.72902893479898</c:v>
                </c:pt>
                <c:pt idx="1667">
                  <c:v>612.72902893479898</c:v>
                </c:pt>
                <c:pt idx="1668">
                  <c:v>612.72902893479898</c:v>
                </c:pt>
                <c:pt idx="1669">
                  <c:v>612.72902893479898</c:v>
                </c:pt>
                <c:pt idx="1670">
                  <c:v>612.72902893479898</c:v>
                </c:pt>
                <c:pt idx="1671">
                  <c:v>612.72902893479898</c:v>
                </c:pt>
                <c:pt idx="1672">
                  <c:v>612.72902893479898</c:v>
                </c:pt>
                <c:pt idx="1673">
                  <c:v>612.72902893479898</c:v>
                </c:pt>
                <c:pt idx="1674">
                  <c:v>612.72902893479898</c:v>
                </c:pt>
              </c:numCache>
            </c:numRef>
          </c:val>
          <c:smooth val="0"/>
          <c:extLst>
            <c:ext xmlns:c16="http://schemas.microsoft.com/office/drawing/2014/chart" uri="{C3380CC4-5D6E-409C-BE32-E72D297353CC}">
              <c16:uniqueId val="{00000002-03FE-4373-B0A1-A11C7CC2FD3A}"/>
            </c:ext>
          </c:extLst>
        </c:ser>
        <c:ser>
          <c:idx val="3"/>
          <c:order val="3"/>
          <c:tx>
            <c:strRef>
              <c:f>'5.4'!$F$5</c:f>
              <c:strCache>
                <c:ptCount val="1"/>
                <c:pt idx="0">
                  <c:v>Max. southern production and expected SWQP flows</c:v>
                </c:pt>
              </c:strCache>
            </c:strRef>
          </c:tx>
          <c:spPr>
            <a:ln w="28575" cap="rnd">
              <a:solidFill>
                <a:srgbClr val="60307F"/>
              </a:solidFill>
              <a:prstDash val="sysDash"/>
              <a:round/>
            </a:ln>
            <a:effectLst/>
          </c:spPr>
          <c:marker>
            <c:symbol val="none"/>
          </c:marker>
          <c:cat>
            <c:numRef>
              <c:f>'5.4'!$B$6:$B$1680</c:f>
              <c:numCache>
                <c:formatCode>m/d/yyyy</c:formatCode>
                <c:ptCount val="1675"/>
                <c:pt idx="0">
                  <c:v>45444</c:v>
                </c:pt>
                <c:pt idx="1">
                  <c:v>45445</c:v>
                </c:pt>
                <c:pt idx="2">
                  <c:v>45446</c:v>
                </c:pt>
                <c:pt idx="3">
                  <c:v>45447</c:v>
                </c:pt>
                <c:pt idx="4">
                  <c:v>45448</c:v>
                </c:pt>
                <c:pt idx="5">
                  <c:v>45449</c:v>
                </c:pt>
                <c:pt idx="6">
                  <c:v>45450</c:v>
                </c:pt>
                <c:pt idx="7">
                  <c:v>45451</c:v>
                </c:pt>
                <c:pt idx="8">
                  <c:v>45452</c:v>
                </c:pt>
                <c:pt idx="9">
                  <c:v>45453</c:v>
                </c:pt>
                <c:pt idx="10">
                  <c:v>45454</c:v>
                </c:pt>
                <c:pt idx="11">
                  <c:v>45455</c:v>
                </c:pt>
                <c:pt idx="12">
                  <c:v>45456</c:v>
                </c:pt>
                <c:pt idx="13">
                  <c:v>45457</c:v>
                </c:pt>
                <c:pt idx="14">
                  <c:v>45458</c:v>
                </c:pt>
                <c:pt idx="15">
                  <c:v>45459</c:v>
                </c:pt>
                <c:pt idx="16">
                  <c:v>45460</c:v>
                </c:pt>
                <c:pt idx="17">
                  <c:v>45461</c:v>
                </c:pt>
                <c:pt idx="18">
                  <c:v>45462</c:v>
                </c:pt>
                <c:pt idx="19">
                  <c:v>45463</c:v>
                </c:pt>
                <c:pt idx="20">
                  <c:v>45464</c:v>
                </c:pt>
                <c:pt idx="21">
                  <c:v>45465</c:v>
                </c:pt>
                <c:pt idx="22">
                  <c:v>45466</c:v>
                </c:pt>
                <c:pt idx="23">
                  <c:v>45467</c:v>
                </c:pt>
                <c:pt idx="24">
                  <c:v>45468</c:v>
                </c:pt>
                <c:pt idx="25">
                  <c:v>45469</c:v>
                </c:pt>
                <c:pt idx="26">
                  <c:v>45470</c:v>
                </c:pt>
                <c:pt idx="27">
                  <c:v>45471</c:v>
                </c:pt>
                <c:pt idx="28">
                  <c:v>45472</c:v>
                </c:pt>
                <c:pt idx="29">
                  <c:v>45473</c:v>
                </c:pt>
                <c:pt idx="30">
                  <c:v>45474</c:v>
                </c:pt>
                <c:pt idx="31">
                  <c:v>45475</c:v>
                </c:pt>
                <c:pt idx="32">
                  <c:v>45476</c:v>
                </c:pt>
                <c:pt idx="33">
                  <c:v>45477</c:v>
                </c:pt>
                <c:pt idx="34">
                  <c:v>45478</c:v>
                </c:pt>
                <c:pt idx="35">
                  <c:v>45479</c:v>
                </c:pt>
                <c:pt idx="36">
                  <c:v>45480</c:v>
                </c:pt>
                <c:pt idx="37">
                  <c:v>45481</c:v>
                </c:pt>
                <c:pt idx="38">
                  <c:v>45482</c:v>
                </c:pt>
                <c:pt idx="39">
                  <c:v>45483</c:v>
                </c:pt>
                <c:pt idx="40">
                  <c:v>45484</c:v>
                </c:pt>
                <c:pt idx="41">
                  <c:v>45485</c:v>
                </c:pt>
                <c:pt idx="42">
                  <c:v>45486</c:v>
                </c:pt>
                <c:pt idx="43">
                  <c:v>45487</c:v>
                </c:pt>
                <c:pt idx="44">
                  <c:v>45488</c:v>
                </c:pt>
                <c:pt idx="45">
                  <c:v>45489</c:v>
                </c:pt>
                <c:pt idx="46">
                  <c:v>45490</c:v>
                </c:pt>
                <c:pt idx="47">
                  <c:v>45491</c:v>
                </c:pt>
                <c:pt idx="48">
                  <c:v>45492</c:v>
                </c:pt>
                <c:pt idx="49">
                  <c:v>45493</c:v>
                </c:pt>
                <c:pt idx="50">
                  <c:v>45494</c:v>
                </c:pt>
                <c:pt idx="51">
                  <c:v>45495</c:v>
                </c:pt>
                <c:pt idx="52">
                  <c:v>45496</c:v>
                </c:pt>
                <c:pt idx="53">
                  <c:v>45497</c:v>
                </c:pt>
                <c:pt idx="54">
                  <c:v>45498</c:v>
                </c:pt>
                <c:pt idx="55">
                  <c:v>45499</c:v>
                </c:pt>
                <c:pt idx="56">
                  <c:v>45500</c:v>
                </c:pt>
                <c:pt idx="57">
                  <c:v>45501</c:v>
                </c:pt>
                <c:pt idx="58">
                  <c:v>45502</c:v>
                </c:pt>
                <c:pt idx="59">
                  <c:v>45503</c:v>
                </c:pt>
                <c:pt idx="60">
                  <c:v>45504</c:v>
                </c:pt>
                <c:pt idx="61">
                  <c:v>45505</c:v>
                </c:pt>
                <c:pt idx="62">
                  <c:v>45506</c:v>
                </c:pt>
                <c:pt idx="63">
                  <c:v>45507</c:v>
                </c:pt>
                <c:pt idx="64">
                  <c:v>45508</c:v>
                </c:pt>
                <c:pt idx="65">
                  <c:v>45509</c:v>
                </c:pt>
                <c:pt idx="66">
                  <c:v>45510</c:v>
                </c:pt>
                <c:pt idx="67">
                  <c:v>45511</c:v>
                </c:pt>
                <c:pt idx="68">
                  <c:v>45512</c:v>
                </c:pt>
                <c:pt idx="69">
                  <c:v>45513</c:v>
                </c:pt>
                <c:pt idx="70">
                  <c:v>45514</c:v>
                </c:pt>
                <c:pt idx="71">
                  <c:v>45515</c:v>
                </c:pt>
                <c:pt idx="72">
                  <c:v>45516</c:v>
                </c:pt>
                <c:pt idx="73">
                  <c:v>45517</c:v>
                </c:pt>
                <c:pt idx="74">
                  <c:v>45518</c:v>
                </c:pt>
                <c:pt idx="75">
                  <c:v>45519</c:v>
                </c:pt>
                <c:pt idx="76">
                  <c:v>45520</c:v>
                </c:pt>
                <c:pt idx="77">
                  <c:v>45521</c:v>
                </c:pt>
                <c:pt idx="78">
                  <c:v>45522</c:v>
                </c:pt>
                <c:pt idx="79">
                  <c:v>45523</c:v>
                </c:pt>
                <c:pt idx="80">
                  <c:v>45524</c:v>
                </c:pt>
                <c:pt idx="81">
                  <c:v>45525</c:v>
                </c:pt>
                <c:pt idx="82">
                  <c:v>45526</c:v>
                </c:pt>
                <c:pt idx="83">
                  <c:v>45527</c:v>
                </c:pt>
                <c:pt idx="84">
                  <c:v>45528</c:v>
                </c:pt>
                <c:pt idx="85">
                  <c:v>45529</c:v>
                </c:pt>
                <c:pt idx="86">
                  <c:v>45530</c:v>
                </c:pt>
                <c:pt idx="87">
                  <c:v>45531</c:v>
                </c:pt>
                <c:pt idx="88">
                  <c:v>45532</c:v>
                </c:pt>
                <c:pt idx="89">
                  <c:v>45533</c:v>
                </c:pt>
                <c:pt idx="90">
                  <c:v>45534</c:v>
                </c:pt>
                <c:pt idx="91">
                  <c:v>45535</c:v>
                </c:pt>
                <c:pt idx="92">
                  <c:v>45536</c:v>
                </c:pt>
                <c:pt idx="93">
                  <c:v>45537</c:v>
                </c:pt>
                <c:pt idx="94">
                  <c:v>45538</c:v>
                </c:pt>
                <c:pt idx="95">
                  <c:v>45539</c:v>
                </c:pt>
                <c:pt idx="96">
                  <c:v>45540</c:v>
                </c:pt>
                <c:pt idx="97">
                  <c:v>45541</c:v>
                </c:pt>
                <c:pt idx="98">
                  <c:v>45542</c:v>
                </c:pt>
                <c:pt idx="99">
                  <c:v>45543</c:v>
                </c:pt>
                <c:pt idx="100">
                  <c:v>45544</c:v>
                </c:pt>
                <c:pt idx="101">
                  <c:v>45545</c:v>
                </c:pt>
                <c:pt idx="102">
                  <c:v>45546</c:v>
                </c:pt>
                <c:pt idx="103">
                  <c:v>45547</c:v>
                </c:pt>
                <c:pt idx="104">
                  <c:v>45548</c:v>
                </c:pt>
                <c:pt idx="105">
                  <c:v>45549</c:v>
                </c:pt>
                <c:pt idx="106">
                  <c:v>45550</c:v>
                </c:pt>
                <c:pt idx="107">
                  <c:v>45551</c:v>
                </c:pt>
                <c:pt idx="108">
                  <c:v>45552</c:v>
                </c:pt>
                <c:pt idx="109">
                  <c:v>45553</c:v>
                </c:pt>
                <c:pt idx="110">
                  <c:v>45554</c:v>
                </c:pt>
                <c:pt idx="111">
                  <c:v>45555</c:v>
                </c:pt>
                <c:pt idx="112">
                  <c:v>45556</c:v>
                </c:pt>
                <c:pt idx="113">
                  <c:v>45557</c:v>
                </c:pt>
                <c:pt idx="114">
                  <c:v>45558</c:v>
                </c:pt>
                <c:pt idx="115">
                  <c:v>45559</c:v>
                </c:pt>
                <c:pt idx="116">
                  <c:v>45560</c:v>
                </c:pt>
                <c:pt idx="117">
                  <c:v>45561</c:v>
                </c:pt>
                <c:pt idx="118">
                  <c:v>45562</c:v>
                </c:pt>
                <c:pt idx="119">
                  <c:v>45563</c:v>
                </c:pt>
                <c:pt idx="120">
                  <c:v>45564</c:v>
                </c:pt>
                <c:pt idx="121">
                  <c:v>45565</c:v>
                </c:pt>
                <c:pt idx="122">
                  <c:v>45566</c:v>
                </c:pt>
                <c:pt idx="123">
                  <c:v>45567</c:v>
                </c:pt>
                <c:pt idx="124">
                  <c:v>45568</c:v>
                </c:pt>
                <c:pt idx="125">
                  <c:v>45569</c:v>
                </c:pt>
                <c:pt idx="126">
                  <c:v>45570</c:v>
                </c:pt>
                <c:pt idx="127">
                  <c:v>45571</c:v>
                </c:pt>
                <c:pt idx="128">
                  <c:v>45572</c:v>
                </c:pt>
                <c:pt idx="129">
                  <c:v>45573</c:v>
                </c:pt>
                <c:pt idx="130">
                  <c:v>45574</c:v>
                </c:pt>
                <c:pt idx="131">
                  <c:v>45575</c:v>
                </c:pt>
                <c:pt idx="132">
                  <c:v>45576</c:v>
                </c:pt>
                <c:pt idx="133">
                  <c:v>45577</c:v>
                </c:pt>
                <c:pt idx="134">
                  <c:v>45578</c:v>
                </c:pt>
                <c:pt idx="135">
                  <c:v>45579</c:v>
                </c:pt>
                <c:pt idx="136">
                  <c:v>45580</c:v>
                </c:pt>
                <c:pt idx="137">
                  <c:v>45581</c:v>
                </c:pt>
                <c:pt idx="138">
                  <c:v>45582</c:v>
                </c:pt>
                <c:pt idx="139">
                  <c:v>45583</c:v>
                </c:pt>
                <c:pt idx="140">
                  <c:v>45584</c:v>
                </c:pt>
                <c:pt idx="141">
                  <c:v>45585</c:v>
                </c:pt>
                <c:pt idx="142">
                  <c:v>45586</c:v>
                </c:pt>
                <c:pt idx="143">
                  <c:v>45587</c:v>
                </c:pt>
                <c:pt idx="144">
                  <c:v>45588</c:v>
                </c:pt>
                <c:pt idx="145">
                  <c:v>45589</c:v>
                </c:pt>
                <c:pt idx="146">
                  <c:v>45590</c:v>
                </c:pt>
                <c:pt idx="147">
                  <c:v>45591</c:v>
                </c:pt>
                <c:pt idx="148">
                  <c:v>45592</c:v>
                </c:pt>
                <c:pt idx="149">
                  <c:v>45593</c:v>
                </c:pt>
                <c:pt idx="150">
                  <c:v>45594</c:v>
                </c:pt>
                <c:pt idx="151">
                  <c:v>45595</c:v>
                </c:pt>
                <c:pt idx="152">
                  <c:v>45596</c:v>
                </c:pt>
                <c:pt idx="153">
                  <c:v>45597</c:v>
                </c:pt>
                <c:pt idx="154">
                  <c:v>45598</c:v>
                </c:pt>
                <c:pt idx="155">
                  <c:v>45599</c:v>
                </c:pt>
                <c:pt idx="156">
                  <c:v>45600</c:v>
                </c:pt>
                <c:pt idx="157">
                  <c:v>45601</c:v>
                </c:pt>
                <c:pt idx="158">
                  <c:v>45602</c:v>
                </c:pt>
                <c:pt idx="159">
                  <c:v>45603</c:v>
                </c:pt>
                <c:pt idx="160">
                  <c:v>45604</c:v>
                </c:pt>
                <c:pt idx="161">
                  <c:v>45605</c:v>
                </c:pt>
                <c:pt idx="162">
                  <c:v>45606</c:v>
                </c:pt>
                <c:pt idx="163">
                  <c:v>45607</c:v>
                </c:pt>
                <c:pt idx="164">
                  <c:v>45608</c:v>
                </c:pt>
                <c:pt idx="165">
                  <c:v>45609</c:v>
                </c:pt>
                <c:pt idx="166">
                  <c:v>45610</c:v>
                </c:pt>
                <c:pt idx="167">
                  <c:v>45611</c:v>
                </c:pt>
                <c:pt idx="168">
                  <c:v>45612</c:v>
                </c:pt>
                <c:pt idx="169">
                  <c:v>45613</c:v>
                </c:pt>
                <c:pt idx="170">
                  <c:v>45614</c:v>
                </c:pt>
                <c:pt idx="171">
                  <c:v>45615</c:v>
                </c:pt>
                <c:pt idx="172">
                  <c:v>45616</c:v>
                </c:pt>
                <c:pt idx="173">
                  <c:v>45617</c:v>
                </c:pt>
                <c:pt idx="174">
                  <c:v>45618</c:v>
                </c:pt>
                <c:pt idx="175">
                  <c:v>45619</c:v>
                </c:pt>
                <c:pt idx="176">
                  <c:v>45620</c:v>
                </c:pt>
                <c:pt idx="177">
                  <c:v>45621</c:v>
                </c:pt>
                <c:pt idx="178">
                  <c:v>45622</c:v>
                </c:pt>
                <c:pt idx="179">
                  <c:v>45623</c:v>
                </c:pt>
                <c:pt idx="180">
                  <c:v>45624</c:v>
                </c:pt>
                <c:pt idx="181">
                  <c:v>45625</c:v>
                </c:pt>
                <c:pt idx="182">
                  <c:v>45626</c:v>
                </c:pt>
                <c:pt idx="183">
                  <c:v>45627</c:v>
                </c:pt>
                <c:pt idx="184">
                  <c:v>45628</c:v>
                </c:pt>
                <c:pt idx="185">
                  <c:v>45629</c:v>
                </c:pt>
                <c:pt idx="186">
                  <c:v>45630</c:v>
                </c:pt>
                <c:pt idx="187">
                  <c:v>45631</c:v>
                </c:pt>
                <c:pt idx="188">
                  <c:v>45632</c:v>
                </c:pt>
                <c:pt idx="189">
                  <c:v>45633</c:v>
                </c:pt>
                <c:pt idx="190">
                  <c:v>45634</c:v>
                </c:pt>
                <c:pt idx="191">
                  <c:v>45635</c:v>
                </c:pt>
                <c:pt idx="192">
                  <c:v>45636</c:v>
                </c:pt>
                <c:pt idx="193">
                  <c:v>45637</c:v>
                </c:pt>
                <c:pt idx="194">
                  <c:v>45638</c:v>
                </c:pt>
                <c:pt idx="195">
                  <c:v>45639</c:v>
                </c:pt>
                <c:pt idx="196">
                  <c:v>45640</c:v>
                </c:pt>
                <c:pt idx="197">
                  <c:v>45641</c:v>
                </c:pt>
                <c:pt idx="198">
                  <c:v>45642</c:v>
                </c:pt>
                <c:pt idx="199">
                  <c:v>45643</c:v>
                </c:pt>
                <c:pt idx="200">
                  <c:v>45644</c:v>
                </c:pt>
                <c:pt idx="201">
                  <c:v>45645</c:v>
                </c:pt>
                <c:pt idx="202">
                  <c:v>45646</c:v>
                </c:pt>
                <c:pt idx="203">
                  <c:v>45647</c:v>
                </c:pt>
                <c:pt idx="204">
                  <c:v>45648</c:v>
                </c:pt>
                <c:pt idx="205">
                  <c:v>45649</c:v>
                </c:pt>
                <c:pt idx="206">
                  <c:v>45650</c:v>
                </c:pt>
                <c:pt idx="207">
                  <c:v>45651</c:v>
                </c:pt>
                <c:pt idx="208">
                  <c:v>45652</c:v>
                </c:pt>
                <c:pt idx="209">
                  <c:v>45653</c:v>
                </c:pt>
                <c:pt idx="210">
                  <c:v>45654</c:v>
                </c:pt>
                <c:pt idx="211">
                  <c:v>45655</c:v>
                </c:pt>
                <c:pt idx="212">
                  <c:v>45656</c:v>
                </c:pt>
                <c:pt idx="213">
                  <c:v>45657</c:v>
                </c:pt>
                <c:pt idx="214">
                  <c:v>45658</c:v>
                </c:pt>
                <c:pt idx="215">
                  <c:v>45659</c:v>
                </c:pt>
                <c:pt idx="216">
                  <c:v>45660</c:v>
                </c:pt>
                <c:pt idx="217">
                  <c:v>45661</c:v>
                </c:pt>
                <c:pt idx="218">
                  <c:v>45662</c:v>
                </c:pt>
                <c:pt idx="219">
                  <c:v>45663</c:v>
                </c:pt>
                <c:pt idx="220">
                  <c:v>45664</c:v>
                </c:pt>
                <c:pt idx="221">
                  <c:v>45665</c:v>
                </c:pt>
                <c:pt idx="222">
                  <c:v>45666</c:v>
                </c:pt>
                <c:pt idx="223">
                  <c:v>45667</c:v>
                </c:pt>
                <c:pt idx="224">
                  <c:v>45668</c:v>
                </c:pt>
                <c:pt idx="225">
                  <c:v>45669</c:v>
                </c:pt>
                <c:pt idx="226">
                  <c:v>45670</c:v>
                </c:pt>
                <c:pt idx="227">
                  <c:v>45671</c:v>
                </c:pt>
                <c:pt idx="228">
                  <c:v>45672</c:v>
                </c:pt>
                <c:pt idx="229">
                  <c:v>45673</c:v>
                </c:pt>
                <c:pt idx="230">
                  <c:v>45674</c:v>
                </c:pt>
                <c:pt idx="231">
                  <c:v>45675</c:v>
                </c:pt>
                <c:pt idx="232">
                  <c:v>45676</c:v>
                </c:pt>
                <c:pt idx="233">
                  <c:v>45677</c:v>
                </c:pt>
                <c:pt idx="234">
                  <c:v>45678</c:v>
                </c:pt>
                <c:pt idx="235">
                  <c:v>45679</c:v>
                </c:pt>
                <c:pt idx="236">
                  <c:v>45680</c:v>
                </c:pt>
                <c:pt idx="237">
                  <c:v>45681</c:v>
                </c:pt>
                <c:pt idx="238">
                  <c:v>45682</c:v>
                </c:pt>
                <c:pt idx="239">
                  <c:v>45683</c:v>
                </c:pt>
                <c:pt idx="240">
                  <c:v>45684</c:v>
                </c:pt>
                <c:pt idx="241">
                  <c:v>45685</c:v>
                </c:pt>
                <c:pt idx="242">
                  <c:v>45686</c:v>
                </c:pt>
                <c:pt idx="243">
                  <c:v>45687</c:v>
                </c:pt>
                <c:pt idx="244">
                  <c:v>45688</c:v>
                </c:pt>
                <c:pt idx="245">
                  <c:v>45689</c:v>
                </c:pt>
                <c:pt idx="246">
                  <c:v>45690</c:v>
                </c:pt>
                <c:pt idx="247">
                  <c:v>45691</c:v>
                </c:pt>
                <c:pt idx="248">
                  <c:v>45692</c:v>
                </c:pt>
                <c:pt idx="249">
                  <c:v>45693</c:v>
                </c:pt>
                <c:pt idx="250">
                  <c:v>45694</c:v>
                </c:pt>
                <c:pt idx="251">
                  <c:v>45695</c:v>
                </c:pt>
                <c:pt idx="252">
                  <c:v>45696</c:v>
                </c:pt>
                <c:pt idx="253">
                  <c:v>45697</c:v>
                </c:pt>
                <c:pt idx="254">
                  <c:v>45698</c:v>
                </c:pt>
                <c:pt idx="255">
                  <c:v>45699</c:v>
                </c:pt>
                <c:pt idx="256">
                  <c:v>45700</c:v>
                </c:pt>
                <c:pt idx="257">
                  <c:v>45701</c:v>
                </c:pt>
                <c:pt idx="258">
                  <c:v>45702</c:v>
                </c:pt>
                <c:pt idx="259">
                  <c:v>45703</c:v>
                </c:pt>
                <c:pt idx="260">
                  <c:v>45704</c:v>
                </c:pt>
                <c:pt idx="261">
                  <c:v>45705</c:v>
                </c:pt>
                <c:pt idx="262">
                  <c:v>45706</c:v>
                </c:pt>
                <c:pt idx="263">
                  <c:v>45707</c:v>
                </c:pt>
                <c:pt idx="264">
                  <c:v>45708</c:v>
                </c:pt>
                <c:pt idx="265">
                  <c:v>45709</c:v>
                </c:pt>
                <c:pt idx="266">
                  <c:v>45710</c:v>
                </c:pt>
                <c:pt idx="267">
                  <c:v>45711</c:v>
                </c:pt>
                <c:pt idx="268">
                  <c:v>45712</c:v>
                </c:pt>
                <c:pt idx="269">
                  <c:v>45713</c:v>
                </c:pt>
                <c:pt idx="270">
                  <c:v>45714</c:v>
                </c:pt>
                <c:pt idx="271">
                  <c:v>45715</c:v>
                </c:pt>
                <c:pt idx="272">
                  <c:v>45716</c:v>
                </c:pt>
                <c:pt idx="273">
                  <c:v>45717</c:v>
                </c:pt>
                <c:pt idx="274">
                  <c:v>45718</c:v>
                </c:pt>
                <c:pt idx="275">
                  <c:v>45719</c:v>
                </c:pt>
                <c:pt idx="276">
                  <c:v>45720</c:v>
                </c:pt>
                <c:pt idx="277">
                  <c:v>45721</c:v>
                </c:pt>
                <c:pt idx="278">
                  <c:v>45722</c:v>
                </c:pt>
                <c:pt idx="279">
                  <c:v>45723</c:v>
                </c:pt>
                <c:pt idx="280">
                  <c:v>45724</c:v>
                </c:pt>
                <c:pt idx="281">
                  <c:v>45725</c:v>
                </c:pt>
                <c:pt idx="282">
                  <c:v>45726</c:v>
                </c:pt>
                <c:pt idx="283">
                  <c:v>45727</c:v>
                </c:pt>
                <c:pt idx="284">
                  <c:v>45728</c:v>
                </c:pt>
                <c:pt idx="285">
                  <c:v>45729</c:v>
                </c:pt>
                <c:pt idx="286">
                  <c:v>45730</c:v>
                </c:pt>
                <c:pt idx="287">
                  <c:v>45731</c:v>
                </c:pt>
                <c:pt idx="288">
                  <c:v>45732</c:v>
                </c:pt>
                <c:pt idx="289">
                  <c:v>45733</c:v>
                </c:pt>
                <c:pt idx="290">
                  <c:v>45734</c:v>
                </c:pt>
                <c:pt idx="291">
                  <c:v>45735</c:v>
                </c:pt>
                <c:pt idx="292">
                  <c:v>45736</c:v>
                </c:pt>
                <c:pt idx="293">
                  <c:v>45737</c:v>
                </c:pt>
                <c:pt idx="294">
                  <c:v>45738</c:v>
                </c:pt>
                <c:pt idx="295">
                  <c:v>45739</c:v>
                </c:pt>
                <c:pt idx="296">
                  <c:v>45740</c:v>
                </c:pt>
                <c:pt idx="297">
                  <c:v>45741</c:v>
                </c:pt>
                <c:pt idx="298">
                  <c:v>45742</c:v>
                </c:pt>
                <c:pt idx="299">
                  <c:v>45743</c:v>
                </c:pt>
                <c:pt idx="300">
                  <c:v>45744</c:v>
                </c:pt>
                <c:pt idx="301">
                  <c:v>45745</c:v>
                </c:pt>
                <c:pt idx="302">
                  <c:v>45746</c:v>
                </c:pt>
                <c:pt idx="303">
                  <c:v>45747</c:v>
                </c:pt>
                <c:pt idx="304">
                  <c:v>45748</c:v>
                </c:pt>
                <c:pt idx="305">
                  <c:v>45749</c:v>
                </c:pt>
                <c:pt idx="306">
                  <c:v>45750</c:v>
                </c:pt>
                <c:pt idx="307">
                  <c:v>45751</c:v>
                </c:pt>
                <c:pt idx="308">
                  <c:v>45752</c:v>
                </c:pt>
                <c:pt idx="309">
                  <c:v>45753</c:v>
                </c:pt>
                <c:pt idx="310">
                  <c:v>45754</c:v>
                </c:pt>
                <c:pt idx="311">
                  <c:v>45755</c:v>
                </c:pt>
                <c:pt idx="312">
                  <c:v>45756</c:v>
                </c:pt>
                <c:pt idx="313">
                  <c:v>45757</c:v>
                </c:pt>
                <c:pt idx="314">
                  <c:v>45758</c:v>
                </c:pt>
                <c:pt idx="315">
                  <c:v>45759</c:v>
                </c:pt>
                <c:pt idx="316">
                  <c:v>45760</c:v>
                </c:pt>
                <c:pt idx="317">
                  <c:v>45761</c:v>
                </c:pt>
                <c:pt idx="318">
                  <c:v>45762</c:v>
                </c:pt>
                <c:pt idx="319">
                  <c:v>45763</c:v>
                </c:pt>
                <c:pt idx="320">
                  <c:v>45764</c:v>
                </c:pt>
                <c:pt idx="321">
                  <c:v>45765</c:v>
                </c:pt>
                <c:pt idx="322">
                  <c:v>45766</c:v>
                </c:pt>
                <c:pt idx="323">
                  <c:v>45767</c:v>
                </c:pt>
                <c:pt idx="324">
                  <c:v>45768</c:v>
                </c:pt>
                <c:pt idx="325">
                  <c:v>45769</c:v>
                </c:pt>
                <c:pt idx="326">
                  <c:v>45770</c:v>
                </c:pt>
                <c:pt idx="327">
                  <c:v>45771</c:v>
                </c:pt>
                <c:pt idx="328">
                  <c:v>45772</c:v>
                </c:pt>
                <c:pt idx="329">
                  <c:v>45773</c:v>
                </c:pt>
                <c:pt idx="330">
                  <c:v>45774</c:v>
                </c:pt>
                <c:pt idx="331">
                  <c:v>45775</c:v>
                </c:pt>
                <c:pt idx="332">
                  <c:v>45776</c:v>
                </c:pt>
                <c:pt idx="333">
                  <c:v>45777</c:v>
                </c:pt>
                <c:pt idx="334">
                  <c:v>45778</c:v>
                </c:pt>
                <c:pt idx="335">
                  <c:v>45779</c:v>
                </c:pt>
                <c:pt idx="336">
                  <c:v>45780</c:v>
                </c:pt>
                <c:pt idx="337">
                  <c:v>45781</c:v>
                </c:pt>
                <c:pt idx="338">
                  <c:v>45782</c:v>
                </c:pt>
                <c:pt idx="339">
                  <c:v>45783</c:v>
                </c:pt>
                <c:pt idx="340">
                  <c:v>45784</c:v>
                </c:pt>
                <c:pt idx="341">
                  <c:v>45785</c:v>
                </c:pt>
                <c:pt idx="342">
                  <c:v>45786</c:v>
                </c:pt>
                <c:pt idx="343">
                  <c:v>45787</c:v>
                </c:pt>
                <c:pt idx="344">
                  <c:v>45788</c:v>
                </c:pt>
                <c:pt idx="345">
                  <c:v>45789</c:v>
                </c:pt>
                <c:pt idx="346">
                  <c:v>45790</c:v>
                </c:pt>
                <c:pt idx="347">
                  <c:v>45791</c:v>
                </c:pt>
                <c:pt idx="348">
                  <c:v>45792</c:v>
                </c:pt>
                <c:pt idx="349">
                  <c:v>45793</c:v>
                </c:pt>
                <c:pt idx="350">
                  <c:v>45794</c:v>
                </c:pt>
                <c:pt idx="351">
                  <c:v>45795</c:v>
                </c:pt>
                <c:pt idx="352">
                  <c:v>45796</c:v>
                </c:pt>
                <c:pt idx="353">
                  <c:v>45797</c:v>
                </c:pt>
                <c:pt idx="354">
                  <c:v>45798</c:v>
                </c:pt>
                <c:pt idx="355">
                  <c:v>45799</c:v>
                </c:pt>
                <c:pt idx="356">
                  <c:v>45800</c:v>
                </c:pt>
                <c:pt idx="357">
                  <c:v>45801</c:v>
                </c:pt>
                <c:pt idx="358">
                  <c:v>45802</c:v>
                </c:pt>
                <c:pt idx="359">
                  <c:v>45803</c:v>
                </c:pt>
                <c:pt idx="360">
                  <c:v>45804</c:v>
                </c:pt>
                <c:pt idx="361">
                  <c:v>45805</c:v>
                </c:pt>
                <c:pt idx="362">
                  <c:v>45806</c:v>
                </c:pt>
                <c:pt idx="363">
                  <c:v>45807</c:v>
                </c:pt>
                <c:pt idx="364">
                  <c:v>45808</c:v>
                </c:pt>
                <c:pt idx="365">
                  <c:v>45809</c:v>
                </c:pt>
                <c:pt idx="366">
                  <c:v>45810</c:v>
                </c:pt>
                <c:pt idx="367">
                  <c:v>45811</c:v>
                </c:pt>
                <c:pt idx="368">
                  <c:v>45812</c:v>
                </c:pt>
                <c:pt idx="369">
                  <c:v>45813</c:v>
                </c:pt>
                <c:pt idx="370">
                  <c:v>45814</c:v>
                </c:pt>
                <c:pt idx="371">
                  <c:v>45815</c:v>
                </c:pt>
                <c:pt idx="372">
                  <c:v>45816</c:v>
                </c:pt>
                <c:pt idx="373">
                  <c:v>45817</c:v>
                </c:pt>
                <c:pt idx="374">
                  <c:v>45818</c:v>
                </c:pt>
                <c:pt idx="375">
                  <c:v>45819</c:v>
                </c:pt>
                <c:pt idx="376">
                  <c:v>45820</c:v>
                </c:pt>
                <c:pt idx="377">
                  <c:v>45821</c:v>
                </c:pt>
                <c:pt idx="378">
                  <c:v>45822</c:v>
                </c:pt>
                <c:pt idx="379">
                  <c:v>45823</c:v>
                </c:pt>
                <c:pt idx="380">
                  <c:v>45824</c:v>
                </c:pt>
                <c:pt idx="381">
                  <c:v>45825</c:v>
                </c:pt>
                <c:pt idx="382">
                  <c:v>45826</c:v>
                </c:pt>
                <c:pt idx="383">
                  <c:v>45827</c:v>
                </c:pt>
                <c:pt idx="384">
                  <c:v>45828</c:v>
                </c:pt>
                <c:pt idx="385">
                  <c:v>45829</c:v>
                </c:pt>
                <c:pt idx="386">
                  <c:v>45830</c:v>
                </c:pt>
                <c:pt idx="387">
                  <c:v>45831</c:v>
                </c:pt>
                <c:pt idx="388">
                  <c:v>45832</c:v>
                </c:pt>
                <c:pt idx="389">
                  <c:v>45833</c:v>
                </c:pt>
                <c:pt idx="390">
                  <c:v>45834</c:v>
                </c:pt>
                <c:pt idx="391">
                  <c:v>45835</c:v>
                </c:pt>
                <c:pt idx="392">
                  <c:v>45836</c:v>
                </c:pt>
                <c:pt idx="393">
                  <c:v>45837</c:v>
                </c:pt>
                <c:pt idx="394">
                  <c:v>45838</c:v>
                </c:pt>
                <c:pt idx="395">
                  <c:v>45839</c:v>
                </c:pt>
                <c:pt idx="396">
                  <c:v>45840</c:v>
                </c:pt>
                <c:pt idx="397">
                  <c:v>45841</c:v>
                </c:pt>
                <c:pt idx="398">
                  <c:v>45842</c:v>
                </c:pt>
                <c:pt idx="399">
                  <c:v>45843</c:v>
                </c:pt>
                <c:pt idx="400">
                  <c:v>45844</c:v>
                </c:pt>
                <c:pt idx="401">
                  <c:v>45845</c:v>
                </c:pt>
                <c:pt idx="402">
                  <c:v>45846</c:v>
                </c:pt>
                <c:pt idx="403">
                  <c:v>45847</c:v>
                </c:pt>
                <c:pt idx="404">
                  <c:v>45848</c:v>
                </c:pt>
                <c:pt idx="405">
                  <c:v>45849</c:v>
                </c:pt>
                <c:pt idx="406">
                  <c:v>45850</c:v>
                </c:pt>
                <c:pt idx="407">
                  <c:v>45851</c:v>
                </c:pt>
                <c:pt idx="408">
                  <c:v>45852</c:v>
                </c:pt>
                <c:pt idx="409">
                  <c:v>45853</c:v>
                </c:pt>
                <c:pt idx="410">
                  <c:v>45854</c:v>
                </c:pt>
                <c:pt idx="411">
                  <c:v>45855</c:v>
                </c:pt>
                <c:pt idx="412">
                  <c:v>45856</c:v>
                </c:pt>
                <c:pt idx="413">
                  <c:v>45857</c:v>
                </c:pt>
                <c:pt idx="414">
                  <c:v>45858</c:v>
                </c:pt>
                <c:pt idx="415">
                  <c:v>45859</c:v>
                </c:pt>
                <c:pt idx="416">
                  <c:v>45860</c:v>
                </c:pt>
                <c:pt idx="417">
                  <c:v>45861</c:v>
                </c:pt>
                <c:pt idx="418">
                  <c:v>45862</c:v>
                </c:pt>
                <c:pt idx="419">
                  <c:v>45863</c:v>
                </c:pt>
                <c:pt idx="420">
                  <c:v>45864</c:v>
                </c:pt>
                <c:pt idx="421">
                  <c:v>45865</c:v>
                </c:pt>
                <c:pt idx="422">
                  <c:v>45866</c:v>
                </c:pt>
                <c:pt idx="423">
                  <c:v>45867</c:v>
                </c:pt>
                <c:pt idx="424">
                  <c:v>45868</c:v>
                </c:pt>
                <c:pt idx="425">
                  <c:v>45869</c:v>
                </c:pt>
                <c:pt idx="426">
                  <c:v>45870</c:v>
                </c:pt>
                <c:pt idx="427">
                  <c:v>45871</c:v>
                </c:pt>
                <c:pt idx="428">
                  <c:v>45872</c:v>
                </c:pt>
                <c:pt idx="429">
                  <c:v>45873</c:v>
                </c:pt>
                <c:pt idx="430">
                  <c:v>45874</c:v>
                </c:pt>
                <c:pt idx="431">
                  <c:v>45875</c:v>
                </c:pt>
                <c:pt idx="432">
                  <c:v>45876</c:v>
                </c:pt>
                <c:pt idx="433">
                  <c:v>45877</c:v>
                </c:pt>
                <c:pt idx="434">
                  <c:v>45878</c:v>
                </c:pt>
                <c:pt idx="435">
                  <c:v>45879</c:v>
                </c:pt>
                <c:pt idx="436">
                  <c:v>45880</c:v>
                </c:pt>
                <c:pt idx="437">
                  <c:v>45881</c:v>
                </c:pt>
                <c:pt idx="438">
                  <c:v>45882</c:v>
                </c:pt>
                <c:pt idx="439">
                  <c:v>45883</c:v>
                </c:pt>
                <c:pt idx="440">
                  <c:v>45884</c:v>
                </c:pt>
                <c:pt idx="441">
                  <c:v>45885</c:v>
                </c:pt>
                <c:pt idx="442">
                  <c:v>45886</c:v>
                </c:pt>
                <c:pt idx="443">
                  <c:v>45887</c:v>
                </c:pt>
                <c:pt idx="444">
                  <c:v>45888</c:v>
                </c:pt>
                <c:pt idx="445">
                  <c:v>45889</c:v>
                </c:pt>
                <c:pt idx="446">
                  <c:v>45890</c:v>
                </c:pt>
                <c:pt idx="447">
                  <c:v>45891</c:v>
                </c:pt>
                <c:pt idx="448">
                  <c:v>45892</c:v>
                </c:pt>
                <c:pt idx="449">
                  <c:v>45893</c:v>
                </c:pt>
                <c:pt idx="450">
                  <c:v>45894</c:v>
                </c:pt>
                <c:pt idx="451">
                  <c:v>45895</c:v>
                </c:pt>
                <c:pt idx="452">
                  <c:v>45896</c:v>
                </c:pt>
                <c:pt idx="453">
                  <c:v>45897</c:v>
                </c:pt>
                <c:pt idx="454">
                  <c:v>45898</c:v>
                </c:pt>
                <c:pt idx="455">
                  <c:v>45899</c:v>
                </c:pt>
                <c:pt idx="456">
                  <c:v>45900</c:v>
                </c:pt>
                <c:pt idx="457">
                  <c:v>45901</c:v>
                </c:pt>
                <c:pt idx="458">
                  <c:v>45902</c:v>
                </c:pt>
                <c:pt idx="459">
                  <c:v>45903</c:v>
                </c:pt>
                <c:pt idx="460">
                  <c:v>45904</c:v>
                </c:pt>
                <c:pt idx="461">
                  <c:v>45905</c:v>
                </c:pt>
                <c:pt idx="462">
                  <c:v>45906</c:v>
                </c:pt>
                <c:pt idx="463">
                  <c:v>45907</c:v>
                </c:pt>
                <c:pt idx="464">
                  <c:v>45908</c:v>
                </c:pt>
                <c:pt idx="465">
                  <c:v>45909</c:v>
                </c:pt>
                <c:pt idx="466">
                  <c:v>45910</c:v>
                </c:pt>
                <c:pt idx="467">
                  <c:v>45911</c:v>
                </c:pt>
                <c:pt idx="468">
                  <c:v>45912</c:v>
                </c:pt>
                <c:pt idx="469">
                  <c:v>45913</c:v>
                </c:pt>
                <c:pt idx="470">
                  <c:v>45914</c:v>
                </c:pt>
                <c:pt idx="471">
                  <c:v>45915</c:v>
                </c:pt>
                <c:pt idx="472">
                  <c:v>45916</c:v>
                </c:pt>
                <c:pt idx="473">
                  <c:v>45917</c:v>
                </c:pt>
                <c:pt idx="474">
                  <c:v>45918</c:v>
                </c:pt>
                <c:pt idx="475">
                  <c:v>45919</c:v>
                </c:pt>
                <c:pt idx="476">
                  <c:v>45920</c:v>
                </c:pt>
                <c:pt idx="477">
                  <c:v>45921</c:v>
                </c:pt>
                <c:pt idx="478">
                  <c:v>45922</c:v>
                </c:pt>
                <c:pt idx="479">
                  <c:v>45923</c:v>
                </c:pt>
                <c:pt idx="480">
                  <c:v>45924</c:v>
                </c:pt>
                <c:pt idx="481">
                  <c:v>45925</c:v>
                </c:pt>
                <c:pt idx="482">
                  <c:v>45926</c:v>
                </c:pt>
                <c:pt idx="483">
                  <c:v>45927</c:v>
                </c:pt>
                <c:pt idx="484">
                  <c:v>45928</c:v>
                </c:pt>
                <c:pt idx="485">
                  <c:v>45929</c:v>
                </c:pt>
                <c:pt idx="486">
                  <c:v>45930</c:v>
                </c:pt>
                <c:pt idx="487">
                  <c:v>45931</c:v>
                </c:pt>
                <c:pt idx="488">
                  <c:v>45932</c:v>
                </c:pt>
                <c:pt idx="489">
                  <c:v>45933</c:v>
                </c:pt>
                <c:pt idx="490">
                  <c:v>45934</c:v>
                </c:pt>
                <c:pt idx="491">
                  <c:v>45935</c:v>
                </c:pt>
                <c:pt idx="492">
                  <c:v>45936</c:v>
                </c:pt>
                <c:pt idx="493">
                  <c:v>45937</c:v>
                </c:pt>
                <c:pt idx="494">
                  <c:v>45938</c:v>
                </c:pt>
                <c:pt idx="495">
                  <c:v>45939</c:v>
                </c:pt>
                <c:pt idx="496">
                  <c:v>45940</c:v>
                </c:pt>
                <c:pt idx="497">
                  <c:v>45941</c:v>
                </c:pt>
                <c:pt idx="498">
                  <c:v>45942</c:v>
                </c:pt>
                <c:pt idx="499">
                  <c:v>45943</c:v>
                </c:pt>
                <c:pt idx="500">
                  <c:v>45944</c:v>
                </c:pt>
                <c:pt idx="501">
                  <c:v>45945</c:v>
                </c:pt>
                <c:pt idx="502">
                  <c:v>45946</c:v>
                </c:pt>
                <c:pt idx="503">
                  <c:v>45947</c:v>
                </c:pt>
                <c:pt idx="504">
                  <c:v>45948</c:v>
                </c:pt>
                <c:pt idx="505">
                  <c:v>45949</c:v>
                </c:pt>
                <c:pt idx="506">
                  <c:v>45950</c:v>
                </c:pt>
                <c:pt idx="507">
                  <c:v>45951</c:v>
                </c:pt>
                <c:pt idx="508">
                  <c:v>45952</c:v>
                </c:pt>
                <c:pt idx="509">
                  <c:v>45953</c:v>
                </c:pt>
                <c:pt idx="510">
                  <c:v>45954</c:v>
                </c:pt>
                <c:pt idx="511">
                  <c:v>45955</c:v>
                </c:pt>
                <c:pt idx="512">
                  <c:v>45956</c:v>
                </c:pt>
                <c:pt idx="513">
                  <c:v>45957</c:v>
                </c:pt>
                <c:pt idx="514">
                  <c:v>45958</c:v>
                </c:pt>
                <c:pt idx="515">
                  <c:v>45959</c:v>
                </c:pt>
                <c:pt idx="516">
                  <c:v>45960</c:v>
                </c:pt>
                <c:pt idx="517">
                  <c:v>45961</c:v>
                </c:pt>
                <c:pt idx="518">
                  <c:v>45962</c:v>
                </c:pt>
                <c:pt idx="519">
                  <c:v>45963</c:v>
                </c:pt>
                <c:pt idx="520">
                  <c:v>45964</c:v>
                </c:pt>
                <c:pt idx="521">
                  <c:v>45965</c:v>
                </c:pt>
                <c:pt idx="522">
                  <c:v>45966</c:v>
                </c:pt>
                <c:pt idx="523">
                  <c:v>45967</c:v>
                </c:pt>
                <c:pt idx="524">
                  <c:v>45968</c:v>
                </c:pt>
                <c:pt idx="525">
                  <c:v>45969</c:v>
                </c:pt>
                <c:pt idx="526">
                  <c:v>45970</c:v>
                </c:pt>
                <c:pt idx="527">
                  <c:v>45971</c:v>
                </c:pt>
                <c:pt idx="528">
                  <c:v>45972</c:v>
                </c:pt>
                <c:pt idx="529">
                  <c:v>45973</c:v>
                </c:pt>
                <c:pt idx="530">
                  <c:v>45974</c:v>
                </c:pt>
                <c:pt idx="531">
                  <c:v>45975</c:v>
                </c:pt>
                <c:pt idx="532">
                  <c:v>45976</c:v>
                </c:pt>
                <c:pt idx="533">
                  <c:v>45977</c:v>
                </c:pt>
                <c:pt idx="534">
                  <c:v>45978</c:v>
                </c:pt>
                <c:pt idx="535">
                  <c:v>45979</c:v>
                </c:pt>
                <c:pt idx="536">
                  <c:v>45980</c:v>
                </c:pt>
                <c:pt idx="537">
                  <c:v>45981</c:v>
                </c:pt>
                <c:pt idx="538">
                  <c:v>45982</c:v>
                </c:pt>
                <c:pt idx="539">
                  <c:v>45983</c:v>
                </c:pt>
                <c:pt idx="540">
                  <c:v>45984</c:v>
                </c:pt>
                <c:pt idx="541">
                  <c:v>45985</c:v>
                </c:pt>
                <c:pt idx="542">
                  <c:v>45986</c:v>
                </c:pt>
                <c:pt idx="543">
                  <c:v>45987</c:v>
                </c:pt>
                <c:pt idx="544">
                  <c:v>45988</c:v>
                </c:pt>
                <c:pt idx="545">
                  <c:v>45989</c:v>
                </c:pt>
                <c:pt idx="546">
                  <c:v>45990</c:v>
                </c:pt>
                <c:pt idx="547">
                  <c:v>45991</c:v>
                </c:pt>
                <c:pt idx="548">
                  <c:v>45992</c:v>
                </c:pt>
                <c:pt idx="549">
                  <c:v>45993</c:v>
                </c:pt>
                <c:pt idx="550">
                  <c:v>45994</c:v>
                </c:pt>
                <c:pt idx="551">
                  <c:v>45995</c:v>
                </c:pt>
                <c:pt idx="552">
                  <c:v>45996</c:v>
                </c:pt>
                <c:pt idx="553">
                  <c:v>45997</c:v>
                </c:pt>
                <c:pt idx="554">
                  <c:v>45998</c:v>
                </c:pt>
                <c:pt idx="555">
                  <c:v>45999</c:v>
                </c:pt>
                <c:pt idx="556">
                  <c:v>46000</c:v>
                </c:pt>
                <c:pt idx="557">
                  <c:v>46001</c:v>
                </c:pt>
                <c:pt idx="558">
                  <c:v>46002</c:v>
                </c:pt>
                <c:pt idx="559">
                  <c:v>46003</c:v>
                </c:pt>
                <c:pt idx="560">
                  <c:v>46004</c:v>
                </c:pt>
                <c:pt idx="561">
                  <c:v>46005</c:v>
                </c:pt>
                <c:pt idx="562">
                  <c:v>46006</c:v>
                </c:pt>
                <c:pt idx="563">
                  <c:v>46007</c:v>
                </c:pt>
                <c:pt idx="564">
                  <c:v>46008</c:v>
                </c:pt>
                <c:pt idx="565">
                  <c:v>46009</c:v>
                </c:pt>
                <c:pt idx="566">
                  <c:v>46010</c:v>
                </c:pt>
                <c:pt idx="567">
                  <c:v>46011</c:v>
                </c:pt>
                <c:pt idx="568">
                  <c:v>46012</c:v>
                </c:pt>
                <c:pt idx="569">
                  <c:v>46013</c:v>
                </c:pt>
                <c:pt idx="570">
                  <c:v>46014</c:v>
                </c:pt>
                <c:pt idx="571">
                  <c:v>46015</c:v>
                </c:pt>
                <c:pt idx="572">
                  <c:v>46016</c:v>
                </c:pt>
                <c:pt idx="573">
                  <c:v>46017</c:v>
                </c:pt>
                <c:pt idx="574">
                  <c:v>46018</c:v>
                </c:pt>
                <c:pt idx="575">
                  <c:v>46019</c:v>
                </c:pt>
                <c:pt idx="576">
                  <c:v>46020</c:v>
                </c:pt>
                <c:pt idx="577">
                  <c:v>46021</c:v>
                </c:pt>
                <c:pt idx="578">
                  <c:v>46022</c:v>
                </c:pt>
                <c:pt idx="579">
                  <c:v>46023</c:v>
                </c:pt>
                <c:pt idx="580">
                  <c:v>46024</c:v>
                </c:pt>
                <c:pt idx="581">
                  <c:v>46025</c:v>
                </c:pt>
                <c:pt idx="582">
                  <c:v>46026</c:v>
                </c:pt>
                <c:pt idx="583">
                  <c:v>46027</c:v>
                </c:pt>
                <c:pt idx="584">
                  <c:v>46028</c:v>
                </c:pt>
                <c:pt idx="585">
                  <c:v>46029</c:v>
                </c:pt>
                <c:pt idx="586">
                  <c:v>46030</c:v>
                </c:pt>
                <c:pt idx="587">
                  <c:v>46031</c:v>
                </c:pt>
                <c:pt idx="588">
                  <c:v>46032</c:v>
                </c:pt>
                <c:pt idx="589">
                  <c:v>46033</c:v>
                </c:pt>
                <c:pt idx="590">
                  <c:v>46034</c:v>
                </c:pt>
                <c:pt idx="591">
                  <c:v>46035</c:v>
                </c:pt>
                <c:pt idx="592">
                  <c:v>46036</c:v>
                </c:pt>
                <c:pt idx="593">
                  <c:v>46037</c:v>
                </c:pt>
                <c:pt idx="594">
                  <c:v>46038</c:v>
                </c:pt>
                <c:pt idx="595">
                  <c:v>46039</c:v>
                </c:pt>
                <c:pt idx="596">
                  <c:v>46040</c:v>
                </c:pt>
                <c:pt idx="597">
                  <c:v>46041</c:v>
                </c:pt>
                <c:pt idx="598">
                  <c:v>46042</c:v>
                </c:pt>
                <c:pt idx="599">
                  <c:v>46043</c:v>
                </c:pt>
                <c:pt idx="600">
                  <c:v>46044</c:v>
                </c:pt>
                <c:pt idx="601">
                  <c:v>46045</c:v>
                </c:pt>
                <c:pt idx="602">
                  <c:v>46046</c:v>
                </c:pt>
                <c:pt idx="603">
                  <c:v>46047</c:v>
                </c:pt>
                <c:pt idx="604">
                  <c:v>46048</c:v>
                </c:pt>
                <c:pt idx="605">
                  <c:v>46049</c:v>
                </c:pt>
                <c:pt idx="606">
                  <c:v>46050</c:v>
                </c:pt>
                <c:pt idx="607">
                  <c:v>46051</c:v>
                </c:pt>
                <c:pt idx="608">
                  <c:v>46052</c:v>
                </c:pt>
                <c:pt idx="609">
                  <c:v>46053</c:v>
                </c:pt>
                <c:pt idx="610">
                  <c:v>46054</c:v>
                </c:pt>
                <c:pt idx="611">
                  <c:v>46055</c:v>
                </c:pt>
                <c:pt idx="612">
                  <c:v>46056</c:v>
                </c:pt>
                <c:pt idx="613">
                  <c:v>46057</c:v>
                </c:pt>
                <c:pt idx="614">
                  <c:v>46058</c:v>
                </c:pt>
                <c:pt idx="615">
                  <c:v>46059</c:v>
                </c:pt>
                <c:pt idx="616">
                  <c:v>46060</c:v>
                </c:pt>
                <c:pt idx="617">
                  <c:v>46061</c:v>
                </c:pt>
                <c:pt idx="618">
                  <c:v>46062</c:v>
                </c:pt>
                <c:pt idx="619">
                  <c:v>46063</c:v>
                </c:pt>
                <c:pt idx="620">
                  <c:v>46064</c:v>
                </c:pt>
                <c:pt idx="621">
                  <c:v>46065</c:v>
                </c:pt>
                <c:pt idx="622">
                  <c:v>46066</c:v>
                </c:pt>
                <c:pt idx="623">
                  <c:v>46067</c:v>
                </c:pt>
                <c:pt idx="624">
                  <c:v>46068</c:v>
                </c:pt>
                <c:pt idx="625">
                  <c:v>46069</c:v>
                </c:pt>
                <c:pt idx="626">
                  <c:v>46070</c:v>
                </c:pt>
                <c:pt idx="627">
                  <c:v>46071</c:v>
                </c:pt>
                <c:pt idx="628">
                  <c:v>46072</c:v>
                </c:pt>
                <c:pt idx="629">
                  <c:v>46073</c:v>
                </c:pt>
                <c:pt idx="630">
                  <c:v>46074</c:v>
                </c:pt>
                <c:pt idx="631">
                  <c:v>46075</c:v>
                </c:pt>
                <c:pt idx="632">
                  <c:v>46076</c:v>
                </c:pt>
                <c:pt idx="633">
                  <c:v>46077</c:v>
                </c:pt>
                <c:pt idx="634">
                  <c:v>46078</c:v>
                </c:pt>
                <c:pt idx="635">
                  <c:v>46079</c:v>
                </c:pt>
                <c:pt idx="636">
                  <c:v>46080</c:v>
                </c:pt>
                <c:pt idx="637">
                  <c:v>46081</c:v>
                </c:pt>
                <c:pt idx="638">
                  <c:v>46082</c:v>
                </c:pt>
                <c:pt idx="639">
                  <c:v>46083</c:v>
                </c:pt>
                <c:pt idx="640">
                  <c:v>46084</c:v>
                </c:pt>
                <c:pt idx="641">
                  <c:v>46085</c:v>
                </c:pt>
                <c:pt idx="642">
                  <c:v>46086</c:v>
                </c:pt>
                <c:pt idx="643">
                  <c:v>46087</c:v>
                </c:pt>
                <c:pt idx="644">
                  <c:v>46088</c:v>
                </c:pt>
                <c:pt idx="645">
                  <c:v>46089</c:v>
                </c:pt>
                <c:pt idx="646">
                  <c:v>46090</c:v>
                </c:pt>
                <c:pt idx="647">
                  <c:v>46091</c:v>
                </c:pt>
                <c:pt idx="648">
                  <c:v>46092</c:v>
                </c:pt>
                <c:pt idx="649">
                  <c:v>46093</c:v>
                </c:pt>
                <c:pt idx="650">
                  <c:v>46094</c:v>
                </c:pt>
                <c:pt idx="651">
                  <c:v>46095</c:v>
                </c:pt>
                <c:pt idx="652">
                  <c:v>46096</c:v>
                </c:pt>
                <c:pt idx="653">
                  <c:v>46097</c:v>
                </c:pt>
                <c:pt idx="654">
                  <c:v>46098</c:v>
                </c:pt>
                <c:pt idx="655">
                  <c:v>46099</c:v>
                </c:pt>
                <c:pt idx="656">
                  <c:v>46100</c:v>
                </c:pt>
                <c:pt idx="657">
                  <c:v>46101</c:v>
                </c:pt>
                <c:pt idx="658">
                  <c:v>46102</c:v>
                </c:pt>
                <c:pt idx="659">
                  <c:v>46103</c:v>
                </c:pt>
                <c:pt idx="660">
                  <c:v>46104</c:v>
                </c:pt>
                <c:pt idx="661">
                  <c:v>46105</c:v>
                </c:pt>
                <c:pt idx="662">
                  <c:v>46106</c:v>
                </c:pt>
                <c:pt idx="663">
                  <c:v>46107</c:v>
                </c:pt>
                <c:pt idx="664">
                  <c:v>46108</c:v>
                </c:pt>
                <c:pt idx="665">
                  <c:v>46109</c:v>
                </c:pt>
                <c:pt idx="666">
                  <c:v>46110</c:v>
                </c:pt>
                <c:pt idx="667">
                  <c:v>46111</c:v>
                </c:pt>
                <c:pt idx="668">
                  <c:v>46112</c:v>
                </c:pt>
                <c:pt idx="669">
                  <c:v>46113</c:v>
                </c:pt>
                <c:pt idx="670">
                  <c:v>46114</c:v>
                </c:pt>
                <c:pt idx="671">
                  <c:v>46115</c:v>
                </c:pt>
                <c:pt idx="672">
                  <c:v>46116</c:v>
                </c:pt>
                <c:pt idx="673">
                  <c:v>46117</c:v>
                </c:pt>
                <c:pt idx="674">
                  <c:v>46118</c:v>
                </c:pt>
                <c:pt idx="675">
                  <c:v>46119</c:v>
                </c:pt>
                <c:pt idx="676">
                  <c:v>46120</c:v>
                </c:pt>
                <c:pt idx="677">
                  <c:v>46121</c:v>
                </c:pt>
                <c:pt idx="678">
                  <c:v>46122</c:v>
                </c:pt>
                <c:pt idx="679">
                  <c:v>46123</c:v>
                </c:pt>
                <c:pt idx="680">
                  <c:v>46124</c:v>
                </c:pt>
                <c:pt idx="681">
                  <c:v>46125</c:v>
                </c:pt>
                <c:pt idx="682">
                  <c:v>46126</c:v>
                </c:pt>
                <c:pt idx="683">
                  <c:v>46127</c:v>
                </c:pt>
                <c:pt idx="684">
                  <c:v>46128</c:v>
                </c:pt>
                <c:pt idx="685">
                  <c:v>46129</c:v>
                </c:pt>
                <c:pt idx="686">
                  <c:v>46130</c:v>
                </c:pt>
                <c:pt idx="687">
                  <c:v>46131</c:v>
                </c:pt>
                <c:pt idx="688">
                  <c:v>46132</c:v>
                </c:pt>
                <c:pt idx="689">
                  <c:v>46133</c:v>
                </c:pt>
                <c:pt idx="690">
                  <c:v>46134</c:v>
                </c:pt>
                <c:pt idx="691">
                  <c:v>46135</c:v>
                </c:pt>
                <c:pt idx="692">
                  <c:v>46136</c:v>
                </c:pt>
                <c:pt idx="693">
                  <c:v>46137</c:v>
                </c:pt>
                <c:pt idx="694">
                  <c:v>46138</c:v>
                </c:pt>
                <c:pt idx="695">
                  <c:v>46139</c:v>
                </c:pt>
                <c:pt idx="696">
                  <c:v>46140</c:v>
                </c:pt>
                <c:pt idx="697">
                  <c:v>46141</c:v>
                </c:pt>
                <c:pt idx="698">
                  <c:v>46142</c:v>
                </c:pt>
                <c:pt idx="699">
                  <c:v>46143</c:v>
                </c:pt>
                <c:pt idx="700">
                  <c:v>46144</c:v>
                </c:pt>
                <c:pt idx="701">
                  <c:v>46145</c:v>
                </c:pt>
                <c:pt idx="702">
                  <c:v>46146</c:v>
                </c:pt>
                <c:pt idx="703">
                  <c:v>46147</c:v>
                </c:pt>
                <c:pt idx="704">
                  <c:v>46148</c:v>
                </c:pt>
                <c:pt idx="705">
                  <c:v>46149</c:v>
                </c:pt>
                <c:pt idx="706">
                  <c:v>46150</c:v>
                </c:pt>
                <c:pt idx="707">
                  <c:v>46151</c:v>
                </c:pt>
                <c:pt idx="708">
                  <c:v>46152</c:v>
                </c:pt>
                <c:pt idx="709">
                  <c:v>46153</c:v>
                </c:pt>
                <c:pt idx="710">
                  <c:v>46154</c:v>
                </c:pt>
                <c:pt idx="711">
                  <c:v>46155</c:v>
                </c:pt>
                <c:pt idx="712">
                  <c:v>46156</c:v>
                </c:pt>
                <c:pt idx="713">
                  <c:v>46157</c:v>
                </c:pt>
                <c:pt idx="714">
                  <c:v>46158</c:v>
                </c:pt>
                <c:pt idx="715">
                  <c:v>46159</c:v>
                </c:pt>
                <c:pt idx="716">
                  <c:v>46160</c:v>
                </c:pt>
                <c:pt idx="717">
                  <c:v>46161</c:v>
                </c:pt>
                <c:pt idx="718">
                  <c:v>46162</c:v>
                </c:pt>
                <c:pt idx="719">
                  <c:v>46163</c:v>
                </c:pt>
                <c:pt idx="720">
                  <c:v>46164</c:v>
                </c:pt>
                <c:pt idx="721">
                  <c:v>46165</c:v>
                </c:pt>
                <c:pt idx="722">
                  <c:v>46166</c:v>
                </c:pt>
                <c:pt idx="723">
                  <c:v>46167</c:v>
                </c:pt>
                <c:pt idx="724">
                  <c:v>46168</c:v>
                </c:pt>
                <c:pt idx="725">
                  <c:v>46169</c:v>
                </c:pt>
                <c:pt idx="726">
                  <c:v>46170</c:v>
                </c:pt>
                <c:pt idx="727">
                  <c:v>46171</c:v>
                </c:pt>
                <c:pt idx="728">
                  <c:v>46172</c:v>
                </c:pt>
                <c:pt idx="729">
                  <c:v>46173</c:v>
                </c:pt>
                <c:pt idx="730">
                  <c:v>46174</c:v>
                </c:pt>
                <c:pt idx="731">
                  <c:v>46175</c:v>
                </c:pt>
                <c:pt idx="732">
                  <c:v>46176</c:v>
                </c:pt>
                <c:pt idx="733">
                  <c:v>46177</c:v>
                </c:pt>
                <c:pt idx="734">
                  <c:v>46178</c:v>
                </c:pt>
                <c:pt idx="735">
                  <c:v>46179</c:v>
                </c:pt>
                <c:pt idx="736">
                  <c:v>46180</c:v>
                </c:pt>
                <c:pt idx="737">
                  <c:v>46181</c:v>
                </c:pt>
                <c:pt idx="738">
                  <c:v>46182</c:v>
                </c:pt>
                <c:pt idx="739">
                  <c:v>46183</c:v>
                </c:pt>
                <c:pt idx="740">
                  <c:v>46184</c:v>
                </c:pt>
                <c:pt idx="741">
                  <c:v>46185</c:v>
                </c:pt>
                <c:pt idx="742">
                  <c:v>46186</c:v>
                </c:pt>
                <c:pt idx="743">
                  <c:v>46187</c:v>
                </c:pt>
                <c:pt idx="744">
                  <c:v>46188</c:v>
                </c:pt>
                <c:pt idx="745">
                  <c:v>46189</c:v>
                </c:pt>
                <c:pt idx="746">
                  <c:v>46190</c:v>
                </c:pt>
                <c:pt idx="747">
                  <c:v>46191</c:v>
                </c:pt>
                <c:pt idx="748">
                  <c:v>46192</c:v>
                </c:pt>
                <c:pt idx="749">
                  <c:v>46193</c:v>
                </c:pt>
                <c:pt idx="750">
                  <c:v>46194</c:v>
                </c:pt>
                <c:pt idx="751">
                  <c:v>46195</c:v>
                </c:pt>
                <c:pt idx="752">
                  <c:v>46196</c:v>
                </c:pt>
                <c:pt idx="753">
                  <c:v>46197</c:v>
                </c:pt>
                <c:pt idx="754">
                  <c:v>46198</c:v>
                </c:pt>
                <c:pt idx="755">
                  <c:v>46199</c:v>
                </c:pt>
                <c:pt idx="756">
                  <c:v>46200</c:v>
                </c:pt>
                <c:pt idx="757">
                  <c:v>46201</c:v>
                </c:pt>
                <c:pt idx="758">
                  <c:v>46202</c:v>
                </c:pt>
                <c:pt idx="759">
                  <c:v>46203</c:v>
                </c:pt>
                <c:pt idx="760">
                  <c:v>46204</c:v>
                </c:pt>
                <c:pt idx="761">
                  <c:v>46205</c:v>
                </c:pt>
                <c:pt idx="762">
                  <c:v>46206</c:v>
                </c:pt>
                <c:pt idx="763">
                  <c:v>46207</c:v>
                </c:pt>
                <c:pt idx="764">
                  <c:v>46208</c:v>
                </c:pt>
                <c:pt idx="765">
                  <c:v>46209</c:v>
                </c:pt>
                <c:pt idx="766">
                  <c:v>46210</c:v>
                </c:pt>
                <c:pt idx="767">
                  <c:v>46211</c:v>
                </c:pt>
                <c:pt idx="768">
                  <c:v>46212</c:v>
                </c:pt>
                <c:pt idx="769">
                  <c:v>46213</c:v>
                </c:pt>
                <c:pt idx="770">
                  <c:v>46214</c:v>
                </c:pt>
                <c:pt idx="771">
                  <c:v>46215</c:v>
                </c:pt>
                <c:pt idx="772">
                  <c:v>46216</c:v>
                </c:pt>
                <c:pt idx="773">
                  <c:v>46217</c:v>
                </c:pt>
                <c:pt idx="774">
                  <c:v>46218</c:v>
                </c:pt>
                <c:pt idx="775">
                  <c:v>46219</c:v>
                </c:pt>
                <c:pt idx="776">
                  <c:v>46220</c:v>
                </c:pt>
                <c:pt idx="777">
                  <c:v>46221</c:v>
                </c:pt>
                <c:pt idx="778">
                  <c:v>46222</c:v>
                </c:pt>
                <c:pt idx="779">
                  <c:v>46223</c:v>
                </c:pt>
                <c:pt idx="780">
                  <c:v>46224</c:v>
                </c:pt>
                <c:pt idx="781">
                  <c:v>46225</c:v>
                </c:pt>
                <c:pt idx="782">
                  <c:v>46226</c:v>
                </c:pt>
                <c:pt idx="783">
                  <c:v>46227</c:v>
                </c:pt>
                <c:pt idx="784">
                  <c:v>46228</c:v>
                </c:pt>
                <c:pt idx="785">
                  <c:v>46229</c:v>
                </c:pt>
                <c:pt idx="786">
                  <c:v>46230</c:v>
                </c:pt>
                <c:pt idx="787">
                  <c:v>46231</c:v>
                </c:pt>
                <c:pt idx="788">
                  <c:v>46232</c:v>
                </c:pt>
                <c:pt idx="789">
                  <c:v>46233</c:v>
                </c:pt>
                <c:pt idx="790">
                  <c:v>46234</c:v>
                </c:pt>
                <c:pt idx="791">
                  <c:v>46235</c:v>
                </c:pt>
                <c:pt idx="792">
                  <c:v>46236</c:v>
                </c:pt>
                <c:pt idx="793">
                  <c:v>46237</c:v>
                </c:pt>
                <c:pt idx="794">
                  <c:v>46238</c:v>
                </c:pt>
                <c:pt idx="795">
                  <c:v>46239</c:v>
                </c:pt>
                <c:pt idx="796">
                  <c:v>46240</c:v>
                </c:pt>
                <c:pt idx="797">
                  <c:v>46241</c:v>
                </c:pt>
                <c:pt idx="798">
                  <c:v>46242</c:v>
                </c:pt>
                <c:pt idx="799">
                  <c:v>46243</c:v>
                </c:pt>
                <c:pt idx="800">
                  <c:v>46244</c:v>
                </c:pt>
                <c:pt idx="801">
                  <c:v>46245</c:v>
                </c:pt>
                <c:pt idx="802">
                  <c:v>46246</c:v>
                </c:pt>
                <c:pt idx="803">
                  <c:v>46247</c:v>
                </c:pt>
                <c:pt idx="804">
                  <c:v>46248</c:v>
                </c:pt>
                <c:pt idx="805">
                  <c:v>46249</c:v>
                </c:pt>
                <c:pt idx="806">
                  <c:v>46250</c:v>
                </c:pt>
                <c:pt idx="807">
                  <c:v>46251</c:v>
                </c:pt>
                <c:pt idx="808">
                  <c:v>46252</c:v>
                </c:pt>
                <c:pt idx="809">
                  <c:v>46253</c:v>
                </c:pt>
                <c:pt idx="810">
                  <c:v>46254</c:v>
                </c:pt>
                <c:pt idx="811">
                  <c:v>46255</c:v>
                </c:pt>
                <c:pt idx="812">
                  <c:v>46256</c:v>
                </c:pt>
                <c:pt idx="813">
                  <c:v>46257</c:v>
                </c:pt>
                <c:pt idx="814">
                  <c:v>46258</c:v>
                </c:pt>
                <c:pt idx="815">
                  <c:v>46259</c:v>
                </c:pt>
                <c:pt idx="816">
                  <c:v>46260</c:v>
                </c:pt>
                <c:pt idx="817">
                  <c:v>46261</c:v>
                </c:pt>
                <c:pt idx="818">
                  <c:v>46262</c:v>
                </c:pt>
                <c:pt idx="819">
                  <c:v>46263</c:v>
                </c:pt>
                <c:pt idx="820">
                  <c:v>46264</c:v>
                </c:pt>
                <c:pt idx="821">
                  <c:v>46265</c:v>
                </c:pt>
                <c:pt idx="822">
                  <c:v>46266</c:v>
                </c:pt>
                <c:pt idx="823">
                  <c:v>46267</c:v>
                </c:pt>
                <c:pt idx="824">
                  <c:v>46268</c:v>
                </c:pt>
                <c:pt idx="825">
                  <c:v>46269</c:v>
                </c:pt>
                <c:pt idx="826">
                  <c:v>46270</c:v>
                </c:pt>
                <c:pt idx="827">
                  <c:v>46271</c:v>
                </c:pt>
                <c:pt idx="828">
                  <c:v>46272</c:v>
                </c:pt>
                <c:pt idx="829">
                  <c:v>46273</c:v>
                </c:pt>
                <c:pt idx="830">
                  <c:v>46274</c:v>
                </c:pt>
                <c:pt idx="831">
                  <c:v>46275</c:v>
                </c:pt>
                <c:pt idx="832">
                  <c:v>46276</c:v>
                </c:pt>
                <c:pt idx="833">
                  <c:v>46277</c:v>
                </c:pt>
                <c:pt idx="834">
                  <c:v>46278</c:v>
                </c:pt>
                <c:pt idx="835">
                  <c:v>46279</c:v>
                </c:pt>
                <c:pt idx="836">
                  <c:v>46280</c:v>
                </c:pt>
                <c:pt idx="837">
                  <c:v>46281</c:v>
                </c:pt>
                <c:pt idx="838">
                  <c:v>46282</c:v>
                </c:pt>
                <c:pt idx="839">
                  <c:v>46283</c:v>
                </c:pt>
                <c:pt idx="840">
                  <c:v>46284</c:v>
                </c:pt>
                <c:pt idx="841">
                  <c:v>46285</c:v>
                </c:pt>
                <c:pt idx="842">
                  <c:v>46286</c:v>
                </c:pt>
                <c:pt idx="843">
                  <c:v>46287</c:v>
                </c:pt>
                <c:pt idx="844">
                  <c:v>46288</c:v>
                </c:pt>
                <c:pt idx="845">
                  <c:v>46289</c:v>
                </c:pt>
                <c:pt idx="846">
                  <c:v>46290</c:v>
                </c:pt>
                <c:pt idx="847">
                  <c:v>46291</c:v>
                </c:pt>
                <c:pt idx="848">
                  <c:v>46292</c:v>
                </c:pt>
                <c:pt idx="849">
                  <c:v>46293</c:v>
                </c:pt>
                <c:pt idx="850">
                  <c:v>46294</c:v>
                </c:pt>
                <c:pt idx="851">
                  <c:v>46295</c:v>
                </c:pt>
                <c:pt idx="852">
                  <c:v>46296</c:v>
                </c:pt>
                <c:pt idx="853">
                  <c:v>46297</c:v>
                </c:pt>
                <c:pt idx="854">
                  <c:v>46298</c:v>
                </c:pt>
                <c:pt idx="855">
                  <c:v>46299</c:v>
                </c:pt>
                <c:pt idx="856">
                  <c:v>46300</c:v>
                </c:pt>
                <c:pt idx="857">
                  <c:v>46301</c:v>
                </c:pt>
                <c:pt idx="858">
                  <c:v>46302</c:v>
                </c:pt>
                <c:pt idx="859">
                  <c:v>46303</c:v>
                </c:pt>
                <c:pt idx="860">
                  <c:v>46304</c:v>
                </c:pt>
                <c:pt idx="861">
                  <c:v>46305</c:v>
                </c:pt>
                <c:pt idx="862">
                  <c:v>46306</c:v>
                </c:pt>
                <c:pt idx="863">
                  <c:v>46307</c:v>
                </c:pt>
                <c:pt idx="864">
                  <c:v>46308</c:v>
                </c:pt>
                <c:pt idx="865">
                  <c:v>46309</c:v>
                </c:pt>
                <c:pt idx="866">
                  <c:v>46310</c:v>
                </c:pt>
                <c:pt idx="867">
                  <c:v>46311</c:v>
                </c:pt>
                <c:pt idx="868">
                  <c:v>46312</c:v>
                </c:pt>
                <c:pt idx="869">
                  <c:v>46313</c:v>
                </c:pt>
                <c:pt idx="870">
                  <c:v>46314</c:v>
                </c:pt>
                <c:pt idx="871">
                  <c:v>46315</c:v>
                </c:pt>
                <c:pt idx="872">
                  <c:v>46316</c:v>
                </c:pt>
                <c:pt idx="873">
                  <c:v>46317</c:v>
                </c:pt>
                <c:pt idx="874">
                  <c:v>46318</c:v>
                </c:pt>
                <c:pt idx="875">
                  <c:v>46319</c:v>
                </c:pt>
                <c:pt idx="876">
                  <c:v>46320</c:v>
                </c:pt>
                <c:pt idx="877">
                  <c:v>46321</c:v>
                </c:pt>
                <c:pt idx="878">
                  <c:v>46322</c:v>
                </c:pt>
                <c:pt idx="879">
                  <c:v>46323</c:v>
                </c:pt>
                <c:pt idx="880">
                  <c:v>46324</c:v>
                </c:pt>
                <c:pt idx="881">
                  <c:v>46325</c:v>
                </c:pt>
                <c:pt idx="882">
                  <c:v>46326</c:v>
                </c:pt>
                <c:pt idx="883">
                  <c:v>46327</c:v>
                </c:pt>
                <c:pt idx="884">
                  <c:v>46328</c:v>
                </c:pt>
                <c:pt idx="885">
                  <c:v>46329</c:v>
                </c:pt>
                <c:pt idx="886">
                  <c:v>46330</c:v>
                </c:pt>
                <c:pt idx="887">
                  <c:v>46331</c:v>
                </c:pt>
                <c:pt idx="888">
                  <c:v>46332</c:v>
                </c:pt>
                <c:pt idx="889">
                  <c:v>46333</c:v>
                </c:pt>
                <c:pt idx="890">
                  <c:v>46334</c:v>
                </c:pt>
                <c:pt idx="891">
                  <c:v>46335</c:v>
                </c:pt>
                <c:pt idx="892">
                  <c:v>46336</c:v>
                </c:pt>
                <c:pt idx="893">
                  <c:v>46337</c:v>
                </c:pt>
                <c:pt idx="894">
                  <c:v>46338</c:v>
                </c:pt>
                <c:pt idx="895">
                  <c:v>46339</c:v>
                </c:pt>
                <c:pt idx="896">
                  <c:v>46340</c:v>
                </c:pt>
                <c:pt idx="897">
                  <c:v>46341</c:v>
                </c:pt>
                <c:pt idx="898">
                  <c:v>46342</c:v>
                </c:pt>
                <c:pt idx="899">
                  <c:v>46343</c:v>
                </c:pt>
                <c:pt idx="900">
                  <c:v>46344</c:v>
                </c:pt>
                <c:pt idx="901">
                  <c:v>46345</c:v>
                </c:pt>
                <c:pt idx="902">
                  <c:v>46346</c:v>
                </c:pt>
                <c:pt idx="903">
                  <c:v>46347</c:v>
                </c:pt>
                <c:pt idx="904">
                  <c:v>46348</c:v>
                </c:pt>
                <c:pt idx="905">
                  <c:v>46349</c:v>
                </c:pt>
                <c:pt idx="906">
                  <c:v>46350</c:v>
                </c:pt>
                <c:pt idx="907">
                  <c:v>46351</c:v>
                </c:pt>
                <c:pt idx="908">
                  <c:v>46352</c:v>
                </c:pt>
                <c:pt idx="909">
                  <c:v>46353</c:v>
                </c:pt>
                <c:pt idx="910">
                  <c:v>46354</c:v>
                </c:pt>
                <c:pt idx="911">
                  <c:v>46355</c:v>
                </c:pt>
                <c:pt idx="912">
                  <c:v>46356</c:v>
                </c:pt>
                <c:pt idx="913">
                  <c:v>46357</c:v>
                </c:pt>
                <c:pt idx="914">
                  <c:v>46358</c:v>
                </c:pt>
                <c:pt idx="915">
                  <c:v>46359</c:v>
                </c:pt>
                <c:pt idx="916">
                  <c:v>46360</c:v>
                </c:pt>
                <c:pt idx="917">
                  <c:v>46361</c:v>
                </c:pt>
                <c:pt idx="918">
                  <c:v>46362</c:v>
                </c:pt>
                <c:pt idx="919">
                  <c:v>46363</c:v>
                </c:pt>
                <c:pt idx="920">
                  <c:v>46364</c:v>
                </c:pt>
                <c:pt idx="921">
                  <c:v>46365</c:v>
                </c:pt>
                <c:pt idx="922">
                  <c:v>46366</c:v>
                </c:pt>
                <c:pt idx="923">
                  <c:v>46367</c:v>
                </c:pt>
                <c:pt idx="924">
                  <c:v>46368</c:v>
                </c:pt>
                <c:pt idx="925">
                  <c:v>46369</c:v>
                </c:pt>
                <c:pt idx="926">
                  <c:v>46370</c:v>
                </c:pt>
                <c:pt idx="927">
                  <c:v>46371</c:v>
                </c:pt>
                <c:pt idx="928">
                  <c:v>46372</c:v>
                </c:pt>
                <c:pt idx="929">
                  <c:v>46373</c:v>
                </c:pt>
                <c:pt idx="930">
                  <c:v>46374</c:v>
                </c:pt>
                <c:pt idx="931">
                  <c:v>46375</c:v>
                </c:pt>
                <c:pt idx="932">
                  <c:v>46376</c:v>
                </c:pt>
                <c:pt idx="933">
                  <c:v>46377</c:v>
                </c:pt>
                <c:pt idx="934">
                  <c:v>46378</c:v>
                </c:pt>
                <c:pt idx="935">
                  <c:v>46379</c:v>
                </c:pt>
                <c:pt idx="936">
                  <c:v>46380</c:v>
                </c:pt>
                <c:pt idx="937">
                  <c:v>46381</c:v>
                </c:pt>
                <c:pt idx="938">
                  <c:v>46382</c:v>
                </c:pt>
                <c:pt idx="939">
                  <c:v>46383</c:v>
                </c:pt>
                <c:pt idx="940">
                  <c:v>46384</c:v>
                </c:pt>
                <c:pt idx="941">
                  <c:v>46385</c:v>
                </c:pt>
                <c:pt idx="942">
                  <c:v>46386</c:v>
                </c:pt>
                <c:pt idx="943">
                  <c:v>46387</c:v>
                </c:pt>
                <c:pt idx="944">
                  <c:v>46388</c:v>
                </c:pt>
                <c:pt idx="945">
                  <c:v>46389</c:v>
                </c:pt>
                <c:pt idx="946">
                  <c:v>46390</c:v>
                </c:pt>
                <c:pt idx="947">
                  <c:v>46391</c:v>
                </c:pt>
                <c:pt idx="948">
                  <c:v>46392</c:v>
                </c:pt>
                <c:pt idx="949">
                  <c:v>46393</c:v>
                </c:pt>
                <c:pt idx="950">
                  <c:v>46394</c:v>
                </c:pt>
                <c:pt idx="951">
                  <c:v>46395</c:v>
                </c:pt>
                <c:pt idx="952">
                  <c:v>46396</c:v>
                </c:pt>
                <c:pt idx="953">
                  <c:v>46397</c:v>
                </c:pt>
                <c:pt idx="954">
                  <c:v>46398</c:v>
                </c:pt>
                <c:pt idx="955">
                  <c:v>46399</c:v>
                </c:pt>
                <c:pt idx="956">
                  <c:v>46400</c:v>
                </c:pt>
                <c:pt idx="957">
                  <c:v>46401</c:v>
                </c:pt>
                <c:pt idx="958">
                  <c:v>46402</c:v>
                </c:pt>
                <c:pt idx="959">
                  <c:v>46403</c:v>
                </c:pt>
                <c:pt idx="960">
                  <c:v>46404</c:v>
                </c:pt>
                <c:pt idx="961">
                  <c:v>46405</c:v>
                </c:pt>
                <c:pt idx="962">
                  <c:v>46406</c:v>
                </c:pt>
                <c:pt idx="963">
                  <c:v>46407</c:v>
                </c:pt>
                <c:pt idx="964">
                  <c:v>46408</c:v>
                </c:pt>
                <c:pt idx="965">
                  <c:v>46409</c:v>
                </c:pt>
                <c:pt idx="966">
                  <c:v>46410</c:v>
                </c:pt>
                <c:pt idx="967">
                  <c:v>46411</c:v>
                </c:pt>
                <c:pt idx="968">
                  <c:v>46412</c:v>
                </c:pt>
                <c:pt idx="969">
                  <c:v>46413</c:v>
                </c:pt>
                <c:pt idx="970">
                  <c:v>46414</c:v>
                </c:pt>
                <c:pt idx="971">
                  <c:v>46415</c:v>
                </c:pt>
                <c:pt idx="972">
                  <c:v>46416</c:v>
                </c:pt>
                <c:pt idx="973">
                  <c:v>46417</c:v>
                </c:pt>
                <c:pt idx="974">
                  <c:v>46418</c:v>
                </c:pt>
                <c:pt idx="975">
                  <c:v>46419</c:v>
                </c:pt>
                <c:pt idx="976">
                  <c:v>46420</c:v>
                </c:pt>
                <c:pt idx="977">
                  <c:v>46421</c:v>
                </c:pt>
                <c:pt idx="978">
                  <c:v>46422</c:v>
                </c:pt>
                <c:pt idx="979">
                  <c:v>46423</c:v>
                </c:pt>
                <c:pt idx="980">
                  <c:v>46424</c:v>
                </c:pt>
                <c:pt idx="981">
                  <c:v>46425</c:v>
                </c:pt>
                <c:pt idx="982">
                  <c:v>46426</c:v>
                </c:pt>
                <c:pt idx="983">
                  <c:v>46427</c:v>
                </c:pt>
                <c:pt idx="984">
                  <c:v>46428</c:v>
                </c:pt>
                <c:pt idx="985">
                  <c:v>46429</c:v>
                </c:pt>
                <c:pt idx="986">
                  <c:v>46430</c:v>
                </c:pt>
                <c:pt idx="987">
                  <c:v>46431</c:v>
                </c:pt>
                <c:pt idx="988">
                  <c:v>46432</c:v>
                </c:pt>
                <c:pt idx="989">
                  <c:v>46433</c:v>
                </c:pt>
                <c:pt idx="990">
                  <c:v>46434</c:v>
                </c:pt>
                <c:pt idx="991">
                  <c:v>46435</c:v>
                </c:pt>
                <c:pt idx="992">
                  <c:v>46436</c:v>
                </c:pt>
                <c:pt idx="993">
                  <c:v>46437</c:v>
                </c:pt>
                <c:pt idx="994">
                  <c:v>46438</c:v>
                </c:pt>
                <c:pt idx="995">
                  <c:v>46439</c:v>
                </c:pt>
                <c:pt idx="996">
                  <c:v>46440</c:v>
                </c:pt>
                <c:pt idx="997">
                  <c:v>46441</c:v>
                </c:pt>
                <c:pt idx="998">
                  <c:v>46442</c:v>
                </c:pt>
                <c:pt idx="999">
                  <c:v>46443</c:v>
                </c:pt>
                <c:pt idx="1000">
                  <c:v>46444</c:v>
                </c:pt>
                <c:pt idx="1001">
                  <c:v>46445</c:v>
                </c:pt>
                <c:pt idx="1002">
                  <c:v>46446</c:v>
                </c:pt>
                <c:pt idx="1003">
                  <c:v>46447</c:v>
                </c:pt>
                <c:pt idx="1004">
                  <c:v>46448</c:v>
                </c:pt>
                <c:pt idx="1005">
                  <c:v>46449</c:v>
                </c:pt>
                <c:pt idx="1006">
                  <c:v>46450</c:v>
                </c:pt>
                <c:pt idx="1007">
                  <c:v>46451</c:v>
                </c:pt>
                <c:pt idx="1008">
                  <c:v>46452</c:v>
                </c:pt>
                <c:pt idx="1009">
                  <c:v>46453</c:v>
                </c:pt>
                <c:pt idx="1010">
                  <c:v>46454</c:v>
                </c:pt>
                <c:pt idx="1011">
                  <c:v>46455</c:v>
                </c:pt>
                <c:pt idx="1012">
                  <c:v>46456</c:v>
                </c:pt>
                <c:pt idx="1013">
                  <c:v>46457</c:v>
                </c:pt>
                <c:pt idx="1014">
                  <c:v>46458</c:v>
                </c:pt>
                <c:pt idx="1015">
                  <c:v>46459</c:v>
                </c:pt>
                <c:pt idx="1016">
                  <c:v>46460</c:v>
                </c:pt>
                <c:pt idx="1017">
                  <c:v>46461</c:v>
                </c:pt>
                <c:pt idx="1018">
                  <c:v>46462</c:v>
                </c:pt>
                <c:pt idx="1019">
                  <c:v>46463</c:v>
                </c:pt>
                <c:pt idx="1020">
                  <c:v>46464</c:v>
                </c:pt>
                <c:pt idx="1021">
                  <c:v>46465</c:v>
                </c:pt>
                <c:pt idx="1022">
                  <c:v>46466</c:v>
                </c:pt>
                <c:pt idx="1023">
                  <c:v>46467</c:v>
                </c:pt>
                <c:pt idx="1024">
                  <c:v>46468</c:v>
                </c:pt>
                <c:pt idx="1025">
                  <c:v>46469</c:v>
                </c:pt>
                <c:pt idx="1026">
                  <c:v>46470</c:v>
                </c:pt>
                <c:pt idx="1027">
                  <c:v>46471</c:v>
                </c:pt>
                <c:pt idx="1028">
                  <c:v>46472</c:v>
                </c:pt>
                <c:pt idx="1029">
                  <c:v>46473</c:v>
                </c:pt>
                <c:pt idx="1030">
                  <c:v>46474</c:v>
                </c:pt>
                <c:pt idx="1031">
                  <c:v>46475</c:v>
                </c:pt>
                <c:pt idx="1032">
                  <c:v>46476</c:v>
                </c:pt>
                <c:pt idx="1033">
                  <c:v>46477</c:v>
                </c:pt>
                <c:pt idx="1034">
                  <c:v>46478</c:v>
                </c:pt>
                <c:pt idx="1035">
                  <c:v>46479</c:v>
                </c:pt>
                <c:pt idx="1036">
                  <c:v>46480</c:v>
                </c:pt>
                <c:pt idx="1037">
                  <c:v>46481</c:v>
                </c:pt>
                <c:pt idx="1038">
                  <c:v>46482</c:v>
                </c:pt>
                <c:pt idx="1039">
                  <c:v>46483</c:v>
                </c:pt>
                <c:pt idx="1040">
                  <c:v>46484</c:v>
                </c:pt>
                <c:pt idx="1041">
                  <c:v>46485</c:v>
                </c:pt>
                <c:pt idx="1042">
                  <c:v>46486</c:v>
                </c:pt>
                <c:pt idx="1043">
                  <c:v>46487</c:v>
                </c:pt>
                <c:pt idx="1044">
                  <c:v>46488</c:v>
                </c:pt>
                <c:pt idx="1045">
                  <c:v>46489</c:v>
                </c:pt>
                <c:pt idx="1046">
                  <c:v>46490</c:v>
                </c:pt>
                <c:pt idx="1047">
                  <c:v>46491</c:v>
                </c:pt>
                <c:pt idx="1048">
                  <c:v>46492</c:v>
                </c:pt>
                <c:pt idx="1049">
                  <c:v>46493</c:v>
                </c:pt>
                <c:pt idx="1050">
                  <c:v>46494</c:v>
                </c:pt>
                <c:pt idx="1051">
                  <c:v>46495</c:v>
                </c:pt>
                <c:pt idx="1052">
                  <c:v>46496</c:v>
                </c:pt>
                <c:pt idx="1053">
                  <c:v>46497</c:v>
                </c:pt>
                <c:pt idx="1054">
                  <c:v>46498</c:v>
                </c:pt>
                <c:pt idx="1055">
                  <c:v>46499</c:v>
                </c:pt>
                <c:pt idx="1056">
                  <c:v>46500</c:v>
                </c:pt>
                <c:pt idx="1057">
                  <c:v>46501</c:v>
                </c:pt>
                <c:pt idx="1058">
                  <c:v>46502</c:v>
                </c:pt>
                <c:pt idx="1059">
                  <c:v>46503</c:v>
                </c:pt>
                <c:pt idx="1060">
                  <c:v>46504</c:v>
                </c:pt>
                <c:pt idx="1061">
                  <c:v>46505</c:v>
                </c:pt>
                <c:pt idx="1062">
                  <c:v>46506</c:v>
                </c:pt>
                <c:pt idx="1063">
                  <c:v>46507</c:v>
                </c:pt>
                <c:pt idx="1064">
                  <c:v>46508</c:v>
                </c:pt>
                <c:pt idx="1065">
                  <c:v>46509</c:v>
                </c:pt>
                <c:pt idx="1066">
                  <c:v>46510</c:v>
                </c:pt>
                <c:pt idx="1067">
                  <c:v>46511</c:v>
                </c:pt>
                <c:pt idx="1068">
                  <c:v>46512</c:v>
                </c:pt>
                <c:pt idx="1069">
                  <c:v>46513</c:v>
                </c:pt>
                <c:pt idx="1070">
                  <c:v>46514</c:v>
                </c:pt>
                <c:pt idx="1071">
                  <c:v>46515</c:v>
                </c:pt>
                <c:pt idx="1072">
                  <c:v>46516</c:v>
                </c:pt>
                <c:pt idx="1073">
                  <c:v>46517</c:v>
                </c:pt>
                <c:pt idx="1074">
                  <c:v>46518</c:v>
                </c:pt>
                <c:pt idx="1075">
                  <c:v>46519</c:v>
                </c:pt>
                <c:pt idx="1076">
                  <c:v>46520</c:v>
                </c:pt>
                <c:pt idx="1077">
                  <c:v>46521</c:v>
                </c:pt>
                <c:pt idx="1078">
                  <c:v>46522</c:v>
                </c:pt>
                <c:pt idx="1079">
                  <c:v>46523</c:v>
                </c:pt>
                <c:pt idx="1080">
                  <c:v>46524</c:v>
                </c:pt>
                <c:pt idx="1081">
                  <c:v>46525</c:v>
                </c:pt>
                <c:pt idx="1082">
                  <c:v>46526</c:v>
                </c:pt>
                <c:pt idx="1083">
                  <c:v>46527</c:v>
                </c:pt>
                <c:pt idx="1084">
                  <c:v>46528</c:v>
                </c:pt>
                <c:pt idx="1085">
                  <c:v>46529</c:v>
                </c:pt>
                <c:pt idx="1086">
                  <c:v>46530</c:v>
                </c:pt>
                <c:pt idx="1087">
                  <c:v>46531</c:v>
                </c:pt>
                <c:pt idx="1088">
                  <c:v>46532</c:v>
                </c:pt>
                <c:pt idx="1089">
                  <c:v>46533</c:v>
                </c:pt>
                <c:pt idx="1090">
                  <c:v>46534</c:v>
                </c:pt>
                <c:pt idx="1091">
                  <c:v>46535</c:v>
                </c:pt>
                <c:pt idx="1092">
                  <c:v>46536</c:v>
                </c:pt>
                <c:pt idx="1093">
                  <c:v>46537</c:v>
                </c:pt>
                <c:pt idx="1094">
                  <c:v>46538</c:v>
                </c:pt>
                <c:pt idx="1095">
                  <c:v>46539</c:v>
                </c:pt>
                <c:pt idx="1096">
                  <c:v>46540</c:v>
                </c:pt>
                <c:pt idx="1097">
                  <c:v>46541</c:v>
                </c:pt>
                <c:pt idx="1098">
                  <c:v>46542</c:v>
                </c:pt>
                <c:pt idx="1099">
                  <c:v>46543</c:v>
                </c:pt>
                <c:pt idx="1100">
                  <c:v>46544</c:v>
                </c:pt>
                <c:pt idx="1101">
                  <c:v>46545</c:v>
                </c:pt>
                <c:pt idx="1102">
                  <c:v>46546</c:v>
                </c:pt>
                <c:pt idx="1103">
                  <c:v>46547</c:v>
                </c:pt>
                <c:pt idx="1104">
                  <c:v>46548</c:v>
                </c:pt>
                <c:pt idx="1105">
                  <c:v>46549</c:v>
                </c:pt>
                <c:pt idx="1106">
                  <c:v>46550</c:v>
                </c:pt>
                <c:pt idx="1107">
                  <c:v>46551</c:v>
                </c:pt>
                <c:pt idx="1108">
                  <c:v>46552</c:v>
                </c:pt>
                <c:pt idx="1109">
                  <c:v>46553</c:v>
                </c:pt>
                <c:pt idx="1110">
                  <c:v>46554</c:v>
                </c:pt>
                <c:pt idx="1111">
                  <c:v>46555</c:v>
                </c:pt>
                <c:pt idx="1112">
                  <c:v>46556</c:v>
                </c:pt>
                <c:pt idx="1113">
                  <c:v>46557</c:v>
                </c:pt>
                <c:pt idx="1114">
                  <c:v>46558</c:v>
                </c:pt>
                <c:pt idx="1115">
                  <c:v>46559</c:v>
                </c:pt>
                <c:pt idx="1116">
                  <c:v>46560</c:v>
                </c:pt>
                <c:pt idx="1117">
                  <c:v>46561</c:v>
                </c:pt>
                <c:pt idx="1118">
                  <c:v>46562</c:v>
                </c:pt>
                <c:pt idx="1119">
                  <c:v>46563</c:v>
                </c:pt>
                <c:pt idx="1120">
                  <c:v>46564</c:v>
                </c:pt>
                <c:pt idx="1121">
                  <c:v>46565</c:v>
                </c:pt>
                <c:pt idx="1122">
                  <c:v>46566</c:v>
                </c:pt>
                <c:pt idx="1123">
                  <c:v>46567</c:v>
                </c:pt>
                <c:pt idx="1124">
                  <c:v>46568</c:v>
                </c:pt>
                <c:pt idx="1125">
                  <c:v>46569</c:v>
                </c:pt>
                <c:pt idx="1126">
                  <c:v>46570</c:v>
                </c:pt>
                <c:pt idx="1127">
                  <c:v>46571</c:v>
                </c:pt>
                <c:pt idx="1128">
                  <c:v>46572</c:v>
                </c:pt>
                <c:pt idx="1129">
                  <c:v>46573</c:v>
                </c:pt>
                <c:pt idx="1130">
                  <c:v>46574</c:v>
                </c:pt>
                <c:pt idx="1131">
                  <c:v>46575</c:v>
                </c:pt>
                <c:pt idx="1132">
                  <c:v>46576</c:v>
                </c:pt>
                <c:pt idx="1133">
                  <c:v>46577</c:v>
                </c:pt>
                <c:pt idx="1134">
                  <c:v>46578</c:v>
                </c:pt>
                <c:pt idx="1135">
                  <c:v>46579</c:v>
                </c:pt>
                <c:pt idx="1136">
                  <c:v>46580</c:v>
                </c:pt>
                <c:pt idx="1137">
                  <c:v>46581</c:v>
                </c:pt>
                <c:pt idx="1138">
                  <c:v>46582</c:v>
                </c:pt>
                <c:pt idx="1139">
                  <c:v>46583</c:v>
                </c:pt>
                <c:pt idx="1140">
                  <c:v>46584</c:v>
                </c:pt>
                <c:pt idx="1141">
                  <c:v>46585</c:v>
                </c:pt>
                <c:pt idx="1142">
                  <c:v>46586</c:v>
                </c:pt>
                <c:pt idx="1143">
                  <c:v>46587</c:v>
                </c:pt>
                <c:pt idx="1144">
                  <c:v>46588</c:v>
                </c:pt>
                <c:pt idx="1145">
                  <c:v>46589</c:v>
                </c:pt>
                <c:pt idx="1146">
                  <c:v>46590</c:v>
                </c:pt>
                <c:pt idx="1147">
                  <c:v>46591</c:v>
                </c:pt>
                <c:pt idx="1148">
                  <c:v>46592</c:v>
                </c:pt>
                <c:pt idx="1149">
                  <c:v>46593</c:v>
                </c:pt>
                <c:pt idx="1150">
                  <c:v>46594</c:v>
                </c:pt>
                <c:pt idx="1151">
                  <c:v>46595</c:v>
                </c:pt>
                <c:pt idx="1152">
                  <c:v>46596</c:v>
                </c:pt>
                <c:pt idx="1153">
                  <c:v>46597</c:v>
                </c:pt>
                <c:pt idx="1154">
                  <c:v>46598</c:v>
                </c:pt>
                <c:pt idx="1155">
                  <c:v>46599</c:v>
                </c:pt>
                <c:pt idx="1156">
                  <c:v>46600</c:v>
                </c:pt>
                <c:pt idx="1157">
                  <c:v>46601</c:v>
                </c:pt>
                <c:pt idx="1158">
                  <c:v>46602</c:v>
                </c:pt>
                <c:pt idx="1159">
                  <c:v>46603</c:v>
                </c:pt>
                <c:pt idx="1160">
                  <c:v>46604</c:v>
                </c:pt>
                <c:pt idx="1161">
                  <c:v>46605</c:v>
                </c:pt>
                <c:pt idx="1162">
                  <c:v>46606</c:v>
                </c:pt>
                <c:pt idx="1163">
                  <c:v>46607</c:v>
                </c:pt>
                <c:pt idx="1164">
                  <c:v>46608</c:v>
                </c:pt>
                <c:pt idx="1165">
                  <c:v>46609</c:v>
                </c:pt>
                <c:pt idx="1166">
                  <c:v>46610</c:v>
                </c:pt>
                <c:pt idx="1167">
                  <c:v>46611</c:v>
                </c:pt>
                <c:pt idx="1168">
                  <c:v>46612</c:v>
                </c:pt>
                <c:pt idx="1169">
                  <c:v>46613</c:v>
                </c:pt>
                <c:pt idx="1170">
                  <c:v>46614</c:v>
                </c:pt>
                <c:pt idx="1171">
                  <c:v>46615</c:v>
                </c:pt>
                <c:pt idx="1172">
                  <c:v>46616</c:v>
                </c:pt>
                <c:pt idx="1173">
                  <c:v>46617</c:v>
                </c:pt>
                <c:pt idx="1174">
                  <c:v>46618</c:v>
                </c:pt>
                <c:pt idx="1175">
                  <c:v>46619</c:v>
                </c:pt>
                <c:pt idx="1176">
                  <c:v>46620</c:v>
                </c:pt>
                <c:pt idx="1177">
                  <c:v>46621</c:v>
                </c:pt>
                <c:pt idx="1178">
                  <c:v>46622</c:v>
                </c:pt>
                <c:pt idx="1179">
                  <c:v>46623</c:v>
                </c:pt>
                <c:pt idx="1180">
                  <c:v>46624</c:v>
                </c:pt>
                <c:pt idx="1181">
                  <c:v>46625</c:v>
                </c:pt>
                <c:pt idx="1182">
                  <c:v>46626</c:v>
                </c:pt>
                <c:pt idx="1183">
                  <c:v>46627</c:v>
                </c:pt>
                <c:pt idx="1184">
                  <c:v>46628</c:v>
                </c:pt>
                <c:pt idx="1185">
                  <c:v>46629</c:v>
                </c:pt>
                <c:pt idx="1186">
                  <c:v>46630</c:v>
                </c:pt>
                <c:pt idx="1187">
                  <c:v>46631</c:v>
                </c:pt>
                <c:pt idx="1188">
                  <c:v>46632</c:v>
                </c:pt>
                <c:pt idx="1189">
                  <c:v>46633</c:v>
                </c:pt>
                <c:pt idx="1190">
                  <c:v>46634</c:v>
                </c:pt>
                <c:pt idx="1191">
                  <c:v>46635</c:v>
                </c:pt>
                <c:pt idx="1192">
                  <c:v>46636</c:v>
                </c:pt>
                <c:pt idx="1193">
                  <c:v>46637</c:v>
                </c:pt>
                <c:pt idx="1194">
                  <c:v>46638</c:v>
                </c:pt>
                <c:pt idx="1195">
                  <c:v>46639</c:v>
                </c:pt>
                <c:pt idx="1196">
                  <c:v>46640</c:v>
                </c:pt>
                <c:pt idx="1197">
                  <c:v>46641</c:v>
                </c:pt>
                <c:pt idx="1198">
                  <c:v>46642</c:v>
                </c:pt>
                <c:pt idx="1199">
                  <c:v>46643</c:v>
                </c:pt>
                <c:pt idx="1200">
                  <c:v>46644</c:v>
                </c:pt>
                <c:pt idx="1201">
                  <c:v>46645</c:v>
                </c:pt>
                <c:pt idx="1202">
                  <c:v>46646</c:v>
                </c:pt>
                <c:pt idx="1203">
                  <c:v>46647</c:v>
                </c:pt>
                <c:pt idx="1204">
                  <c:v>46648</c:v>
                </c:pt>
                <c:pt idx="1205">
                  <c:v>46649</c:v>
                </c:pt>
                <c:pt idx="1206">
                  <c:v>46650</c:v>
                </c:pt>
                <c:pt idx="1207">
                  <c:v>46651</c:v>
                </c:pt>
                <c:pt idx="1208">
                  <c:v>46652</c:v>
                </c:pt>
                <c:pt idx="1209">
                  <c:v>46653</c:v>
                </c:pt>
                <c:pt idx="1210">
                  <c:v>46654</c:v>
                </c:pt>
                <c:pt idx="1211">
                  <c:v>46655</c:v>
                </c:pt>
                <c:pt idx="1212">
                  <c:v>46656</c:v>
                </c:pt>
                <c:pt idx="1213">
                  <c:v>46657</c:v>
                </c:pt>
                <c:pt idx="1214">
                  <c:v>46658</c:v>
                </c:pt>
                <c:pt idx="1215">
                  <c:v>46659</c:v>
                </c:pt>
                <c:pt idx="1216">
                  <c:v>46660</c:v>
                </c:pt>
                <c:pt idx="1217">
                  <c:v>46661</c:v>
                </c:pt>
                <c:pt idx="1218">
                  <c:v>46662</c:v>
                </c:pt>
                <c:pt idx="1219">
                  <c:v>46663</c:v>
                </c:pt>
                <c:pt idx="1220">
                  <c:v>46664</c:v>
                </c:pt>
                <c:pt idx="1221">
                  <c:v>46665</c:v>
                </c:pt>
                <c:pt idx="1222">
                  <c:v>46666</c:v>
                </c:pt>
                <c:pt idx="1223">
                  <c:v>46667</c:v>
                </c:pt>
                <c:pt idx="1224">
                  <c:v>46668</c:v>
                </c:pt>
                <c:pt idx="1225">
                  <c:v>46669</c:v>
                </c:pt>
                <c:pt idx="1226">
                  <c:v>46670</c:v>
                </c:pt>
                <c:pt idx="1227">
                  <c:v>46671</c:v>
                </c:pt>
                <c:pt idx="1228">
                  <c:v>46672</c:v>
                </c:pt>
                <c:pt idx="1229">
                  <c:v>46673</c:v>
                </c:pt>
                <c:pt idx="1230">
                  <c:v>46674</c:v>
                </c:pt>
                <c:pt idx="1231">
                  <c:v>46675</c:v>
                </c:pt>
                <c:pt idx="1232">
                  <c:v>46676</c:v>
                </c:pt>
                <c:pt idx="1233">
                  <c:v>46677</c:v>
                </c:pt>
                <c:pt idx="1234">
                  <c:v>46678</c:v>
                </c:pt>
                <c:pt idx="1235">
                  <c:v>46679</c:v>
                </c:pt>
                <c:pt idx="1236">
                  <c:v>46680</c:v>
                </c:pt>
                <c:pt idx="1237">
                  <c:v>46681</c:v>
                </c:pt>
                <c:pt idx="1238">
                  <c:v>46682</c:v>
                </c:pt>
                <c:pt idx="1239">
                  <c:v>46683</c:v>
                </c:pt>
                <c:pt idx="1240">
                  <c:v>46684</c:v>
                </c:pt>
                <c:pt idx="1241">
                  <c:v>46685</c:v>
                </c:pt>
                <c:pt idx="1242">
                  <c:v>46686</c:v>
                </c:pt>
                <c:pt idx="1243">
                  <c:v>46687</c:v>
                </c:pt>
                <c:pt idx="1244">
                  <c:v>46688</c:v>
                </c:pt>
                <c:pt idx="1245">
                  <c:v>46689</c:v>
                </c:pt>
                <c:pt idx="1246">
                  <c:v>46690</c:v>
                </c:pt>
                <c:pt idx="1247">
                  <c:v>46691</c:v>
                </c:pt>
                <c:pt idx="1248">
                  <c:v>46692</c:v>
                </c:pt>
                <c:pt idx="1249">
                  <c:v>46693</c:v>
                </c:pt>
                <c:pt idx="1250">
                  <c:v>46694</c:v>
                </c:pt>
                <c:pt idx="1251">
                  <c:v>46695</c:v>
                </c:pt>
                <c:pt idx="1252">
                  <c:v>46696</c:v>
                </c:pt>
                <c:pt idx="1253">
                  <c:v>46697</c:v>
                </c:pt>
                <c:pt idx="1254">
                  <c:v>46698</c:v>
                </c:pt>
                <c:pt idx="1255">
                  <c:v>46699</c:v>
                </c:pt>
                <c:pt idx="1256">
                  <c:v>46700</c:v>
                </c:pt>
                <c:pt idx="1257">
                  <c:v>46701</c:v>
                </c:pt>
                <c:pt idx="1258">
                  <c:v>46702</c:v>
                </c:pt>
                <c:pt idx="1259">
                  <c:v>46703</c:v>
                </c:pt>
                <c:pt idx="1260">
                  <c:v>46704</c:v>
                </c:pt>
                <c:pt idx="1261">
                  <c:v>46705</c:v>
                </c:pt>
                <c:pt idx="1262">
                  <c:v>46706</c:v>
                </c:pt>
                <c:pt idx="1263">
                  <c:v>46707</c:v>
                </c:pt>
                <c:pt idx="1264">
                  <c:v>46708</c:v>
                </c:pt>
                <c:pt idx="1265">
                  <c:v>46709</c:v>
                </c:pt>
                <c:pt idx="1266">
                  <c:v>46710</c:v>
                </c:pt>
                <c:pt idx="1267">
                  <c:v>46711</c:v>
                </c:pt>
                <c:pt idx="1268">
                  <c:v>46712</c:v>
                </c:pt>
                <c:pt idx="1269">
                  <c:v>46713</c:v>
                </c:pt>
                <c:pt idx="1270">
                  <c:v>46714</c:v>
                </c:pt>
                <c:pt idx="1271">
                  <c:v>46715</c:v>
                </c:pt>
                <c:pt idx="1272">
                  <c:v>46716</c:v>
                </c:pt>
                <c:pt idx="1273">
                  <c:v>46717</c:v>
                </c:pt>
                <c:pt idx="1274">
                  <c:v>46718</c:v>
                </c:pt>
                <c:pt idx="1275">
                  <c:v>46719</c:v>
                </c:pt>
                <c:pt idx="1276">
                  <c:v>46720</c:v>
                </c:pt>
                <c:pt idx="1277">
                  <c:v>46721</c:v>
                </c:pt>
                <c:pt idx="1278">
                  <c:v>46722</c:v>
                </c:pt>
                <c:pt idx="1279">
                  <c:v>46723</c:v>
                </c:pt>
                <c:pt idx="1280">
                  <c:v>46724</c:v>
                </c:pt>
                <c:pt idx="1281">
                  <c:v>46725</c:v>
                </c:pt>
                <c:pt idx="1282">
                  <c:v>46726</c:v>
                </c:pt>
                <c:pt idx="1283">
                  <c:v>46727</c:v>
                </c:pt>
                <c:pt idx="1284">
                  <c:v>46728</c:v>
                </c:pt>
                <c:pt idx="1285">
                  <c:v>46729</c:v>
                </c:pt>
                <c:pt idx="1286">
                  <c:v>46730</c:v>
                </c:pt>
                <c:pt idx="1287">
                  <c:v>46731</c:v>
                </c:pt>
                <c:pt idx="1288">
                  <c:v>46732</c:v>
                </c:pt>
                <c:pt idx="1289">
                  <c:v>46733</c:v>
                </c:pt>
                <c:pt idx="1290">
                  <c:v>46734</c:v>
                </c:pt>
                <c:pt idx="1291">
                  <c:v>46735</c:v>
                </c:pt>
                <c:pt idx="1292">
                  <c:v>46736</c:v>
                </c:pt>
                <c:pt idx="1293">
                  <c:v>46737</c:v>
                </c:pt>
                <c:pt idx="1294">
                  <c:v>46738</c:v>
                </c:pt>
                <c:pt idx="1295">
                  <c:v>46739</c:v>
                </c:pt>
                <c:pt idx="1296">
                  <c:v>46740</c:v>
                </c:pt>
                <c:pt idx="1297">
                  <c:v>46741</c:v>
                </c:pt>
                <c:pt idx="1298">
                  <c:v>46742</c:v>
                </c:pt>
                <c:pt idx="1299">
                  <c:v>46743</c:v>
                </c:pt>
                <c:pt idx="1300">
                  <c:v>46744</c:v>
                </c:pt>
                <c:pt idx="1301">
                  <c:v>46745</c:v>
                </c:pt>
                <c:pt idx="1302">
                  <c:v>46746</c:v>
                </c:pt>
                <c:pt idx="1303">
                  <c:v>46747</c:v>
                </c:pt>
                <c:pt idx="1304">
                  <c:v>46748</c:v>
                </c:pt>
                <c:pt idx="1305">
                  <c:v>46749</c:v>
                </c:pt>
                <c:pt idx="1306">
                  <c:v>46750</c:v>
                </c:pt>
                <c:pt idx="1307">
                  <c:v>46751</c:v>
                </c:pt>
                <c:pt idx="1308">
                  <c:v>46752</c:v>
                </c:pt>
                <c:pt idx="1309">
                  <c:v>46753</c:v>
                </c:pt>
                <c:pt idx="1310">
                  <c:v>46754</c:v>
                </c:pt>
                <c:pt idx="1311">
                  <c:v>46755</c:v>
                </c:pt>
                <c:pt idx="1312">
                  <c:v>46756</c:v>
                </c:pt>
                <c:pt idx="1313">
                  <c:v>46757</c:v>
                </c:pt>
                <c:pt idx="1314">
                  <c:v>46758</c:v>
                </c:pt>
                <c:pt idx="1315">
                  <c:v>46759</c:v>
                </c:pt>
                <c:pt idx="1316">
                  <c:v>46760</c:v>
                </c:pt>
                <c:pt idx="1317">
                  <c:v>46761</c:v>
                </c:pt>
                <c:pt idx="1318">
                  <c:v>46762</c:v>
                </c:pt>
                <c:pt idx="1319">
                  <c:v>46763</c:v>
                </c:pt>
                <c:pt idx="1320">
                  <c:v>46764</c:v>
                </c:pt>
                <c:pt idx="1321">
                  <c:v>46765</c:v>
                </c:pt>
                <c:pt idx="1322">
                  <c:v>46766</c:v>
                </c:pt>
                <c:pt idx="1323">
                  <c:v>46767</c:v>
                </c:pt>
                <c:pt idx="1324">
                  <c:v>46768</c:v>
                </c:pt>
                <c:pt idx="1325">
                  <c:v>46769</c:v>
                </c:pt>
                <c:pt idx="1326">
                  <c:v>46770</c:v>
                </c:pt>
                <c:pt idx="1327">
                  <c:v>46771</c:v>
                </c:pt>
                <c:pt idx="1328">
                  <c:v>46772</c:v>
                </c:pt>
                <c:pt idx="1329">
                  <c:v>46773</c:v>
                </c:pt>
                <c:pt idx="1330">
                  <c:v>46774</c:v>
                </c:pt>
                <c:pt idx="1331">
                  <c:v>46775</c:v>
                </c:pt>
                <c:pt idx="1332">
                  <c:v>46776</c:v>
                </c:pt>
                <c:pt idx="1333">
                  <c:v>46777</c:v>
                </c:pt>
                <c:pt idx="1334">
                  <c:v>46778</c:v>
                </c:pt>
                <c:pt idx="1335">
                  <c:v>46779</c:v>
                </c:pt>
                <c:pt idx="1336">
                  <c:v>46780</c:v>
                </c:pt>
                <c:pt idx="1337">
                  <c:v>46781</c:v>
                </c:pt>
                <c:pt idx="1338">
                  <c:v>46782</c:v>
                </c:pt>
                <c:pt idx="1339">
                  <c:v>46783</c:v>
                </c:pt>
                <c:pt idx="1340">
                  <c:v>46784</c:v>
                </c:pt>
                <c:pt idx="1341">
                  <c:v>46785</c:v>
                </c:pt>
                <c:pt idx="1342">
                  <c:v>46786</c:v>
                </c:pt>
                <c:pt idx="1343">
                  <c:v>46787</c:v>
                </c:pt>
                <c:pt idx="1344">
                  <c:v>46788</c:v>
                </c:pt>
                <c:pt idx="1345">
                  <c:v>46789</c:v>
                </c:pt>
                <c:pt idx="1346">
                  <c:v>46790</c:v>
                </c:pt>
                <c:pt idx="1347">
                  <c:v>46791</c:v>
                </c:pt>
                <c:pt idx="1348">
                  <c:v>46792</c:v>
                </c:pt>
                <c:pt idx="1349">
                  <c:v>46793</c:v>
                </c:pt>
                <c:pt idx="1350">
                  <c:v>46794</c:v>
                </c:pt>
                <c:pt idx="1351">
                  <c:v>46795</c:v>
                </c:pt>
                <c:pt idx="1352">
                  <c:v>46796</c:v>
                </c:pt>
                <c:pt idx="1353">
                  <c:v>46797</c:v>
                </c:pt>
                <c:pt idx="1354">
                  <c:v>46798</c:v>
                </c:pt>
                <c:pt idx="1355">
                  <c:v>46799</c:v>
                </c:pt>
                <c:pt idx="1356">
                  <c:v>46800</c:v>
                </c:pt>
                <c:pt idx="1357">
                  <c:v>46801</c:v>
                </c:pt>
                <c:pt idx="1358">
                  <c:v>46802</c:v>
                </c:pt>
                <c:pt idx="1359">
                  <c:v>46803</c:v>
                </c:pt>
                <c:pt idx="1360">
                  <c:v>46804</c:v>
                </c:pt>
                <c:pt idx="1361">
                  <c:v>46805</c:v>
                </c:pt>
                <c:pt idx="1362">
                  <c:v>46806</c:v>
                </c:pt>
                <c:pt idx="1363">
                  <c:v>46807</c:v>
                </c:pt>
                <c:pt idx="1364">
                  <c:v>46808</c:v>
                </c:pt>
                <c:pt idx="1365">
                  <c:v>46809</c:v>
                </c:pt>
                <c:pt idx="1366">
                  <c:v>46810</c:v>
                </c:pt>
                <c:pt idx="1367">
                  <c:v>46811</c:v>
                </c:pt>
                <c:pt idx="1368">
                  <c:v>46812</c:v>
                </c:pt>
                <c:pt idx="1369">
                  <c:v>46813</c:v>
                </c:pt>
                <c:pt idx="1370">
                  <c:v>46814</c:v>
                </c:pt>
                <c:pt idx="1371">
                  <c:v>46815</c:v>
                </c:pt>
                <c:pt idx="1372">
                  <c:v>46816</c:v>
                </c:pt>
                <c:pt idx="1373">
                  <c:v>46817</c:v>
                </c:pt>
                <c:pt idx="1374">
                  <c:v>46818</c:v>
                </c:pt>
                <c:pt idx="1375">
                  <c:v>46819</c:v>
                </c:pt>
                <c:pt idx="1376">
                  <c:v>46820</c:v>
                </c:pt>
                <c:pt idx="1377">
                  <c:v>46821</c:v>
                </c:pt>
                <c:pt idx="1378">
                  <c:v>46822</c:v>
                </c:pt>
                <c:pt idx="1379">
                  <c:v>46823</c:v>
                </c:pt>
                <c:pt idx="1380">
                  <c:v>46824</c:v>
                </c:pt>
                <c:pt idx="1381">
                  <c:v>46825</c:v>
                </c:pt>
                <c:pt idx="1382">
                  <c:v>46826</c:v>
                </c:pt>
                <c:pt idx="1383">
                  <c:v>46827</c:v>
                </c:pt>
                <c:pt idx="1384">
                  <c:v>46828</c:v>
                </c:pt>
                <c:pt idx="1385">
                  <c:v>46829</c:v>
                </c:pt>
                <c:pt idx="1386">
                  <c:v>46830</c:v>
                </c:pt>
                <c:pt idx="1387">
                  <c:v>46831</c:v>
                </c:pt>
                <c:pt idx="1388">
                  <c:v>46832</c:v>
                </c:pt>
                <c:pt idx="1389">
                  <c:v>46833</c:v>
                </c:pt>
                <c:pt idx="1390">
                  <c:v>46834</c:v>
                </c:pt>
                <c:pt idx="1391">
                  <c:v>46835</c:v>
                </c:pt>
                <c:pt idx="1392">
                  <c:v>46836</c:v>
                </c:pt>
                <c:pt idx="1393">
                  <c:v>46837</c:v>
                </c:pt>
                <c:pt idx="1394">
                  <c:v>46838</c:v>
                </c:pt>
                <c:pt idx="1395">
                  <c:v>46839</c:v>
                </c:pt>
                <c:pt idx="1396">
                  <c:v>46840</c:v>
                </c:pt>
                <c:pt idx="1397">
                  <c:v>46841</c:v>
                </c:pt>
                <c:pt idx="1398">
                  <c:v>46842</c:v>
                </c:pt>
                <c:pt idx="1399">
                  <c:v>46843</c:v>
                </c:pt>
                <c:pt idx="1400">
                  <c:v>46844</c:v>
                </c:pt>
                <c:pt idx="1401">
                  <c:v>46845</c:v>
                </c:pt>
                <c:pt idx="1402">
                  <c:v>46846</c:v>
                </c:pt>
                <c:pt idx="1403">
                  <c:v>46847</c:v>
                </c:pt>
                <c:pt idx="1404">
                  <c:v>46848</c:v>
                </c:pt>
                <c:pt idx="1405">
                  <c:v>46849</c:v>
                </c:pt>
                <c:pt idx="1406">
                  <c:v>46850</c:v>
                </c:pt>
                <c:pt idx="1407">
                  <c:v>46851</c:v>
                </c:pt>
                <c:pt idx="1408">
                  <c:v>46852</c:v>
                </c:pt>
                <c:pt idx="1409">
                  <c:v>46853</c:v>
                </c:pt>
                <c:pt idx="1410">
                  <c:v>46854</c:v>
                </c:pt>
                <c:pt idx="1411">
                  <c:v>46855</c:v>
                </c:pt>
                <c:pt idx="1412">
                  <c:v>46856</c:v>
                </c:pt>
                <c:pt idx="1413">
                  <c:v>46857</c:v>
                </c:pt>
                <c:pt idx="1414">
                  <c:v>46858</c:v>
                </c:pt>
                <c:pt idx="1415">
                  <c:v>46859</c:v>
                </c:pt>
                <c:pt idx="1416">
                  <c:v>46860</c:v>
                </c:pt>
                <c:pt idx="1417">
                  <c:v>46861</c:v>
                </c:pt>
                <c:pt idx="1418">
                  <c:v>46862</c:v>
                </c:pt>
                <c:pt idx="1419">
                  <c:v>46863</c:v>
                </c:pt>
                <c:pt idx="1420">
                  <c:v>46864</c:v>
                </c:pt>
                <c:pt idx="1421">
                  <c:v>46865</c:v>
                </c:pt>
                <c:pt idx="1422">
                  <c:v>46866</c:v>
                </c:pt>
                <c:pt idx="1423">
                  <c:v>46867</c:v>
                </c:pt>
                <c:pt idx="1424">
                  <c:v>46868</c:v>
                </c:pt>
                <c:pt idx="1425">
                  <c:v>46869</c:v>
                </c:pt>
                <c:pt idx="1426">
                  <c:v>46870</c:v>
                </c:pt>
                <c:pt idx="1427">
                  <c:v>46871</c:v>
                </c:pt>
                <c:pt idx="1428">
                  <c:v>46872</c:v>
                </c:pt>
                <c:pt idx="1429">
                  <c:v>46873</c:v>
                </c:pt>
                <c:pt idx="1430">
                  <c:v>46874</c:v>
                </c:pt>
                <c:pt idx="1431">
                  <c:v>46875</c:v>
                </c:pt>
                <c:pt idx="1432">
                  <c:v>46876</c:v>
                </c:pt>
                <c:pt idx="1433">
                  <c:v>46877</c:v>
                </c:pt>
                <c:pt idx="1434">
                  <c:v>46878</c:v>
                </c:pt>
                <c:pt idx="1435">
                  <c:v>46879</c:v>
                </c:pt>
                <c:pt idx="1436">
                  <c:v>46880</c:v>
                </c:pt>
                <c:pt idx="1437">
                  <c:v>46881</c:v>
                </c:pt>
                <c:pt idx="1438">
                  <c:v>46882</c:v>
                </c:pt>
                <c:pt idx="1439">
                  <c:v>46883</c:v>
                </c:pt>
                <c:pt idx="1440">
                  <c:v>46884</c:v>
                </c:pt>
                <c:pt idx="1441">
                  <c:v>46885</c:v>
                </c:pt>
                <c:pt idx="1442">
                  <c:v>46886</c:v>
                </c:pt>
                <c:pt idx="1443">
                  <c:v>46887</c:v>
                </c:pt>
                <c:pt idx="1444">
                  <c:v>46888</c:v>
                </c:pt>
                <c:pt idx="1445">
                  <c:v>46889</c:v>
                </c:pt>
                <c:pt idx="1446">
                  <c:v>46890</c:v>
                </c:pt>
                <c:pt idx="1447">
                  <c:v>46891</c:v>
                </c:pt>
                <c:pt idx="1448">
                  <c:v>46892</c:v>
                </c:pt>
                <c:pt idx="1449">
                  <c:v>46893</c:v>
                </c:pt>
                <c:pt idx="1450">
                  <c:v>46894</c:v>
                </c:pt>
                <c:pt idx="1451">
                  <c:v>46895</c:v>
                </c:pt>
                <c:pt idx="1452">
                  <c:v>46896</c:v>
                </c:pt>
                <c:pt idx="1453">
                  <c:v>46897</c:v>
                </c:pt>
                <c:pt idx="1454">
                  <c:v>46898</c:v>
                </c:pt>
                <c:pt idx="1455">
                  <c:v>46899</c:v>
                </c:pt>
                <c:pt idx="1456">
                  <c:v>46900</c:v>
                </c:pt>
                <c:pt idx="1457">
                  <c:v>46901</c:v>
                </c:pt>
                <c:pt idx="1458">
                  <c:v>46902</c:v>
                </c:pt>
                <c:pt idx="1459">
                  <c:v>46903</c:v>
                </c:pt>
                <c:pt idx="1460">
                  <c:v>46904</c:v>
                </c:pt>
                <c:pt idx="1461">
                  <c:v>46905</c:v>
                </c:pt>
                <c:pt idx="1462">
                  <c:v>46906</c:v>
                </c:pt>
                <c:pt idx="1463">
                  <c:v>46907</c:v>
                </c:pt>
                <c:pt idx="1464">
                  <c:v>46908</c:v>
                </c:pt>
                <c:pt idx="1465">
                  <c:v>46909</c:v>
                </c:pt>
                <c:pt idx="1466">
                  <c:v>46910</c:v>
                </c:pt>
                <c:pt idx="1467">
                  <c:v>46911</c:v>
                </c:pt>
                <c:pt idx="1468">
                  <c:v>46912</c:v>
                </c:pt>
                <c:pt idx="1469">
                  <c:v>46913</c:v>
                </c:pt>
                <c:pt idx="1470">
                  <c:v>46914</c:v>
                </c:pt>
                <c:pt idx="1471">
                  <c:v>46915</c:v>
                </c:pt>
                <c:pt idx="1472">
                  <c:v>46916</c:v>
                </c:pt>
                <c:pt idx="1473">
                  <c:v>46917</c:v>
                </c:pt>
                <c:pt idx="1474">
                  <c:v>46918</c:v>
                </c:pt>
                <c:pt idx="1475">
                  <c:v>46919</c:v>
                </c:pt>
                <c:pt idx="1476">
                  <c:v>46920</c:v>
                </c:pt>
                <c:pt idx="1477">
                  <c:v>46921</c:v>
                </c:pt>
                <c:pt idx="1478">
                  <c:v>46922</c:v>
                </c:pt>
                <c:pt idx="1479">
                  <c:v>46923</c:v>
                </c:pt>
                <c:pt idx="1480">
                  <c:v>46924</c:v>
                </c:pt>
                <c:pt idx="1481">
                  <c:v>46925</c:v>
                </c:pt>
                <c:pt idx="1482">
                  <c:v>46926</c:v>
                </c:pt>
                <c:pt idx="1483">
                  <c:v>46927</c:v>
                </c:pt>
                <c:pt idx="1484">
                  <c:v>46928</c:v>
                </c:pt>
                <c:pt idx="1485">
                  <c:v>46929</c:v>
                </c:pt>
                <c:pt idx="1486">
                  <c:v>46930</c:v>
                </c:pt>
                <c:pt idx="1487">
                  <c:v>46931</c:v>
                </c:pt>
                <c:pt idx="1488">
                  <c:v>46932</c:v>
                </c:pt>
                <c:pt idx="1489">
                  <c:v>46933</c:v>
                </c:pt>
                <c:pt idx="1490">
                  <c:v>46934</c:v>
                </c:pt>
                <c:pt idx="1491">
                  <c:v>46935</c:v>
                </c:pt>
                <c:pt idx="1492">
                  <c:v>46936</c:v>
                </c:pt>
                <c:pt idx="1493">
                  <c:v>46937</c:v>
                </c:pt>
                <c:pt idx="1494">
                  <c:v>46938</c:v>
                </c:pt>
                <c:pt idx="1495">
                  <c:v>46939</c:v>
                </c:pt>
                <c:pt idx="1496">
                  <c:v>46940</c:v>
                </c:pt>
                <c:pt idx="1497">
                  <c:v>46941</c:v>
                </c:pt>
                <c:pt idx="1498">
                  <c:v>46942</c:v>
                </c:pt>
                <c:pt idx="1499">
                  <c:v>46943</c:v>
                </c:pt>
                <c:pt idx="1500">
                  <c:v>46944</c:v>
                </c:pt>
                <c:pt idx="1501">
                  <c:v>46945</c:v>
                </c:pt>
                <c:pt idx="1502">
                  <c:v>46946</c:v>
                </c:pt>
                <c:pt idx="1503">
                  <c:v>46947</c:v>
                </c:pt>
                <c:pt idx="1504">
                  <c:v>46948</c:v>
                </c:pt>
                <c:pt idx="1505">
                  <c:v>46949</c:v>
                </c:pt>
                <c:pt idx="1506">
                  <c:v>46950</c:v>
                </c:pt>
                <c:pt idx="1507">
                  <c:v>46951</c:v>
                </c:pt>
                <c:pt idx="1508">
                  <c:v>46952</c:v>
                </c:pt>
                <c:pt idx="1509">
                  <c:v>46953</c:v>
                </c:pt>
                <c:pt idx="1510">
                  <c:v>46954</c:v>
                </c:pt>
                <c:pt idx="1511">
                  <c:v>46955</c:v>
                </c:pt>
                <c:pt idx="1512">
                  <c:v>46956</c:v>
                </c:pt>
                <c:pt idx="1513">
                  <c:v>46957</c:v>
                </c:pt>
                <c:pt idx="1514">
                  <c:v>46958</c:v>
                </c:pt>
                <c:pt idx="1515">
                  <c:v>46959</c:v>
                </c:pt>
                <c:pt idx="1516">
                  <c:v>46960</c:v>
                </c:pt>
                <c:pt idx="1517">
                  <c:v>46961</c:v>
                </c:pt>
                <c:pt idx="1518">
                  <c:v>46962</c:v>
                </c:pt>
                <c:pt idx="1519">
                  <c:v>46963</c:v>
                </c:pt>
                <c:pt idx="1520">
                  <c:v>46964</c:v>
                </c:pt>
                <c:pt idx="1521">
                  <c:v>46965</c:v>
                </c:pt>
                <c:pt idx="1522">
                  <c:v>46966</c:v>
                </c:pt>
                <c:pt idx="1523">
                  <c:v>46967</c:v>
                </c:pt>
                <c:pt idx="1524">
                  <c:v>46968</c:v>
                </c:pt>
                <c:pt idx="1525">
                  <c:v>46969</c:v>
                </c:pt>
                <c:pt idx="1526">
                  <c:v>46970</c:v>
                </c:pt>
                <c:pt idx="1527">
                  <c:v>46971</c:v>
                </c:pt>
                <c:pt idx="1528">
                  <c:v>46972</c:v>
                </c:pt>
                <c:pt idx="1529">
                  <c:v>46973</c:v>
                </c:pt>
                <c:pt idx="1530">
                  <c:v>46974</c:v>
                </c:pt>
                <c:pt idx="1531">
                  <c:v>46975</c:v>
                </c:pt>
                <c:pt idx="1532">
                  <c:v>46976</c:v>
                </c:pt>
                <c:pt idx="1533">
                  <c:v>46977</c:v>
                </c:pt>
                <c:pt idx="1534">
                  <c:v>46978</c:v>
                </c:pt>
                <c:pt idx="1535">
                  <c:v>46979</c:v>
                </c:pt>
                <c:pt idx="1536">
                  <c:v>46980</c:v>
                </c:pt>
                <c:pt idx="1537">
                  <c:v>46981</c:v>
                </c:pt>
                <c:pt idx="1538">
                  <c:v>46982</c:v>
                </c:pt>
                <c:pt idx="1539">
                  <c:v>46983</c:v>
                </c:pt>
                <c:pt idx="1540">
                  <c:v>46984</c:v>
                </c:pt>
                <c:pt idx="1541">
                  <c:v>46985</c:v>
                </c:pt>
                <c:pt idx="1542">
                  <c:v>46986</c:v>
                </c:pt>
                <c:pt idx="1543">
                  <c:v>46987</c:v>
                </c:pt>
                <c:pt idx="1544">
                  <c:v>46988</c:v>
                </c:pt>
                <c:pt idx="1545">
                  <c:v>46989</c:v>
                </c:pt>
                <c:pt idx="1546">
                  <c:v>46990</c:v>
                </c:pt>
                <c:pt idx="1547">
                  <c:v>46991</c:v>
                </c:pt>
                <c:pt idx="1548">
                  <c:v>46992</c:v>
                </c:pt>
                <c:pt idx="1549">
                  <c:v>46993</c:v>
                </c:pt>
                <c:pt idx="1550">
                  <c:v>46994</c:v>
                </c:pt>
                <c:pt idx="1551">
                  <c:v>46995</c:v>
                </c:pt>
                <c:pt idx="1552">
                  <c:v>46996</c:v>
                </c:pt>
                <c:pt idx="1553">
                  <c:v>46997</c:v>
                </c:pt>
                <c:pt idx="1554">
                  <c:v>46998</c:v>
                </c:pt>
                <c:pt idx="1555">
                  <c:v>46999</c:v>
                </c:pt>
                <c:pt idx="1556">
                  <c:v>47000</c:v>
                </c:pt>
                <c:pt idx="1557">
                  <c:v>47001</c:v>
                </c:pt>
                <c:pt idx="1558">
                  <c:v>47002</c:v>
                </c:pt>
                <c:pt idx="1559">
                  <c:v>47003</c:v>
                </c:pt>
                <c:pt idx="1560">
                  <c:v>47004</c:v>
                </c:pt>
                <c:pt idx="1561">
                  <c:v>47005</c:v>
                </c:pt>
                <c:pt idx="1562">
                  <c:v>47006</c:v>
                </c:pt>
                <c:pt idx="1563">
                  <c:v>47007</c:v>
                </c:pt>
                <c:pt idx="1564">
                  <c:v>47008</c:v>
                </c:pt>
                <c:pt idx="1565">
                  <c:v>47009</c:v>
                </c:pt>
                <c:pt idx="1566">
                  <c:v>47010</c:v>
                </c:pt>
                <c:pt idx="1567">
                  <c:v>47011</c:v>
                </c:pt>
                <c:pt idx="1568">
                  <c:v>47012</c:v>
                </c:pt>
                <c:pt idx="1569">
                  <c:v>47013</c:v>
                </c:pt>
                <c:pt idx="1570">
                  <c:v>47014</c:v>
                </c:pt>
                <c:pt idx="1571">
                  <c:v>47015</c:v>
                </c:pt>
                <c:pt idx="1572">
                  <c:v>47016</c:v>
                </c:pt>
                <c:pt idx="1573">
                  <c:v>47017</c:v>
                </c:pt>
                <c:pt idx="1574">
                  <c:v>47018</c:v>
                </c:pt>
                <c:pt idx="1575">
                  <c:v>47019</c:v>
                </c:pt>
                <c:pt idx="1576">
                  <c:v>47020</c:v>
                </c:pt>
                <c:pt idx="1577">
                  <c:v>47021</c:v>
                </c:pt>
                <c:pt idx="1578">
                  <c:v>47022</c:v>
                </c:pt>
                <c:pt idx="1579">
                  <c:v>47023</c:v>
                </c:pt>
                <c:pt idx="1580">
                  <c:v>47024</c:v>
                </c:pt>
                <c:pt idx="1581">
                  <c:v>47025</c:v>
                </c:pt>
                <c:pt idx="1582">
                  <c:v>47026</c:v>
                </c:pt>
                <c:pt idx="1583">
                  <c:v>47027</c:v>
                </c:pt>
                <c:pt idx="1584">
                  <c:v>47028</c:v>
                </c:pt>
                <c:pt idx="1585">
                  <c:v>47029</c:v>
                </c:pt>
                <c:pt idx="1586">
                  <c:v>47030</c:v>
                </c:pt>
                <c:pt idx="1587">
                  <c:v>47031</c:v>
                </c:pt>
                <c:pt idx="1588">
                  <c:v>47032</c:v>
                </c:pt>
                <c:pt idx="1589">
                  <c:v>47033</c:v>
                </c:pt>
                <c:pt idx="1590">
                  <c:v>47034</c:v>
                </c:pt>
                <c:pt idx="1591">
                  <c:v>47035</c:v>
                </c:pt>
                <c:pt idx="1592">
                  <c:v>47036</c:v>
                </c:pt>
                <c:pt idx="1593">
                  <c:v>47037</c:v>
                </c:pt>
                <c:pt idx="1594">
                  <c:v>47038</c:v>
                </c:pt>
                <c:pt idx="1595">
                  <c:v>47039</c:v>
                </c:pt>
                <c:pt idx="1596">
                  <c:v>47040</c:v>
                </c:pt>
                <c:pt idx="1597">
                  <c:v>47041</c:v>
                </c:pt>
                <c:pt idx="1598">
                  <c:v>47042</c:v>
                </c:pt>
                <c:pt idx="1599">
                  <c:v>47043</c:v>
                </c:pt>
                <c:pt idx="1600">
                  <c:v>47044</c:v>
                </c:pt>
                <c:pt idx="1601">
                  <c:v>47045</c:v>
                </c:pt>
                <c:pt idx="1602">
                  <c:v>47046</c:v>
                </c:pt>
                <c:pt idx="1603">
                  <c:v>47047</c:v>
                </c:pt>
                <c:pt idx="1604">
                  <c:v>47048</c:v>
                </c:pt>
                <c:pt idx="1605">
                  <c:v>47049</c:v>
                </c:pt>
                <c:pt idx="1606">
                  <c:v>47050</c:v>
                </c:pt>
                <c:pt idx="1607">
                  <c:v>47051</c:v>
                </c:pt>
                <c:pt idx="1608">
                  <c:v>47052</c:v>
                </c:pt>
                <c:pt idx="1609">
                  <c:v>47053</c:v>
                </c:pt>
                <c:pt idx="1610">
                  <c:v>47054</c:v>
                </c:pt>
                <c:pt idx="1611">
                  <c:v>47055</c:v>
                </c:pt>
                <c:pt idx="1612">
                  <c:v>47056</c:v>
                </c:pt>
                <c:pt idx="1613">
                  <c:v>47057</c:v>
                </c:pt>
                <c:pt idx="1614">
                  <c:v>47058</c:v>
                </c:pt>
                <c:pt idx="1615">
                  <c:v>47059</c:v>
                </c:pt>
                <c:pt idx="1616">
                  <c:v>47060</c:v>
                </c:pt>
                <c:pt idx="1617">
                  <c:v>47061</c:v>
                </c:pt>
                <c:pt idx="1618">
                  <c:v>47062</c:v>
                </c:pt>
                <c:pt idx="1619">
                  <c:v>47063</c:v>
                </c:pt>
                <c:pt idx="1620">
                  <c:v>47064</c:v>
                </c:pt>
                <c:pt idx="1621">
                  <c:v>47065</c:v>
                </c:pt>
                <c:pt idx="1622">
                  <c:v>47066</c:v>
                </c:pt>
                <c:pt idx="1623">
                  <c:v>47067</c:v>
                </c:pt>
                <c:pt idx="1624">
                  <c:v>47068</c:v>
                </c:pt>
                <c:pt idx="1625">
                  <c:v>47069</c:v>
                </c:pt>
                <c:pt idx="1626">
                  <c:v>47070</c:v>
                </c:pt>
                <c:pt idx="1627">
                  <c:v>47071</c:v>
                </c:pt>
                <c:pt idx="1628">
                  <c:v>47072</c:v>
                </c:pt>
                <c:pt idx="1629">
                  <c:v>47073</c:v>
                </c:pt>
                <c:pt idx="1630">
                  <c:v>47074</c:v>
                </c:pt>
                <c:pt idx="1631">
                  <c:v>47075</c:v>
                </c:pt>
                <c:pt idx="1632">
                  <c:v>47076</c:v>
                </c:pt>
                <c:pt idx="1633">
                  <c:v>47077</c:v>
                </c:pt>
                <c:pt idx="1634">
                  <c:v>47078</c:v>
                </c:pt>
                <c:pt idx="1635">
                  <c:v>47079</c:v>
                </c:pt>
                <c:pt idx="1636">
                  <c:v>47080</c:v>
                </c:pt>
                <c:pt idx="1637">
                  <c:v>47081</c:v>
                </c:pt>
                <c:pt idx="1638">
                  <c:v>47082</c:v>
                </c:pt>
                <c:pt idx="1639">
                  <c:v>47083</c:v>
                </c:pt>
                <c:pt idx="1640">
                  <c:v>47084</c:v>
                </c:pt>
                <c:pt idx="1641">
                  <c:v>47085</c:v>
                </c:pt>
                <c:pt idx="1642">
                  <c:v>47086</c:v>
                </c:pt>
                <c:pt idx="1643">
                  <c:v>47087</c:v>
                </c:pt>
                <c:pt idx="1644">
                  <c:v>47088</c:v>
                </c:pt>
                <c:pt idx="1645">
                  <c:v>47089</c:v>
                </c:pt>
                <c:pt idx="1646">
                  <c:v>47090</c:v>
                </c:pt>
                <c:pt idx="1647">
                  <c:v>47091</c:v>
                </c:pt>
                <c:pt idx="1648">
                  <c:v>47092</c:v>
                </c:pt>
                <c:pt idx="1649">
                  <c:v>47093</c:v>
                </c:pt>
                <c:pt idx="1650">
                  <c:v>47094</c:v>
                </c:pt>
                <c:pt idx="1651">
                  <c:v>47095</c:v>
                </c:pt>
                <c:pt idx="1652">
                  <c:v>47096</c:v>
                </c:pt>
                <c:pt idx="1653">
                  <c:v>47097</c:v>
                </c:pt>
                <c:pt idx="1654">
                  <c:v>47098</c:v>
                </c:pt>
                <c:pt idx="1655">
                  <c:v>47099</c:v>
                </c:pt>
                <c:pt idx="1656">
                  <c:v>47100</c:v>
                </c:pt>
                <c:pt idx="1657">
                  <c:v>47101</c:v>
                </c:pt>
                <c:pt idx="1658">
                  <c:v>47102</c:v>
                </c:pt>
                <c:pt idx="1659">
                  <c:v>47103</c:v>
                </c:pt>
                <c:pt idx="1660">
                  <c:v>47104</c:v>
                </c:pt>
                <c:pt idx="1661">
                  <c:v>47105</c:v>
                </c:pt>
                <c:pt idx="1662">
                  <c:v>47106</c:v>
                </c:pt>
                <c:pt idx="1663">
                  <c:v>47107</c:v>
                </c:pt>
                <c:pt idx="1664">
                  <c:v>47108</c:v>
                </c:pt>
                <c:pt idx="1665">
                  <c:v>47109</c:v>
                </c:pt>
                <c:pt idx="1666">
                  <c:v>47110</c:v>
                </c:pt>
                <c:pt idx="1667">
                  <c:v>47111</c:v>
                </c:pt>
                <c:pt idx="1668">
                  <c:v>47112</c:v>
                </c:pt>
                <c:pt idx="1669">
                  <c:v>47113</c:v>
                </c:pt>
                <c:pt idx="1670">
                  <c:v>47114</c:v>
                </c:pt>
                <c:pt idx="1671">
                  <c:v>47115</c:v>
                </c:pt>
                <c:pt idx="1672">
                  <c:v>47116</c:v>
                </c:pt>
                <c:pt idx="1673">
                  <c:v>47117</c:v>
                </c:pt>
                <c:pt idx="1674">
                  <c:v>47118</c:v>
                </c:pt>
              </c:numCache>
            </c:numRef>
          </c:cat>
          <c:val>
            <c:numRef>
              <c:f>'5.4'!$F$6:$F$1680</c:f>
              <c:numCache>
                <c:formatCode>0</c:formatCode>
                <c:ptCount val="1675"/>
                <c:pt idx="0">
                  <c:v>1643.4928864898</c:v>
                </c:pt>
                <c:pt idx="1">
                  <c:v>1643.4928864898</c:v>
                </c:pt>
                <c:pt idx="2">
                  <c:v>1643.4928864898</c:v>
                </c:pt>
                <c:pt idx="3">
                  <c:v>1643.4928864898</c:v>
                </c:pt>
                <c:pt idx="4">
                  <c:v>1643.4928864898</c:v>
                </c:pt>
                <c:pt idx="5">
                  <c:v>1643.4928864898</c:v>
                </c:pt>
                <c:pt idx="6">
                  <c:v>1643.4928864898</c:v>
                </c:pt>
                <c:pt idx="7">
                  <c:v>1643.4928864898</c:v>
                </c:pt>
                <c:pt idx="8">
                  <c:v>1643.4928864898</c:v>
                </c:pt>
                <c:pt idx="9">
                  <c:v>1643.4928864898</c:v>
                </c:pt>
                <c:pt idx="10">
                  <c:v>1643.4928864898</c:v>
                </c:pt>
                <c:pt idx="11">
                  <c:v>1643.4928864898</c:v>
                </c:pt>
                <c:pt idx="12">
                  <c:v>1643.4928864898</c:v>
                </c:pt>
                <c:pt idx="13">
                  <c:v>1643.4928864898</c:v>
                </c:pt>
                <c:pt idx="14">
                  <c:v>1643.4928864898</c:v>
                </c:pt>
                <c:pt idx="15">
                  <c:v>1643.4928864898</c:v>
                </c:pt>
                <c:pt idx="16">
                  <c:v>1643.4928864898</c:v>
                </c:pt>
                <c:pt idx="17">
                  <c:v>1643.4928864898</c:v>
                </c:pt>
                <c:pt idx="18">
                  <c:v>1643.4928864898</c:v>
                </c:pt>
                <c:pt idx="19">
                  <c:v>1643.4928864898</c:v>
                </c:pt>
                <c:pt idx="20">
                  <c:v>1643.4928864898</c:v>
                </c:pt>
                <c:pt idx="21">
                  <c:v>1643.4928864898</c:v>
                </c:pt>
                <c:pt idx="22">
                  <c:v>1643.4928864898</c:v>
                </c:pt>
                <c:pt idx="23">
                  <c:v>1643.4928864898</c:v>
                </c:pt>
                <c:pt idx="24">
                  <c:v>1643.4928864898</c:v>
                </c:pt>
                <c:pt idx="25">
                  <c:v>1643.4928864898</c:v>
                </c:pt>
                <c:pt idx="26">
                  <c:v>1643.4928864898</c:v>
                </c:pt>
                <c:pt idx="27">
                  <c:v>1643.4928864898</c:v>
                </c:pt>
                <c:pt idx="28">
                  <c:v>1643.4928864898</c:v>
                </c:pt>
                <c:pt idx="29">
                  <c:v>1643.4928864898</c:v>
                </c:pt>
                <c:pt idx="30">
                  <c:v>1575.48</c:v>
                </c:pt>
                <c:pt idx="31">
                  <c:v>1575.48</c:v>
                </c:pt>
                <c:pt idx="32">
                  <c:v>1575.48</c:v>
                </c:pt>
                <c:pt idx="33">
                  <c:v>1575.48</c:v>
                </c:pt>
                <c:pt idx="34">
                  <c:v>1575.48</c:v>
                </c:pt>
                <c:pt idx="35">
                  <c:v>1575.48</c:v>
                </c:pt>
                <c:pt idx="36">
                  <c:v>1575.48</c:v>
                </c:pt>
                <c:pt idx="37">
                  <c:v>1575.48</c:v>
                </c:pt>
                <c:pt idx="38">
                  <c:v>1575.48</c:v>
                </c:pt>
                <c:pt idx="39">
                  <c:v>1575.48</c:v>
                </c:pt>
                <c:pt idx="40">
                  <c:v>1575.48</c:v>
                </c:pt>
                <c:pt idx="41">
                  <c:v>1575.48</c:v>
                </c:pt>
                <c:pt idx="42">
                  <c:v>1575.48</c:v>
                </c:pt>
                <c:pt idx="43">
                  <c:v>1575.48</c:v>
                </c:pt>
                <c:pt idx="44">
                  <c:v>1575.48</c:v>
                </c:pt>
                <c:pt idx="45">
                  <c:v>1575.48</c:v>
                </c:pt>
                <c:pt idx="46">
                  <c:v>1575.48</c:v>
                </c:pt>
                <c:pt idx="47">
                  <c:v>1575.48</c:v>
                </c:pt>
                <c:pt idx="48">
                  <c:v>1575.48</c:v>
                </c:pt>
                <c:pt idx="49">
                  <c:v>1575.48</c:v>
                </c:pt>
                <c:pt idx="50">
                  <c:v>1575.48</c:v>
                </c:pt>
                <c:pt idx="51">
                  <c:v>1575.48</c:v>
                </c:pt>
                <c:pt idx="52">
                  <c:v>1575.48</c:v>
                </c:pt>
                <c:pt idx="53">
                  <c:v>1575.48</c:v>
                </c:pt>
                <c:pt idx="54">
                  <c:v>1575.48</c:v>
                </c:pt>
                <c:pt idx="55">
                  <c:v>1575.48</c:v>
                </c:pt>
                <c:pt idx="56">
                  <c:v>1575.48</c:v>
                </c:pt>
                <c:pt idx="57">
                  <c:v>1575.48</c:v>
                </c:pt>
                <c:pt idx="58">
                  <c:v>1575.48</c:v>
                </c:pt>
                <c:pt idx="59">
                  <c:v>1575.48</c:v>
                </c:pt>
                <c:pt idx="60">
                  <c:v>1575.48</c:v>
                </c:pt>
                <c:pt idx="61">
                  <c:v>1575.48</c:v>
                </c:pt>
                <c:pt idx="62">
                  <c:v>1575.48</c:v>
                </c:pt>
                <c:pt idx="63">
                  <c:v>1575.48</c:v>
                </c:pt>
                <c:pt idx="64">
                  <c:v>1575.48</c:v>
                </c:pt>
                <c:pt idx="65">
                  <c:v>1575.48</c:v>
                </c:pt>
                <c:pt idx="66">
                  <c:v>1575.48</c:v>
                </c:pt>
                <c:pt idx="67">
                  <c:v>1575.48</c:v>
                </c:pt>
                <c:pt idx="68">
                  <c:v>1575.48</c:v>
                </c:pt>
                <c:pt idx="69">
                  <c:v>1575.48</c:v>
                </c:pt>
                <c:pt idx="70">
                  <c:v>1575.48</c:v>
                </c:pt>
                <c:pt idx="71">
                  <c:v>1575.48</c:v>
                </c:pt>
                <c:pt idx="72">
                  <c:v>1575.48</c:v>
                </c:pt>
                <c:pt idx="73">
                  <c:v>1575.48</c:v>
                </c:pt>
                <c:pt idx="74">
                  <c:v>1575.48</c:v>
                </c:pt>
                <c:pt idx="75">
                  <c:v>1575.48</c:v>
                </c:pt>
                <c:pt idx="76">
                  <c:v>1575.48</c:v>
                </c:pt>
                <c:pt idx="77">
                  <c:v>1575.48</c:v>
                </c:pt>
                <c:pt idx="78">
                  <c:v>1575.48</c:v>
                </c:pt>
                <c:pt idx="79">
                  <c:v>1575.48</c:v>
                </c:pt>
                <c:pt idx="80">
                  <c:v>1575.48</c:v>
                </c:pt>
                <c:pt idx="81">
                  <c:v>1575.48</c:v>
                </c:pt>
                <c:pt idx="82">
                  <c:v>1575.48</c:v>
                </c:pt>
                <c:pt idx="83">
                  <c:v>1575.48</c:v>
                </c:pt>
                <c:pt idx="84">
                  <c:v>1575.48</c:v>
                </c:pt>
                <c:pt idx="85">
                  <c:v>1575.48</c:v>
                </c:pt>
                <c:pt idx="86">
                  <c:v>1575.48</c:v>
                </c:pt>
                <c:pt idx="87">
                  <c:v>1575.48</c:v>
                </c:pt>
                <c:pt idx="88">
                  <c:v>1575.48</c:v>
                </c:pt>
                <c:pt idx="89">
                  <c:v>1575.48</c:v>
                </c:pt>
                <c:pt idx="90">
                  <c:v>1575.48</c:v>
                </c:pt>
                <c:pt idx="91">
                  <c:v>1575.48</c:v>
                </c:pt>
                <c:pt idx="92">
                  <c:v>1575.48</c:v>
                </c:pt>
                <c:pt idx="93">
                  <c:v>1575.48</c:v>
                </c:pt>
                <c:pt idx="94">
                  <c:v>1575.48</c:v>
                </c:pt>
                <c:pt idx="95">
                  <c:v>1575.48</c:v>
                </c:pt>
                <c:pt idx="96">
                  <c:v>1575.48</c:v>
                </c:pt>
                <c:pt idx="97">
                  <c:v>1575.48</c:v>
                </c:pt>
                <c:pt idx="98">
                  <c:v>1575.48</c:v>
                </c:pt>
                <c:pt idx="99">
                  <c:v>1575.48</c:v>
                </c:pt>
                <c:pt idx="100">
                  <c:v>1575.48</c:v>
                </c:pt>
                <c:pt idx="101">
                  <c:v>1575.48</c:v>
                </c:pt>
                <c:pt idx="102">
                  <c:v>1575.48</c:v>
                </c:pt>
                <c:pt idx="103">
                  <c:v>1575.48</c:v>
                </c:pt>
                <c:pt idx="104">
                  <c:v>1575.48</c:v>
                </c:pt>
                <c:pt idx="105">
                  <c:v>1575.48</c:v>
                </c:pt>
                <c:pt idx="106">
                  <c:v>1575.48</c:v>
                </c:pt>
                <c:pt idx="107">
                  <c:v>1575.48</c:v>
                </c:pt>
                <c:pt idx="108">
                  <c:v>1575.48</c:v>
                </c:pt>
                <c:pt idx="109">
                  <c:v>1575.48</c:v>
                </c:pt>
                <c:pt idx="110">
                  <c:v>1575.48</c:v>
                </c:pt>
                <c:pt idx="111">
                  <c:v>1575.48</c:v>
                </c:pt>
                <c:pt idx="112">
                  <c:v>1575.48</c:v>
                </c:pt>
                <c:pt idx="113">
                  <c:v>1575.48</c:v>
                </c:pt>
                <c:pt idx="114">
                  <c:v>1575.48</c:v>
                </c:pt>
                <c:pt idx="115">
                  <c:v>1575.48</c:v>
                </c:pt>
                <c:pt idx="116">
                  <c:v>1575.48</c:v>
                </c:pt>
                <c:pt idx="117">
                  <c:v>1575.48</c:v>
                </c:pt>
                <c:pt idx="118">
                  <c:v>1575.48</c:v>
                </c:pt>
                <c:pt idx="119">
                  <c:v>1575.48</c:v>
                </c:pt>
                <c:pt idx="120">
                  <c:v>1575.48</c:v>
                </c:pt>
                <c:pt idx="121">
                  <c:v>1575.48</c:v>
                </c:pt>
                <c:pt idx="122">
                  <c:v>1575.48</c:v>
                </c:pt>
                <c:pt idx="123">
                  <c:v>1575.48</c:v>
                </c:pt>
                <c:pt idx="124">
                  <c:v>1575.48</c:v>
                </c:pt>
                <c:pt idx="125">
                  <c:v>1575.48</c:v>
                </c:pt>
                <c:pt idx="126">
                  <c:v>1575.48</c:v>
                </c:pt>
                <c:pt idx="127">
                  <c:v>1575.48</c:v>
                </c:pt>
                <c:pt idx="128">
                  <c:v>1575.48</c:v>
                </c:pt>
                <c:pt idx="129">
                  <c:v>1575.48</c:v>
                </c:pt>
                <c:pt idx="130">
                  <c:v>1575.48</c:v>
                </c:pt>
                <c:pt idx="131">
                  <c:v>1575.48</c:v>
                </c:pt>
                <c:pt idx="132">
                  <c:v>1575.48</c:v>
                </c:pt>
                <c:pt idx="133">
                  <c:v>1575.48</c:v>
                </c:pt>
                <c:pt idx="134">
                  <c:v>1575.48</c:v>
                </c:pt>
                <c:pt idx="135">
                  <c:v>1575.48</c:v>
                </c:pt>
                <c:pt idx="136">
                  <c:v>1575.48</c:v>
                </c:pt>
                <c:pt idx="137">
                  <c:v>1575.48</c:v>
                </c:pt>
                <c:pt idx="138">
                  <c:v>1575.48</c:v>
                </c:pt>
                <c:pt idx="139">
                  <c:v>1575.48</c:v>
                </c:pt>
                <c:pt idx="140">
                  <c:v>1575.48</c:v>
                </c:pt>
                <c:pt idx="141">
                  <c:v>1575.48</c:v>
                </c:pt>
                <c:pt idx="142">
                  <c:v>1575.48</c:v>
                </c:pt>
                <c:pt idx="143">
                  <c:v>1575.48</c:v>
                </c:pt>
                <c:pt idx="144">
                  <c:v>1575.48</c:v>
                </c:pt>
                <c:pt idx="145">
                  <c:v>1575.48</c:v>
                </c:pt>
                <c:pt idx="146">
                  <c:v>1575.48</c:v>
                </c:pt>
                <c:pt idx="147">
                  <c:v>1575.48</c:v>
                </c:pt>
                <c:pt idx="148">
                  <c:v>1575.48</c:v>
                </c:pt>
                <c:pt idx="149">
                  <c:v>1575.48</c:v>
                </c:pt>
                <c:pt idx="150">
                  <c:v>1575.48</c:v>
                </c:pt>
                <c:pt idx="151">
                  <c:v>1575.48</c:v>
                </c:pt>
                <c:pt idx="152">
                  <c:v>1575.48</c:v>
                </c:pt>
                <c:pt idx="153">
                  <c:v>1575.48</c:v>
                </c:pt>
                <c:pt idx="154">
                  <c:v>1575.48</c:v>
                </c:pt>
                <c:pt idx="155">
                  <c:v>1575.48</c:v>
                </c:pt>
                <c:pt idx="156">
                  <c:v>1575.48</c:v>
                </c:pt>
                <c:pt idx="157">
                  <c:v>1575.48</c:v>
                </c:pt>
                <c:pt idx="158">
                  <c:v>1575.48</c:v>
                </c:pt>
                <c:pt idx="159">
                  <c:v>1575.48</c:v>
                </c:pt>
                <c:pt idx="160">
                  <c:v>1575.48</c:v>
                </c:pt>
                <c:pt idx="161">
                  <c:v>1575.48</c:v>
                </c:pt>
                <c:pt idx="162">
                  <c:v>1575.48</c:v>
                </c:pt>
                <c:pt idx="163">
                  <c:v>1575.48</c:v>
                </c:pt>
                <c:pt idx="164">
                  <c:v>1575.48</c:v>
                </c:pt>
                <c:pt idx="165">
                  <c:v>1575.48</c:v>
                </c:pt>
                <c:pt idx="166">
                  <c:v>1575.48</c:v>
                </c:pt>
                <c:pt idx="167">
                  <c:v>1575.48</c:v>
                </c:pt>
                <c:pt idx="168">
                  <c:v>1575.48</c:v>
                </c:pt>
                <c:pt idx="169">
                  <c:v>1575.48</c:v>
                </c:pt>
                <c:pt idx="170">
                  <c:v>1575.48</c:v>
                </c:pt>
                <c:pt idx="171">
                  <c:v>1575.48</c:v>
                </c:pt>
                <c:pt idx="172">
                  <c:v>1575.48</c:v>
                </c:pt>
                <c:pt idx="173">
                  <c:v>1575.48</c:v>
                </c:pt>
                <c:pt idx="174">
                  <c:v>1575.48</c:v>
                </c:pt>
                <c:pt idx="175">
                  <c:v>1575.48</c:v>
                </c:pt>
                <c:pt idx="176">
                  <c:v>1575.48</c:v>
                </c:pt>
                <c:pt idx="177">
                  <c:v>1575.48</c:v>
                </c:pt>
                <c:pt idx="178">
                  <c:v>1575.48</c:v>
                </c:pt>
                <c:pt idx="179">
                  <c:v>1575.48</c:v>
                </c:pt>
                <c:pt idx="180">
                  <c:v>1575.48</c:v>
                </c:pt>
                <c:pt idx="181">
                  <c:v>1575.48</c:v>
                </c:pt>
                <c:pt idx="182">
                  <c:v>1575.48</c:v>
                </c:pt>
                <c:pt idx="183">
                  <c:v>1575.48</c:v>
                </c:pt>
                <c:pt idx="184">
                  <c:v>1575.48</c:v>
                </c:pt>
                <c:pt idx="185">
                  <c:v>1575.48</c:v>
                </c:pt>
                <c:pt idx="186">
                  <c:v>1575.48</c:v>
                </c:pt>
                <c:pt idx="187">
                  <c:v>1575.48</c:v>
                </c:pt>
                <c:pt idx="188">
                  <c:v>1575.48</c:v>
                </c:pt>
                <c:pt idx="189">
                  <c:v>1575.48</c:v>
                </c:pt>
                <c:pt idx="190">
                  <c:v>1575.48</c:v>
                </c:pt>
                <c:pt idx="191">
                  <c:v>1575.48</c:v>
                </c:pt>
                <c:pt idx="192">
                  <c:v>1575.48</c:v>
                </c:pt>
                <c:pt idx="193">
                  <c:v>1575.48</c:v>
                </c:pt>
                <c:pt idx="194">
                  <c:v>1575.48</c:v>
                </c:pt>
                <c:pt idx="195">
                  <c:v>1575.48</c:v>
                </c:pt>
                <c:pt idx="196">
                  <c:v>1575.48</c:v>
                </c:pt>
                <c:pt idx="197">
                  <c:v>1575.48</c:v>
                </c:pt>
                <c:pt idx="198">
                  <c:v>1575.48</c:v>
                </c:pt>
                <c:pt idx="199">
                  <c:v>1575.48</c:v>
                </c:pt>
                <c:pt idx="200">
                  <c:v>1575.48</c:v>
                </c:pt>
                <c:pt idx="201">
                  <c:v>1575.48</c:v>
                </c:pt>
                <c:pt idx="202">
                  <c:v>1575.48</c:v>
                </c:pt>
                <c:pt idx="203">
                  <c:v>1575.48</c:v>
                </c:pt>
                <c:pt idx="204">
                  <c:v>1575.48</c:v>
                </c:pt>
                <c:pt idx="205">
                  <c:v>1575.48</c:v>
                </c:pt>
                <c:pt idx="206">
                  <c:v>1575.48</c:v>
                </c:pt>
                <c:pt idx="207">
                  <c:v>1575.48</c:v>
                </c:pt>
                <c:pt idx="208">
                  <c:v>1575.48</c:v>
                </c:pt>
                <c:pt idx="209">
                  <c:v>1575.48</c:v>
                </c:pt>
                <c:pt idx="210">
                  <c:v>1575.48</c:v>
                </c:pt>
                <c:pt idx="211">
                  <c:v>1575.48</c:v>
                </c:pt>
                <c:pt idx="212">
                  <c:v>1575.48</c:v>
                </c:pt>
                <c:pt idx="213">
                  <c:v>1575.48</c:v>
                </c:pt>
                <c:pt idx="214">
                  <c:v>1567.0757394607001</c:v>
                </c:pt>
                <c:pt idx="215">
                  <c:v>1567.0757394607001</c:v>
                </c:pt>
                <c:pt idx="216">
                  <c:v>1567.0757394607001</c:v>
                </c:pt>
                <c:pt idx="217">
                  <c:v>1567.0757394607001</c:v>
                </c:pt>
                <c:pt idx="218">
                  <c:v>1567.0757394607001</c:v>
                </c:pt>
                <c:pt idx="219">
                  <c:v>1567.0757394607001</c:v>
                </c:pt>
                <c:pt idx="220">
                  <c:v>1567.0757394607001</c:v>
                </c:pt>
                <c:pt idx="221">
                  <c:v>1567.0757394607001</c:v>
                </c:pt>
                <c:pt idx="222">
                  <c:v>1567.0757394607001</c:v>
                </c:pt>
                <c:pt idx="223">
                  <c:v>1567.0757394607001</c:v>
                </c:pt>
                <c:pt idx="224">
                  <c:v>1567.0757394607001</c:v>
                </c:pt>
                <c:pt idx="225">
                  <c:v>1567.0757394607001</c:v>
                </c:pt>
                <c:pt idx="226">
                  <c:v>1567.0757394607001</c:v>
                </c:pt>
                <c:pt idx="227">
                  <c:v>1567.0757394607001</c:v>
                </c:pt>
                <c:pt idx="228">
                  <c:v>1567.0757394607001</c:v>
                </c:pt>
                <c:pt idx="229">
                  <c:v>1567.0757394607001</c:v>
                </c:pt>
                <c:pt idx="230">
                  <c:v>1567.0757394607001</c:v>
                </c:pt>
                <c:pt idx="231">
                  <c:v>1567.0757394607001</c:v>
                </c:pt>
                <c:pt idx="232">
                  <c:v>1567.0757394607001</c:v>
                </c:pt>
                <c:pt idx="233">
                  <c:v>1567.0757394607001</c:v>
                </c:pt>
                <c:pt idx="234">
                  <c:v>1567.0757394607001</c:v>
                </c:pt>
                <c:pt idx="235">
                  <c:v>1567.0757394607001</c:v>
                </c:pt>
                <c:pt idx="236">
                  <c:v>1567.0757394607001</c:v>
                </c:pt>
                <c:pt idx="237">
                  <c:v>1567.0757394607001</c:v>
                </c:pt>
                <c:pt idx="238">
                  <c:v>1567.0757394607001</c:v>
                </c:pt>
                <c:pt idx="239">
                  <c:v>1567.0757394607001</c:v>
                </c:pt>
                <c:pt idx="240">
                  <c:v>1567.0757394607001</c:v>
                </c:pt>
                <c:pt idx="241">
                  <c:v>1567.0757394607001</c:v>
                </c:pt>
                <c:pt idx="242">
                  <c:v>1567.0757394607001</c:v>
                </c:pt>
                <c:pt idx="243">
                  <c:v>1567.0757394607001</c:v>
                </c:pt>
                <c:pt idx="244">
                  <c:v>1567.0757394607001</c:v>
                </c:pt>
                <c:pt idx="245">
                  <c:v>1567.0757394607001</c:v>
                </c:pt>
                <c:pt idx="246">
                  <c:v>1567.0757394607001</c:v>
                </c:pt>
                <c:pt idx="247">
                  <c:v>1567.0757394607001</c:v>
                </c:pt>
                <c:pt idx="248">
                  <c:v>1567.0757394607001</c:v>
                </c:pt>
                <c:pt idx="249">
                  <c:v>1567.0757394607001</c:v>
                </c:pt>
                <c:pt idx="250">
                  <c:v>1567.0757394607001</c:v>
                </c:pt>
                <c:pt idx="251">
                  <c:v>1567.0757394607001</c:v>
                </c:pt>
                <c:pt idx="252">
                  <c:v>1567.0757394607001</c:v>
                </c:pt>
                <c:pt idx="253">
                  <c:v>1567.0757394607001</c:v>
                </c:pt>
                <c:pt idx="254">
                  <c:v>1567.0757394607001</c:v>
                </c:pt>
                <c:pt idx="255">
                  <c:v>1567.0757394607001</c:v>
                </c:pt>
                <c:pt idx="256">
                  <c:v>1567.0757394607001</c:v>
                </c:pt>
                <c:pt idx="257">
                  <c:v>1567.0757394607001</c:v>
                </c:pt>
                <c:pt idx="258">
                  <c:v>1567.0757394607001</c:v>
                </c:pt>
                <c:pt idx="259">
                  <c:v>1567.0757394607001</c:v>
                </c:pt>
                <c:pt idx="260">
                  <c:v>1567.0757394607001</c:v>
                </c:pt>
                <c:pt idx="261">
                  <c:v>1567.0757394607001</c:v>
                </c:pt>
                <c:pt idx="262">
                  <c:v>1567.0757394607001</c:v>
                </c:pt>
                <c:pt idx="263">
                  <c:v>1567.0757394607001</c:v>
                </c:pt>
                <c:pt idx="264">
                  <c:v>1567.0757394607001</c:v>
                </c:pt>
                <c:pt idx="265">
                  <c:v>1567.0757394607001</c:v>
                </c:pt>
                <c:pt idx="266">
                  <c:v>1567.0757394607001</c:v>
                </c:pt>
                <c:pt idx="267">
                  <c:v>1567.0757394607001</c:v>
                </c:pt>
                <c:pt idx="268">
                  <c:v>1567.0757394607001</c:v>
                </c:pt>
                <c:pt idx="269">
                  <c:v>1567.0757394607001</c:v>
                </c:pt>
                <c:pt idx="270">
                  <c:v>1567.0757394607001</c:v>
                </c:pt>
                <c:pt idx="271">
                  <c:v>1567.0757394607001</c:v>
                </c:pt>
                <c:pt idx="272">
                  <c:v>1567.0757394607001</c:v>
                </c:pt>
                <c:pt idx="273">
                  <c:v>1567.0757394607001</c:v>
                </c:pt>
                <c:pt idx="274">
                  <c:v>1567.0757394607001</c:v>
                </c:pt>
                <c:pt idx="275">
                  <c:v>1567.0757394607001</c:v>
                </c:pt>
                <c:pt idx="276">
                  <c:v>1567.0757394607001</c:v>
                </c:pt>
                <c:pt idx="277">
                  <c:v>1567.0757394607001</c:v>
                </c:pt>
                <c:pt idx="278">
                  <c:v>1567.0757394607001</c:v>
                </c:pt>
                <c:pt idx="279">
                  <c:v>1567.0757394607001</c:v>
                </c:pt>
                <c:pt idx="280">
                  <c:v>1567.0757394607001</c:v>
                </c:pt>
                <c:pt idx="281">
                  <c:v>1567.0757394607001</c:v>
                </c:pt>
                <c:pt idx="282">
                  <c:v>1567.0757394607001</c:v>
                </c:pt>
                <c:pt idx="283">
                  <c:v>1567.0757394607001</c:v>
                </c:pt>
                <c:pt idx="284">
                  <c:v>1567.0757394607001</c:v>
                </c:pt>
                <c:pt idx="285">
                  <c:v>1567.0757394607001</c:v>
                </c:pt>
                <c:pt idx="286">
                  <c:v>1567.0757394607001</c:v>
                </c:pt>
                <c:pt idx="287">
                  <c:v>1567.0757394607001</c:v>
                </c:pt>
                <c:pt idx="288">
                  <c:v>1567.0757394607001</c:v>
                </c:pt>
                <c:pt idx="289">
                  <c:v>1567.0757394607001</c:v>
                </c:pt>
                <c:pt idx="290">
                  <c:v>1567.0757394607001</c:v>
                </c:pt>
                <c:pt idx="291">
                  <c:v>1567.0757394607001</c:v>
                </c:pt>
                <c:pt idx="292">
                  <c:v>1567.0757394607001</c:v>
                </c:pt>
                <c:pt idx="293">
                  <c:v>1567.0757394607001</c:v>
                </c:pt>
                <c:pt idx="294">
                  <c:v>1567.0757394607001</c:v>
                </c:pt>
                <c:pt idx="295">
                  <c:v>1567.0757394607001</c:v>
                </c:pt>
                <c:pt idx="296">
                  <c:v>1567.0757394607001</c:v>
                </c:pt>
                <c:pt idx="297">
                  <c:v>1567.0757394607001</c:v>
                </c:pt>
                <c:pt idx="298">
                  <c:v>1567.0757394607001</c:v>
                </c:pt>
                <c:pt idx="299">
                  <c:v>1567.0757394607001</c:v>
                </c:pt>
                <c:pt idx="300">
                  <c:v>1567.0757394607001</c:v>
                </c:pt>
                <c:pt idx="301">
                  <c:v>1567.0757394607001</c:v>
                </c:pt>
                <c:pt idx="302">
                  <c:v>1567.0757394607001</c:v>
                </c:pt>
                <c:pt idx="303">
                  <c:v>1567.0757394607001</c:v>
                </c:pt>
                <c:pt idx="304">
                  <c:v>1567.0757394607001</c:v>
                </c:pt>
                <c:pt idx="305">
                  <c:v>1567.0757394607001</c:v>
                </c:pt>
                <c:pt idx="306">
                  <c:v>1567.0757394607001</c:v>
                </c:pt>
                <c:pt idx="307">
                  <c:v>1567.0757394607001</c:v>
                </c:pt>
                <c:pt idx="308">
                  <c:v>1567.0757394607001</c:v>
                </c:pt>
                <c:pt idx="309">
                  <c:v>1567.0757394607001</c:v>
                </c:pt>
                <c:pt idx="310">
                  <c:v>1567.0757394607001</c:v>
                </c:pt>
                <c:pt idx="311">
                  <c:v>1567.0757394607001</c:v>
                </c:pt>
                <c:pt idx="312">
                  <c:v>1567.0757394607001</c:v>
                </c:pt>
                <c:pt idx="313">
                  <c:v>1567.0757394607001</c:v>
                </c:pt>
                <c:pt idx="314">
                  <c:v>1567.0757394607001</c:v>
                </c:pt>
                <c:pt idx="315">
                  <c:v>1567.0757394607001</c:v>
                </c:pt>
                <c:pt idx="316">
                  <c:v>1567.0757394607001</c:v>
                </c:pt>
                <c:pt idx="317">
                  <c:v>1567.0757394607001</c:v>
                </c:pt>
                <c:pt idx="318">
                  <c:v>1567.0757394607001</c:v>
                </c:pt>
                <c:pt idx="319">
                  <c:v>1567.0757394607001</c:v>
                </c:pt>
                <c:pt idx="320">
                  <c:v>1567.0757394607001</c:v>
                </c:pt>
                <c:pt idx="321">
                  <c:v>1567.0757394607001</c:v>
                </c:pt>
                <c:pt idx="322">
                  <c:v>1567.0757394607001</c:v>
                </c:pt>
                <c:pt idx="323">
                  <c:v>1567.0757394607001</c:v>
                </c:pt>
                <c:pt idx="324">
                  <c:v>1567.0757394607001</c:v>
                </c:pt>
                <c:pt idx="325">
                  <c:v>1567.0757394607001</c:v>
                </c:pt>
                <c:pt idx="326">
                  <c:v>1567.0757394607001</c:v>
                </c:pt>
                <c:pt idx="327">
                  <c:v>1567.0757394607001</c:v>
                </c:pt>
                <c:pt idx="328">
                  <c:v>1567.0757394607001</c:v>
                </c:pt>
                <c:pt idx="329">
                  <c:v>1567.0757394607001</c:v>
                </c:pt>
                <c:pt idx="330">
                  <c:v>1567.0757394607001</c:v>
                </c:pt>
                <c:pt idx="331">
                  <c:v>1567.0757394607001</c:v>
                </c:pt>
                <c:pt idx="332">
                  <c:v>1567.0757394607001</c:v>
                </c:pt>
                <c:pt idx="333">
                  <c:v>1567.0757394607001</c:v>
                </c:pt>
                <c:pt idx="334">
                  <c:v>1567.0757394607001</c:v>
                </c:pt>
                <c:pt idx="335">
                  <c:v>1567.0757394607001</c:v>
                </c:pt>
                <c:pt idx="336">
                  <c:v>1567.0757394607001</c:v>
                </c:pt>
                <c:pt idx="337">
                  <c:v>1567.0757394607001</c:v>
                </c:pt>
                <c:pt idx="338">
                  <c:v>1567.0757394607001</c:v>
                </c:pt>
                <c:pt idx="339">
                  <c:v>1567.0757394607001</c:v>
                </c:pt>
                <c:pt idx="340">
                  <c:v>1567.0757394607001</c:v>
                </c:pt>
                <c:pt idx="341">
                  <c:v>1567.0757394607001</c:v>
                </c:pt>
                <c:pt idx="342">
                  <c:v>1567.0757394607001</c:v>
                </c:pt>
                <c:pt idx="343">
                  <c:v>1567.0757394607001</c:v>
                </c:pt>
                <c:pt idx="344">
                  <c:v>1567.0757394607001</c:v>
                </c:pt>
                <c:pt idx="345">
                  <c:v>1567.0757394607001</c:v>
                </c:pt>
                <c:pt idx="346">
                  <c:v>1567.0757394607001</c:v>
                </c:pt>
                <c:pt idx="347">
                  <c:v>1567.0757394607001</c:v>
                </c:pt>
                <c:pt idx="348">
                  <c:v>1567.0757394607001</c:v>
                </c:pt>
                <c:pt idx="349">
                  <c:v>1567.0757394607001</c:v>
                </c:pt>
                <c:pt idx="350">
                  <c:v>1567.0757394607001</c:v>
                </c:pt>
                <c:pt idx="351">
                  <c:v>1567.0757394607001</c:v>
                </c:pt>
                <c:pt idx="352">
                  <c:v>1567.0757394607001</c:v>
                </c:pt>
                <c:pt idx="353">
                  <c:v>1567.0757394607001</c:v>
                </c:pt>
                <c:pt idx="354">
                  <c:v>1567.0757394607001</c:v>
                </c:pt>
                <c:pt idx="355">
                  <c:v>1567.0757394607001</c:v>
                </c:pt>
                <c:pt idx="356">
                  <c:v>1567.0757394607001</c:v>
                </c:pt>
                <c:pt idx="357">
                  <c:v>1567.0757394607001</c:v>
                </c:pt>
                <c:pt idx="358">
                  <c:v>1567.0757394607001</c:v>
                </c:pt>
                <c:pt idx="359">
                  <c:v>1567.0757394607001</c:v>
                </c:pt>
                <c:pt idx="360">
                  <c:v>1567.0757394607001</c:v>
                </c:pt>
                <c:pt idx="361">
                  <c:v>1567.0757394607001</c:v>
                </c:pt>
                <c:pt idx="362">
                  <c:v>1567.0757394607001</c:v>
                </c:pt>
                <c:pt idx="363">
                  <c:v>1567.0757394607001</c:v>
                </c:pt>
                <c:pt idx="364">
                  <c:v>1567.0757394607001</c:v>
                </c:pt>
                <c:pt idx="365">
                  <c:v>1567.0757394607001</c:v>
                </c:pt>
                <c:pt idx="366">
                  <c:v>1567.0757394607001</c:v>
                </c:pt>
                <c:pt idx="367">
                  <c:v>1567.0757394607001</c:v>
                </c:pt>
                <c:pt idx="368">
                  <c:v>1567.0757394607001</c:v>
                </c:pt>
                <c:pt idx="369">
                  <c:v>1567.0757394607001</c:v>
                </c:pt>
                <c:pt idx="370">
                  <c:v>1567.0757394607001</c:v>
                </c:pt>
                <c:pt idx="371">
                  <c:v>1567.0757394607001</c:v>
                </c:pt>
                <c:pt idx="372">
                  <c:v>1567.0757394607001</c:v>
                </c:pt>
                <c:pt idx="373">
                  <c:v>1567.0757394607001</c:v>
                </c:pt>
                <c:pt idx="374">
                  <c:v>1567.0757394607001</c:v>
                </c:pt>
                <c:pt idx="375">
                  <c:v>1567.0757394607001</c:v>
                </c:pt>
                <c:pt idx="376">
                  <c:v>1567.0757394607001</c:v>
                </c:pt>
                <c:pt idx="377">
                  <c:v>1567.0757394607001</c:v>
                </c:pt>
                <c:pt idx="378">
                  <c:v>1567.0757394607001</c:v>
                </c:pt>
                <c:pt idx="379">
                  <c:v>1567.0757394607001</c:v>
                </c:pt>
                <c:pt idx="380">
                  <c:v>1567.0757394607001</c:v>
                </c:pt>
                <c:pt idx="381">
                  <c:v>1567.0757394607001</c:v>
                </c:pt>
                <c:pt idx="382">
                  <c:v>1567.0757394607001</c:v>
                </c:pt>
                <c:pt idx="383">
                  <c:v>1567.0757394607001</c:v>
                </c:pt>
                <c:pt idx="384">
                  <c:v>1567.0757394607001</c:v>
                </c:pt>
                <c:pt idx="385">
                  <c:v>1567.0757394607001</c:v>
                </c:pt>
                <c:pt idx="386">
                  <c:v>1567.0757394607001</c:v>
                </c:pt>
                <c:pt idx="387">
                  <c:v>1567.0757394607001</c:v>
                </c:pt>
                <c:pt idx="388">
                  <c:v>1567.0757394607001</c:v>
                </c:pt>
                <c:pt idx="389">
                  <c:v>1567.0757394607001</c:v>
                </c:pt>
                <c:pt idx="390">
                  <c:v>1567.0757394607001</c:v>
                </c:pt>
                <c:pt idx="391">
                  <c:v>1567.0757394607001</c:v>
                </c:pt>
                <c:pt idx="392">
                  <c:v>1567.0757394607001</c:v>
                </c:pt>
                <c:pt idx="393">
                  <c:v>1567.0757394607001</c:v>
                </c:pt>
                <c:pt idx="394">
                  <c:v>1567.0757394607001</c:v>
                </c:pt>
                <c:pt idx="395">
                  <c:v>1567.0757394607001</c:v>
                </c:pt>
                <c:pt idx="396">
                  <c:v>1567.0757394607001</c:v>
                </c:pt>
                <c:pt idx="397">
                  <c:v>1567.0757394607001</c:v>
                </c:pt>
                <c:pt idx="398">
                  <c:v>1567.0757394607001</c:v>
                </c:pt>
                <c:pt idx="399">
                  <c:v>1567.0757394607001</c:v>
                </c:pt>
                <c:pt idx="400">
                  <c:v>1567.0757394607001</c:v>
                </c:pt>
                <c:pt idx="401">
                  <c:v>1567.0757394607001</c:v>
                </c:pt>
                <c:pt idx="402">
                  <c:v>1567.0757394607001</c:v>
                </c:pt>
                <c:pt idx="403">
                  <c:v>1567.0757394607001</c:v>
                </c:pt>
                <c:pt idx="404">
                  <c:v>1567.0757394607001</c:v>
                </c:pt>
                <c:pt idx="405">
                  <c:v>1567.0757394607001</c:v>
                </c:pt>
                <c:pt idx="406">
                  <c:v>1567.0757394607001</c:v>
                </c:pt>
                <c:pt idx="407">
                  <c:v>1567.0757394607001</c:v>
                </c:pt>
                <c:pt idx="408">
                  <c:v>1567.0757394607001</c:v>
                </c:pt>
                <c:pt idx="409">
                  <c:v>1567.0757394607001</c:v>
                </c:pt>
                <c:pt idx="410">
                  <c:v>1567.0757394607001</c:v>
                </c:pt>
                <c:pt idx="411">
                  <c:v>1567.0757394607001</c:v>
                </c:pt>
                <c:pt idx="412">
                  <c:v>1567.0757394607001</c:v>
                </c:pt>
                <c:pt idx="413">
                  <c:v>1567.0757394607001</c:v>
                </c:pt>
                <c:pt idx="414">
                  <c:v>1567.0757394607001</c:v>
                </c:pt>
                <c:pt idx="415">
                  <c:v>1567.0757394607001</c:v>
                </c:pt>
                <c:pt idx="416">
                  <c:v>1567.0757394607001</c:v>
                </c:pt>
                <c:pt idx="417">
                  <c:v>1567.0757394607001</c:v>
                </c:pt>
                <c:pt idx="418">
                  <c:v>1567.0757394607001</c:v>
                </c:pt>
                <c:pt idx="419">
                  <c:v>1567.0757394607001</c:v>
                </c:pt>
                <c:pt idx="420">
                  <c:v>1567.0757394607001</c:v>
                </c:pt>
                <c:pt idx="421">
                  <c:v>1567.0757394607001</c:v>
                </c:pt>
                <c:pt idx="422">
                  <c:v>1567.0757394607001</c:v>
                </c:pt>
                <c:pt idx="423">
                  <c:v>1567.0757394607001</c:v>
                </c:pt>
                <c:pt idx="424">
                  <c:v>1567.0757394607001</c:v>
                </c:pt>
                <c:pt idx="425">
                  <c:v>1567.0757394607001</c:v>
                </c:pt>
                <c:pt idx="426">
                  <c:v>1567.0757394607001</c:v>
                </c:pt>
                <c:pt idx="427">
                  <c:v>1567.0757394607001</c:v>
                </c:pt>
                <c:pt idx="428">
                  <c:v>1567.0757394607001</c:v>
                </c:pt>
                <c:pt idx="429">
                  <c:v>1567.0757394607001</c:v>
                </c:pt>
                <c:pt idx="430">
                  <c:v>1567.0757394607001</c:v>
                </c:pt>
                <c:pt idx="431">
                  <c:v>1567.0757394607001</c:v>
                </c:pt>
                <c:pt idx="432">
                  <c:v>1567.0757394607001</c:v>
                </c:pt>
                <c:pt idx="433">
                  <c:v>1567.0757394607001</c:v>
                </c:pt>
                <c:pt idx="434">
                  <c:v>1567.0757394607001</c:v>
                </c:pt>
                <c:pt idx="435">
                  <c:v>1567.0757394607001</c:v>
                </c:pt>
                <c:pt idx="436">
                  <c:v>1567.0757394607001</c:v>
                </c:pt>
                <c:pt idx="437">
                  <c:v>1567.0757394607001</c:v>
                </c:pt>
                <c:pt idx="438">
                  <c:v>1567.0757394607001</c:v>
                </c:pt>
                <c:pt idx="439">
                  <c:v>1567.0757394607001</c:v>
                </c:pt>
                <c:pt idx="440">
                  <c:v>1567.0757394607001</c:v>
                </c:pt>
                <c:pt idx="441">
                  <c:v>1567.0757394607001</c:v>
                </c:pt>
                <c:pt idx="442">
                  <c:v>1567.0757394607001</c:v>
                </c:pt>
                <c:pt idx="443">
                  <c:v>1567.0757394607001</c:v>
                </c:pt>
                <c:pt idx="444">
                  <c:v>1567.0757394607001</c:v>
                </c:pt>
                <c:pt idx="445">
                  <c:v>1567.0757394607001</c:v>
                </c:pt>
                <c:pt idx="446">
                  <c:v>1567.0757394607001</c:v>
                </c:pt>
                <c:pt idx="447">
                  <c:v>1567.0757394607001</c:v>
                </c:pt>
                <c:pt idx="448">
                  <c:v>1567.0757394607001</c:v>
                </c:pt>
                <c:pt idx="449">
                  <c:v>1567.0757394607001</c:v>
                </c:pt>
                <c:pt idx="450">
                  <c:v>1567.0757394607001</c:v>
                </c:pt>
                <c:pt idx="451">
                  <c:v>1567.0757394607001</c:v>
                </c:pt>
                <c:pt idx="452">
                  <c:v>1567.0757394607001</c:v>
                </c:pt>
                <c:pt idx="453">
                  <c:v>1567.0757394607001</c:v>
                </c:pt>
                <c:pt idx="454">
                  <c:v>1567.0757394607001</c:v>
                </c:pt>
                <c:pt idx="455">
                  <c:v>1567.0757394607001</c:v>
                </c:pt>
                <c:pt idx="456">
                  <c:v>1567.0757394607001</c:v>
                </c:pt>
                <c:pt idx="457">
                  <c:v>1567.0757394607001</c:v>
                </c:pt>
                <c:pt idx="458">
                  <c:v>1567.0757394607001</c:v>
                </c:pt>
                <c:pt idx="459">
                  <c:v>1567.0757394607001</c:v>
                </c:pt>
                <c:pt idx="460">
                  <c:v>1567.0757394607001</c:v>
                </c:pt>
                <c:pt idx="461">
                  <c:v>1567.0757394607001</c:v>
                </c:pt>
                <c:pt idx="462">
                  <c:v>1567.0757394607001</c:v>
                </c:pt>
                <c:pt idx="463">
                  <c:v>1567.0757394607001</c:v>
                </c:pt>
                <c:pt idx="464">
                  <c:v>1567.0757394607001</c:v>
                </c:pt>
                <c:pt idx="465">
                  <c:v>1567.0757394607001</c:v>
                </c:pt>
                <c:pt idx="466">
                  <c:v>1567.0757394607001</c:v>
                </c:pt>
                <c:pt idx="467">
                  <c:v>1567.0757394607001</c:v>
                </c:pt>
                <c:pt idx="468">
                  <c:v>1567.0757394607001</c:v>
                </c:pt>
                <c:pt idx="469">
                  <c:v>1567.0757394607001</c:v>
                </c:pt>
                <c:pt idx="470">
                  <c:v>1567.0757394607001</c:v>
                </c:pt>
                <c:pt idx="471">
                  <c:v>1567.0757394607001</c:v>
                </c:pt>
                <c:pt idx="472">
                  <c:v>1567.0757394607001</c:v>
                </c:pt>
                <c:pt idx="473">
                  <c:v>1567.0757394607001</c:v>
                </c:pt>
                <c:pt idx="474">
                  <c:v>1567.0757394607001</c:v>
                </c:pt>
                <c:pt idx="475">
                  <c:v>1567.0757394607001</c:v>
                </c:pt>
                <c:pt idx="476">
                  <c:v>1567.0757394607001</c:v>
                </c:pt>
                <c:pt idx="477">
                  <c:v>1567.0757394607001</c:v>
                </c:pt>
                <c:pt idx="478">
                  <c:v>1567.0757394607001</c:v>
                </c:pt>
                <c:pt idx="479">
                  <c:v>1567.0757394607001</c:v>
                </c:pt>
                <c:pt idx="480">
                  <c:v>1567.0757394607001</c:v>
                </c:pt>
                <c:pt idx="481">
                  <c:v>1567.0757394607001</c:v>
                </c:pt>
                <c:pt idx="482">
                  <c:v>1567.0757394607001</c:v>
                </c:pt>
                <c:pt idx="483">
                  <c:v>1567.0757394607001</c:v>
                </c:pt>
                <c:pt idx="484">
                  <c:v>1567.0757394607001</c:v>
                </c:pt>
                <c:pt idx="485">
                  <c:v>1567.0757394607001</c:v>
                </c:pt>
                <c:pt idx="486">
                  <c:v>1567.0757394607001</c:v>
                </c:pt>
                <c:pt idx="487">
                  <c:v>1567.0757394607001</c:v>
                </c:pt>
                <c:pt idx="488">
                  <c:v>1567.0757394607001</c:v>
                </c:pt>
                <c:pt idx="489">
                  <c:v>1567.0757394607001</c:v>
                </c:pt>
                <c:pt idx="490">
                  <c:v>1567.0757394607001</c:v>
                </c:pt>
                <c:pt idx="491">
                  <c:v>1567.0757394607001</c:v>
                </c:pt>
                <c:pt idx="492">
                  <c:v>1567.0757394607001</c:v>
                </c:pt>
                <c:pt idx="493">
                  <c:v>1567.0757394607001</c:v>
                </c:pt>
                <c:pt idx="494">
                  <c:v>1567.0757394607001</c:v>
                </c:pt>
                <c:pt idx="495">
                  <c:v>1567.0757394607001</c:v>
                </c:pt>
                <c:pt idx="496">
                  <c:v>1567.0757394607001</c:v>
                </c:pt>
                <c:pt idx="497">
                  <c:v>1567.0757394607001</c:v>
                </c:pt>
                <c:pt idx="498">
                  <c:v>1567.0757394607001</c:v>
                </c:pt>
                <c:pt idx="499">
                  <c:v>1567.0757394607001</c:v>
                </c:pt>
                <c:pt idx="500">
                  <c:v>1567.0757394607001</c:v>
                </c:pt>
                <c:pt idx="501">
                  <c:v>1567.0757394607001</c:v>
                </c:pt>
                <c:pt idx="502">
                  <c:v>1567.0757394607001</c:v>
                </c:pt>
                <c:pt idx="503">
                  <c:v>1567.0757394607001</c:v>
                </c:pt>
                <c:pt idx="504">
                  <c:v>1567.0757394607001</c:v>
                </c:pt>
                <c:pt idx="505">
                  <c:v>1567.0757394607001</c:v>
                </c:pt>
                <c:pt idx="506">
                  <c:v>1567.0757394607001</c:v>
                </c:pt>
                <c:pt idx="507">
                  <c:v>1567.0757394607001</c:v>
                </c:pt>
                <c:pt idx="508">
                  <c:v>1567.0757394607001</c:v>
                </c:pt>
                <c:pt idx="509">
                  <c:v>1567.0757394607001</c:v>
                </c:pt>
                <c:pt idx="510">
                  <c:v>1567.0757394607001</c:v>
                </c:pt>
                <c:pt idx="511">
                  <c:v>1567.0757394607001</c:v>
                </c:pt>
                <c:pt idx="512">
                  <c:v>1567.0757394607001</c:v>
                </c:pt>
                <c:pt idx="513">
                  <c:v>1567.0757394607001</c:v>
                </c:pt>
                <c:pt idx="514">
                  <c:v>1567.0757394607001</c:v>
                </c:pt>
                <c:pt idx="515">
                  <c:v>1567.0757394607001</c:v>
                </c:pt>
                <c:pt idx="516">
                  <c:v>1567.0757394607001</c:v>
                </c:pt>
                <c:pt idx="517">
                  <c:v>1567.0757394607001</c:v>
                </c:pt>
                <c:pt idx="518">
                  <c:v>1567.0757394607001</c:v>
                </c:pt>
                <c:pt idx="519">
                  <c:v>1567.0757394607001</c:v>
                </c:pt>
                <c:pt idx="520">
                  <c:v>1567.0757394607001</c:v>
                </c:pt>
                <c:pt idx="521">
                  <c:v>1567.0757394607001</c:v>
                </c:pt>
                <c:pt idx="522">
                  <c:v>1567.0757394607001</c:v>
                </c:pt>
                <c:pt idx="523">
                  <c:v>1567.0757394607001</c:v>
                </c:pt>
                <c:pt idx="524">
                  <c:v>1567.0757394607001</c:v>
                </c:pt>
                <c:pt idx="525">
                  <c:v>1567.0757394607001</c:v>
                </c:pt>
                <c:pt idx="526">
                  <c:v>1567.0757394607001</c:v>
                </c:pt>
                <c:pt idx="527">
                  <c:v>1567.0757394607001</c:v>
                </c:pt>
                <c:pt idx="528">
                  <c:v>1567.0757394607001</c:v>
                </c:pt>
                <c:pt idx="529">
                  <c:v>1567.0757394607001</c:v>
                </c:pt>
                <c:pt idx="530">
                  <c:v>1567.0757394607001</c:v>
                </c:pt>
                <c:pt idx="531">
                  <c:v>1567.0757394607001</c:v>
                </c:pt>
                <c:pt idx="532">
                  <c:v>1567.0757394607001</c:v>
                </c:pt>
                <c:pt idx="533">
                  <c:v>1567.0757394607001</c:v>
                </c:pt>
                <c:pt idx="534">
                  <c:v>1567.0757394607001</c:v>
                </c:pt>
                <c:pt idx="535">
                  <c:v>1567.0757394607001</c:v>
                </c:pt>
                <c:pt idx="536">
                  <c:v>1567.0757394607001</c:v>
                </c:pt>
                <c:pt idx="537">
                  <c:v>1567.0757394607001</c:v>
                </c:pt>
                <c:pt idx="538">
                  <c:v>1567.0757394607001</c:v>
                </c:pt>
                <c:pt idx="539">
                  <c:v>1567.0757394607001</c:v>
                </c:pt>
                <c:pt idx="540">
                  <c:v>1567.0757394607001</c:v>
                </c:pt>
                <c:pt idx="541">
                  <c:v>1567.0757394607001</c:v>
                </c:pt>
                <c:pt idx="542">
                  <c:v>1567.0757394607001</c:v>
                </c:pt>
                <c:pt idx="543">
                  <c:v>1567.0757394607001</c:v>
                </c:pt>
                <c:pt idx="544">
                  <c:v>1567.0757394607001</c:v>
                </c:pt>
                <c:pt idx="545">
                  <c:v>1567.0757394607001</c:v>
                </c:pt>
                <c:pt idx="546">
                  <c:v>1567.0757394607001</c:v>
                </c:pt>
                <c:pt idx="547">
                  <c:v>1567.0757394607001</c:v>
                </c:pt>
                <c:pt idx="548">
                  <c:v>1567.0757394607001</c:v>
                </c:pt>
                <c:pt idx="549">
                  <c:v>1567.0757394607001</c:v>
                </c:pt>
                <c:pt idx="550">
                  <c:v>1567.0757394607001</c:v>
                </c:pt>
                <c:pt idx="551">
                  <c:v>1567.0757394607001</c:v>
                </c:pt>
                <c:pt idx="552">
                  <c:v>1567.0757394607001</c:v>
                </c:pt>
                <c:pt idx="553">
                  <c:v>1567.0757394607001</c:v>
                </c:pt>
                <c:pt idx="554">
                  <c:v>1567.0757394607001</c:v>
                </c:pt>
                <c:pt idx="555">
                  <c:v>1567.0757394607001</c:v>
                </c:pt>
                <c:pt idx="556">
                  <c:v>1567.0757394607001</c:v>
                </c:pt>
                <c:pt idx="557">
                  <c:v>1567.0757394607001</c:v>
                </c:pt>
                <c:pt idx="558">
                  <c:v>1567.0757394607001</c:v>
                </c:pt>
                <c:pt idx="559">
                  <c:v>1567.0757394607001</c:v>
                </c:pt>
                <c:pt idx="560">
                  <c:v>1567.0757394607001</c:v>
                </c:pt>
                <c:pt idx="561">
                  <c:v>1567.0757394607001</c:v>
                </c:pt>
                <c:pt idx="562">
                  <c:v>1567.0757394607001</c:v>
                </c:pt>
                <c:pt idx="563">
                  <c:v>1567.0757394607001</c:v>
                </c:pt>
                <c:pt idx="564">
                  <c:v>1567.0757394607001</c:v>
                </c:pt>
                <c:pt idx="565">
                  <c:v>1567.0757394607001</c:v>
                </c:pt>
                <c:pt idx="566">
                  <c:v>1567.0757394607001</c:v>
                </c:pt>
                <c:pt idx="567">
                  <c:v>1567.0757394607001</c:v>
                </c:pt>
                <c:pt idx="568">
                  <c:v>1567.0757394607001</c:v>
                </c:pt>
                <c:pt idx="569">
                  <c:v>1567.0757394607001</c:v>
                </c:pt>
                <c:pt idx="570">
                  <c:v>1567.0757394607001</c:v>
                </c:pt>
                <c:pt idx="571">
                  <c:v>1567.0757394607001</c:v>
                </c:pt>
                <c:pt idx="572">
                  <c:v>1567.0757394607001</c:v>
                </c:pt>
                <c:pt idx="573">
                  <c:v>1567.0757394607001</c:v>
                </c:pt>
                <c:pt idx="574">
                  <c:v>1567.0757394607001</c:v>
                </c:pt>
                <c:pt idx="575">
                  <c:v>1567.0757394607001</c:v>
                </c:pt>
                <c:pt idx="576">
                  <c:v>1567.0757394607001</c:v>
                </c:pt>
                <c:pt idx="577">
                  <c:v>1567.0757394607001</c:v>
                </c:pt>
                <c:pt idx="578">
                  <c:v>1567.0757394607001</c:v>
                </c:pt>
                <c:pt idx="579">
                  <c:v>1399.5074137544</c:v>
                </c:pt>
                <c:pt idx="580">
                  <c:v>1399.5074137544</c:v>
                </c:pt>
                <c:pt idx="581">
                  <c:v>1399.5074137544</c:v>
                </c:pt>
                <c:pt idx="582">
                  <c:v>1399.5074137544</c:v>
                </c:pt>
                <c:pt idx="583">
                  <c:v>1399.5074137544</c:v>
                </c:pt>
                <c:pt idx="584">
                  <c:v>1399.5074137544</c:v>
                </c:pt>
                <c:pt idx="585">
                  <c:v>1399.5074137544</c:v>
                </c:pt>
                <c:pt idx="586">
                  <c:v>1399.5074137544</c:v>
                </c:pt>
                <c:pt idx="587">
                  <c:v>1399.5074137544</c:v>
                </c:pt>
                <c:pt idx="588">
                  <c:v>1399.5074137544</c:v>
                </c:pt>
                <c:pt idx="589">
                  <c:v>1399.5074137544</c:v>
                </c:pt>
                <c:pt idx="590">
                  <c:v>1399.5074137544</c:v>
                </c:pt>
                <c:pt idx="591">
                  <c:v>1399.5074137544</c:v>
                </c:pt>
                <c:pt idx="592">
                  <c:v>1399.5074137544</c:v>
                </c:pt>
                <c:pt idx="593">
                  <c:v>1399.5074137544</c:v>
                </c:pt>
                <c:pt idx="594">
                  <c:v>1399.5074137544</c:v>
                </c:pt>
                <c:pt idx="595">
                  <c:v>1399.5074137544</c:v>
                </c:pt>
                <c:pt idx="596">
                  <c:v>1399.5074137544</c:v>
                </c:pt>
                <c:pt idx="597">
                  <c:v>1399.5074137544</c:v>
                </c:pt>
                <c:pt idx="598">
                  <c:v>1399.5074137544</c:v>
                </c:pt>
                <c:pt idx="599">
                  <c:v>1399.5074137544</c:v>
                </c:pt>
                <c:pt idx="600">
                  <c:v>1399.5074137544</c:v>
                </c:pt>
                <c:pt idx="601">
                  <c:v>1399.5074137544</c:v>
                </c:pt>
                <c:pt idx="602">
                  <c:v>1399.5074137544</c:v>
                </c:pt>
                <c:pt idx="603">
                  <c:v>1399.5074137544</c:v>
                </c:pt>
                <c:pt idx="604">
                  <c:v>1399.5074137544</c:v>
                </c:pt>
                <c:pt idx="605">
                  <c:v>1399.5074137544</c:v>
                </c:pt>
                <c:pt idx="606">
                  <c:v>1399.5074137544</c:v>
                </c:pt>
                <c:pt idx="607">
                  <c:v>1399.5074137544</c:v>
                </c:pt>
                <c:pt idx="608">
                  <c:v>1399.5074137544</c:v>
                </c:pt>
                <c:pt idx="609">
                  <c:v>1399.5074137544</c:v>
                </c:pt>
                <c:pt idx="610">
                  <c:v>1399.5074137544</c:v>
                </c:pt>
                <c:pt idx="611">
                  <c:v>1399.5074137544</c:v>
                </c:pt>
                <c:pt idx="612">
                  <c:v>1399.5074137544</c:v>
                </c:pt>
                <c:pt idx="613">
                  <c:v>1399.5074137544</c:v>
                </c:pt>
                <c:pt idx="614">
                  <c:v>1399.5074137544</c:v>
                </c:pt>
                <c:pt idx="615">
                  <c:v>1399.5074137544</c:v>
                </c:pt>
                <c:pt idx="616">
                  <c:v>1399.5074137544</c:v>
                </c:pt>
                <c:pt idx="617">
                  <c:v>1399.5074137544</c:v>
                </c:pt>
                <c:pt idx="618">
                  <c:v>1399.5074137544</c:v>
                </c:pt>
                <c:pt idx="619">
                  <c:v>1399.5074137544</c:v>
                </c:pt>
                <c:pt idx="620">
                  <c:v>1399.5074137544</c:v>
                </c:pt>
                <c:pt idx="621">
                  <c:v>1399.5074137544</c:v>
                </c:pt>
                <c:pt idx="622">
                  <c:v>1399.5074137544</c:v>
                </c:pt>
                <c:pt idx="623">
                  <c:v>1399.5074137544</c:v>
                </c:pt>
                <c:pt idx="624">
                  <c:v>1399.5074137544</c:v>
                </c:pt>
                <c:pt idx="625">
                  <c:v>1399.5074137544</c:v>
                </c:pt>
                <c:pt idx="626">
                  <c:v>1399.5074137544</c:v>
                </c:pt>
                <c:pt idx="627">
                  <c:v>1399.5074137544</c:v>
                </c:pt>
                <c:pt idx="628">
                  <c:v>1399.5074137544</c:v>
                </c:pt>
                <c:pt idx="629">
                  <c:v>1399.5074137544</c:v>
                </c:pt>
                <c:pt idx="630">
                  <c:v>1399.5074137544</c:v>
                </c:pt>
                <c:pt idx="631">
                  <c:v>1399.5074137544</c:v>
                </c:pt>
                <c:pt idx="632">
                  <c:v>1399.5074137544</c:v>
                </c:pt>
                <c:pt idx="633">
                  <c:v>1399.5074137544</c:v>
                </c:pt>
                <c:pt idx="634">
                  <c:v>1399.5074137544</c:v>
                </c:pt>
                <c:pt idx="635">
                  <c:v>1399.5074137544</c:v>
                </c:pt>
                <c:pt idx="636">
                  <c:v>1399.5074137544</c:v>
                </c:pt>
                <c:pt idx="637">
                  <c:v>1399.5074137544</c:v>
                </c:pt>
                <c:pt idx="638">
                  <c:v>1399.5074137544</c:v>
                </c:pt>
                <c:pt idx="639">
                  <c:v>1399.5074137544</c:v>
                </c:pt>
                <c:pt idx="640">
                  <c:v>1399.5074137544</c:v>
                </c:pt>
                <c:pt idx="641">
                  <c:v>1399.5074137544</c:v>
                </c:pt>
                <c:pt idx="642">
                  <c:v>1399.5074137544</c:v>
                </c:pt>
                <c:pt idx="643">
                  <c:v>1399.5074137544</c:v>
                </c:pt>
                <c:pt idx="644">
                  <c:v>1399.5074137544</c:v>
                </c:pt>
                <c:pt idx="645">
                  <c:v>1399.5074137544</c:v>
                </c:pt>
                <c:pt idx="646">
                  <c:v>1399.5074137544</c:v>
                </c:pt>
                <c:pt idx="647">
                  <c:v>1399.5074137544</c:v>
                </c:pt>
                <c:pt idx="648">
                  <c:v>1399.5074137544</c:v>
                </c:pt>
                <c:pt idx="649">
                  <c:v>1399.5074137544</c:v>
                </c:pt>
                <c:pt idx="650">
                  <c:v>1399.5074137544</c:v>
                </c:pt>
                <c:pt idx="651">
                  <c:v>1399.5074137544</c:v>
                </c:pt>
                <c:pt idx="652">
                  <c:v>1399.5074137544</c:v>
                </c:pt>
                <c:pt idx="653">
                  <c:v>1399.5074137544</c:v>
                </c:pt>
                <c:pt idx="654">
                  <c:v>1399.5074137544</c:v>
                </c:pt>
                <c:pt idx="655">
                  <c:v>1399.5074137544</c:v>
                </c:pt>
                <c:pt idx="656">
                  <c:v>1399.5074137544</c:v>
                </c:pt>
                <c:pt idx="657">
                  <c:v>1399.5074137544</c:v>
                </c:pt>
                <c:pt idx="658">
                  <c:v>1399.5074137544</c:v>
                </c:pt>
                <c:pt idx="659">
                  <c:v>1399.5074137544</c:v>
                </c:pt>
                <c:pt idx="660">
                  <c:v>1399.5074137544</c:v>
                </c:pt>
                <c:pt idx="661">
                  <c:v>1399.5074137544</c:v>
                </c:pt>
                <c:pt idx="662">
                  <c:v>1399.5074137544</c:v>
                </c:pt>
                <c:pt idx="663">
                  <c:v>1399.5074137544</c:v>
                </c:pt>
                <c:pt idx="664">
                  <c:v>1399.5074137544</c:v>
                </c:pt>
                <c:pt idx="665">
                  <c:v>1399.5074137544</c:v>
                </c:pt>
                <c:pt idx="666">
                  <c:v>1399.5074137544</c:v>
                </c:pt>
                <c:pt idx="667">
                  <c:v>1399.5074137544</c:v>
                </c:pt>
                <c:pt idx="668">
                  <c:v>1399.5074137544</c:v>
                </c:pt>
                <c:pt idx="669">
                  <c:v>1399.5074137544</c:v>
                </c:pt>
                <c:pt idx="670">
                  <c:v>1399.5074137544</c:v>
                </c:pt>
                <c:pt idx="671">
                  <c:v>1399.5074137544</c:v>
                </c:pt>
                <c:pt idx="672">
                  <c:v>1399.5074137544</c:v>
                </c:pt>
                <c:pt idx="673">
                  <c:v>1399.5074137544</c:v>
                </c:pt>
                <c:pt idx="674">
                  <c:v>1399.5074137544</c:v>
                </c:pt>
                <c:pt idx="675">
                  <c:v>1399.5074137544</c:v>
                </c:pt>
                <c:pt idx="676">
                  <c:v>1399.5074137544</c:v>
                </c:pt>
                <c:pt idx="677">
                  <c:v>1399.5074137544</c:v>
                </c:pt>
                <c:pt idx="678">
                  <c:v>1399.5074137544</c:v>
                </c:pt>
                <c:pt idx="679">
                  <c:v>1399.5074137544</c:v>
                </c:pt>
                <c:pt idx="680">
                  <c:v>1399.5074137544</c:v>
                </c:pt>
                <c:pt idx="681">
                  <c:v>1399.5074137544</c:v>
                </c:pt>
                <c:pt idx="682">
                  <c:v>1399.5074137544</c:v>
                </c:pt>
                <c:pt idx="683">
                  <c:v>1399.5074137544</c:v>
                </c:pt>
                <c:pt idx="684">
                  <c:v>1399.5074137544</c:v>
                </c:pt>
                <c:pt idx="685">
                  <c:v>1399.5074137544</c:v>
                </c:pt>
                <c:pt idx="686">
                  <c:v>1399.5074137544</c:v>
                </c:pt>
                <c:pt idx="687">
                  <c:v>1399.5074137544</c:v>
                </c:pt>
                <c:pt idx="688">
                  <c:v>1399.5074137544</c:v>
                </c:pt>
                <c:pt idx="689">
                  <c:v>1399.5074137544</c:v>
                </c:pt>
                <c:pt idx="690">
                  <c:v>1399.5074137544</c:v>
                </c:pt>
                <c:pt idx="691">
                  <c:v>1399.5074137544</c:v>
                </c:pt>
                <c:pt idx="692">
                  <c:v>1399.5074137544</c:v>
                </c:pt>
                <c:pt idx="693">
                  <c:v>1399.5074137544</c:v>
                </c:pt>
                <c:pt idx="694">
                  <c:v>1399.5074137544</c:v>
                </c:pt>
                <c:pt idx="695">
                  <c:v>1399.5074137544</c:v>
                </c:pt>
                <c:pt idx="696">
                  <c:v>1399.5074137544</c:v>
                </c:pt>
                <c:pt idx="697">
                  <c:v>1399.5074137544</c:v>
                </c:pt>
                <c:pt idx="698">
                  <c:v>1399.5074137544</c:v>
                </c:pt>
                <c:pt idx="699">
                  <c:v>1399.5074137544</c:v>
                </c:pt>
                <c:pt idx="700">
                  <c:v>1399.5074137544</c:v>
                </c:pt>
                <c:pt idx="701">
                  <c:v>1399.5074137544</c:v>
                </c:pt>
                <c:pt idx="702">
                  <c:v>1399.5074137544</c:v>
                </c:pt>
                <c:pt idx="703">
                  <c:v>1399.5074137544</c:v>
                </c:pt>
                <c:pt idx="704">
                  <c:v>1399.5074137544</c:v>
                </c:pt>
                <c:pt idx="705">
                  <c:v>1399.5074137544</c:v>
                </c:pt>
                <c:pt idx="706">
                  <c:v>1399.5074137544</c:v>
                </c:pt>
                <c:pt idx="707">
                  <c:v>1399.5074137544</c:v>
                </c:pt>
                <c:pt idx="708">
                  <c:v>1399.5074137544</c:v>
                </c:pt>
                <c:pt idx="709">
                  <c:v>1399.5074137544</c:v>
                </c:pt>
                <c:pt idx="710">
                  <c:v>1399.5074137544</c:v>
                </c:pt>
                <c:pt idx="711">
                  <c:v>1399.5074137544</c:v>
                </c:pt>
                <c:pt idx="712">
                  <c:v>1399.5074137544</c:v>
                </c:pt>
                <c:pt idx="713">
                  <c:v>1399.5074137544</c:v>
                </c:pt>
                <c:pt idx="714">
                  <c:v>1399.5074137544</c:v>
                </c:pt>
                <c:pt idx="715">
                  <c:v>1399.5074137544</c:v>
                </c:pt>
                <c:pt idx="716">
                  <c:v>1399.5074137544</c:v>
                </c:pt>
                <c:pt idx="717">
                  <c:v>1399.5074137544</c:v>
                </c:pt>
                <c:pt idx="718">
                  <c:v>1399.5074137544</c:v>
                </c:pt>
                <c:pt idx="719">
                  <c:v>1399.5074137544</c:v>
                </c:pt>
                <c:pt idx="720">
                  <c:v>1399.5074137544</c:v>
                </c:pt>
                <c:pt idx="721">
                  <c:v>1399.5074137544</c:v>
                </c:pt>
                <c:pt idx="722">
                  <c:v>1399.5074137544</c:v>
                </c:pt>
                <c:pt idx="723">
                  <c:v>1399.5074137544</c:v>
                </c:pt>
                <c:pt idx="724">
                  <c:v>1399.5074137544</c:v>
                </c:pt>
                <c:pt idx="725">
                  <c:v>1399.5074137544</c:v>
                </c:pt>
                <c:pt idx="726">
                  <c:v>1399.5074137544</c:v>
                </c:pt>
                <c:pt idx="727">
                  <c:v>1399.5074137544</c:v>
                </c:pt>
                <c:pt idx="728">
                  <c:v>1399.5074137544</c:v>
                </c:pt>
                <c:pt idx="729">
                  <c:v>1399.5074137544</c:v>
                </c:pt>
                <c:pt idx="730">
                  <c:v>1399.5074137544</c:v>
                </c:pt>
                <c:pt idx="731">
                  <c:v>1399.5074137544</c:v>
                </c:pt>
                <c:pt idx="732">
                  <c:v>1399.5074137544</c:v>
                </c:pt>
                <c:pt idx="733">
                  <c:v>1399.5074137544</c:v>
                </c:pt>
                <c:pt idx="734">
                  <c:v>1399.5074137544</c:v>
                </c:pt>
                <c:pt idx="735">
                  <c:v>1399.5074137544</c:v>
                </c:pt>
                <c:pt idx="736">
                  <c:v>1399.5074137544</c:v>
                </c:pt>
                <c:pt idx="737">
                  <c:v>1399.5074137544</c:v>
                </c:pt>
                <c:pt idx="738">
                  <c:v>1399.5074137544</c:v>
                </c:pt>
                <c:pt idx="739">
                  <c:v>1399.5074137544</c:v>
                </c:pt>
                <c:pt idx="740">
                  <c:v>1399.5074137544</c:v>
                </c:pt>
                <c:pt idx="741">
                  <c:v>1399.5074137544</c:v>
                </c:pt>
                <c:pt idx="742">
                  <c:v>1399.5074137544</c:v>
                </c:pt>
                <c:pt idx="743">
                  <c:v>1399.5074137544</c:v>
                </c:pt>
                <c:pt idx="744">
                  <c:v>1399.5074137544</c:v>
                </c:pt>
                <c:pt idx="745">
                  <c:v>1399.5074137544</c:v>
                </c:pt>
                <c:pt idx="746">
                  <c:v>1399.5074137544</c:v>
                </c:pt>
                <c:pt idx="747">
                  <c:v>1399.5074137544</c:v>
                </c:pt>
                <c:pt idx="748">
                  <c:v>1399.5074137544</c:v>
                </c:pt>
                <c:pt idx="749">
                  <c:v>1399.5074137544</c:v>
                </c:pt>
                <c:pt idx="750">
                  <c:v>1399.5074137544</c:v>
                </c:pt>
                <c:pt idx="751">
                  <c:v>1399.5074137544</c:v>
                </c:pt>
                <c:pt idx="752">
                  <c:v>1399.5074137544</c:v>
                </c:pt>
                <c:pt idx="753">
                  <c:v>1399.5074137544</c:v>
                </c:pt>
                <c:pt idx="754">
                  <c:v>1399.5074137544</c:v>
                </c:pt>
                <c:pt idx="755">
                  <c:v>1399.5074137544</c:v>
                </c:pt>
                <c:pt idx="756">
                  <c:v>1399.5074137544</c:v>
                </c:pt>
                <c:pt idx="757">
                  <c:v>1399.5074137544</c:v>
                </c:pt>
                <c:pt idx="758">
                  <c:v>1399.5074137544</c:v>
                </c:pt>
                <c:pt idx="759">
                  <c:v>1399.5074137544</c:v>
                </c:pt>
                <c:pt idx="760">
                  <c:v>1399.5074137544</c:v>
                </c:pt>
                <c:pt idx="761">
                  <c:v>1399.5074137544</c:v>
                </c:pt>
                <c:pt idx="762">
                  <c:v>1399.5074137544</c:v>
                </c:pt>
                <c:pt idx="763">
                  <c:v>1399.5074137544</c:v>
                </c:pt>
                <c:pt idx="764">
                  <c:v>1399.5074137544</c:v>
                </c:pt>
                <c:pt idx="765">
                  <c:v>1399.5074137544</c:v>
                </c:pt>
                <c:pt idx="766">
                  <c:v>1399.5074137544</c:v>
                </c:pt>
                <c:pt idx="767">
                  <c:v>1399.5074137544</c:v>
                </c:pt>
                <c:pt idx="768">
                  <c:v>1399.5074137544</c:v>
                </c:pt>
                <c:pt idx="769">
                  <c:v>1399.5074137544</c:v>
                </c:pt>
                <c:pt idx="770">
                  <c:v>1399.5074137544</c:v>
                </c:pt>
                <c:pt idx="771">
                  <c:v>1399.5074137544</c:v>
                </c:pt>
                <c:pt idx="772">
                  <c:v>1399.5074137544</c:v>
                </c:pt>
                <c:pt idx="773">
                  <c:v>1399.5074137544</c:v>
                </c:pt>
                <c:pt idx="774">
                  <c:v>1399.5074137544</c:v>
                </c:pt>
                <c:pt idx="775">
                  <c:v>1399.5074137544</c:v>
                </c:pt>
                <c:pt idx="776">
                  <c:v>1399.5074137544</c:v>
                </c:pt>
                <c:pt idx="777">
                  <c:v>1399.5074137544</c:v>
                </c:pt>
                <c:pt idx="778">
                  <c:v>1399.5074137544</c:v>
                </c:pt>
                <c:pt idx="779">
                  <c:v>1399.5074137544</c:v>
                </c:pt>
                <c:pt idx="780">
                  <c:v>1399.5074137544</c:v>
                </c:pt>
                <c:pt idx="781">
                  <c:v>1399.5074137544</c:v>
                </c:pt>
                <c:pt idx="782">
                  <c:v>1399.5074137544</c:v>
                </c:pt>
                <c:pt idx="783">
                  <c:v>1399.5074137544</c:v>
                </c:pt>
                <c:pt idx="784">
                  <c:v>1399.5074137544</c:v>
                </c:pt>
                <c:pt idx="785">
                  <c:v>1399.5074137544</c:v>
                </c:pt>
                <c:pt idx="786">
                  <c:v>1399.5074137544</c:v>
                </c:pt>
                <c:pt idx="787">
                  <c:v>1399.5074137544</c:v>
                </c:pt>
                <c:pt idx="788">
                  <c:v>1399.5074137544</c:v>
                </c:pt>
                <c:pt idx="789">
                  <c:v>1399.5074137544</c:v>
                </c:pt>
                <c:pt idx="790">
                  <c:v>1399.5074137544</c:v>
                </c:pt>
                <c:pt idx="791">
                  <c:v>1399.5074137544</c:v>
                </c:pt>
                <c:pt idx="792">
                  <c:v>1399.5074137544</c:v>
                </c:pt>
                <c:pt idx="793">
                  <c:v>1399.5074137544</c:v>
                </c:pt>
                <c:pt idx="794">
                  <c:v>1399.5074137544</c:v>
                </c:pt>
                <c:pt idx="795">
                  <c:v>1399.5074137544</c:v>
                </c:pt>
                <c:pt idx="796">
                  <c:v>1399.5074137544</c:v>
                </c:pt>
                <c:pt idx="797">
                  <c:v>1399.5074137544</c:v>
                </c:pt>
                <c:pt idx="798">
                  <c:v>1399.5074137544</c:v>
                </c:pt>
                <c:pt idx="799">
                  <c:v>1399.5074137544</c:v>
                </c:pt>
                <c:pt idx="800">
                  <c:v>1399.5074137544</c:v>
                </c:pt>
                <c:pt idx="801">
                  <c:v>1399.5074137544</c:v>
                </c:pt>
                <c:pt idx="802">
                  <c:v>1399.5074137544</c:v>
                </c:pt>
                <c:pt idx="803">
                  <c:v>1399.5074137544</c:v>
                </c:pt>
                <c:pt idx="804">
                  <c:v>1399.5074137544</c:v>
                </c:pt>
                <c:pt idx="805">
                  <c:v>1399.5074137544</c:v>
                </c:pt>
                <c:pt idx="806">
                  <c:v>1399.5074137544</c:v>
                </c:pt>
                <c:pt idx="807">
                  <c:v>1399.5074137544</c:v>
                </c:pt>
                <c:pt idx="808">
                  <c:v>1399.5074137544</c:v>
                </c:pt>
                <c:pt idx="809">
                  <c:v>1399.5074137544</c:v>
                </c:pt>
                <c:pt idx="810">
                  <c:v>1399.5074137544</c:v>
                </c:pt>
                <c:pt idx="811">
                  <c:v>1399.5074137544</c:v>
                </c:pt>
                <c:pt idx="812">
                  <c:v>1399.5074137544</c:v>
                </c:pt>
                <c:pt idx="813">
                  <c:v>1399.5074137544</c:v>
                </c:pt>
                <c:pt idx="814">
                  <c:v>1399.5074137544</c:v>
                </c:pt>
                <c:pt idx="815">
                  <c:v>1399.5074137544</c:v>
                </c:pt>
                <c:pt idx="816">
                  <c:v>1399.5074137544</c:v>
                </c:pt>
                <c:pt idx="817">
                  <c:v>1399.5074137544</c:v>
                </c:pt>
                <c:pt idx="818">
                  <c:v>1399.5074137544</c:v>
                </c:pt>
                <c:pt idx="819">
                  <c:v>1399.5074137544</c:v>
                </c:pt>
                <c:pt idx="820">
                  <c:v>1399.5074137544</c:v>
                </c:pt>
                <c:pt idx="821">
                  <c:v>1399.5074137544</c:v>
                </c:pt>
                <c:pt idx="822">
                  <c:v>1399.5074137544</c:v>
                </c:pt>
                <c:pt idx="823">
                  <c:v>1399.5074137544</c:v>
                </c:pt>
                <c:pt idx="824">
                  <c:v>1399.5074137544</c:v>
                </c:pt>
                <c:pt idx="825">
                  <c:v>1399.5074137544</c:v>
                </c:pt>
                <c:pt idx="826">
                  <c:v>1399.5074137544</c:v>
                </c:pt>
                <c:pt idx="827">
                  <c:v>1399.5074137544</c:v>
                </c:pt>
                <c:pt idx="828">
                  <c:v>1399.5074137544</c:v>
                </c:pt>
                <c:pt idx="829">
                  <c:v>1399.5074137544</c:v>
                </c:pt>
                <c:pt idx="830">
                  <c:v>1399.5074137544</c:v>
                </c:pt>
                <c:pt idx="831">
                  <c:v>1399.5074137544</c:v>
                </c:pt>
                <c:pt idx="832">
                  <c:v>1399.5074137544</c:v>
                </c:pt>
                <c:pt idx="833">
                  <c:v>1399.5074137544</c:v>
                </c:pt>
                <c:pt idx="834">
                  <c:v>1399.5074137544</c:v>
                </c:pt>
                <c:pt idx="835">
                  <c:v>1399.5074137544</c:v>
                </c:pt>
                <c:pt idx="836">
                  <c:v>1399.5074137544</c:v>
                </c:pt>
                <c:pt idx="837">
                  <c:v>1399.5074137544</c:v>
                </c:pt>
                <c:pt idx="838">
                  <c:v>1399.5074137544</c:v>
                </c:pt>
                <c:pt idx="839">
                  <c:v>1399.5074137544</c:v>
                </c:pt>
                <c:pt idx="840">
                  <c:v>1399.5074137544</c:v>
                </c:pt>
                <c:pt idx="841">
                  <c:v>1399.5074137544</c:v>
                </c:pt>
                <c:pt idx="842">
                  <c:v>1399.5074137544</c:v>
                </c:pt>
                <c:pt idx="843">
                  <c:v>1399.5074137544</c:v>
                </c:pt>
                <c:pt idx="844">
                  <c:v>1399.5074137544</c:v>
                </c:pt>
                <c:pt idx="845">
                  <c:v>1399.5074137544</c:v>
                </c:pt>
                <c:pt idx="846">
                  <c:v>1399.5074137544</c:v>
                </c:pt>
                <c:pt idx="847">
                  <c:v>1399.5074137544</c:v>
                </c:pt>
                <c:pt idx="848">
                  <c:v>1399.5074137544</c:v>
                </c:pt>
                <c:pt idx="849">
                  <c:v>1399.5074137544</c:v>
                </c:pt>
                <c:pt idx="850">
                  <c:v>1399.5074137544</c:v>
                </c:pt>
                <c:pt idx="851">
                  <c:v>1399.5074137544</c:v>
                </c:pt>
                <c:pt idx="852">
                  <c:v>1399.5074137544</c:v>
                </c:pt>
                <c:pt idx="853">
                  <c:v>1399.5074137544</c:v>
                </c:pt>
                <c:pt idx="854">
                  <c:v>1399.5074137544</c:v>
                </c:pt>
                <c:pt idx="855">
                  <c:v>1399.5074137544</c:v>
                </c:pt>
                <c:pt idx="856">
                  <c:v>1399.5074137544</c:v>
                </c:pt>
                <c:pt idx="857">
                  <c:v>1399.5074137544</c:v>
                </c:pt>
                <c:pt idx="858">
                  <c:v>1399.5074137544</c:v>
                </c:pt>
                <c:pt idx="859">
                  <c:v>1399.5074137544</c:v>
                </c:pt>
                <c:pt idx="860">
                  <c:v>1399.5074137544</c:v>
                </c:pt>
                <c:pt idx="861">
                  <c:v>1399.5074137544</c:v>
                </c:pt>
                <c:pt idx="862">
                  <c:v>1399.5074137544</c:v>
                </c:pt>
                <c:pt idx="863">
                  <c:v>1399.5074137544</c:v>
                </c:pt>
                <c:pt idx="864">
                  <c:v>1399.5074137544</c:v>
                </c:pt>
                <c:pt idx="865">
                  <c:v>1399.5074137544</c:v>
                </c:pt>
                <c:pt idx="866">
                  <c:v>1399.5074137544</c:v>
                </c:pt>
                <c:pt idx="867">
                  <c:v>1399.5074137544</c:v>
                </c:pt>
                <c:pt idx="868">
                  <c:v>1399.5074137544</c:v>
                </c:pt>
                <c:pt idx="869">
                  <c:v>1399.5074137544</c:v>
                </c:pt>
                <c:pt idx="870">
                  <c:v>1399.5074137544</c:v>
                </c:pt>
                <c:pt idx="871">
                  <c:v>1399.5074137544</c:v>
                </c:pt>
                <c:pt idx="872">
                  <c:v>1399.5074137544</c:v>
                </c:pt>
                <c:pt idx="873">
                  <c:v>1399.5074137544</c:v>
                </c:pt>
                <c:pt idx="874">
                  <c:v>1399.5074137544</c:v>
                </c:pt>
                <c:pt idx="875">
                  <c:v>1399.5074137544</c:v>
                </c:pt>
                <c:pt idx="876">
                  <c:v>1399.5074137544</c:v>
                </c:pt>
                <c:pt idx="877">
                  <c:v>1399.5074137544</c:v>
                </c:pt>
                <c:pt idx="878">
                  <c:v>1399.5074137544</c:v>
                </c:pt>
                <c:pt idx="879">
                  <c:v>1399.5074137544</c:v>
                </c:pt>
                <c:pt idx="880">
                  <c:v>1399.5074137544</c:v>
                </c:pt>
                <c:pt idx="881">
                  <c:v>1399.5074137544</c:v>
                </c:pt>
                <c:pt idx="882">
                  <c:v>1399.5074137544</c:v>
                </c:pt>
                <c:pt idx="883">
                  <c:v>1399.5074137544</c:v>
                </c:pt>
                <c:pt idx="884">
                  <c:v>1399.5074137544</c:v>
                </c:pt>
                <c:pt idx="885">
                  <c:v>1399.5074137544</c:v>
                </c:pt>
                <c:pt idx="886">
                  <c:v>1399.5074137544</c:v>
                </c:pt>
                <c:pt idx="887">
                  <c:v>1399.5074137544</c:v>
                </c:pt>
                <c:pt idx="888">
                  <c:v>1399.5074137544</c:v>
                </c:pt>
                <c:pt idx="889">
                  <c:v>1399.5074137544</c:v>
                </c:pt>
                <c:pt idx="890">
                  <c:v>1399.5074137544</c:v>
                </c:pt>
                <c:pt idx="891">
                  <c:v>1399.5074137544</c:v>
                </c:pt>
                <c:pt idx="892">
                  <c:v>1399.5074137544</c:v>
                </c:pt>
                <c:pt idx="893">
                  <c:v>1399.5074137544</c:v>
                </c:pt>
                <c:pt idx="894">
                  <c:v>1399.5074137544</c:v>
                </c:pt>
                <c:pt idx="895">
                  <c:v>1399.5074137544</c:v>
                </c:pt>
                <c:pt idx="896">
                  <c:v>1399.5074137544</c:v>
                </c:pt>
                <c:pt idx="897">
                  <c:v>1399.5074137544</c:v>
                </c:pt>
                <c:pt idx="898">
                  <c:v>1399.5074137544</c:v>
                </c:pt>
                <c:pt idx="899">
                  <c:v>1399.5074137544</c:v>
                </c:pt>
                <c:pt idx="900">
                  <c:v>1399.5074137544</c:v>
                </c:pt>
                <c:pt idx="901">
                  <c:v>1399.5074137544</c:v>
                </c:pt>
                <c:pt idx="902">
                  <c:v>1399.5074137544</c:v>
                </c:pt>
                <c:pt idx="903">
                  <c:v>1399.5074137544</c:v>
                </c:pt>
                <c:pt idx="904">
                  <c:v>1399.5074137544</c:v>
                </c:pt>
                <c:pt idx="905">
                  <c:v>1399.5074137544</c:v>
                </c:pt>
                <c:pt idx="906">
                  <c:v>1399.5074137544</c:v>
                </c:pt>
                <c:pt idx="907">
                  <c:v>1399.5074137544</c:v>
                </c:pt>
                <c:pt idx="908">
                  <c:v>1399.5074137544</c:v>
                </c:pt>
                <c:pt idx="909">
                  <c:v>1399.5074137544</c:v>
                </c:pt>
                <c:pt idx="910">
                  <c:v>1399.5074137544</c:v>
                </c:pt>
                <c:pt idx="911">
                  <c:v>1399.5074137544</c:v>
                </c:pt>
                <c:pt idx="912">
                  <c:v>1399.5074137544</c:v>
                </c:pt>
                <c:pt idx="913">
                  <c:v>1399.5074137544</c:v>
                </c:pt>
                <c:pt idx="914">
                  <c:v>1399.5074137544</c:v>
                </c:pt>
                <c:pt idx="915">
                  <c:v>1399.5074137544</c:v>
                </c:pt>
                <c:pt idx="916">
                  <c:v>1399.5074137544</c:v>
                </c:pt>
                <c:pt idx="917">
                  <c:v>1399.5074137544</c:v>
                </c:pt>
                <c:pt idx="918">
                  <c:v>1399.5074137544</c:v>
                </c:pt>
                <c:pt idx="919">
                  <c:v>1399.5074137544</c:v>
                </c:pt>
                <c:pt idx="920">
                  <c:v>1399.5074137544</c:v>
                </c:pt>
                <c:pt idx="921">
                  <c:v>1399.5074137544</c:v>
                </c:pt>
                <c:pt idx="922">
                  <c:v>1399.5074137544</c:v>
                </c:pt>
                <c:pt idx="923">
                  <c:v>1399.5074137544</c:v>
                </c:pt>
                <c:pt idx="924">
                  <c:v>1399.5074137544</c:v>
                </c:pt>
                <c:pt idx="925">
                  <c:v>1399.5074137544</c:v>
                </c:pt>
                <c:pt idx="926">
                  <c:v>1399.5074137544</c:v>
                </c:pt>
                <c:pt idx="927">
                  <c:v>1399.5074137544</c:v>
                </c:pt>
                <c:pt idx="928">
                  <c:v>1399.5074137544</c:v>
                </c:pt>
                <c:pt idx="929">
                  <c:v>1399.5074137544</c:v>
                </c:pt>
                <c:pt idx="930">
                  <c:v>1399.5074137544</c:v>
                </c:pt>
                <c:pt idx="931">
                  <c:v>1399.5074137544</c:v>
                </c:pt>
                <c:pt idx="932">
                  <c:v>1399.5074137544</c:v>
                </c:pt>
                <c:pt idx="933">
                  <c:v>1399.5074137544</c:v>
                </c:pt>
                <c:pt idx="934">
                  <c:v>1399.5074137544</c:v>
                </c:pt>
                <c:pt idx="935">
                  <c:v>1399.5074137544</c:v>
                </c:pt>
                <c:pt idx="936">
                  <c:v>1399.5074137544</c:v>
                </c:pt>
                <c:pt idx="937">
                  <c:v>1399.5074137544</c:v>
                </c:pt>
                <c:pt idx="938">
                  <c:v>1399.5074137544</c:v>
                </c:pt>
                <c:pt idx="939">
                  <c:v>1399.5074137544</c:v>
                </c:pt>
                <c:pt idx="940">
                  <c:v>1399.5074137544</c:v>
                </c:pt>
                <c:pt idx="941">
                  <c:v>1399.5074137544</c:v>
                </c:pt>
                <c:pt idx="942">
                  <c:v>1399.5074137544</c:v>
                </c:pt>
                <c:pt idx="943">
                  <c:v>1399.5074137544</c:v>
                </c:pt>
                <c:pt idx="944">
                  <c:v>1208.3714936877991</c:v>
                </c:pt>
                <c:pt idx="945">
                  <c:v>1208.3714936877991</c:v>
                </c:pt>
                <c:pt idx="946">
                  <c:v>1208.3714936877991</c:v>
                </c:pt>
                <c:pt idx="947">
                  <c:v>1208.3714936877991</c:v>
                </c:pt>
                <c:pt idx="948">
                  <c:v>1208.3714936877991</c:v>
                </c:pt>
                <c:pt idx="949">
                  <c:v>1208.3714936877991</c:v>
                </c:pt>
                <c:pt idx="950">
                  <c:v>1208.3714936877991</c:v>
                </c:pt>
                <c:pt idx="951">
                  <c:v>1208.3714936877991</c:v>
                </c:pt>
                <c:pt idx="952">
                  <c:v>1208.3714936877991</c:v>
                </c:pt>
                <c:pt idx="953">
                  <c:v>1208.3714936877991</c:v>
                </c:pt>
                <c:pt idx="954">
                  <c:v>1208.3714936877991</c:v>
                </c:pt>
                <c:pt idx="955">
                  <c:v>1208.3714936877991</c:v>
                </c:pt>
                <c:pt idx="956">
                  <c:v>1208.3714936877991</c:v>
                </c:pt>
                <c:pt idx="957">
                  <c:v>1208.3714936877991</c:v>
                </c:pt>
                <c:pt idx="958">
                  <c:v>1208.3714936877991</c:v>
                </c:pt>
                <c:pt idx="959">
                  <c:v>1208.3714936877991</c:v>
                </c:pt>
                <c:pt idx="960">
                  <c:v>1208.3714936877991</c:v>
                </c:pt>
                <c:pt idx="961">
                  <c:v>1208.3714936877991</c:v>
                </c:pt>
                <c:pt idx="962">
                  <c:v>1208.3714936877991</c:v>
                </c:pt>
                <c:pt idx="963">
                  <c:v>1208.3714936877991</c:v>
                </c:pt>
                <c:pt idx="964">
                  <c:v>1208.3714936877991</c:v>
                </c:pt>
                <c:pt idx="965">
                  <c:v>1208.3714936877991</c:v>
                </c:pt>
                <c:pt idx="966">
                  <c:v>1208.3714936877991</c:v>
                </c:pt>
                <c:pt idx="967">
                  <c:v>1208.3714936877991</c:v>
                </c:pt>
                <c:pt idx="968">
                  <c:v>1208.3714936877991</c:v>
                </c:pt>
                <c:pt idx="969">
                  <c:v>1208.3714936877991</c:v>
                </c:pt>
                <c:pt idx="970">
                  <c:v>1208.3714936877991</c:v>
                </c:pt>
                <c:pt idx="971">
                  <c:v>1208.3714936877991</c:v>
                </c:pt>
                <c:pt idx="972">
                  <c:v>1208.3714936877991</c:v>
                </c:pt>
                <c:pt idx="973">
                  <c:v>1208.3714936877991</c:v>
                </c:pt>
                <c:pt idx="974">
                  <c:v>1208.3714936877991</c:v>
                </c:pt>
                <c:pt idx="975">
                  <c:v>1208.3714936877991</c:v>
                </c:pt>
                <c:pt idx="976">
                  <c:v>1208.3714936877991</c:v>
                </c:pt>
                <c:pt idx="977">
                  <c:v>1208.3714936877991</c:v>
                </c:pt>
                <c:pt idx="978">
                  <c:v>1208.3714936877991</c:v>
                </c:pt>
                <c:pt idx="979">
                  <c:v>1208.3714936877991</c:v>
                </c:pt>
                <c:pt idx="980">
                  <c:v>1208.3714936877991</c:v>
                </c:pt>
                <c:pt idx="981">
                  <c:v>1208.3714936877991</c:v>
                </c:pt>
                <c:pt idx="982">
                  <c:v>1208.3714936877991</c:v>
                </c:pt>
                <c:pt idx="983">
                  <c:v>1208.3714936877991</c:v>
                </c:pt>
                <c:pt idx="984">
                  <c:v>1208.3714936877991</c:v>
                </c:pt>
                <c:pt idx="985">
                  <c:v>1208.3714936877991</c:v>
                </c:pt>
                <c:pt idx="986">
                  <c:v>1208.3714936877991</c:v>
                </c:pt>
                <c:pt idx="987">
                  <c:v>1208.3714936877991</c:v>
                </c:pt>
                <c:pt idx="988">
                  <c:v>1208.3714936877991</c:v>
                </c:pt>
                <c:pt idx="989">
                  <c:v>1208.3714936877991</c:v>
                </c:pt>
                <c:pt idx="990">
                  <c:v>1208.3714936877991</c:v>
                </c:pt>
                <c:pt idx="991">
                  <c:v>1208.3714936877991</c:v>
                </c:pt>
                <c:pt idx="992">
                  <c:v>1208.3714936877991</c:v>
                </c:pt>
                <c:pt idx="993">
                  <c:v>1208.3714936877991</c:v>
                </c:pt>
                <c:pt idx="994">
                  <c:v>1208.3714936877991</c:v>
                </c:pt>
                <c:pt idx="995">
                  <c:v>1208.3714936877991</c:v>
                </c:pt>
                <c:pt idx="996">
                  <c:v>1208.3714936877991</c:v>
                </c:pt>
                <c:pt idx="997">
                  <c:v>1208.3714936877991</c:v>
                </c:pt>
                <c:pt idx="998">
                  <c:v>1208.3714936877991</c:v>
                </c:pt>
                <c:pt idx="999">
                  <c:v>1208.3714936877991</c:v>
                </c:pt>
                <c:pt idx="1000">
                  <c:v>1208.3714936877991</c:v>
                </c:pt>
                <c:pt idx="1001">
                  <c:v>1208.3714936877991</c:v>
                </c:pt>
                <c:pt idx="1002">
                  <c:v>1208.3714936877991</c:v>
                </c:pt>
                <c:pt idx="1003">
                  <c:v>1208.3714936877991</c:v>
                </c:pt>
                <c:pt idx="1004">
                  <c:v>1208.3714936877991</c:v>
                </c:pt>
                <c:pt idx="1005">
                  <c:v>1208.3714936877991</c:v>
                </c:pt>
                <c:pt idx="1006">
                  <c:v>1208.3714936877991</c:v>
                </c:pt>
                <c:pt idx="1007">
                  <c:v>1208.3714936877991</c:v>
                </c:pt>
                <c:pt idx="1008">
                  <c:v>1208.3714936877991</c:v>
                </c:pt>
                <c:pt idx="1009">
                  <c:v>1208.3714936877991</c:v>
                </c:pt>
                <c:pt idx="1010">
                  <c:v>1208.3714936877991</c:v>
                </c:pt>
                <c:pt idx="1011">
                  <c:v>1208.3714936877991</c:v>
                </c:pt>
                <c:pt idx="1012">
                  <c:v>1208.3714936877991</c:v>
                </c:pt>
                <c:pt idx="1013">
                  <c:v>1208.3714936877991</c:v>
                </c:pt>
                <c:pt idx="1014">
                  <c:v>1208.3714936877991</c:v>
                </c:pt>
                <c:pt idx="1015">
                  <c:v>1208.3714936877991</c:v>
                </c:pt>
                <c:pt idx="1016">
                  <c:v>1208.3714936877991</c:v>
                </c:pt>
                <c:pt idx="1017">
                  <c:v>1208.3714936877991</c:v>
                </c:pt>
                <c:pt idx="1018">
                  <c:v>1208.3714936877991</c:v>
                </c:pt>
                <c:pt idx="1019">
                  <c:v>1208.3714936877991</c:v>
                </c:pt>
                <c:pt idx="1020">
                  <c:v>1208.3714936877991</c:v>
                </c:pt>
                <c:pt idx="1021">
                  <c:v>1208.3714936877991</c:v>
                </c:pt>
                <c:pt idx="1022">
                  <c:v>1208.3714936877991</c:v>
                </c:pt>
                <c:pt idx="1023">
                  <c:v>1208.3714936877991</c:v>
                </c:pt>
                <c:pt idx="1024">
                  <c:v>1208.3714936877991</c:v>
                </c:pt>
                <c:pt idx="1025">
                  <c:v>1208.3714936877991</c:v>
                </c:pt>
                <c:pt idx="1026">
                  <c:v>1208.3714936877991</c:v>
                </c:pt>
                <c:pt idx="1027">
                  <c:v>1208.3714936877991</c:v>
                </c:pt>
                <c:pt idx="1028">
                  <c:v>1208.3714936877991</c:v>
                </c:pt>
                <c:pt idx="1029">
                  <c:v>1208.3714936877991</c:v>
                </c:pt>
                <c:pt idx="1030">
                  <c:v>1208.3714936877991</c:v>
                </c:pt>
                <c:pt idx="1031">
                  <c:v>1208.3714936877991</c:v>
                </c:pt>
                <c:pt idx="1032">
                  <c:v>1208.3714936877991</c:v>
                </c:pt>
                <c:pt idx="1033">
                  <c:v>1208.3714936877991</c:v>
                </c:pt>
                <c:pt idx="1034">
                  <c:v>1208.3714936877991</c:v>
                </c:pt>
                <c:pt idx="1035">
                  <c:v>1208.3714936877991</c:v>
                </c:pt>
                <c:pt idx="1036">
                  <c:v>1208.3714936877991</c:v>
                </c:pt>
                <c:pt idx="1037">
                  <c:v>1208.3714936877991</c:v>
                </c:pt>
                <c:pt idx="1038">
                  <c:v>1208.3714936877991</c:v>
                </c:pt>
                <c:pt idx="1039">
                  <c:v>1208.3714936877991</c:v>
                </c:pt>
                <c:pt idx="1040">
                  <c:v>1208.3714936877991</c:v>
                </c:pt>
                <c:pt idx="1041">
                  <c:v>1208.3714936877991</c:v>
                </c:pt>
                <c:pt idx="1042">
                  <c:v>1208.3714936877991</c:v>
                </c:pt>
                <c:pt idx="1043">
                  <c:v>1208.3714936877991</c:v>
                </c:pt>
                <c:pt idx="1044">
                  <c:v>1208.3714936877991</c:v>
                </c:pt>
                <c:pt idx="1045">
                  <c:v>1208.3714936877991</c:v>
                </c:pt>
                <c:pt idx="1046">
                  <c:v>1208.3714936877991</c:v>
                </c:pt>
                <c:pt idx="1047">
                  <c:v>1208.3714936877991</c:v>
                </c:pt>
                <c:pt idx="1048">
                  <c:v>1208.3714936877991</c:v>
                </c:pt>
                <c:pt idx="1049">
                  <c:v>1208.3714936877991</c:v>
                </c:pt>
                <c:pt idx="1050">
                  <c:v>1208.3714936877991</c:v>
                </c:pt>
                <c:pt idx="1051">
                  <c:v>1208.3714936877991</c:v>
                </c:pt>
                <c:pt idx="1052">
                  <c:v>1208.3714936877991</c:v>
                </c:pt>
                <c:pt idx="1053">
                  <c:v>1208.3714936877991</c:v>
                </c:pt>
                <c:pt idx="1054">
                  <c:v>1208.3714936877991</c:v>
                </c:pt>
                <c:pt idx="1055">
                  <c:v>1208.3714936877991</c:v>
                </c:pt>
                <c:pt idx="1056">
                  <c:v>1208.3714936877991</c:v>
                </c:pt>
                <c:pt idx="1057">
                  <c:v>1208.3714936877991</c:v>
                </c:pt>
                <c:pt idx="1058">
                  <c:v>1208.3714936877991</c:v>
                </c:pt>
                <c:pt idx="1059">
                  <c:v>1208.3714936877991</c:v>
                </c:pt>
                <c:pt idx="1060">
                  <c:v>1208.3714936877991</c:v>
                </c:pt>
                <c:pt idx="1061">
                  <c:v>1208.3714936877991</c:v>
                </c:pt>
                <c:pt idx="1062">
                  <c:v>1208.3714936877991</c:v>
                </c:pt>
                <c:pt idx="1063">
                  <c:v>1208.3714936877991</c:v>
                </c:pt>
                <c:pt idx="1064">
                  <c:v>1208.3714936877991</c:v>
                </c:pt>
                <c:pt idx="1065">
                  <c:v>1208.3714936877991</c:v>
                </c:pt>
                <c:pt idx="1066">
                  <c:v>1208.3714936877991</c:v>
                </c:pt>
                <c:pt idx="1067">
                  <c:v>1208.3714936877991</c:v>
                </c:pt>
                <c:pt idx="1068">
                  <c:v>1208.3714936877991</c:v>
                </c:pt>
                <c:pt idx="1069">
                  <c:v>1208.3714936877991</c:v>
                </c:pt>
                <c:pt idx="1070">
                  <c:v>1208.3714936877991</c:v>
                </c:pt>
                <c:pt idx="1071">
                  <c:v>1208.3714936877991</c:v>
                </c:pt>
                <c:pt idx="1072">
                  <c:v>1208.3714936877991</c:v>
                </c:pt>
                <c:pt idx="1073">
                  <c:v>1208.3714936877991</c:v>
                </c:pt>
                <c:pt idx="1074">
                  <c:v>1208.3714936877991</c:v>
                </c:pt>
                <c:pt idx="1075">
                  <c:v>1208.3714936877991</c:v>
                </c:pt>
                <c:pt idx="1076">
                  <c:v>1208.3714936877991</c:v>
                </c:pt>
                <c:pt idx="1077">
                  <c:v>1208.3714936877991</c:v>
                </c:pt>
                <c:pt idx="1078">
                  <c:v>1208.3714936877991</c:v>
                </c:pt>
                <c:pt idx="1079">
                  <c:v>1208.3714936877991</c:v>
                </c:pt>
                <c:pt idx="1080">
                  <c:v>1208.3714936877991</c:v>
                </c:pt>
                <c:pt idx="1081">
                  <c:v>1208.3714936877991</c:v>
                </c:pt>
                <c:pt idx="1082">
                  <c:v>1208.3714936877991</c:v>
                </c:pt>
                <c:pt idx="1083">
                  <c:v>1208.3714936877991</c:v>
                </c:pt>
                <c:pt idx="1084">
                  <c:v>1208.3714936877991</c:v>
                </c:pt>
                <c:pt idx="1085">
                  <c:v>1208.3714936877991</c:v>
                </c:pt>
                <c:pt idx="1086">
                  <c:v>1208.3714936877991</c:v>
                </c:pt>
                <c:pt idx="1087">
                  <c:v>1208.3714936877991</c:v>
                </c:pt>
                <c:pt idx="1088">
                  <c:v>1208.3714936877991</c:v>
                </c:pt>
                <c:pt idx="1089">
                  <c:v>1208.3714936877991</c:v>
                </c:pt>
                <c:pt idx="1090">
                  <c:v>1208.3714936877991</c:v>
                </c:pt>
                <c:pt idx="1091">
                  <c:v>1208.3714936877991</c:v>
                </c:pt>
                <c:pt idx="1092">
                  <c:v>1208.3714936877991</c:v>
                </c:pt>
                <c:pt idx="1093">
                  <c:v>1208.3714936877991</c:v>
                </c:pt>
                <c:pt idx="1094">
                  <c:v>1208.3714936877991</c:v>
                </c:pt>
                <c:pt idx="1095">
                  <c:v>1208.3714936877991</c:v>
                </c:pt>
                <c:pt idx="1096">
                  <c:v>1208.3714936877991</c:v>
                </c:pt>
                <c:pt idx="1097">
                  <c:v>1208.3714936877991</c:v>
                </c:pt>
                <c:pt idx="1098">
                  <c:v>1208.3714936877991</c:v>
                </c:pt>
                <c:pt idx="1099">
                  <c:v>1208.3714936877991</c:v>
                </c:pt>
                <c:pt idx="1100">
                  <c:v>1208.3714936877991</c:v>
                </c:pt>
                <c:pt idx="1101">
                  <c:v>1208.3714936877991</c:v>
                </c:pt>
                <c:pt idx="1102">
                  <c:v>1208.3714936877991</c:v>
                </c:pt>
                <c:pt idx="1103">
                  <c:v>1208.3714936877991</c:v>
                </c:pt>
                <c:pt idx="1104">
                  <c:v>1208.3714936877991</c:v>
                </c:pt>
                <c:pt idx="1105">
                  <c:v>1208.3714936877991</c:v>
                </c:pt>
                <c:pt idx="1106">
                  <c:v>1208.3714936877991</c:v>
                </c:pt>
                <c:pt idx="1107">
                  <c:v>1208.3714936877991</c:v>
                </c:pt>
                <c:pt idx="1108">
                  <c:v>1208.3714936877991</c:v>
                </c:pt>
                <c:pt idx="1109">
                  <c:v>1208.3714936877991</c:v>
                </c:pt>
                <c:pt idx="1110">
                  <c:v>1208.3714936877991</c:v>
                </c:pt>
                <c:pt idx="1111">
                  <c:v>1208.3714936877991</c:v>
                </c:pt>
                <c:pt idx="1112">
                  <c:v>1208.3714936877991</c:v>
                </c:pt>
                <c:pt idx="1113">
                  <c:v>1208.3714936877991</c:v>
                </c:pt>
                <c:pt idx="1114">
                  <c:v>1208.3714936877991</c:v>
                </c:pt>
                <c:pt idx="1115">
                  <c:v>1208.3714936877991</c:v>
                </c:pt>
                <c:pt idx="1116">
                  <c:v>1208.3714936877991</c:v>
                </c:pt>
                <c:pt idx="1117">
                  <c:v>1208.3714936877991</c:v>
                </c:pt>
                <c:pt idx="1118">
                  <c:v>1208.3714936877991</c:v>
                </c:pt>
                <c:pt idx="1119">
                  <c:v>1208.3714936877991</c:v>
                </c:pt>
                <c:pt idx="1120">
                  <c:v>1208.3714936877991</c:v>
                </c:pt>
                <c:pt idx="1121">
                  <c:v>1208.3714936877991</c:v>
                </c:pt>
                <c:pt idx="1122">
                  <c:v>1208.3714936877991</c:v>
                </c:pt>
                <c:pt idx="1123">
                  <c:v>1208.3714936877991</c:v>
                </c:pt>
                <c:pt idx="1124">
                  <c:v>1208.3714936877991</c:v>
                </c:pt>
                <c:pt idx="1125">
                  <c:v>1208.3714936877991</c:v>
                </c:pt>
                <c:pt idx="1126">
                  <c:v>1208.3714936877991</c:v>
                </c:pt>
                <c:pt idx="1127">
                  <c:v>1208.3714936877991</c:v>
                </c:pt>
                <c:pt idx="1128">
                  <c:v>1208.3714936877991</c:v>
                </c:pt>
                <c:pt idx="1129">
                  <c:v>1208.3714936877991</c:v>
                </c:pt>
                <c:pt idx="1130">
                  <c:v>1208.3714936877991</c:v>
                </c:pt>
                <c:pt idx="1131">
                  <c:v>1208.3714936877991</c:v>
                </c:pt>
                <c:pt idx="1132">
                  <c:v>1208.3714936877991</c:v>
                </c:pt>
                <c:pt idx="1133">
                  <c:v>1208.3714936877991</c:v>
                </c:pt>
                <c:pt idx="1134">
                  <c:v>1208.3714936877991</c:v>
                </c:pt>
                <c:pt idx="1135">
                  <c:v>1208.3714936877991</c:v>
                </c:pt>
                <c:pt idx="1136">
                  <c:v>1208.3714936877991</c:v>
                </c:pt>
                <c:pt idx="1137">
                  <c:v>1208.3714936877991</c:v>
                </c:pt>
                <c:pt idx="1138">
                  <c:v>1208.3714936877991</c:v>
                </c:pt>
                <c:pt idx="1139">
                  <c:v>1208.3714936877991</c:v>
                </c:pt>
                <c:pt idx="1140">
                  <c:v>1208.3714936877991</c:v>
                </c:pt>
                <c:pt idx="1141">
                  <c:v>1208.3714936877991</c:v>
                </c:pt>
                <c:pt idx="1142">
                  <c:v>1208.3714936877991</c:v>
                </c:pt>
                <c:pt idx="1143">
                  <c:v>1208.3714936877991</c:v>
                </c:pt>
                <c:pt idx="1144">
                  <c:v>1208.3714936877991</c:v>
                </c:pt>
                <c:pt idx="1145">
                  <c:v>1208.3714936877991</c:v>
                </c:pt>
                <c:pt idx="1146">
                  <c:v>1208.3714936877991</c:v>
                </c:pt>
                <c:pt idx="1147">
                  <c:v>1208.3714936877991</c:v>
                </c:pt>
                <c:pt idx="1148">
                  <c:v>1208.3714936877991</c:v>
                </c:pt>
                <c:pt idx="1149">
                  <c:v>1208.3714936877991</c:v>
                </c:pt>
                <c:pt idx="1150">
                  <c:v>1208.3714936877991</c:v>
                </c:pt>
                <c:pt idx="1151">
                  <c:v>1208.3714936877991</c:v>
                </c:pt>
                <c:pt idx="1152">
                  <c:v>1208.3714936877991</c:v>
                </c:pt>
                <c:pt idx="1153">
                  <c:v>1208.3714936877991</c:v>
                </c:pt>
                <c:pt idx="1154">
                  <c:v>1208.3714936877991</c:v>
                </c:pt>
                <c:pt idx="1155">
                  <c:v>1208.3714936877991</c:v>
                </c:pt>
                <c:pt idx="1156">
                  <c:v>1208.3714936877991</c:v>
                </c:pt>
                <c:pt idx="1157">
                  <c:v>1208.3714936877991</c:v>
                </c:pt>
                <c:pt idx="1158">
                  <c:v>1208.3714936877991</c:v>
                </c:pt>
                <c:pt idx="1159">
                  <c:v>1208.3714936877991</c:v>
                </c:pt>
                <c:pt idx="1160">
                  <c:v>1208.3714936877991</c:v>
                </c:pt>
                <c:pt idx="1161">
                  <c:v>1208.3714936877991</c:v>
                </c:pt>
                <c:pt idx="1162">
                  <c:v>1208.3714936877991</c:v>
                </c:pt>
                <c:pt idx="1163">
                  <c:v>1208.3714936877991</c:v>
                </c:pt>
                <c:pt idx="1164">
                  <c:v>1208.3714936877991</c:v>
                </c:pt>
                <c:pt idx="1165">
                  <c:v>1208.3714936877991</c:v>
                </c:pt>
                <c:pt idx="1166">
                  <c:v>1208.3714936877991</c:v>
                </c:pt>
                <c:pt idx="1167">
                  <c:v>1208.3714936877991</c:v>
                </c:pt>
                <c:pt idx="1168">
                  <c:v>1208.3714936877991</c:v>
                </c:pt>
                <c:pt idx="1169">
                  <c:v>1208.3714936877991</c:v>
                </c:pt>
                <c:pt idx="1170">
                  <c:v>1208.3714936877991</c:v>
                </c:pt>
                <c:pt idx="1171">
                  <c:v>1208.3714936877991</c:v>
                </c:pt>
                <c:pt idx="1172">
                  <c:v>1208.3714936877991</c:v>
                </c:pt>
                <c:pt idx="1173">
                  <c:v>1208.3714936877991</c:v>
                </c:pt>
                <c:pt idx="1174">
                  <c:v>1208.3714936877991</c:v>
                </c:pt>
                <c:pt idx="1175">
                  <c:v>1208.3714936877991</c:v>
                </c:pt>
                <c:pt idx="1176">
                  <c:v>1208.3714936877991</c:v>
                </c:pt>
                <c:pt idx="1177">
                  <c:v>1208.3714936877991</c:v>
                </c:pt>
                <c:pt idx="1178">
                  <c:v>1208.3714936877991</c:v>
                </c:pt>
                <c:pt idx="1179">
                  <c:v>1208.3714936877991</c:v>
                </c:pt>
                <c:pt idx="1180">
                  <c:v>1208.3714936877991</c:v>
                </c:pt>
                <c:pt idx="1181">
                  <c:v>1208.3714936877991</c:v>
                </c:pt>
                <c:pt idx="1182">
                  <c:v>1208.3714936877991</c:v>
                </c:pt>
                <c:pt idx="1183">
                  <c:v>1208.3714936877991</c:v>
                </c:pt>
                <c:pt idx="1184">
                  <c:v>1208.3714936877991</c:v>
                </c:pt>
                <c:pt idx="1185">
                  <c:v>1208.3714936877991</c:v>
                </c:pt>
                <c:pt idx="1186">
                  <c:v>1208.3714936877991</c:v>
                </c:pt>
                <c:pt idx="1187">
                  <c:v>1208.3714936877991</c:v>
                </c:pt>
                <c:pt idx="1188">
                  <c:v>1208.3714936877991</c:v>
                </c:pt>
                <c:pt idx="1189">
                  <c:v>1208.3714936877991</c:v>
                </c:pt>
                <c:pt idx="1190">
                  <c:v>1208.3714936877991</c:v>
                </c:pt>
                <c:pt idx="1191">
                  <c:v>1208.3714936877991</c:v>
                </c:pt>
                <c:pt idx="1192">
                  <c:v>1208.3714936877991</c:v>
                </c:pt>
                <c:pt idx="1193">
                  <c:v>1208.3714936877991</c:v>
                </c:pt>
                <c:pt idx="1194">
                  <c:v>1208.3714936877991</c:v>
                </c:pt>
                <c:pt idx="1195">
                  <c:v>1208.3714936877991</c:v>
                </c:pt>
                <c:pt idx="1196">
                  <c:v>1208.3714936877991</c:v>
                </c:pt>
                <c:pt idx="1197">
                  <c:v>1208.3714936877991</c:v>
                </c:pt>
                <c:pt idx="1198">
                  <c:v>1208.3714936877991</c:v>
                </c:pt>
                <c:pt idx="1199">
                  <c:v>1208.3714936877991</c:v>
                </c:pt>
                <c:pt idx="1200">
                  <c:v>1208.3714936877991</c:v>
                </c:pt>
                <c:pt idx="1201">
                  <c:v>1208.3714936877991</c:v>
                </c:pt>
                <c:pt idx="1202">
                  <c:v>1208.3714936877991</c:v>
                </c:pt>
                <c:pt idx="1203">
                  <c:v>1208.3714936877991</c:v>
                </c:pt>
                <c:pt idx="1204">
                  <c:v>1208.3714936877991</c:v>
                </c:pt>
                <c:pt idx="1205">
                  <c:v>1208.3714936877991</c:v>
                </c:pt>
                <c:pt idx="1206">
                  <c:v>1208.3714936877991</c:v>
                </c:pt>
                <c:pt idx="1207">
                  <c:v>1208.3714936877991</c:v>
                </c:pt>
                <c:pt idx="1208">
                  <c:v>1208.3714936877991</c:v>
                </c:pt>
                <c:pt idx="1209">
                  <c:v>1208.3714936877991</c:v>
                </c:pt>
                <c:pt idx="1210">
                  <c:v>1208.3714936877991</c:v>
                </c:pt>
                <c:pt idx="1211">
                  <c:v>1208.3714936877991</c:v>
                </c:pt>
                <c:pt idx="1212">
                  <c:v>1208.3714936877991</c:v>
                </c:pt>
                <c:pt idx="1213">
                  <c:v>1208.3714936877991</c:v>
                </c:pt>
                <c:pt idx="1214">
                  <c:v>1208.3714936877991</c:v>
                </c:pt>
                <c:pt idx="1215">
                  <c:v>1208.3714936877991</c:v>
                </c:pt>
                <c:pt idx="1216">
                  <c:v>1208.3714936877991</c:v>
                </c:pt>
                <c:pt idx="1217">
                  <c:v>1208.3714936877991</c:v>
                </c:pt>
                <c:pt idx="1218">
                  <c:v>1208.3714936877991</c:v>
                </c:pt>
                <c:pt idx="1219">
                  <c:v>1208.3714936877991</c:v>
                </c:pt>
                <c:pt idx="1220">
                  <c:v>1208.3714936877991</c:v>
                </c:pt>
                <c:pt idx="1221">
                  <c:v>1208.3714936877991</c:v>
                </c:pt>
                <c:pt idx="1222">
                  <c:v>1208.3714936877991</c:v>
                </c:pt>
                <c:pt idx="1223">
                  <c:v>1208.3714936877991</c:v>
                </c:pt>
                <c:pt idx="1224">
                  <c:v>1208.3714936877991</c:v>
                </c:pt>
                <c:pt idx="1225">
                  <c:v>1208.3714936877991</c:v>
                </c:pt>
                <c:pt idx="1226">
                  <c:v>1208.3714936877991</c:v>
                </c:pt>
                <c:pt idx="1227">
                  <c:v>1208.3714936877991</c:v>
                </c:pt>
                <c:pt idx="1228">
                  <c:v>1208.3714936877991</c:v>
                </c:pt>
                <c:pt idx="1229">
                  <c:v>1208.3714936877991</c:v>
                </c:pt>
                <c:pt idx="1230">
                  <c:v>1208.3714936877991</c:v>
                </c:pt>
                <c:pt idx="1231">
                  <c:v>1208.3714936877991</c:v>
                </c:pt>
                <c:pt idx="1232">
                  <c:v>1208.3714936877991</c:v>
                </c:pt>
                <c:pt idx="1233">
                  <c:v>1208.3714936877991</c:v>
                </c:pt>
                <c:pt idx="1234">
                  <c:v>1208.3714936877991</c:v>
                </c:pt>
                <c:pt idx="1235">
                  <c:v>1208.3714936877991</c:v>
                </c:pt>
                <c:pt idx="1236">
                  <c:v>1208.3714936877991</c:v>
                </c:pt>
                <c:pt idx="1237">
                  <c:v>1208.3714936877991</c:v>
                </c:pt>
                <c:pt idx="1238">
                  <c:v>1208.3714936877991</c:v>
                </c:pt>
                <c:pt idx="1239">
                  <c:v>1208.3714936877991</c:v>
                </c:pt>
                <c:pt idx="1240">
                  <c:v>1208.3714936877991</c:v>
                </c:pt>
                <c:pt idx="1241">
                  <c:v>1208.3714936877991</c:v>
                </c:pt>
                <c:pt idx="1242">
                  <c:v>1208.3714936877991</c:v>
                </c:pt>
                <c:pt idx="1243">
                  <c:v>1208.3714936877991</c:v>
                </c:pt>
                <c:pt idx="1244">
                  <c:v>1208.3714936877991</c:v>
                </c:pt>
                <c:pt idx="1245">
                  <c:v>1208.3714936877991</c:v>
                </c:pt>
                <c:pt idx="1246">
                  <c:v>1208.3714936877991</c:v>
                </c:pt>
                <c:pt idx="1247">
                  <c:v>1208.3714936877991</c:v>
                </c:pt>
                <c:pt idx="1248">
                  <c:v>1208.3714936877991</c:v>
                </c:pt>
                <c:pt idx="1249">
                  <c:v>1208.3714936877991</c:v>
                </c:pt>
                <c:pt idx="1250">
                  <c:v>1208.3714936877991</c:v>
                </c:pt>
                <c:pt idx="1251">
                  <c:v>1208.3714936877991</c:v>
                </c:pt>
                <c:pt idx="1252">
                  <c:v>1208.3714936877991</c:v>
                </c:pt>
                <c:pt idx="1253">
                  <c:v>1208.3714936877991</c:v>
                </c:pt>
                <c:pt idx="1254">
                  <c:v>1208.3714936877991</c:v>
                </c:pt>
                <c:pt idx="1255">
                  <c:v>1208.3714936877991</c:v>
                </c:pt>
                <c:pt idx="1256">
                  <c:v>1208.3714936877991</c:v>
                </c:pt>
                <c:pt idx="1257">
                  <c:v>1208.3714936877991</c:v>
                </c:pt>
                <c:pt idx="1258">
                  <c:v>1208.3714936877991</c:v>
                </c:pt>
                <c:pt idx="1259">
                  <c:v>1208.3714936877991</c:v>
                </c:pt>
                <c:pt idx="1260">
                  <c:v>1208.3714936877991</c:v>
                </c:pt>
                <c:pt idx="1261">
                  <c:v>1208.3714936877991</c:v>
                </c:pt>
                <c:pt idx="1262">
                  <c:v>1208.3714936877991</c:v>
                </c:pt>
                <c:pt idx="1263">
                  <c:v>1208.3714936877991</c:v>
                </c:pt>
                <c:pt idx="1264">
                  <c:v>1208.3714936877991</c:v>
                </c:pt>
                <c:pt idx="1265">
                  <c:v>1208.3714936877991</c:v>
                </c:pt>
                <c:pt idx="1266">
                  <c:v>1208.3714936877991</c:v>
                </c:pt>
                <c:pt idx="1267">
                  <c:v>1208.3714936877991</c:v>
                </c:pt>
                <c:pt idx="1268">
                  <c:v>1208.3714936877991</c:v>
                </c:pt>
                <c:pt idx="1269">
                  <c:v>1208.3714936877991</c:v>
                </c:pt>
                <c:pt idx="1270">
                  <c:v>1208.3714936877991</c:v>
                </c:pt>
                <c:pt idx="1271">
                  <c:v>1208.3714936877991</c:v>
                </c:pt>
                <c:pt idx="1272">
                  <c:v>1208.3714936877991</c:v>
                </c:pt>
                <c:pt idx="1273">
                  <c:v>1208.3714936877991</c:v>
                </c:pt>
                <c:pt idx="1274">
                  <c:v>1208.3714936877991</c:v>
                </c:pt>
                <c:pt idx="1275">
                  <c:v>1208.3714936877991</c:v>
                </c:pt>
                <c:pt idx="1276">
                  <c:v>1208.3714936877991</c:v>
                </c:pt>
                <c:pt idx="1277">
                  <c:v>1208.3714936877991</c:v>
                </c:pt>
                <c:pt idx="1278">
                  <c:v>1208.3714936877991</c:v>
                </c:pt>
                <c:pt idx="1279">
                  <c:v>1208.3714936877991</c:v>
                </c:pt>
                <c:pt idx="1280">
                  <c:v>1208.3714936877991</c:v>
                </c:pt>
                <c:pt idx="1281">
                  <c:v>1208.3714936877991</c:v>
                </c:pt>
                <c:pt idx="1282">
                  <c:v>1208.3714936877991</c:v>
                </c:pt>
                <c:pt idx="1283">
                  <c:v>1208.3714936877991</c:v>
                </c:pt>
                <c:pt idx="1284">
                  <c:v>1208.3714936877991</c:v>
                </c:pt>
                <c:pt idx="1285">
                  <c:v>1208.3714936877991</c:v>
                </c:pt>
                <c:pt idx="1286">
                  <c:v>1208.3714936877991</c:v>
                </c:pt>
                <c:pt idx="1287">
                  <c:v>1208.3714936877991</c:v>
                </c:pt>
                <c:pt idx="1288">
                  <c:v>1208.3714936877991</c:v>
                </c:pt>
                <c:pt idx="1289">
                  <c:v>1208.3714936877991</c:v>
                </c:pt>
                <c:pt idx="1290">
                  <c:v>1208.3714936877991</c:v>
                </c:pt>
                <c:pt idx="1291">
                  <c:v>1208.3714936877991</c:v>
                </c:pt>
                <c:pt idx="1292">
                  <c:v>1208.3714936877991</c:v>
                </c:pt>
                <c:pt idx="1293">
                  <c:v>1208.3714936877991</c:v>
                </c:pt>
                <c:pt idx="1294">
                  <c:v>1208.3714936877991</c:v>
                </c:pt>
                <c:pt idx="1295">
                  <c:v>1208.3714936877991</c:v>
                </c:pt>
                <c:pt idx="1296">
                  <c:v>1208.3714936877991</c:v>
                </c:pt>
                <c:pt idx="1297">
                  <c:v>1208.3714936877991</c:v>
                </c:pt>
                <c:pt idx="1298">
                  <c:v>1208.3714936877991</c:v>
                </c:pt>
                <c:pt idx="1299">
                  <c:v>1208.3714936877991</c:v>
                </c:pt>
                <c:pt idx="1300">
                  <c:v>1208.3714936877991</c:v>
                </c:pt>
                <c:pt idx="1301">
                  <c:v>1208.3714936877991</c:v>
                </c:pt>
                <c:pt idx="1302">
                  <c:v>1208.3714936877991</c:v>
                </c:pt>
                <c:pt idx="1303">
                  <c:v>1208.3714936877991</c:v>
                </c:pt>
                <c:pt idx="1304">
                  <c:v>1208.3714936877991</c:v>
                </c:pt>
                <c:pt idx="1305">
                  <c:v>1208.3714936877991</c:v>
                </c:pt>
                <c:pt idx="1306">
                  <c:v>1208.3714936877991</c:v>
                </c:pt>
                <c:pt idx="1307">
                  <c:v>1208.3714936877991</c:v>
                </c:pt>
                <c:pt idx="1308">
                  <c:v>1208.3714936877991</c:v>
                </c:pt>
                <c:pt idx="1309">
                  <c:v>1044.7290289347989</c:v>
                </c:pt>
                <c:pt idx="1310">
                  <c:v>1044.7290289347989</c:v>
                </c:pt>
                <c:pt idx="1311">
                  <c:v>1044.7290289347989</c:v>
                </c:pt>
                <c:pt idx="1312">
                  <c:v>1044.7290289347989</c:v>
                </c:pt>
                <c:pt idx="1313">
                  <c:v>1044.7290289347989</c:v>
                </c:pt>
                <c:pt idx="1314">
                  <c:v>1044.7290289347989</c:v>
                </c:pt>
                <c:pt idx="1315">
                  <c:v>1044.7290289347989</c:v>
                </c:pt>
                <c:pt idx="1316">
                  <c:v>1044.7290289347989</c:v>
                </c:pt>
                <c:pt idx="1317">
                  <c:v>1044.7290289347989</c:v>
                </c:pt>
                <c:pt idx="1318">
                  <c:v>1044.7290289347989</c:v>
                </c:pt>
                <c:pt idx="1319">
                  <c:v>1044.7290289347989</c:v>
                </c:pt>
                <c:pt idx="1320">
                  <c:v>1044.7290289347989</c:v>
                </c:pt>
                <c:pt idx="1321">
                  <c:v>1044.7290289347989</c:v>
                </c:pt>
                <c:pt idx="1322">
                  <c:v>1044.7290289347989</c:v>
                </c:pt>
                <c:pt idx="1323">
                  <c:v>1044.7290289347989</c:v>
                </c:pt>
                <c:pt idx="1324">
                  <c:v>1044.7290289347989</c:v>
                </c:pt>
                <c:pt idx="1325">
                  <c:v>1044.7290289347989</c:v>
                </c:pt>
                <c:pt idx="1326">
                  <c:v>1044.7290289347989</c:v>
                </c:pt>
                <c:pt idx="1327">
                  <c:v>1044.7290289347989</c:v>
                </c:pt>
                <c:pt idx="1328">
                  <c:v>1044.7290289347989</c:v>
                </c:pt>
                <c:pt idx="1329">
                  <c:v>1044.7290289347989</c:v>
                </c:pt>
                <c:pt idx="1330">
                  <c:v>1044.7290289347989</c:v>
                </c:pt>
                <c:pt idx="1331">
                  <c:v>1044.7290289347989</c:v>
                </c:pt>
                <c:pt idx="1332">
                  <c:v>1044.7290289347989</c:v>
                </c:pt>
                <c:pt idx="1333">
                  <c:v>1044.7290289347989</c:v>
                </c:pt>
                <c:pt idx="1334">
                  <c:v>1044.7290289347989</c:v>
                </c:pt>
                <c:pt idx="1335">
                  <c:v>1044.7290289347989</c:v>
                </c:pt>
                <c:pt idx="1336">
                  <c:v>1044.7290289347989</c:v>
                </c:pt>
                <c:pt idx="1337">
                  <c:v>1044.7290289347989</c:v>
                </c:pt>
                <c:pt idx="1338">
                  <c:v>1044.7290289347989</c:v>
                </c:pt>
                <c:pt idx="1339">
                  <c:v>1044.7290289347989</c:v>
                </c:pt>
                <c:pt idx="1340">
                  <c:v>1044.7290289347989</c:v>
                </c:pt>
                <c:pt idx="1341">
                  <c:v>1044.7290289347989</c:v>
                </c:pt>
                <c:pt idx="1342">
                  <c:v>1044.7290289347989</c:v>
                </c:pt>
                <c:pt idx="1343">
                  <c:v>1044.7290289347989</c:v>
                </c:pt>
                <c:pt idx="1344">
                  <c:v>1044.7290289347989</c:v>
                </c:pt>
                <c:pt idx="1345">
                  <c:v>1044.7290289347989</c:v>
                </c:pt>
                <c:pt idx="1346">
                  <c:v>1044.7290289347989</c:v>
                </c:pt>
                <c:pt idx="1347">
                  <c:v>1044.7290289347989</c:v>
                </c:pt>
                <c:pt idx="1348">
                  <c:v>1044.7290289347989</c:v>
                </c:pt>
                <c:pt idx="1349">
                  <c:v>1044.7290289347989</c:v>
                </c:pt>
                <c:pt idx="1350">
                  <c:v>1044.7290289347989</c:v>
                </c:pt>
                <c:pt idx="1351">
                  <c:v>1044.7290289347989</c:v>
                </c:pt>
                <c:pt idx="1352">
                  <c:v>1044.7290289347989</c:v>
                </c:pt>
                <c:pt idx="1353">
                  <c:v>1044.7290289347989</c:v>
                </c:pt>
                <c:pt idx="1354">
                  <c:v>1044.7290289347989</c:v>
                </c:pt>
                <c:pt idx="1355">
                  <c:v>1044.7290289347989</c:v>
                </c:pt>
                <c:pt idx="1356">
                  <c:v>1044.7290289347989</c:v>
                </c:pt>
                <c:pt idx="1357">
                  <c:v>1044.7290289347989</c:v>
                </c:pt>
                <c:pt idx="1358">
                  <c:v>1044.7290289347989</c:v>
                </c:pt>
                <c:pt idx="1359">
                  <c:v>1044.7290289347989</c:v>
                </c:pt>
                <c:pt idx="1360">
                  <c:v>1044.7290289347989</c:v>
                </c:pt>
                <c:pt idx="1361">
                  <c:v>1044.7290289347989</c:v>
                </c:pt>
                <c:pt idx="1362">
                  <c:v>1044.7290289347989</c:v>
                </c:pt>
                <c:pt idx="1363">
                  <c:v>1044.7290289347989</c:v>
                </c:pt>
                <c:pt idx="1364">
                  <c:v>1044.7290289347989</c:v>
                </c:pt>
                <c:pt idx="1365">
                  <c:v>1044.7290289347989</c:v>
                </c:pt>
                <c:pt idx="1366">
                  <c:v>1044.7290289347989</c:v>
                </c:pt>
                <c:pt idx="1367">
                  <c:v>1044.7290289347989</c:v>
                </c:pt>
                <c:pt idx="1368">
                  <c:v>1044.7290289347989</c:v>
                </c:pt>
                <c:pt idx="1369">
                  <c:v>1044.7290289347989</c:v>
                </c:pt>
                <c:pt idx="1370">
                  <c:v>1044.7290289347989</c:v>
                </c:pt>
                <c:pt idx="1371">
                  <c:v>1044.7290289347989</c:v>
                </c:pt>
                <c:pt idx="1372">
                  <c:v>1044.7290289347989</c:v>
                </c:pt>
                <c:pt idx="1373">
                  <c:v>1044.7290289347989</c:v>
                </c:pt>
                <c:pt idx="1374">
                  <c:v>1044.7290289347989</c:v>
                </c:pt>
                <c:pt idx="1375">
                  <c:v>1044.7290289347989</c:v>
                </c:pt>
                <c:pt idx="1376">
                  <c:v>1044.7290289347989</c:v>
                </c:pt>
                <c:pt idx="1377">
                  <c:v>1044.7290289347989</c:v>
                </c:pt>
                <c:pt idx="1378">
                  <c:v>1044.7290289347989</c:v>
                </c:pt>
                <c:pt idx="1379">
                  <c:v>1044.7290289347989</c:v>
                </c:pt>
                <c:pt idx="1380">
                  <c:v>1044.7290289347989</c:v>
                </c:pt>
                <c:pt idx="1381">
                  <c:v>1044.7290289347989</c:v>
                </c:pt>
                <c:pt idx="1382">
                  <c:v>1044.7290289347989</c:v>
                </c:pt>
                <c:pt idx="1383">
                  <c:v>1044.7290289347989</c:v>
                </c:pt>
                <c:pt idx="1384">
                  <c:v>1044.7290289347989</c:v>
                </c:pt>
                <c:pt idx="1385">
                  <c:v>1044.7290289347989</c:v>
                </c:pt>
                <c:pt idx="1386">
                  <c:v>1044.7290289347989</c:v>
                </c:pt>
                <c:pt idx="1387">
                  <c:v>1044.7290289347989</c:v>
                </c:pt>
                <c:pt idx="1388">
                  <c:v>1044.7290289347989</c:v>
                </c:pt>
                <c:pt idx="1389">
                  <c:v>1044.7290289347989</c:v>
                </c:pt>
                <c:pt idx="1390">
                  <c:v>1044.7290289347989</c:v>
                </c:pt>
                <c:pt idx="1391">
                  <c:v>1044.7290289347989</c:v>
                </c:pt>
                <c:pt idx="1392">
                  <c:v>1044.7290289347989</c:v>
                </c:pt>
                <c:pt idx="1393">
                  <c:v>1044.7290289347989</c:v>
                </c:pt>
                <c:pt idx="1394">
                  <c:v>1044.7290289347989</c:v>
                </c:pt>
                <c:pt idx="1395">
                  <c:v>1044.7290289347989</c:v>
                </c:pt>
                <c:pt idx="1396">
                  <c:v>1044.7290289347989</c:v>
                </c:pt>
                <c:pt idx="1397">
                  <c:v>1044.7290289347989</c:v>
                </c:pt>
                <c:pt idx="1398">
                  <c:v>1044.7290289347989</c:v>
                </c:pt>
                <c:pt idx="1399">
                  <c:v>1044.7290289347989</c:v>
                </c:pt>
                <c:pt idx="1400">
                  <c:v>1044.7290289347989</c:v>
                </c:pt>
                <c:pt idx="1401">
                  <c:v>1044.7290289347989</c:v>
                </c:pt>
                <c:pt idx="1402">
                  <c:v>1044.7290289347989</c:v>
                </c:pt>
                <c:pt idx="1403">
                  <c:v>1044.7290289347989</c:v>
                </c:pt>
                <c:pt idx="1404">
                  <c:v>1044.7290289347989</c:v>
                </c:pt>
                <c:pt idx="1405">
                  <c:v>1044.7290289347989</c:v>
                </c:pt>
                <c:pt idx="1406">
                  <c:v>1044.7290289347989</c:v>
                </c:pt>
                <c:pt idx="1407">
                  <c:v>1044.7290289347989</c:v>
                </c:pt>
                <c:pt idx="1408">
                  <c:v>1044.7290289347989</c:v>
                </c:pt>
                <c:pt idx="1409">
                  <c:v>1044.7290289347989</c:v>
                </c:pt>
                <c:pt idx="1410">
                  <c:v>1044.7290289347989</c:v>
                </c:pt>
                <c:pt idx="1411">
                  <c:v>1044.7290289347989</c:v>
                </c:pt>
                <c:pt idx="1412">
                  <c:v>1044.7290289347989</c:v>
                </c:pt>
                <c:pt idx="1413">
                  <c:v>1044.7290289347989</c:v>
                </c:pt>
                <c:pt idx="1414">
                  <c:v>1044.7290289347989</c:v>
                </c:pt>
                <c:pt idx="1415">
                  <c:v>1044.7290289347989</c:v>
                </c:pt>
                <c:pt idx="1416">
                  <c:v>1044.7290289347989</c:v>
                </c:pt>
                <c:pt idx="1417">
                  <c:v>1044.7290289347989</c:v>
                </c:pt>
                <c:pt idx="1418">
                  <c:v>1044.7290289347989</c:v>
                </c:pt>
                <c:pt idx="1419">
                  <c:v>1044.7290289347989</c:v>
                </c:pt>
                <c:pt idx="1420">
                  <c:v>1044.7290289347989</c:v>
                </c:pt>
                <c:pt idx="1421">
                  <c:v>1044.7290289347989</c:v>
                </c:pt>
                <c:pt idx="1422">
                  <c:v>1044.7290289347989</c:v>
                </c:pt>
                <c:pt idx="1423">
                  <c:v>1044.7290289347989</c:v>
                </c:pt>
                <c:pt idx="1424">
                  <c:v>1044.7290289347989</c:v>
                </c:pt>
                <c:pt idx="1425">
                  <c:v>1044.7290289347989</c:v>
                </c:pt>
                <c:pt idx="1426">
                  <c:v>1044.7290289347989</c:v>
                </c:pt>
                <c:pt idx="1427">
                  <c:v>1044.7290289347989</c:v>
                </c:pt>
                <c:pt idx="1428">
                  <c:v>1044.7290289347989</c:v>
                </c:pt>
                <c:pt idx="1429">
                  <c:v>1044.7290289347989</c:v>
                </c:pt>
                <c:pt idx="1430">
                  <c:v>1044.7290289347989</c:v>
                </c:pt>
                <c:pt idx="1431">
                  <c:v>1044.7290289347989</c:v>
                </c:pt>
                <c:pt idx="1432">
                  <c:v>1044.7290289347989</c:v>
                </c:pt>
                <c:pt idx="1433">
                  <c:v>1044.7290289347989</c:v>
                </c:pt>
                <c:pt idx="1434">
                  <c:v>1044.7290289347989</c:v>
                </c:pt>
                <c:pt idx="1435">
                  <c:v>1044.7290289347989</c:v>
                </c:pt>
                <c:pt idx="1436">
                  <c:v>1044.7290289347989</c:v>
                </c:pt>
                <c:pt idx="1437">
                  <c:v>1044.7290289347989</c:v>
                </c:pt>
                <c:pt idx="1438">
                  <c:v>1044.7290289347989</c:v>
                </c:pt>
                <c:pt idx="1439">
                  <c:v>1044.7290289347989</c:v>
                </c:pt>
                <c:pt idx="1440">
                  <c:v>1044.7290289347989</c:v>
                </c:pt>
                <c:pt idx="1441">
                  <c:v>1044.7290289347989</c:v>
                </c:pt>
                <c:pt idx="1442">
                  <c:v>1044.7290289347989</c:v>
                </c:pt>
                <c:pt idx="1443">
                  <c:v>1044.7290289347989</c:v>
                </c:pt>
                <c:pt idx="1444">
                  <c:v>1044.7290289347989</c:v>
                </c:pt>
                <c:pt idx="1445">
                  <c:v>1044.7290289347989</c:v>
                </c:pt>
                <c:pt idx="1446">
                  <c:v>1044.7290289347989</c:v>
                </c:pt>
                <c:pt idx="1447">
                  <c:v>1044.7290289347989</c:v>
                </c:pt>
                <c:pt idx="1448">
                  <c:v>1044.7290289347989</c:v>
                </c:pt>
                <c:pt idx="1449">
                  <c:v>1044.7290289347989</c:v>
                </c:pt>
                <c:pt idx="1450">
                  <c:v>1044.7290289347989</c:v>
                </c:pt>
                <c:pt idx="1451">
                  <c:v>1044.7290289347989</c:v>
                </c:pt>
                <c:pt idx="1452">
                  <c:v>1044.7290289347989</c:v>
                </c:pt>
                <c:pt idx="1453">
                  <c:v>1044.7290289347989</c:v>
                </c:pt>
                <c:pt idx="1454">
                  <c:v>1044.7290289347989</c:v>
                </c:pt>
                <c:pt idx="1455">
                  <c:v>1044.7290289347989</c:v>
                </c:pt>
                <c:pt idx="1456">
                  <c:v>1044.7290289347989</c:v>
                </c:pt>
                <c:pt idx="1457">
                  <c:v>1044.7290289347989</c:v>
                </c:pt>
                <c:pt idx="1458">
                  <c:v>1044.7290289347989</c:v>
                </c:pt>
                <c:pt idx="1459">
                  <c:v>1044.7290289347989</c:v>
                </c:pt>
                <c:pt idx="1460">
                  <c:v>1044.7290289347989</c:v>
                </c:pt>
                <c:pt idx="1461">
                  <c:v>1044.7290289347989</c:v>
                </c:pt>
                <c:pt idx="1462">
                  <c:v>1044.7290289347989</c:v>
                </c:pt>
                <c:pt idx="1463">
                  <c:v>1044.7290289347989</c:v>
                </c:pt>
                <c:pt idx="1464">
                  <c:v>1044.7290289347989</c:v>
                </c:pt>
                <c:pt idx="1465">
                  <c:v>1044.7290289347989</c:v>
                </c:pt>
                <c:pt idx="1466">
                  <c:v>1044.7290289347989</c:v>
                </c:pt>
                <c:pt idx="1467">
                  <c:v>1044.7290289347989</c:v>
                </c:pt>
                <c:pt idx="1468">
                  <c:v>1044.7290289347989</c:v>
                </c:pt>
                <c:pt idx="1469">
                  <c:v>1044.7290289347989</c:v>
                </c:pt>
                <c:pt idx="1470">
                  <c:v>1044.7290289347989</c:v>
                </c:pt>
                <c:pt idx="1471">
                  <c:v>1044.7290289347989</c:v>
                </c:pt>
                <c:pt idx="1472">
                  <c:v>1044.7290289347989</c:v>
                </c:pt>
                <c:pt idx="1473">
                  <c:v>1044.7290289347989</c:v>
                </c:pt>
                <c:pt idx="1474">
                  <c:v>1044.7290289347989</c:v>
                </c:pt>
                <c:pt idx="1475">
                  <c:v>1044.7290289347989</c:v>
                </c:pt>
                <c:pt idx="1476">
                  <c:v>1044.7290289347989</c:v>
                </c:pt>
                <c:pt idx="1477">
                  <c:v>1044.7290289347989</c:v>
                </c:pt>
                <c:pt idx="1478">
                  <c:v>1044.7290289347989</c:v>
                </c:pt>
                <c:pt idx="1479">
                  <c:v>1044.7290289347989</c:v>
                </c:pt>
                <c:pt idx="1480">
                  <c:v>1044.7290289347989</c:v>
                </c:pt>
                <c:pt idx="1481">
                  <c:v>1044.7290289347989</c:v>
                </c:pt>
                <c:pt idx="1482">
                  <c:v>1044.7290289347989</c:v>
                </c:pt>
                <c:pt idx="1483">
                  <c:v>1044.7290289347989</c:v>
                </c:pt>
                <c:pt idx="1484">
                  <c:v>1044.7290289347989</c:v>
                </c:pt>
                <c:pt idx="1485">
                  <c:v>1044.7290289347989</c:v>
                </c:pt>
                <c:pt idx="1486">
                  <c:v>1044.7290289347989</c:v>
                </c:pt>
                <c:pt idx="1487">
                  <c:v>1044.7290289347989</c:v>
                </c:pt>
                <c:pt idx="1488">
                  <c:v>1044.7290289347989</c:v>
                </c:pt>
                <c:pt idx="1489">
                  <c:v>1044.7290289347989</c:v>
                </c:pt>
                <c:pt idx="1490">
                  <c:v>1044.7290289347989</c:v>
                </c:pt>
                <c:pt idx="1491">
                  <c:v>1044.7290289347989</c:v>
                </c:pt>
                <c:pt idx="1492">
                  <c:v>1044.7290289347989</c:v>
                </c:pt>
                <c:pt idx="1493">
                  <c:v>1044.7290289347989</c:v>
                </c:pt>
                <c:pt idx="1494">
                  <c:v>1044.7290289347989</c:v>
                </c:pt>
                <c:pt idx="1495">
                  <c:v>1044.7290289347989</c:v>
                </c:pt>
                <c:pt idx="1496">
                  <c:v>1044.7290289347989</c:v>
                </c:pt>
                <c:pt idx="1497">
                  <c:v>1044.7290289347989</c:v>
                </c:pt>
                <c:pt idx="1498">
                  <c:v>1044.7290289347989</c:v>
                </c:pt>
                <c:pt idx="1499">
                  <c:v>1044.7290289347989</c:v>
                </c:pt>
                <c:pt idx="1500">
                  <c:v>1044.7290289347989</c:v>
                </c:pt>
                <c:pt idx="1501">
                  <c:v>1044.7290289347989</c:v>
                </c:pt>
                <c:pt idx="1502">
                  <c:v>1044.7290289347989</c:v>
                </c:pt>
                <c:pt idx="1503">
                  <c:v>1044.7290289347989</c:v>
                </c:pt>
                <c:pt idx="1504">
                  <c:v>1044.7290289347989</c:v>
                </c:pt>
                <c:pt idx="1505">
                  <c:v>1044.7290289347989</c:v>
                </c:pt>
                <c:pt idx="1506">
                  <c:v>1044.7290289347989</c:v>
                </c:pt>
                <c:pt idx="1507">
                  <c:v>1044.7290289347989</c:v>
                </c:pt>
                <c:pt idx="1508">
                  <c:v>1044.7290289347989</c:v>
                </c:pt>
                <c:pt idx="1509">
                  <c:v>1044.7290289347989</c:v>
                </c:pt>
                <c:pt idx="1510">
                  <c:v>1044.7290289347989</c:v>
                </c:pt>
                <c:pt idx="1511">
                  <c:v>1044.7290289347989</c:v>
                </c:pt>
                <c:pt idx="1512">
                  <c:v>1044.7290289347989</c:v>
                </c:pt>
                <c:pt idx="1513">
                  <c:v>1044.7290289347989</c:v>
                </c:pt>
                <c:pt idx="1514">
                  <c:v>1044.7290289347989</c:v>
                </c:pt>
                <c:pt idx="1515">
                  <c:v>1044.7290289347989</c:v>
                </c:pt>
                <c:pt idx="1516">
                  <c:v>1044.7290289347989</c:v>
                </c:pt>
                <c:pt idx="1517">
                  <c:v>1044.7290289347989</c:v>
                </c:pt>
                <c:pt idx="1518">
                  <c:v>1044.7290289347989</c:v>
                </c:pt>
                <c:pt idx="1519">
                  <c:v>1044.7290289347989</c:v>
                </c:pt>
                <c:pt idx="1520">
                  <c:v>1044.7290289347989</c:v>
                </c:pt>
                <c:pt idx="1521">
                  <c:v>1044.7290289347989</c:v>
                </c:pt>
                <c:pt idx="1522">
                  <c:v>1044.7290289347989</c:v>
                </c:pt>
                <c:pt idx="1523">
                  <c:v>1044.7290289347989</c:v>
                </c:pt>
                <c:pt idx="1524">
                  <c:v>1044.7290289347989</c:v>
                </c:pt>
                <c:pt idx="1525">
                  <c:v>1044.7290289347989</c:v>
                </c:pt>
                <c:pt idx="1526">
                  <c:v>1044.7290289347989</c:v>
                </c:pt>
                <c:pt idx="1527">
                  <c:v>1044.7290289347989</c:v>
                </c:pt>
                <c:pt idx="1528">
                  <c:v>1044.7290289347989</c:v>
                </c:pt>
                <c:pt idx="1529">
                  <c:v>1044.7290289347989</c:v>
                </c:pt>
                <c:pt idx="1530">
                  <c:v>1044.7290289347989</c:v>
                </c:pt>
                <c:pt idx="1531">
                  <c:v>1044.7290289347989</c:v>
                </c:pt>
                <c:pt idx="1532">
                  <c:v>1044.7290289347989</c:v>
                </c:pt>
                <c:pt idx="1533">
                  <c:v>1044.7290289347989</c:v>
                </c:pt>
                <c:pt idx="1534">
                  <c:v>1044.7290289347989</c:v>
                </c:pt>
                <c:pt idx="1535">
                  <c:v>1044.7290289347989</c:v>
                </c:pt>
                <c:pt idx="1536">
                  <c:v>1044.7290289347989</c:v>
                </c:pt>
                <c:pt idx="1537">
                  <c:v>1044.7290289347989</c:v>
                </c:pt>
                <c:pt idx="1538">
                  <c:v>1044.7290289347989</c:v>
                </c:pt>
                <c:pt idx="1539">
                  <c:v>1044.7290289347989</c:v>
                </c:pt>
                <c:pt idx="1540">
                  <c:v>1044.7290289347989</c:v>
                </c:pt>
                <c:pt idx="1541">
                  <c:v>1044.7290289347989</c:v>
                </c:pt>
                <c:pt idx="1542">
                  <c:v>1044.7290289347989</c:v>
                </c:pt>
                <c:pt idx="1543">
                  <c:v>1044.7290289347989</c:v>
                </c:pt>
                <c:pt idx="1544">
                  <c:v>1044.7290289347989</c:v>
                </c:pt>
                <c:pt idx="1545">
                  <c:v>1044.7290289347989</c:v>
                </c:pt>
                <c:pt idx="1546">
                  <c:v>1044.7290289347989</c:v>
                </c:pt>
                <c:pt idx="1547">
                  <c:v>1044.7290289347989</c:v>
                </c:pt>
                <c:pt idx="1548">
                  <c:v>1044.7290289347989</c:v>
                </c:pt>
                <c:pt idx="1549">
                  <c:v>1044.7290289347989</c:v>
                </c:pt>
                <c:pt idx="1550">
                  <c:v>1044.7290289347989</c:v>
                </c:pt>
                <c:pt idx="1551">
                  <c:v>1044.7290289347989</c:v>
                </c:pt>
                <c:pt idx="1552">
                  <c:v>1044.7290289347989</c:v>
                </c:pt>
                <c:pt idx="1553">
                  <c:v>1044.7290289347989</c:v>
                </c:pt>
                <c:pt idx="1554">
                  <c:v>1044.7290289347989</c:v>
                </c:pt>
                <c:pt idx="1555">
                  <c:v>1044.7290289347989</c:v>
                </c:pt>
                <c:pt idx="1556">
                  <c:v>1044.7290289347989</c:v>
                </c:pt>
                <c:pt idx="1557">
                  <c:v>1044.7290289347989</c:v>
                </c:pt>
                <c:pt idx="1558">
                  <c:v>1044.7290289347989</c:v>
                </c:pt>
                <c:pt idx="1559">
                  <c:v>1044.7290289347989</c:v>
                </c:pt>
                <c:pt idx="1560">
                  <c:v>1044.7290289347989</c:v>
                </c:pt>
                <c:pt idx="1561">
                  <c:v>1044.7290289347989</c:v>
                </c:pt>
                <c:pt idx="1562">
                  <c:v>1044.7290289347989</c:v>
                </c:pt>
                <c:pt idx="1563">
                  <c:v>1044.7290289347989</c:v>
                </c:pt>
                <c:pt idx="1564">
                  <c:v>1044.7290289347989</c:v>
                </c:pt>
                <c:pt idx="1565">
                  <c:v>1044.7290289347989</c:v>
                </c:pt>
                <c:pt idx="1566">
                  <c:v>1044.7290289347989</c:v>
                </c:pt>
                <c:pt idx="1567">
                  <c:v>1044.7290289347989</c:v>
                </c:pt>
                <c:pt idx="1568">
                  <c:v>1044.7290289347989</c:v>
                </c:pt>
                <c:pt idx="1569">
                  <c:v>1044.7290289347989</c:v>
                </c:pt>
                <c:pt idx="1570">
                  <c:v>1044.7290289347989</c:v>
                </c:pt>
                <c:pt idx="1571">
                  <c:v>1044.7290289347989</c:v>
                </c:pt>
                <c:pt idx="1572">
                  <c:v>1044.7290289347989</c:v>
                </c:pt>
                <c:pt idx="1573">
                  <c:v>1044.7290289347989</c:v>
                </c:pt>
                <c:pt idx="1574">
                  <c:v>1044.7290289347989</c:v>
                </c:pt>
                <c:pt idx="1575">
                  <c:v>1044.7290289347989</c:v>
                </c:pt>
                <c:pt idx="1576">
                  <c:v>1044.7290289347989</c:v>
                </c:pt>
                <c:pt idx="1577">
                  <c:v>1044.7290289347989</c:v>
                </c:pt>
                <c:pt idx="1578">
                  <c:v>1044.7290289347989</c:v>
                </c:pt>
                <c:pt idx="1579">
                  <c:v>1044.7290289347989</c:v>
                </c:pt>
                <c:pt idx="1580">
                  <c:v>1044.7290289347989</c:v>
                </c:pt>
                <c:pt idx="1581">
                  <c:v>1044.7290289347989</c:v>
                </c:pt>
                <c:pt idx="1582">
                  <c:v>1044.7290289347989</c:v>
                </c:pt>
                <c:pt idx="1583">
                  <c:v>1044.7290289347989</c:v>
                </c:pt>
                <c:pt idx="1584">
                  <c:v>1044.7290289347989</c:v>
                </c:pt>
                <c:pt idx="1585">
                  <c:v>1044.7290289347989</c:v>
                </c:pt>
                <c:pt idx="1586">
                  <c:v>1044.7290289347989</c:v>
                </c:pt>
                <c:pt idx="1587">
                  <c:v>1044.7290289347989</c:v>
                </c:pt>
                <c:pt idx="1588">
                  <c:v>1044.7290289347989</c:v>
                </c:pt>
                <c:pt idx="1589">
                  <c:v>1044.7290289347989</c:v>
                </c:pt>
                <c:pt idx="1590">
                  <c:v>1044.7290289347989</c:v>
                </c:pt>
                <c:pt idx="1591">
                  <c:v>1044.7290289347989</c:v>
                </c:pt>
                <c:pt idx="1592">
                  <c:v>1044.7290289347989</c:v>
                </c:pt>
                <c:pt idx="1593">
                  <c:v>1044.7290289347989</c:v>
                </c:pt>
                <c:pt idx="1594">
                  <c:v>1044.7290289347989</c:v>
                </c:pt>
                <c:pt idx="1595">
                  <c:v>1044.7290289347989</c:v>
                </c:pt>
                <c:pt idx="1596">
                  <c:v>1044.7290289347989</c:v>
                </c:pt>
                <c:pt idx="1597">
                  <c:v>1044.7290289347989</c:v>
                </c:pt>
                <c:pt idx="1598">
                  <c:v>1044.7290289347989</c:v>
                </c:pt>
                <c:pt idx="1599">
                  <c:v>1044.7290289347989</c:v>
                </c:pt>
                <c:pt idx="1600">
                  <c:v>1044.7290289347989</c:v>
                </c:pt>
                <c:pt idx="1601">
                  <c:v>1044.7290289347989</c:v>
                </c:pt>
                <c:pt idx="1602">
                  <c:v>1044.7290289347989</c:v>
                </c:pt>
                <c:pt idx="1603">
                  <c:v>1044.7290289347989</c:v>
                </c:pt>
                <c:pt idx="1604">
                  <c:v>1044.7290289347989</c:v>
                </c:pt>
                <c:pt idx="1605">
                  <c:v>1044.7290289347989</c:v>
                </c:pt>
                <c:pt idx="1606">
                  <c:v>1044.7290289347989</c:v>
                </c:pt>
                <c:pt idx="1607">
                  <c:v>1044.7290289347989</c:v>
                </c:pt>
                <c:pt idx="1608">
                  <c:v>1044.7290289347989</c:v>
                </c:pt>
                <c:pt idx="1609">
                  <c:v>1044.7290289347989</c:v>
                </c:pt>
                <c:pt idx="1610">
                  <c:v>1044.7290289347989</c:v>
                </c:pt>
                <c:pt idx="1611">
                  <c:v>1044.7290289347989</c:v>
                </c:pt>
                <c:pt idx="1612">
                  <c:v>1044.7290289347989</c:v>
                </c:pt>
                <c:pt idx="1613">
                  <c:v>1044.7290289347989</c:v>
                </c:pt>
                <c:pt idx="1614">
                  <c:v>1044.7290289347989</c:v>
                </c:pt>
                <c:pt idx="1615">
                  <c:v>1044.7290289347989</c:v>
                </c:pt>
                <c:pt idx="1616">
                  <c:v>1044.7290289347989</c:v>
                </c:pt>
                <c:pt idx="1617">
                  <c:v>1044.7290289347989</c:v>
                </c:pt>
                <c:pt idx="1618">
                  <c:v>1044.7290289347989</c:v>
                </c:pt>
                <c:pt idx="1619">
                  <c:v>1044.7290289347989</c:v>
                </c:pt>
                <c:pt idx="1620">
                  <c:v>1044.7290289347989</c:v>
                </c:pt>
                <c:pt idx="1621">
                  <c:v>1044.7290289347989</c:v>
                </c:pt>
                <c:pt idx="1622">
                  <c:v>1044.7290289347989</c:v>
                </c:pt>
                <c:pt idx="1623">
                  <c:v>1044.7290289347989</c:v>
                </c:pt>
                <c:pt idx="1624">
                  <c:v>1044.7290289347989</c:v>
                </c:pt>
                <c:pt idx="1625">
                  <c:v>1044.7290289347989</c:v>
                </c:pt>
                <c:pt idx="1626">
                  <c:v>1044.7290289347989</c:v>
                </c:pt>
                <c:pt idx="1627">
                  <c:v>1044.7290289347989</c:v>
                </c:pt>
                <c:pt idx="1628">
                  <c:v>1044.7290289347989</c:v>
                </c:pt>
                <c:pt idx="1629">
                  <c:v>1044.7290289347989</c:v>
                </c:pt>
                <c:pt idx="1630">
                  <c:v>1044.7290289347989</c:v>
                </c:pt>
                <c:pt idx="1631">
                  <c:v>1044.7290289347989</c:v>
                </c:pt>
                <c:pt idx="1632">
                  <c:v>1044.7290289347989</c:v>
                </c:pt>
                <c:pt idx="1633">
                  <c:v>1044.7290289347989</c:v>
                </c:pt>
                <c:pt idx="1634">
                  <c:v>1044.7290289347989</c:v>
                </c:pt>
                <c:pt idx="1635">
                  <c:v>1044.7290289347989</c:v>
                </c:pt>
                <c:pt idx="1636">
                  <c:v>1044.7290289347989</c:v>
                </c:pt>
                <c:pt idx="1637">
                  <c:v>1044.7290289347989</c:v>
                </c:pt>
                <c:pt idx="1638">
                  <c:v>1044.7290289347989</c:v>
                </c:pt>
                <c:pt idx="1639">
                  <c:v>1044.7290289347989</c:v>
                </c:pt>
                <c:pt idx="1640">
                  <c:v>1044.7290289347989</c:v>
                </c:pt>
                <c:pt idx="1641">
                  <c:v>1044.7290289347989</c:v>
                </c:pt>
                <c:pt idx="1642">
                  <c:v>1044.7290289347989</c:v>
                </c:pt>
                <c:pt idx="1643">
                  <c:v>1044.7290289347989</c:v>
                </c:pt>
                <c:pt idx="1644">
                  <c:v>1044.7290289347989</c:v>
                </c:pt>
                <c:pt idx="1645">
                  <c:v>1044.7290289347989</c:v>
                </c:pt>
                <c:pt idx="1646">
                  <c:v>1044.7290289347989</c:v>
                </c:pt>
                <c:pt idx="1647">
                  <c:v>1044.7290289347989</c:v>
                </c:pt>
                <c:pt idx="1648">
                  <c:v>1044.7290289347989</c:v>
                </c:pt>
                <c:pt idx="1649">
                  <c:v>1044.7290289347989</c:v>
                </c:pt>
                <c:pt idx="1650">
                  <c:v>1044.7290289347989</c:v>
                </c:pt>
                <c:pt idx="1651">
                  <c:v>1044.7290289347989</c:v>
                </c:pt>
                <c:pt idx="1652">
                  <c:v>1044.7290289347989</c:v>
                </c:pt>
                <c:pt idx="1653">
                  <c:v>1044.7290289347989</c:v>
                </c:pt>
                <c:pt idx="1654">
                  <c:v>1044.7290289347989</c:v>
                </c:pt>
                <c:pt idx="1655">
                  <c:v>1044.7290289347989</c:v>
                </c:pt>
                <c:pt idx="1656">
                  <c:v>1044.7290289347989</c:v>
                </c:pt>
                <c:pt idx="1657">
                  <c:v>1044.7290289347989</c:v>
                </c:pt>
                <c:pt idx="1658">
                  <c:v>1044.7290289347989</c:v>
                </c:pt>
                <c:pt idx="1659">
                  <c:v>1044.7290289347989</c:v>
                </c:pt>
                <c:pt idx="1660">
                  <c:v>1044.7290289347989</c:v>
                </c:pt>
                <c:pt idx="1661">
                  <c:v>1044.7290289347989</c:v>
                </c:pt>
                <c:pt idx="1662">
                  <c:v>1044.7290289347989</c:v>
                </c:pt>
                <c:pt idx="1663">
                  <c:v>1044.7290289347989</c:v>
                </c:pt>
                <c:pt idx="1664">
                  <c:v>1044.7290289347989</c:v>
                </c:pt>
                <c:pt idx="1665">
                  <c:v>1044.7290289347989</c:v>
                </c:pt>
                <c:pt idx="1666">
                  <c:v>1044.7290289347989</c:v>
                </c:pt>
                <c:pt idx="1667">
                  <c:v>1044.7290289347989</c:v>
                </c:pt>
                <c:pt idx="1668">
                  <c:v>1044.7290289347989</c:v>
                </c:pt>
                <c:pt idx="1669">
                  <c:v>1044.7290289347989</c:v>
                </c:pt>
                <c:pt idx="1670">
                  <c:v>1044.7290289347989</c:v>
                </c:pt>
                <c:pt idx="1671">
                  <c:v>1044.7290289347989</c:v>
                </c:pt>
                <c:pt idx="1672">
                  <c:v>1044.7290289347989</c:v>
                </c:pt>
                <c:pt idx="1673">
                  <c:v>1044.7290289347989</c:v>
                </c:pt>
                <c:pt idx="1674">
                  <c:v>1044.7290289347989</c:v>
                </c:pt>
              </c:numCache>
            </c:numRef>
          </c:val>
          <c:smooth val="0"/>
          <c:extLst>
            <c:ext xmlns:c16="http://schemas.microsoft.com/office/drawing/2014/chart" uri="{C3380CC4-5D6E-409C-BE32-E72D297353CC}">
              <c16:uniqueId val="{00000003-03FE-4373-B0A1-A11C7CC2FD3A}"/>
            </c:ext>
          </c:extLst>
        </c:ser>
        <c:ser>
          <c:idx val="4"/>
          <c:order val="4"/>
          <c:tx>
            <c:strRef>
              <c:f>'5.4'!$G$5</c:f>
              <c:strCache>
                <c:ptCount val="1"/>
                <c:pt idx="0">
                  <c:v>Max. southern production, SWQP and deep storage</c:v>
                </c:pt>
              </c:strCache>
            </c:strRef>
          </c:tx>
          <c:spPr>
            <a:ln w="28575" cap="rnd">
              <a:solidFill>
                <a:srgbClr val="60307F"/>
              </a:solidFill>
              <a:prstDash val="sysDot"/>
              <a:round/>
            </a:ln>
            <a:effectLst/>
          </c:spPr>
          <c:marker>
            <c:symbol val="none"/>
          </c:marker>
          <c:cat>
            <c:numRef>
              <c:f>'5.4'!$B$6:$B$1680</c:f>
              <c:numCache>
                <c:formatCode>m/d/yyyy</c:formatCode>
                <c:ptCount val="1675"/>
                <c:pt idx="0">
                  <c:v>45444</c:v>
                </c:pt>
                <c:pt idx="1">
                  <c:v>45445</c:v>
                </c:pt>
                <c:pt idx="2">
                  <c:v>45446</c:v>
                </c:pt>
                <c:pt idx="3">
                  <c:v>45447</c:v>
                </c:pt>
                <c:pt idx="4">
                  <c:v>45448</c:v>
                </c:pt>
                <c:pt idx="5">
                  <c:v>45449</c:v>
                </c:pt>
                <c:pt idx="6">
                  <c:v>45450</c:v>
                </c:pt>
                <c:pt idx="7">
                  <c:v>45451</c:v>
                </c:pt>
                <c:pt idx="8">
                  <c:v>45452</c:v>
                </c:pt>
                <c:pt idx="9">
                  <c:v>45453</c:v>
                </c:pt>
                <c:pt idx="10">
                  <c:v>45454</c:v>
                </c:pt>
                <c:pt idx="11">
                  <c:v>45455</c:v>
                </c:pt>
                <c:pt idx="12">
                  <c:v>45456</c:v>
                </c:pt>
                <c:pt idx="13">
                  <c:v>45457</c:v>
                </c:pt>
                <c:pt idx="14">
                  <c:v>45458</c:v>
                </c:pt>
                <c:pt idx="15">
                  <c:v>45459</c:v>
                </c:pt>
                <c:pt idx="16">
                  <c:v>45460</c:v>
                </c:pt>
                <c:pt idx="17">
                  <c:v>45461</c:v>
                </c:pt>
                <c:pt idx="18">
                  <c:v>45462</c:v>
                </c:pt>
                <c:pt idx="19">
                  <c:v>45463</c:v>
                </c:pt>
                <c:pt idx="20">
                  <c:v>45464</c:v>
                </c:pt>
                <c:pt idx="21">
                  <c:v>45465</c:v>
                </c:pt>
                <c:pt idx="22">
                  <c:v>45466</c:v>
                </c:pt>
                <c:pt idx="23">
                  <c:v>45467</c:v>
                </c:pt>
                <c:pt idx="24">
                  <c:v>45468</c:v>
                </c:pt>
                <c:pt idx="25">
                  <c:v>45469</c:v>
                </c:pt>
                <c:pt idx="26">
                  <c:v>45470</c:v>
                </c:pt>
                <c:pt idx="27">
                  <c:v>45471</c:v>
                </c:pt>
                <c:pt idx="28">
                  <c:v>45472</c:v>
                </c:pt>
                <c:pt idx="29">
                  <c:v>45473</c:v>
                </c:pt>
                <c:pt idx="30">
                  <c:v>45474</c:v>
                </c:pt>
                <c:pt idx="31">
                  <c:v>45475</c:v>
                </c:pt>
                <c:pt idx="32">
                  <c:v>45476</c:v>
                </c:pt>
                <c:pt idx="33">
                  <c:v>45477</c:v>
                </c:pt>
                <c:pt idx="34">
                  <c:v>45478</c:v>
                </c:pt>
                <c:pt idx="35">
                  <c:v>45479</c:v>
                </c:pt>
                <c:pt idx="36">
                  <c:v>45480</c:v>
                </c:pt>
                <c:pt idx="37">
                  <c:v>45481</c:v>
                </c:pt>
                <c:pt idx="38">
                  <c:v>45482</c:v>
                </c:pt>
                <c:pt idx="39">
                  <c:v>45483</c:v>
                </c:pt>
                <c:pt idx="40">
                  <c:v>45484</c:v>
                </c:pt>
                <c:pt idx="41">
                  <c:v>45485</c:v>
                </c:pt>
                <c:pt idx="42">
                  <c:v>45486</c:v>
                </c:pt>
                <c:pt idx="43">
                  <c:v>45487</c:v>
                </c:pt>
                <c:pt idx="44">
                  <c:v>45488</c:v>
                </c:pt>
                <c:pt idx="45">
                  <c:v>45489</c:v>
                </c:pt>
                <c:pt idx="46">
                  <c:v>45490</c:v>
                </c:pt>
                <c:pt idx="47">
                  <c:v>45491</c:v>
                </c:pt>
                <c:pt idx="48">
                  <c:v>45492</c:v>
                </c:pt>
                <c:pt idx="49">
                  <c:v>45493</c:v>
                </c:pt>
                <c:pt idx="50">
                  <c:v>45494</c:v>
                </c:pt>
                <c:pt idx="51">
                  <c:v>45495</c:v>
                </c:pt>
                <c:pt idx="52">
                  <c:v>45496</c:v>
                </c:pt>
                <c:pt idx="53">
                  <c:v>45497</c:v>
                </c:pt>
                <c:pt idx="54">
                  <c:v>45498</c:v>
                </c:pt>
                <c:pt idx="55">
                  <c:v>45499</c:v>
                </c:pt>
                <c:pt idx="56">
                  <c:v>45500</c:v>
                </c:pt>
                <c:pt idx="57">
                  <c:v>45501</c:v>
                </c:pt>
                <c:pt idx="58">
                  <c:v>45502</c:v>
                </c:pt>
                <c:pt idx="59">
                  <c:v>45503</c:v>
                </c:pt>
                <c:pt idx="60">
                  <c:v>45504</c:v>
                </c:pt>
                <c:pt idx="61">
                  <c:v>45505</c:v>
                </c:pt>
                <c:pt idx="62">
                  <c:v>45506</c:v>
                </c:pt>
                <c:pt idx="63">
                  <c:v>45507</c:v>
                </c:pt>
                <c:pt idx="64">
                  <c:v>45508</c:v>
                </c:pt>
                <c:pt idx="65">
                  <c:v>45509</c:v>
                </c:pt>
                <c:pt idx="66">
                  <c:v>45510</c:v>
                </c:pt>
                <c:pt idx="67">
                  <c:v>45511</c:v>
                </c:pt>
                <c:pt idx="68">
                  <c:v>45512</c:v>
                </c:pt>
                <c:pt idx="69">
                  <c:v>45513</c:v>
                </c:pt>
                <c:pt idx="70">
                  <c:v>45514</c:v>
                </c:pt>
                <c:pt idx="71">
                  <c:v>45515</c:v>
                </c:pt>
                <c:pt idx="72">
                  <c:v>45516</c:v>
                </c:pt>
                <c:pt idx="73">
                  <c:v>45517</c:v>
                </c:pt>
                <c:pt idx="74">
                  <c:v>45518</c:v>
                </c:pt>
                <c:pt idx="75">
                  <c:v>45519</c:v>
                </c:pt>
                <c:pt idx="76">
                  <c:v>45520</c:v>
                </c:pt>
                <c:pt idx="77">
                  <c:v>45521</c:v>
                </c:pt>
                <c:pt idx="78">
                  <c:v>45522</c:v>
                </c:pt>
                <c:pt idx="79">
                  <c:v>45523</c:v>
                </c:pt>
                <c:pt idx="80">
                  <c:v>45524</c:v>
                </c:pt>
                <c:pt idx="81">
                  <c:v>45525</c:v>
                </c:pt>
                <c:pt idx="82">
                  <c:v>45526</c:v>
                </c:pt>
                <c:pt idx="83">
                  <c:v>45527</c:v>
                </c:pt>
                <c:pt idx="84">
                  <c:v>45528</c:v>
                </c:pt>
                <c:pt idx="85">
                  <c:v>45529</c:v>
                </c:pt>
                <c:pt idx="86">
                  <c:v>45530</c:v>
                </c:pt>
                <c:pt idx="87">
                  <c:v>45531</c:v>
                </c:pt>
                <c:pt idx="88">
                  <c:v>45532</c:v>
                </c:pt>
                <c:pt idx="89">
                  <c:v>45533</c:v>
                </c:pt>
                <c:pt idx="90">
                  <c:v>45534</c:v>
                </c:pt>
                <c:pt idx="91">
                  <c:v>45535</c:v>
                </c:pt>
                <c:pt idx="92">
                  <c:v>45536</c:v>
                </c:pt>
                <c:pt idx="93">
                  <c:v>45537</c:v>
                </c:pt>
                <c:pt idx="94">
                  <c:v>45538</c:v>
                </c:pt>
                <c:pt idx="95">
                  <c:v>45539</c:v>
                </c:pt>
                <c:pt idx="96">
                  <c:v>45540</c:v>
                </c:pt>
                <c:pt idx="97">
                  <c:v>45541</c:v>
                </c:pt>
                <c:pt idx="98">
                  <c:v>45542</c:v>
                </c:pt>
                <c:pt idx="99">
                  <c:v>45543</c:v>
                </c:pt>
                <c:pt idx="100">
                  <c:v>45544</c:v>
                </c:pt>
                <c:pt idx="101">
                  <c:v>45545</c:v>
                </c:pt>
                <c:pt idx="102">
                  <c:v>45546</c:v>
                </c:pt>
                <c:pt idx="103">
                  <c:v>45547</c:v>
                </c:pt>
                <c:pt idx="104">
                  <c:v>45548</c:v>
                </c:pt>
                <c:pt idx="105">
                  <c:v>45549</c:v>
                </c:pt>
                <c:pt idx="106">
                  <c:v>45550</c:v>
                </c:pt>
                <c:pt idx="107">
                  <c:v>45551</c:v>
                </c:pt>
                <c:pt idx="108">
                  <c:v>45552</c:v>
                </c:pt>
                <c:pt idx="109">
                  <c:v>45553</c:v>
                </c:pt>
                <c:pt idx="110">
                  <c:v>45554</c:v>
                </c:pt>
                <c:pt idx="111">
                  <c:v>45555</c:v>
                </c:pt>
                <c:pt idx="112">
                  <c:v>45556</c:v>
                </c:pt>
                <c:pt idx="113">
                  <c:v>45557</c:v>
                </c:pt>
                <c:pt idx="114">
                  <c:v>45558</c:v>
                </c:pt>
                <c:pt idx="115">
                  <c:v>45559</c:v>
                </c:pt>
                <c:pt idx="116">
                  <c:v>45560</c:v>
                </c:pt>
                <c:pt idx="117">
                  <c:v>45561</c:v>
                </c:pt>
                <c:pt idx="118">
                  <c:v>45562</c:v>
                </c:pt>
                <c:pt idx="119">
                  <c:v>45563</c:v>
                </c:pt>
                <c:pt idx="120">
                  <c:v>45564</c:v>
                </c:pt>
                <c:pt idx="121">
                  <c:v>45565</c:v>
                </c:pt>
                <c:pt idx="122">
                  <c:v>45566</c:v>
                </c:pt>
                <c:pt idx="123">
                  <c:v>45567</c:v>
                </c:pt>
                <c:pt idx="124">
                  <c:v>45568</c:v>
                </c:pt>
                <c:pt idx="125">
                  <c:v>45569</c:v>
                </c:pt>
                <c:pt idx="126">
                  <c:v>45570</c:v>
                </c:pt>
                <c:pt idx="127">
                  <c:v>45571</c:v>
                </c:pt>
                <c:pt idx="128">
                  <c:v>45572</c:v>
                </c:pt>
                <c:pt idx="129">
                  <c:v>45573</c:v>
                </c:pt>
                <c:pt idx="130">
                  <c:v>45574</c:v>
                </c:pt>
                <c:pt idx="131">
                  <c:v>45575</c:v>
                </c:pt>
                <c:pt idx="132">
                  <c:v>45576</c:v>
                </c:pt>
                <c:pt idx="133">
                  <c:v>45577</c:v>
                </c:pt>
                <c:pt idx="134">
                  <c:v>45578</c:v>
                </c:pt>
                <c:pt idx="135">
                  <c:v>45579</c:v>
                </c:pt>
                <c:pt idx="136">
                  <c:v>45580</c:v>
                </c:pt>
                <c:pt idx="137">
                  <c:v>45581</c:v>
                </c:pt>
                <c:pt idx="138">
                  <c:v>45582</c:v>
                </c:pt>
                <c:pt idx="139">
                  <c:v>45583</c:v>
                </c:pt>
                <c:pt idx="140">
                  <c:v>45584</c:v>
                </c:pt>
                <c:pt idx="141">
                  <c:v>45585</c:v>
                </c:pt>
                <c:pt idx="142">
                  <c:v>45586</c:v>
                </c:pt>
                <c:pt idx="143">
                  <c:v>45587</c:v>
                </c:pt>
                <c:pt idx="144">
                  <c:v>45588</c:v>
                </c:pt>
                <c:pt idx="145">
                  <c:v>45589</c:v>
                </c:pt>
                <c:pt idx="146">
                  <c:v>45590</c:v>
                </c:pt>
                <c:pt idx="147">
                  <c:v>45591</c:v>
                </c:pt>
                <c:pt idx="148">
                  <c:v>45592</c:v>
                </c:pt>
                <c:pt idx="149">
                  <c:v>45593</c:v>
                </c:pt>
                <c:pt idx="150">
                  <c:v>45594</c:v>
                </c:pt>
                <c:pt idx="151">
                  <c:v>45595</c:v>
                </c:pt>
                <c:pt idx="152">
                  <c:v>45596</c:v>
                </c:pt>
                <c:pt idx="153">
                  <c:v>45597</c:v>
                </c:pt>
                <c:pt idx="154">
                  <c:v>45598</c:v>
                </c:pt>
                <c:pt idx="155">
                  <c:v>45599</c:v>
                </c:pt>
                <c:pt idx="156">
                  <c:v>45600</c:v>
                </c:pt>
                <c:pt idx="157">
                  <c:v>45601</c:v>
                </c:pt>
                <c:pt idx="158">
                  <c:v>45602</c:v>
                </c:pt>
                <c:pt idx="159">
                  <c:v>45603</c:v>
                </c:pt>
                <c:pt idx="160">
                  <c:v>45604</c:v>
                </c:pt>
                <c:pt idx="161">
                  <c:v>45605</c:v>
                </c:pt>
                <c:pt idx="162">
                  <c:v>45606</c:v>
                </c:pt>
                <c:pt idx="163">
                  <c:v>45607</c:v>
                </c:pt>
                <c:pt idx="164">
                  <c:v>45608</c:v>
                </c:pt>
                <c:pt idx="165">
                  <c:v>45609</c:v>
                </c:pt>
                <c:pt idx="166">
                  <c:v>45610</c:v>
                </c:pt>
                <c:pt idx="167">
                  <c:v>45611</c:v>
                </c:pt>
                <c:pt idx="168">
                  <c:v>45612</c:v>
                </c:pt>
                <c:pt idx="169">
                  <c:v>45613</c:v>
                </c:pt>
                <c:pt idx="170">
                  <c:v>45614</c:v>
                </c:pt>
                <c:pt idx="171">
                  <c:v>45615</c:v>
                </c:pt>
                <c:pt idx="172">
                  <c:v>45616</c:v>
                </c:pt>
                <c:pt idx="173">
                  <c:v>45617</c:v>
                </c:pt>
                <c:pt idx="174">
                  <c:v>45618</c:v>
                </c:pt>
                <c:pt idx="175">
                  <c:v>45619</c:v>
                </c:pt>
                <c:pt idx="176">
                  <c:v>45620</c:v>
                </c:pt>
                <c:pt idx="177">
                  <c:v>45621</c:v>
                </c:pt>
                <c:pt idx="178">
                  <c:v>45622</c:v>
                </c:pt>
                <c:pt idx="179">
                  <c:v>45623</c:v>
                </c:pt>
                <c:pt idx="180">
                  <c:v>45624</c:v>
                </c:pt>
                <c:pt idx="181">
                  <c:v>45625</c:v>
                </c:pt>
                <c:pt idx="182">
                  <c:v>45626</c:v>
                </c:pt>
                <c:pt idx="183">
                  <c:v>45627</c:v>
                </c:pt>
                <c:pt idx="184">
                  <c:v>45628</c:v>
                </c:pt>
                <c:pt idx="185">
                  <c:v>45629</c:v>
                </c:pt>
                <c:pt idx="186">
                  <c:v>45630</c:v>
                </c:pt>
                <c:pt idx="187">
                  <c:v>45631</c:v>
                </c:pt>
                <c:pt idx="188">
                  <c:v>45632</c:v>
                </c:pt>
                <c:pt idx="189">
                  <c:v>45633</c:v>
                </c:pt>
                <c:pt idx="190">
                  <c:v>45634</c:v>
                </c:pt>
                <c:pt idx="191">
                  <c:v>45635</c:v>
                </c:pt>
                <c:pt idx="192">
                  <c:v>45636</c:v>
                </c:pt>
                <c:pt idx="193">
                  <c:v>45637</c:v>
                </c:pt>
                <c:pt idx="194">
                  <c:v>45638</c:v>
                </c:pt>
                <c:pt idx="195">
                  <c:v>45639</c:v>
                </c:pt>
                <c:pt idx="196">
                  <c:v>45640</c:v>
                </c:pt>
                <c:pt idx="197">
                  <c:v>45641</c:v>
                </c:pt>
                <c:pt idx="198">
                  <c:v>45642</c:v>
                </c:pt>
                <c:pt idx="199">
                  <c:v>45643</c:v>
                </c:pt>
                <c:pt idx="200">
                  <c:v>45644</c:v>
                </c:pt>
                <c:pt idx="201">
                  <c:v>45645</c:v>
                </c:pt>
                <c:pt idx="202">
                  <c:v>45646</c:v>
                </c:pt>
                <c:pt idx="203">
                  <c:v>45647</c:v>
                </c:pt>
                <c:pt idx="204">
                  <c:v>45648</c:v>
                </c:pt>
                <c:pt idx="205">
                  <c:v>45649</c:v>
                </c:pt>
                <c:pt idx="206">
                  <c:v>45650</c:v>
                </c:pt>
                <c:pt idx="207">
                  <c:v>45651</c:v>
                </c:pt>
                <c:pt idx="208">
                  <c:v>45652</c:v>
                </c:pt>
                <c:pt idx="209">
                  <c:v>45653</c:v>
                </c:pt>
                <c:pt idx="210">
                  <c:v>45654</c:v>
                </c:pt>
                <c:pt idx="211">
                  <c:v>45655</c:v>
                </c:pt>
                <c:pt idx="212">
                  <c:v>45656</c:v>
                </c:pt>
                <c:pt idx="213">
                  <c:v>45657</c:v>
                </c:pt>
                <c:pt idx="214">
                  <c:v>45658</c:v>
                </c:pt>
                <c:pt idx="215">
                  <c:v>45659</c:v>
                </c:pt>
                <c:pt idx="216">
                  <c:v>45660</c:v>
                </c:pt>
                <c:pt idx="217">
                  <c:v>45661</c:v>
                </c:pt>
                <c:pt idx="218">
                  <c:v>45662</c:v>
                </c:pt>
                <c:pt idx="219">
                  <c:v>45663</c:v>
                </c:pt>
                <c:pt idx="220">
                  <c:v>45664</c:v>
                </c:pt>
                <c:pt idx="221">
                  <c:v>45665</c:v>
                </c:pt>
                <c:pt idx="222">
                  <c:v>45666</c:v>
                </c:pt>
                <c:pt idx="223">
                  <c:v>45667</c:v>
                </c:pt>
                <c:pt idx="224">
                  <c:v>45668</c:v>
                </c:pt>
                <c:pt idx="225">
                  <c:v>45669</c:v>
                </c:pt>
                <c:pt idx="226">
                  <c:v>45670</c:v>
                </c:pt>
                <c:pt idx="227">
                  <c:v>45671</c:v>
                </c:pt>
                <c:pt idx="228">
                  <c:v>45672</c:v>
                </c:pt>
                <c:pt idx="229">
                  <c:v>45673</c:v>
                </c:pt>
                <c:pt idx="230">
                  <c:v>45674</c:v>
                </c:pt>
                <c:pt idx="231">
                  <c:v>45675</c:v>
                </c:pt>
                <c:pt idx="232">
                  <c:v>45676</c:v>
                </c:pt>
                <c:pt idx="233">
                  <c:v>45677</c:v>
                </c:pt>
                <c:pt idx="234">
                  <c:v>45678</c:v>
                </c:pt>
                <c:pt idx="235">
                  <c:v>45679</c:v>
                </c:pt>
                <c:pt idx="236">
                  <c:v>45680</c:v>
                </c:pt>
                <c:pt idx="237">
                  <c:v>45681</c:v>
                </c:pt>
                <c:pt idx="238">
                  <c:v>45682</c:v>
                </c:pt>
                <c:pt idx="239">
                  <c:v>45683</c:v>
                </c:pt>
                <c:pt idx="240">
                  <c:v>45684</c:v>
                </c:pt>
                <c:pt idx="241">
                  <c:v>45685</c:v>
                </c:pt>
                <c:pt idx="242">
                  <c:v>45686</c:v>
                </c:pt>
                <c:pt idx="243">
                  <c:v>45687</c:v>
                </c:pt>
                <c:pt idx="244">
                  <c:v>45688</c:v>
                </c:pt>
                <c:pt idx="245">
                  <c:v>45689</c:v>
                </c:pt>
                <c:pt idx="246">
                  <c:v>45690</c:v>
                </c:pt>
                <c:pt idx="247">
                  <c:v>45691</c:v>
                </c:pt>
                <c:pt idx="248">
                  <c:v>45692</c:v>
                </c:pt>
                <c:pt idx="249">
                  <c:v>45693</c:v>
                </c:pt>
                <c:pt idx="250">
                  <c:v>45694</c:v>
                </c:pt>
                <c:pt idx="251">
                  <c:v>45695</c:v>
                </c:pt>
                <c:pt idx="252">
                  <c:v>45696</c:v>
                </c:pt>
                <c:pt idx="253">
                  <c:v>45697</c:v>
                </c:pt>
                <c:pt idx="254">
                  <c:v>45698</c:v>
                </c:pt>
                <c:pt idx="255">
                  <c:v>45699</c:v>
                </c:pt>
                <c:pt idx="256">
                  <c:v>45700</c:v>
                </c:pt>
                <c:pt idx="257">
                  <c:v>45701</c:v>
                </c:pt>
                <c:pt idx="258">
                  <c:v>45702</c:v>
                </c:pt>
                <c:pt idx="259">
                  <c:v>45703</c:v>
                </c:pt>
                <c:pt idx="260">
                  <c:v>45704</c:v>
                </c:pt>
                <c:pt idx="261">
                  <c:v>45705</c:v>
                </c:pt>
                <c:pt idx="262">
                  <c:v>45706</c:v>
                </c:pt>
                <c:pt idx="263">
                  <c:v>45707</c:v>
                </c:pt>
                <c:pt idx="264">
                  <c:v>45708</c:v>
                </c:pt>
                <c:pt idx="265">
                  <c:v>45709</c:v>
                </c:pt>
                <c:pt idx="266">
                  <c:v>45710</c:v>
                </c:pt>
                <c:pt idx="267">
                  <c:v>45711</c:v>
                </c:pt>
                <c:pt idx="268">
                  <c:v>45712</c:v>
                </c:pt>
                <c:pt idx="269">
                  <c:v>45713</c:v>
                </c:pt>
                <c:pt idx="270">
                  <c:v>45714</c:v>
                </c:pt>
                <c:pt idx="271">
                  <c:v>45715</c:v>
                </c:pt>
                <c:pt idx="272">
                  <c:v>45716</c:v>
                </c:pt>
                <c:pt idx="273">
                  <c:v>45717</c:v>
                </c:pt>
                <c:pt idx="274">
                  <c:v>45718</c:v>
                </c:pt>
                <c:pt idx="275">
                  <c:v>45719</c:v>
                </c:pt>
                <c:pt idx="276">
                  <c:v>45720</c:v>
                </c:pt>
                <c:pt idx="277">
                  <c:v>45721</c:v>
                </c:pt>
                <c:pt idx="278">
                  <c:v>45722</c:v>
                </c:pt>
                <c:pt idx="279">
                  <c:v>45723</c:v>
                </c:pt>
                <c:pt idx="280">
                  <c:v>45724</c:v>
                </c:pt>
                <c:pt idx="281">
                  <c:v>45725</c:v>
                </c:pt>
                <c:pt idx="282">
                  <c:v>45726</c:v>
                </c:pt>
                <c:pt idx="283">
                  <c:v>45727</c:v>
                </c:pt>
                <c:pt idx="284">
                  <c:v>45728</c:v>
                </c:pt>
                <c:pt idx="285">
                  <c:v>45729</c:v>
                </c:pt>
                <c:pt idx="286">
                  <c:v>45730</c:v>
                </c:pt>
                <c:pt idx="287">
                  <c:v>45731</c:v>
                </c:pt>
                <c:pt idx="288">
                  <c:v>45732</c:v>
                </c:pt>
                <c:pt idx="289">
                  <c:v>45733</c:v>
                </c:pt>
                <c:pt idx="290">
                  <c:v>45734</c:v>
                </c:pt>
                <c:pt idx="291">
                  <c:v>45735</c:v>
                </c:pt>
                <c:pt idx="292">
                  <c:v>45736</c:v>
                </c:pt>
                <c:pt idx="293">
                  <c:v>45737</c:v>
                </c:pt>
                <c:pt idx="294">
                  <c:v>45738</c:v>
                </c:pt>
                <c:pt idx="295">
                  <c:v>45739</c:v>
                </c:pt>
                <c:pt idx="296">
                  <c:v>45740</c:v>
                </c:pt>
                <c:pt idx="297">
                  <c:v>45741</c:v>
                </c:pt>
                <c:pt idx="298">
                  <c:v>45742</c:v>
                </c:pt>
                <c:pt idx="299">
                  <c:v>45743</c:v>
                </c:pt>
                <c:pt idx="300">
                  <c:v>45744</c:v>
                </c:pt>
                <c:pt idx="301">
                  <c:v>45745</c:v>
                </c:pt>
                <c:pt idx="302">
                  <c:v>45746</c:v>
                </c:pt>
                <c:pt idx="303">
                  <c:v>45747</c:v>
                </c:pt>
                <c:pt idx="304">
                  <c:v>45748</c:v>
                </c:pt>
                <c:pt idx="305">
                  <c:v>45749</c:v>
                </c:pt>
                <c:pt idx="306">
                  <c:v>45750</c:v>
                </c:pt>
                <c:pt idx="307">
                  <c:v>45751</c:v>
                </c:pt>
                <c:pt idx="308">
                  <c:v>45752</c:v>
                </c:pt>
                <c:pt idx="309">
                  <c:v>45753</c:v>
                </c:pt>
                <c:pt idx="310">
                  <c:v>45754</c:v>
                </c:pt>
                <c:pt idx="311">
                  <c:v>45755</c:v>
                </c:pt>
                <c:pt idx="312">
                  <c:v>45756</c:v>
                </c:pt>
                <c:pt idx="313">
                  <c:v>45757</c:v>
                </c:pt>
                <c:pt idx="314">
                  <c:v>45758</c:v>
                </c:pt>
                <c:pt idx="315">
                  <c:v>45759</c:v>
                </c:pt>
                <c:pt idx="316">
                  <c:v>45760</c:v>
                </c:pt>
                <c:pt idx="317">
                  <c:v>45761</c:v>
                </c:pt>
                <c:pt idx="318">
                  <c:v>45762</c:v>
                </c:pt>
                <c:pt idx="319">
                  <c:v>45763</c:v>
                </c:pt>
                <c:pt idx="320">
                  <c:v>45764</c:v>
                </c:pt>
                <c:pt idx="321">
                  <c:v>45765</c:v>
                </c:pt>
                <c:pt idx="322">
                  <c:v>45766</c:v>
                </c:pt>
                <c:pt idx="323">
                  <c:v>45767</c:v>
                </c:pt>
                <c:pt idx="324">
                  <c:v>45768</c:v>
                </c:pt>
                <c:pt idx="325">
                  <c:v>45769</c:v>
                </c:pt>
                <c:pt idx="326">
                  <c:v>45770</c:v>
                </c:pt>
                <c:pt idx="327">
                  <c:v>45771</c:v>
                </c:pt>
                <c:pt idx="328">
                  <c:v>45772</c:v>
                </c:pt>
                <c:pt idx="329">
                  <c:v>45773</c:v>
                </c:pt>
                <c:pt idx="330">
                  <c:v>45774</c:v>
                </c:pt>
                <c:pt idx="331">
                  <c:v>45775</c:v>
                </c:pt>
                <c:pt idx="332">
                  <c:v>45776</c:v>
                </c:pt>
                <c:pt idx="333">
                  <c:v>45777</c:v>
                </c:pt>
                <c:pt idx="334">
                  <c:v>45778</c:v>
                </c:pt>
                <c:pt idx="335">
                  <c:v>45779</c:v>
                </c:pt>
                <c:pt idx="336">
                  <c:v>45780</c:v>
                </c:pt>
                <c:pt idx="337">
                  <c:v>45781</c:v>
                </c:pt>
                <c:pt idx="338">
                  <c:v>45782</c:v>
                </c:pt>
                <c:pt idx="339">
                  <c:v>45783</c:v>
                </c:pt>
                <c:pt idx="340">
                  <c:v>45784</c:v>
                </c:pt>
                <c:pt idx="341">
                  <c:v>45785</c:v>
                </c:pt>
                <c:pt idx="342">
                  <c:v>45786</c:v>
                </c:pt>
                <c:pt idx="343">
                  <c:v>45787</c:v>
                </c:pt>
                <c:pt idx="344">
                  <c:v>45788</c:v>
                </c:pt>
                <c:pt idx="345">
                  <c:v>45789</c:v>
                </c:pt>
                <c:pt idx="346">
                  <c:v>45790</c:v>
                </c:pt>
                <c:pt idx="347">
                  <c:v>45791</c:v>
                </c:pt>
                <c:pt idx="348">
                  <c:v>45792</c:v>
                </c:pt>
                <c:pt idx="349">
                  <c:v>45793</c:v>
                </c:pt>
                <c:pt idx="350">
                  <c:v>45794</c:v>
                </c:pt>
                <c:pt idx="351">
                  <c:v>45795</c:v>
                </c:pt>
                <c:pt idx="352">
                  <c:v>45796</c:v>
                </c:pt>
                <c:pt idx="353">
                  <c:v>45797</c:v>
                </c:pt>
                <c:pt idx="354">
                  <c:v>45798</c:v>
                </c:pt>
                <c:pt idx="355">
                  <c:v>45799</c:v>
                </c:pt>
                <c:pt idx="356">
                  <c:v>45800</c:v>
                </c:pt>
                <c:pt idx="357">
                  <c:v>45801</c:v>
                </c:pt>
                <c:pt idx="358">
                  <c:v>45802</c:v>
                </c:pt>
                <c:pt idx="359">
                  <c:v>45803</c:v>
                </c:pt>
                <c:pt idx="360">
                  <c:v>45804</c:v>
                </c:pt>
                <c:pt idx="361">
                  <c:v>45805</c:v>
                </c:pt>
                <c:pt idx="362">
                  <c:v>45806</c:v>
                </c:pt>
                <c:pt idx="363">
                  <c:v>45807</c:v>
                </c:pt>
                <c:pt idx="364">
                  <c:v>45808</c:v>
                </c:pt>
                <c:pt idx="365">
                  <c:v>45809</c:v>
                </c:pt>
                <c:pt idx="366">
                  <c:v>45810</c:v>
                </c:pt>
                <c:pt idx="367">
                  <c:v>45811</c:v>
                </c:pt>
                <c:pt idx="368">
                  <c:v>45812</c:v>
                </c:pt>
                <c:pt idx="369">
                  <c:v>45813</c:v>
                </c:pt>
                <c:pt idx="370">
                  <c:v>45814</c:v>
                </c:pt>
                <c:pt idx="371">
                  <c:v>45815</c:v>
                </c:pt>
                <c:pt idx="372">
                  <c:v>45816</c:v>
                </c:pt>
                <c:pt idx="373">
                  <c:v>45817</c:v>
                </c:pt>
                <c:pt idx="374">
                  <c:v>45818</c:v>
                </c:pt>
                <c:pt idx="375">
                  <c:v>45819</c:v>
                </c:pt>
                <c:pt idx="376">
                  <c:v>45820</c:v>
                </c:pt>
                <c:pt idx="377">
                  <c:v>45821</c:v>
                </c:pt>
                <c:pt idx="378">
                  <c:v>45822</c:v>
                </c:pt>
                <c:pt idx="379">
                  <c:v>45823</c:v>
                </c:pt>
                <c:pt idx="380">
                  <c:v>45824</c:v>
                </c:pt>
                <c:pt idx="381">
                  <c:v>45825</c:v>
                </c:pt>
                <c:pt idx="382">
                  <c:v>45826</c:v>
                </c:pt>
                <c:pt idx="383">
                  <c:v>45827</c:v>
                </c:pt>
                <c:pt idx="384">
                  <c:v>45828</c:v>
                </c:pt>
                <c:pt idx="385">
                  <c:v>45829</c:v>
                </c:pt>
                <c:pt idx="386">
                  <c:v>45830</c:v>
                </c:pt>
                <c:pt idx="387">
                  <c:v>45831</c:v>
                </c:pt>
                <c:pt idx="388">
                  <c:v>45832</c:v>
                </c:pt>
                <c:pt idx="389">
                  <c:v>45833</c:v>
                </c:pt>
                <c:pt idx="390">
                  <c:v>45834</c:v>
                </c:pt>
                <c:pt idx="391">
                  <c:v>45835</c:v>
                </c:pt>
                <c:pt idx="392">
                  <c:v>45836</c:v>
                </c:pt>
                <c:pt idx="393">
                  <c:v>45837</c:v>
                </c:pt>
                <c:pt idx="394">
                  <c:v>45838</c:v>
                </c:pt>
                <c:pt idx="395">
                  <c:v>45839</c:v>
                </c:pt>
                <c:pt idx="396">
                  <c:v>45840</c:v>
                </c:pt>
                <c:pt idx="397">
                  <c:v>45841</c:v>
                </c:pt>
                <c:pt idx="398">
                  <c:v>45842</c:v>
                </c:pt>
                <c:pt idx="399">
                  <c:v>45843</c:v>
                </c:pt>
                <c:pt idx="400">
                  <c:v>45844</c:v>
                </c:pt>
                <c:pt idx="401">
                  <c:v>45845</c:v>
                </c:pt>
                <c:pt idx="402">
                  <c:v>45846</c:v>
                </c:pt>
                <c:pt idx="403">
                  <c:v>45847</c:v>
                </c:pt>
                <c:pt idx="404">
                  <c:v>45848</c:v>
                </c:pt>
                <c:pt idx="405">
                  <c:v>45849</c:v>
                </c:pt>
                <c:pt idx="406">
                  <c:v>45850</c:v>
                </c:pt>
                <c:pt idx="407">
                  <c:v>45851</c:v>
                </c:pt>
                <c:pt idx="408">
                  <c:v>45852</c:v>
                </c:pt>
                <c:pt idx="409">
                  <c:v>45853</c:v>
                </c:pt>
                <c:pt idx="410">
                  <c:v>45854</c:v>
                </c:pt>
                <c:pt idx="411">
                  <c:v>45855</c:v>
                </c:pt>
                <c:pt idx="412">
                  <c:v>45856</c:v>
                </c:pt>
                <c:pt idx="413">
                  <c:v>45857</c:v>
                </c:pt>
                <c:pt idx="414">
                  <c:v>45858</c:v>
                </c:pt>
                <c:pt idx="415">
                  <c:v>45859</c:v>
                </c:pt>
                <c:pt idx="416">
                  <c:v>45860</c:v>
                </c:pt>
                <c:pt idx="417">
                  <c:v>45861</c:v>
                </c:pt>
                <c:pt idx="418">
                  <c:v>45862</c:v>
                </c:pt>
                <c:pt idx="419">
                  <c:v>45863</c:v>
                </c:pt>
                <c:pt idx="420">
                  <c:v>45864</c:v>
                </c:pt>
                <c:pt idx="421">
                  <c:v>45865</c:v>
                </c:pt>
                <c:pt idx="422">
                  <c:v>45866</c:v>
                </c:pt>
                <c:pt idx="423">
                  <c:v>45867</c:v>
                </c:pt>
                <c:pt idx="424">
                  <c:v>45868</c:v>
                </c:pt>
                <c:pt idx="425">
                  <c:v>45869</c:v>
                </c:pt>
                <c:pt idx="426">
                  <c:v>45870</c:v>
                </c:pt>
                <c:pt idx="427">
                  <c:v>45871</c:v>
                </c:pt>
                <c:pt idx="428">
                  <c:v>45872</c:v>
                </c:pt>
                <c:pt idx="429">
                  <c:v>45873</c:v>
                </c:pt>
                <c:pt idx="430">
                  <c:v>45874</c:v>
                </c:pt>
                <c:pt idx="431">
                  <c:v>45875</c:v>
                </c:pt>
                <c:pt idx="432">
                  <c:v>45876</c:v>
                </c:pt>
                <c:pt idx="433">
                  <c:v>45877</c:v>
                </c:pt>
                <c:pt idx="434">
                  <c:v>45878</c:v>
                </c:pt>
                <c:pt idx="435">
                  <c:v>45879</c:v>
                </c:pt>
                <c:pt idx="436">
                  <c:v>45880</c:v>
                </c:pt>
                <c:pt idx="437">
                  <c:v>45881</c:v>
                </c:pt>
                <c:pt idx="438">
                  <c:v>45882</c:v>
                </c:pt>
                <c:pt idx="439">
                  <c:v>45883</c:v>
                </c:pt>
                <c:pt idx="440">
                  <c:v>45884</c:v>
                </c:pt>
                <c:pt idx="441">
                  <c:v>45885</c:v>
                </c:pt>
                <c:pt idx="442">
                  <c:v>45886</c:v>
                </c:pt>
                <c:pt idx="443">
                  <c:v>45887</c:v>
                </c:pt>
                <c:pt idx="444">
                  <c:v>45888</c:v>
                </c:pt>
                <c:pt idx="445">
                  <c:v>45889</c:v>
                </c:pt>
                <c:pt idx="446">
                  <c:v>45890</c:v>
                </c:pt>
                <c:pt idx="447">
                  <c:v>45891</c:v>
                </c:pt>
                <c:pt idx="448">
                  <c:v>45892</c:v>
                </c:pt>
                <c:pt idx="449">
                  <c:v>45893</c:v>
                </c:pt>
                <c:pt idx="450">
                  <c:v>45894</c:v>
                </c:pt>
                <c:pt idx="451">
                  <c:v>45895</c:v>
                </c:pt>
                <c:pt idx="452">
                  <c:v>45896</c:v>
                </c:pt>
                <c:pt idx="453">
                  <c:v>45897</c:v>
                </c:pt>
                <c:pt idx="454">
                  <c:v>45898</c:v>
                </c:pt>
                <c:pt idx="455">
                  <c:v>45899</c:v>
                </c:pt>
                <c:pt idx="456">
                  <c:v>45900</c:v>
                </c:pt>
                <c:pt idx="457">
                  <c:v>45901</c:v>
                </c:pt>
                <c:pt idx="458">
                  <c:v>45902</c:v>
                </c:pt>
                <c:pt idx="459">
                  <c:v>45903</c:v>
                </c:pt>
                <c:pt idx="460">
                  <c:v>45904</c:v>
                </c:pt>
                <c:pt idx="461">
                  <c:v>45905</c:v>
                </c:pt>
                <c:pt idx="462">
                  <c:v>45906</c:v>
                </c:pt>
                <c:pt idx="463">
                  <c:v>45907</c:v>
                </c:pt>
                <c:pt idx="464">
                  <c:v>45908</c:v>
                </c:pt>
                <c:pt idx="465">
                  <c:v>45909</c:v>
                </c:pt>
                <c:pt idx="466">
                  <c:v>45910</c:v>
                </c:pt>
                <c:pt idx="467">
                  <c:v>45911</c:v>
                </c:pt>
                <c:pt idx="468">
                  <c:v>45912</c:v>
                </c:pt>
                <c:pt idx="469">
                  <c:v>45913</c:v>
                </c:pt>
                <c:pt idx="470">
                  <c:v>45914</c:v>
                </c:pt>
                <c:pt idx="471">
                  <c:v>45915</c:v>
                </c:pt>
                <c:pt idx="472">
                  <c:v>45916</c:v>
                </c:pt>
                <c:pt idx="473">
                  <c:v>45917</c:v>
                </c:pt>
                <c:pt idx="474">
                  <c:v>45918</c:v>
                </c:pt>
                <c:pt idx="475">
                  <c:v>45919</c:v>
                </c:pt>
                <c:pt idx="476">
                  <c:v>45920</c:v>
                </c:pt>
                <c:pt idx="477">
                  <c:v>45921</c:v>
                </c:pt>
                <c:pt idx="478">
                  <c:v>45922</c:v>
                </c:pt>
                <c:pt idx="479">
                  <c:v>45923</c:v>
                </c:pt>
                <c:pt idx="480">
                  <c:v>45924</c:v>
                </c:pt>
                <c:pt idx="481">
                  <c:v>45925</c:v>
                </c:pt>
                <c:pt idx="482">
                  <c:v>45926</c:v>
                </c:pt>
                <c:pt idx="483">
                  <c:v>45927</c:v>
                </c:pt>
                <c:pt idx="484">
                  <c:v>45928</c:v>
                </c:pt>
                <c:pt idx="485">
                  <c:v>45929</c:v>
                </c:pt>
                <c:pt idx="486">
                  <c:v>45930</c:v>
                </c:pt>
                <c:pt idx="487">
                  <c:v>45931</c:v>
                </c:pt>
                <c:pt idx="488">
                  <c:v>45932</c:v>
                </c:pt>
                <c:pt idx="489">
                  <c:v>45933</c:v>
                </c:pt>
                <c:pt idx="490">
                  <c:v>45934</c:v>
                </c:pt>
                <c:pt idx="491">
                  <c:v>45935</c:v>
                </c:pt>
                <c:pt idx="492">
                  <c:v>45936</c:v>
                </c:pt>
                <c:pt idx="493">
                  <c:v>45937</c:v>
                </c:pt>
                <c:pt idx="494">
                  <c:v>45938</c:v>
                </c:pt>
                <c:pt idx="495">
                  <c:v>45939</c:v>
                </c:pt>
                <c:pt idx="496">
                  <c:v>45940</c:v>
                </c:pt>
                <c:pt idx="497">
                  <c:v>45941</c:v>
                </c:pt>
                <c:pt idx="498">
                  <c:v>45942</c:v>
                </c:pt>
                <c:pt idx="499">
                  <c:v>45943</c:v>
                </c:pt>
                <c:pt idx="500">
                  <c:v>45944</c:v>
                </c:pt>
                <c:pt idx="501">
                  <c:v>45945</c:v>
                </c:pt>
                <c:pt idx="502">
                  <c:v>45946</c:v>
                </c:pt>
                <c:pt idx="503">
                  <c:v>45947</c:v>
                </c:pt>
                <c:pt idx="504">
                  <c:v>45948</c:v>
                </c:pt>
                <c:pt idx="505">
                  <c:v>45949</c:v>
                </c:pt>
                <c:pt idx="506">
                  <c:v>45950</c:v>
                </c:pt>
                <c:pt idx="507">
                  <c:v>45951</c:v>
                </c:pt>
                <c:pt idx="508">
                  <c:v>45952</c:v>
                </c:pt>
                <c:pt idx="509">
                  <c:v>45953</c:v>
                </c:pt>
                <c:pt idx="510">
                  <c:v>45954</c:v>
                </c:pt>
                <c:pt idx="511">
                  <c:v>45955</c:v>
                </c:pt>
                <c:pt idx="512">
                  <c:v>45956</c:v>
                </c:pt>
                <c:pt idx="513">
                  <c:v>45957</c:v>
                </c:pt>
                <c:pt idx="514">
                  <c:v>45958</c:v>
                </c:pt>
                <c:pt idx="515">
                  <c:v>45959</c:v>
                </c:pt>
                <c:pt idx="516">
                  <c:v>45960</c:v>
                </c:pt>
                <c:pt idx="517">
                  <c:v>45961</c:v>
                </c:pt>
                <c:pt idx="518">
                  <c:v>45962</c:v>
                </c:pt>
                <c:pt idx="519">
                  <c:v>45963</c:v>
                </c:pt>
                <c:pt idx="520">
                  <c:v>45964</c:v>
                </c:pt>
                <c:pt idx="521">
                  <c:v>45965</c:v>
                </c:pt>
                <c:pt idx="522">
                  <c:v>45966</c:v>
                </c:pt>
                <c:pt idx="523">
                  <c:v>45967</c:v>
                </c:pt>
                <c:pt idx="524">
                  <c:v>45968</c:v>
                </c:pt>
                <c:pt idx="525">
                  <c:v>45969</c:v>
                </c:pt>
                <c:pt idx="526">
                  <c:v>45970</c:v>
                </c:pt>
                <c:pt idx="527">
                  <c:v>45971</c:v>
                </c:pt>
                <c:pt idx="528">
                  <c:v>45972</c:v>
                </c:pt>
                <c:pt idx="529">
                  <c:v>45973</c:v>
                </c:pt>
                <c:pt idx="530">
                  <c:v>45974</c:v>
                </c:pt>
                <c:pt idx="531">
                  <c:v>45975</c:v>
                </c:pt>
                <c:pt idx="532">
                  <c:v>45976</c:v>
                </c:pt>
                <c:pt idx="533">
                  <c:v>45977</c:v>
                </c:pt>
                <c:pt idx="534">
                  <c:v>45978</c:v>
                </c:pt>
                <c:pt idx="535">
                  <c:v>45979</c:v>
                </c:pt>
                <c:pt idx="536">
                  <c:v>45980</c:v>
                </c:pt>
                <c:pt idx="537">
                  <c:v>45981</c:v>
                </c:pt>
                <c:pt idx="538">
                  <c:v>45982</c:v>
                </c:pt>
                <c:pt idx="539">
                  <c:v>45983</c:v>
                </c:pt>
                <c:pt idx="540">
                  <c:v>45984</c:v>
                </c:pt>
                <c:pt idx="541">
                  <c:v>45985</c:v>
                </c:pt>
                <c:pt idx="542">
                  <c:v>45986</c:v>
                </c:pt>
                <c:pt idx="543">
                  <c:v>45987</c:v>
                </c:pt>
                <c:pt idx="544">
                  <c:v>45988</c:v>
                </c:pt>
                <c:pt idx="545">
                  <c:v>45989</c:v>
                </c:pt>
                <c:pt idx="546">
                  <c:v>45990</c:v>
                </c:pt>
                <c:pt idx="547">
                  <c:v>45991</c:v>
                </c:pt>
                <c:pt idx="548">
                  <c:v>45992</c:v>
                </c:pt>
                <c:pt idx="549">
                  <c:v>45993</c:v>
                </c:pt>
                <c:pt idx="550">
                  <c:v>45994</c:v>
                </c:pt>
                <c:pt idx="551">
                  <c:v>45995</c:v>
                </c:pt>
                <c:pt idx="552">
                  <c:v>45996</c:v>
                </c:pt>
                <c:pt idx="553">
                  <c:v>45997</c:v>
                </c:pt>
                <c:pt idx="554">
                  <c:v>45998</c:v>
                </c:pt>
                <c:pt idx="555">
                  <c:v>45999</c:v>
                </c:pt>
                <c:pt idx="556">
                  <c:v>46000</c:v>
                </c:pt>
                <c:pt idx="557">
                  <c:v>46001</c:v>
                </c:pt>
                <c:pt idx="558">
                  <c:v>46002</c:v>
                </c:pt>
                <c:pt idx="559">
                  <c:v>46003</c:v>
                </c:pt>
                <c:pt idx="560">
                  <c:v>46004</c:v>
                </c:pt>
                <c:pt idx="561">
                  <c:v>46005</c:v>
                </c:pt>
                <c:pt idx="562">
                  <c:v>46006</c:v>
                </c:pt>
                <c:pt idx="563">
                  <c:v>46007</c:v>
                </c:pt>
                <c:pt idx="564">
                  <c:v>46008</c:v>
                </c:pt>
                <c:pt idx="565">
                  <c:v>46009</c:v>
                </c:pt>
                <c:pt idx="566">
                  <c:v>46010</c:v>
                </c:pt>
                <c:pt idx="567">
                  <c:v>46011</c:v>
                </c:pt>
                <c:pt idx="568">
                  <c:v>46012</c:v>
                </c:pt>
                <c:pt idx="569">
                  <c:v>46013</c:v>
                </c:pt>
                <c:pt idx="570">
                  <c:v>46014</c:v>
                </c:pt>
                <c:pt idx="571">
                  <c:v>46015</c:v>
                </c:pt>
                <c:pt idx="572">
                  <c:v>46016</c:v>
                </c:pt>
                <c:pt idx="573">
                  <c:v>46017</c:v>
                </c:pt>
                <c:pt idx="574">
                  <c:v>46018</c:v>
                </c:pt>
                <c:pt idx="575">
                  <c:v>46019</c:v>
                </c:pt>
                <c:pt idx="576">
                  <c:v>46020</c:v>
                </c:pt>
                <c:pt idx="577">
                  <c:v>46021</c:v>
                </c:pt>
                <c:pt idx="578">
                  <c:v>46022</c:v>
                </c:pt>
                <c:pt idx="579">
                  <c:v>46023</c:v>
                </c:pt>
                <c:pt idx="580">
                  <c:v>46024</c:v>
                </c:pt>
                <c:pt idx="581">
                  <c:v>46025</c:v>
                </c:pt>
                <c:pt idx="582">
                  <c:v>46026</c:v>
                </c:pt>
                <c:pt idx="583">
                  <c:v>46027</c:v>
                </c:pt>
                <c:pt idx="584">
                  <c:v>46028</c:v>
                </c:pt>
                <c:pt idx="585">
                  <c:v>46029</c:v>
                </c:pt>
                <c:pt idx="586">
                  <c:v>46030</c:v>
                </c:pt>
                <c:pt idx="587">
                  <c:v>46031</c:v>
                </c:pt>
                <c:pt idx="588">
                  <c:v>46032</c:v>
                </c:pt>
                <c:pt idx="589">
                  <c:v>46033</c:v>
                </c:pt>
                <c:pt idx="590">
                  <c:v>46034</c:v>
                </c:pt>
                <c:pt idx="591">
                  <c:v>46035</c:v>
                </c:pt>
                <c:pt idx="592">
                  <c:v>46036</c:v>
                </c:pt>
                <c:pt idx="593">
                  <c:v>46037</c:v>
                </c:pt>
                <c:pt idx="594">
                  <c:v>46038</c:v>
                </c:pt>
                <c:pt idx="595">
                  <c:v>46039</c:v>
                </c:pt>
                <c:pt idx="596">
                  <c:v>46040</c:v>
                </c:pt>
                <c:pt idx="597">
                  <c:v>46041</c:v>
                </c:pt>
                <c:pt idx="598">
                  <c:v>46042</c:v>
                </c:pt>
                <c:pt idx="599">
                  <c:v>46043</c:v>
                </c:pt>
                <c:pt idx="600">
                  <c:v>46044</c:v>
                </c:pt>
                <c:pt idx="601">
                  <c:v>46045</c:v>
                </c:pt>
                <c:pt idx="602">
                  <c:v>46046</c:v>
                </c:pt>
                <c:pt idx="603">
                  <c:v>46047</c:v>
                </c:pt>
                <c:pt idx="604">
                  <c:v>46048</c:v>
                </c:pt>
                <c:pt idx="605">
                  <c:v>46049</c:v>
                </c:pt>
                <c:pt idx="606">
                  <c:v>46050</c:v>
                </c:pt>
                <c:pt idx="607">
                  <c:v>46051</c:v>
                </c:pt>
                <c:pt idx="608">
                  <c:v>46052</c:v>
                </c:pt>
                <c:pt idx="609">
                  <c:v>46053</c:v>
                </c:pt>
                <c:pt idx="610">
                  <c:v>46054</c:v>
                </c:pt>
                <c:pt idx="611">
                  <c:v>46055</c:v>
                </c:pt>
                <c:pt idx="612">
                  <c:v>46056</c:v>
                </c:pt>
                <c:pt idx="613">
                  <c:v>46057</c:v>
                </c:pt>
                <c:pt idx="614">
                  <c:v>46058</c:v>
                </c:pt>
                <c:pt idx="615">
                  <c:v>46059</c:v>
                </c:pt>
                <c:pt idx="616">
                  <c:v>46060</c:v>
                </c:pt>
                <c:pt idx="617">
                  <c:v>46061</c:v>
                </c:pt>
                <c:pt idx="618">
                  <c:v>46062</c:v>
                </c:pt>
                <c:pt idx="619">
                  <c:v>46063</c:v>
                </c:pt>
                <c:pt idx="620">
                  <c:v>46064</c:v>
                </c:pt>
                <c:pt idx="621">
                  <c:v>46065</c:v>
                </c:pt>
                <c:pt idx="622">
                  <c:v>46066</c:v>
                </c:pt>
                <c:pt idx="623">
                  <c:v>46067</c:v>
                </c:pt>
                <c:pt idx="624">
                  <c:v>46068</c:v>
                </c:pt>
                <c:pt idx="625">
                  <c:v>46069</c:v>
                </c:pt>
                <c:pt idx="626">
                  <c:v>46070</c:v>
                </c:pt>
                <c:pt idx="627">
                  <c:v>46071</c:v>
                </c:pt>
                <c:pt idx="628">
                  <c:v>46072</c:v>
                </c:pt>
                <c:pt idx="629">
                  <c:v>46073</c:v>
                </c:pt>
                <c:pt idx="630">
                  <c:v>46074</c:v>
                </c:pt>
                <c:pt idx="631">
                  <c:v>46075</c:v>
                </c:pt>
                <c:pt idx="632">
                  <c:v>46076</c:v>
                </c:pt>
                <c:pt idx="633">
                  <c:v>46077</c:v>
                </c:pt>
                <c:pt idx="634">
                  <c:v>46078</c:v>
                </c:pt>
                <c:pt idx="635">
                  <c:v>46079</c:v>
                </c:pt>
                <c:pt idx="636">
                  <c:v>46080</c:v>
                </c:pt>
                <c:pt idx="637">
                  <c:v>46081</c:v>
                </c:pt>
                <c:pt idx="638">
                  <c:v>46082</c:v>
                </c:pt>
                <c:pt idx="639">
                  <c:v>46083</c:v>
                </c:pt>
                <c:pt idx="640">
                  <c:v>46084</c:v>
                </c:pt>
                <c:pt idx="641">
                  <c:v>46085</c:v>
                </c:pt>
                <c:pt idx="642">
                  <c:v>46086</c:v>
                </c:pt>
                <c:pt idx="643">
                  <c:v>46087</c:v>
                </c:pt>
                <c:pt idx="644">
                  <c:v>46088</c:v>
                </c:pt>
                <c:pt idx="645">
                  <c:v>46089</c:v>
                </c:pt>
                <c:pt idx="646">
                  <c:v>46090</c:v>
                </c:pt>
                <c:pt idx="647">
                  <c:v>46091</c:v>
                </c:pt>
                <c:pt idx="648">
                  <c:v>46092</c:v>
                </c:pt>
                <c:pt idx="649">
                  <c:v>46093</c:v>
                </c:pt>
                <c:pt idx="650">
                  <c:v>46094</c:v>
                </c:pt>
                <c:pt idx="651">
                  <c:v>46095</c:v>
                </c:pt>
                <c:pt idx="652">
                  <c:v>46096</c:v>
                </c:pt>
                <c:pt idx="653">
                  <c:v>46097</c:v>
                </c:pt>
                <c:pt idx="654">
                  <c:v>46098</c:v>
                </c:pt>
                <c:pt idx="655">
                  <c:v>46099</c:v>
                </c:pt>
                <c:pt idx="656">
                  <c:v>46100</c:v>
                </c:pt>
                <c:pt idx="657">
                  <c:v>46101</c:v>
                </c:pt>
                <c:pt idx="658">
                  <c:v>46102</c:v>
                </c:pt>
                <c:pt idx="659">
                  <c:v>46103</c:v>
                </c:pt>
                <c:pt idx="660">
                  <c:v>46104</c:v>
                </c:pt>
                <c:pt idx="661">
                  <c:v>46105</c:v>
                </c:pt>
                <c:pt idx="662">
                  <c:v>46106</c:v>
                </c:pt>
                <c:pt idx="663">
                  <c:v>46107</c:v>
                </c:pt>
                <c:pt idx="664">
                  <c:v>46108</c:v>
                </c:pt>
                <c:pt idx="665">
                  <c:v>46109</c:v>
                </c:pt>
                <c:pt idx="666">
                  <c:v>46110</c:v>
                </c:pt>
                <c:pt idx="667">
                  <c:v>46111</c:v>
                </c:pt>
                <c:pt idx="668">
                  <c:v>46112</c:v>
                </c:pt>
                <c:pt idx="669">
                  <c:v>46113</c:v>
                </c:pt>
                <c:pt idx="670">
                  <c:v>46114</c:v>
                </c:pt>
                <c:pt idx="671">
                  <c:v>46115</c:v>
                </c:pt>
                <c:pt idx="672">
                  <c:v>46116</c:v>
                </c:pt>
                <c:pt idx="673">
                  <c:v>46117</c:v>
                </c:pt>
                <c:pt idx="674">
                  <c:v>46118</c:v>
                </c:pt>
                <c:pt idx="675">
                  <c:v>46119</c:v>
                </c:pt>
                <c:pt idx="676">
                  <c:v>46120</c:v>
                </c:pt>
                <c:pt idx="677">
                  <c:v>46121</c:v>
                </c:pt>
                <c:pt idx="678">
                  <c:v>46122</c:v>
                </c:pt>
                <c:pt idx="679">
                  <c:v>46123</c:v>
                </c:pt>
                <c:pt idx="680">
                  <c:v>46124</c:v>
                </c:pt>
                <c:pt idx="681">
                  <c:v>46125</c:v>
                </c:pt>
                <c:pt idx="682">
                  <c:v>46126</c:v>
                </c:pt>
                <c:pt idx="683">
                  <c:v>46127</c:v>
                </c:pt>
                <c:pt idx="684">
                  <c:v>46128</c:v>
                </c:pt>
                <c:pt idx="685">
                  <c:v>46129</c:v>
                </c:pt>
                <c:pt idx="686">
                  <c:v>46130</c:v>
                </c:pt>
                <c:pt idx="687">
                  <c:v>46131</c:v>
                </c:pt>
                <c:pt idx="688">
                  <c:v>46132</c:v>
                </c:pt>
                <c:pt idx="689">
                  <c:v>46133</c:v>
                </c:pt>
                <c:pt idx="690">
                  <c:v>46134</c:v>
                </c:pt>
                <c:pt idx="691">
                  <c:v>46135</c:v>
                </c:pt>
                <c:pt idx="692">
                  <c:v>46136</c:v>
                </c:pt>
                <c:pt idx="693">
                  <c:v>46137</c:v>
                </c:pt>
                <c:pt idx="694">
                  <c:v>46138</c:v>
                </c:pt>
                <c:pt idx="695">
                  <c:v>46139</c:v>
                </c:pt>
                <c:pt idx="696">
                  <c:v>46140</c:v>
                </c:pt>
                <c:pt idx="697">
                  <c:v>46141</c:v>
                </c:pt>
                <c:pt idx="698">
                  <c:v>46142</c:v>
                </c:pt>
                <c:pt idx="699">
                  <c:v>46143</c:v>
                </c:pt>
                <c:pt idx="700">
                  <c:v>46144</c:v>
                </c:pt>
                <c:pt idx="701">
                  <c:v>46145</c:v>
                </c:pt>
                <c:pt idx="702">
                  <c:v>46146</c:v>
                </c:pt>
                <c:pt idx="703">
                  <c:v>46147</c:v>
                </c:pt>
                <c:pt idx="704">
                  <c:v>46148</c:v>
                </c:pt>
                <c:pt idx="705">
                  <c:v>46149</c:v>
                </c:pt>
                <c:pt idx="706">
                  <c:v>46150</c:v>
                </c:pt>
                <c:pt idx="707">
                  <c:v>46151</c:v>
                </c:pt>
                <c:pt idx="708">
                  <c:v>46152</c:v>
                </c:pt>
                <c:pt idx="709">
                  <c:v>46153</c:v>
                </c:pt>
                <c:pt idx="710">
                  <c:v>46154</c:v>
                </c:pt>
                <c:pt idx="711">
                  <c:v>46155</c:v>
                </c:pt>
                <c:pt idx="712">
                  <c:v>46156</c:v>
                </c:pt>
                <c:pt idx="713">
                  <c:v>46157</c:v>
                </c:pt>
                <c:pt idx="714">
                  <c:v>46158</c:v>
                </c:pt>
                <c:pt idx="715">
                  <c:v>46159</c:v>
                </c:pt>
                <c:pt idx="716">
                  <c:v>46160</c:v>
                </c:pt>
                <c:pt idx="717">
                  <c:v>46161</c:v>
                </c:pt>
                <c:pt idx="718">
                  <c:v>46162</c:v>
                </c:pt>
                <c:pt idx="719">
                  <c:v>46163</c:v>
                </c:pt>
                <c:pt idx="720">
                  <c:v>46164</c:v>
                </c:pt>
                <c:pt idx="721">
                  <c:v>46165</c:v>
                </c:pt>
                <c:pt idx="722">
                  <c:v>46166</c:v>
                </c:pt>
                <c:pt idx="723">
                  <c:v>46167</c:v>
                </c:pt>
                <c:pt idx="724">
                  <c:v>46168</c:v>
                </c:pt>
                <c:pt idx="725">
                  <c:v>46169</c:v>
                </c:pt>
                <c:pt idx="726">
                  <c:v>46170</c:v>
                </c:pt>
                <c:pt idx="727">
                  <c:v>46171</c:v>
                </c:pt>
                <c:pt idx="728">
                  <c:v>46172</c:v>
                </c:pt>
                <c:pt idx="729">
                  <c:v>46173</c:v>
                </c:pt>
                <c:pt idx="730">
                  <c:v>46174</c:v>
                </c:pt>
                <c:pt idx="731">
                  <c:v>46175</c:v>
                </c:pt>
                <c:pt idx="732">
                  <c:v>46176</c:v>
                </c:pt>
                <c:pt idx="733">
                  <c:v>46177</c:v>
                </c:pt>
                <c:pt idx="734">
                  <c:v>46178</c:v>
                </c:pt>
                <c:pt idx="735">
                  <c:v>46179</c:v>
                </c:pt>
                <c:pt idx="736">
                  <c:v>46180</c:v>
                </c:pt>
                <c:pt idx="737">
                  <c:v>46181</c:v>
                </c:pt>
                <c:pt idx="738">
                  <c:v>46182</c:v>
                </c:pt>
                <c:pt idx="739">
                  <c:v>46183</c:v>
                </c:pt>
                <c:pt idx="740">
                  <c:v>46184</c:v>
                </c:pt>
                <c:pt idx="741">
                  <c:v>46185</c:v>
                </c:pt>
                <c:pt idx="742">
                  <c:v>46186</c:v>
                </c:pt>
                <c:pt idx="743">
                  <c:v>46187</c:v>
                </c:pt>
                <c:pt idx="744">
                  <c:v>46188</c:v>
                </c:pt>
                <c:pt idx="745">
                  <c:v>46189</c:v>
                </c:pt>
                <c:pt idx="746">
                  <c:v>46190</c:v>
                </c:pt>
                <c:pt idx="747">
                  <c:v>46191</c:v>
                </c:pt>
                <c:pt idx="748">
                  <c:v>46192</c:v>
                </c:pt>
                <c:pt idx="749">
                  <c:v>46193</c:v>
                </c:pt>
                <c:pt idx="750">
                  <c:v>46194</c:v>
                </c:pt>
                <c:pt idx="751">
                  <c:v>46195</c:v>
                </c:pt>
                <c:pt idx="752">
                  <c:v>46196</c:v>
                </c:pt>
                <c:pt idx="753">
                  <c:v>46197</c:v>
                </c:pt>
                <c:pt idx="754">
                  <c:v>46198</c:v>
                </c:pt>
                <c:pt idx="755">
                  <c:v>46199</c:v>
                </c:pt>
                <c:pt idx="756">
                  <c:v>46200</c:v>
                </c:pt>
                <c:pt idx="757">
                  <c:v>46201</c:v>
                </c:pt>
                <c:pt idx="758">
                  <c:v>46202</c:v>
                </c:pt>
                <c:pt idx="759">
                  <c:v>46203</c:v>
                </c:pt>
                <c:pt idx="760">
                  <c:v>46204</c:v>
                </c:pt>
                <c:pt idx="761">
                  <c:v>46205</c:v>
                </c:pt>
                <c:pt idx="762">
                  <c:v>46206</c:v>
                </c:pt>
                <c:pt idx="763">
                  <c:v>46207</c:v>
                </c:pt>
                <c:pt idx="764">
                  <c:v>46208</c:v>
                </c:pt>
                <c:pt idx="765">
                  <c:v>46209</c:v>
                </c:pt>
                <c:pt idx="766">
                  <c:v>46210</c:v>
                </c:pt>
                <c:pt idx="767">
                  <c:v>46211</c:v>
                </c:pt>
                <c:pt idx="768">
                  <c:v>46212</c:v>
                </c:pt>
                <c:pt idx="769">
                  <c:v>46213</c:v>
                </c:pt>
                <c:pt idx="770">
                  <c:v>46214</c:v>
                </c:pt>
                <c:pt idx="771">
                  <c:v>46215</c:v>
                </c:pt>
                <c:pt idx="772">
                  <c:v>46216</c:v>
                </c:pt>
                <c:pt idx="773">
                  <c:v>46217</c:v>
                </c:pt>
                <c:pt idx="774">
                  <c:v>46218</c:v>
                </c:pt>
                <c:pt idx="775">
                  <c:v>46219</c:v>
                </c:pt>
                <c:pt idx="776">
                  <c:v>46220</c:v>
                </c:pt>
                <c:pt idx="777">
                  <c:v>46221</c:v>
                </c:pt>
                <c:pt idx="778">
                  <c:v>46222</c:v>
                </c:pt>
                <c:pt idx="779">
                  <c:v>46223</c:v>
                </c:pt>
                <c:pt idx="780">
                  <c:v>46224</c:v>
                </c:pt>
                <c:pt idx="781">
                  <c:v>46225</c:v>
                </c:pt>
                <c:pt idx="782">
                  <c:v>46226</c:v>
                </c:pt>
                <c:pt idx="783">
                  <c:v>46227</c:v>
                </c:pt>
                <c:pt idx="784">
                  <c:v>46228</c:v>
                </c:pt>
                <c:pt idx="785">
                  <c:v>46229</c:v>
                </c:pt>
                <c:pt idx="786">
                  <c:v>46230</c:v>
                </c:pt>
                <c:pt idx="787">
                  <c:v>46231</c:v>
                </c:pt>
                <c:pt idx="788">
                  <c:v>46232</c:v>
                </c:pt>
                <c:pt idx="789">
                  <c:v>46233</c:v>
                </c:pt>
                <c:pt idx="790">
                  <c:v>46234</c:v>
                </c:pt>
                <c:pt idx="791">
                  <c:v>46235</c:v>
                </c:pt>
                <c:pt idx="792">
                  <c:v>46236</c:v>
                </c:pt>
                <c:pt idx="793">
                  <c:v>46237</c:v>
                </c:pt>
                <c:pt idx="794">
                  <c:v>46238</c:v>
                </c:pt>
                <c:pt idx="795">
                  <c:v>46239</c:v>
                </c:pt>
                <c:pt idx="796">
                  <c:v>46240</c:v>
                </c:pt>
                <c:pt idx="797">
                  <c:v>46241</c:v>
                </c:pt>
                <c:pt idx="798">
                  <c:v>46242</c:v>
                </c:pt>
                <c:pt idx="799">
                  <c:v>46243</c:v>
                </c:pt>
                <c:pt idx="800">
                  <c:v>46244</c:v>
                </c:pt>
                <c:pt idx="801">
                  <c:v>46245</c:v>
                </c:pt>
                <c:pt idx="802">
                  <c:v>46246</c:v>
                </c:pt>
                <c:pt idx="803">
                  <c:v>46247</c:v>
                </c:pt>
                <c:pt idx="804">
                  <c:v>46248</c:v>
                </c:pt>
                <c:pt idx="805">
                  <c:v>46249</c:v>
                </c:pt>
                <c:pt idx="806">
                  <c:v>46250</c:v>
                </c:pt>
                <c:pt idx="807">
                  <c:v>46251</c:v>
                </c:pt>
                <c:pt idx="808">
                  <c:v>46252</c:v>
                </c:pt>
                <c:pt idx="809">
                  <c:v>46253</c:v>
                </c:pt>
                <c:pt idx="810">
                  <c:v>46254</c:v>
                </c:pt>
                <c:pt idx="811">
                  <c:v>46255</c:v>
                </c:pt>
                <c:pt idx="812">
                  <c:v>46256</c:v>
                </c:pt>
                <c:pt idx="813">
                  <c:v>46257</c:v>
                </c:pt>
                <c:pt idx="814">
                  <c:v>46258</c:v>
                </c:pt>
                <c:pt idx="815">
                  <c:v>46259</c:v>
                </c:pt>
                <c:pt idx="816">
                  <c:v>46260</c:v>
                </c:pt>
                <c:pt idx="817">
                  <c:v>46261</c:v>
                </c:pt>
                <c:pt idx="818">
                  <c:v>46262</c:v>
                </c:pt>
                <c:pt idx="819">
                  <c:v>46263</c:v>
                </c:pt>
                <c:pt idx="820">
                  <c:v>46264</c:v>
                </c:pt>
                <c:pt idx="821">
                  <c:v>46265</c:v>
                </c:pt>
                <c:pt idx="822">
                  <c:v>46266</c:v>
                </c:pt>
                <c:pt idx="823">
                  <c:v>46267</c:v>
                </c:pt>
                <c:pt idx="824">
                  <c:v>46268</c:v>
                </c:pt>
                <c:pt idx="825">
                  <c:v>46269</c:v>
                </c:pt>
                <c:pt idx="826">
                  <c:v>46270</c:v>
                </c:pt>
                <c:pt idx="827">
                  <c:v>46271</c:v>
                </c:pt>
                <c:pt idx="828">
                  <c:v>46272</c:v>
                </c:pt>
                <c:pt idx="829">
                  <c:v>46273</c:v>
                </c:pt>
                <c:pt idx="830">
                  <c:v>46274</c:v>
                </c:pt>
                <c:pt idx="831">
                  <c:v>46275</c:v>
                </c:pt>
                <c:pt idx="832">
                  <c:v>46276</c:v>
                </c:pt>
                <c:pt idx="833">
                  <c:v>46277</c:v>
                </c:pt>
                <c:pt idx="834">
                  <c:v>46278</c:v>
                </c:pt>
                <c:pt idx="835">
                  <c:v>46279</c:v>
                </c:pt>
                <c:pt idx="836">
                  <c:v>46280</c:v>
                </c:pt>
                <c:pt idx="837">
                  <c:v>46281</c:v>
                </c:pt>
                <c:pt idx="838">
                  <c:v>46282</c:v>
                </c:pt>
                <c:pt idx="839">
                  <c:v>46283</c:v>
                </c:pt>
                <c:pt idx="840">
                  <c:v>46284</c:v>
                </c:pt>
                <c:pt idx="841">
                  <c:v>46285</c:v>
                </c:pt>
                <c:pt idx="842">
                  <c:v>46286</c:v>
                </c:pt>
                <c:pt idx="843">
                  <c:v>46287</c:v>
                </c:pt>
                <c:pt idx="844">
                  <c:v>46288</c:v>
                </c:pt>
                <c:pt idx="845">
                  <c:v>46289</c:v>
                </c:pt>
                <c:pt idx="846">
                  <c:v>46290</c:v>
                </c:pt>
                <c:pt idx="847">
                  <c:v>46291</c:v>
                </c:pt>
                <c:pt idx="848">
                  <c:v>46292</c:v>
                </c:pt>
                <c:pt idx="849">
                  <c:v>46293</c:v>
                </c:pt>
                <c:pt idx="850">
                  <c:v>46294</c:v>
                </c:pt>
                <c:pt idx="851">
                  <c:v>46295</c:v>
                </c:pt>
                <c:pt idx="852">
                  <c:v>46296</c:v>
                </c:pt>
                <c:pt idx="853">
                  <c:v>46297</c:v>
                </c:pt>
                <c:pt idx="854">
                  <c:v>46298</c:v>
                </c:pt>
                <c:pt idx="855">
                  <c:v>46299</c:v>
                </c:pt>
                <c:pt idx="856">
                  <c:v>46300</c:v>
                </c:pt>
                <c:pt idx="857">
                  <c:v>46301</c:v>
                </c:pt>
                <c:pt idx="858">
                  <c:v>46302</c:v>
                </c:pt>
                <c:pt idx="859">
                  <c:v>46303</c:v>
                </c:pt>
                <c:pt idx="860">
                  <c:v>46304</c:v>
                </c:pt>
                <c:pt idx="861">
                  <c:v>46305</c:v>
                </c:pt>
                <c:pt idx="862">
                  <c:v>46306</c:v>
                </c:pt>
                <c:pt idx="863">
                  <c:v>46307</c:v>
                </c:pt>
                <c:pt idx="864">
                  <c:v>46308</c:v>
                </c:pt>
                <c:pt idx="865">
                  <c:v>46309</c:v>
                </c:pt>
                <c:pt idx="866">
                  <c:v>46310</c:v>
                </c:pt>
                <c:pt idx="867">
                  <c:v>46311</c:v>
                </c:pt>
                <c:pt idx="868">
                  <c:v>46312</c:v>
                </c:pt>
                <c:pt idx="869">
                  <c:v>46313</c:v>
                </c:pt>
                <c:pt idx="870">
                  <c:v>46314</c:v>
                </c:pt>
                <c:pt idx="871">
                  <c:v>46315</c:v>
                </c:pt>
                <c:pt idx="872">
                  <c:v>46316</c:v>
                </c:pt>
                <c:pt idx="873">
                  <c:v>46317</c:v>
                </c:pt>
                <c:pt idx="874">
                  <c:v>46318</c:v>
                </c:pt>
                <c:pt idx="875">
                  <c:v>46319</c:v>
                </c:pt>
                <c:pt idx="876">
                  <c:v>46320</c:v>
                </c:pt>
                <c:pt idx="877">
                  <c:v>46321</c:v>
                </c:pt>
                <c:pt idx="878">
                  <c:v>46322</c:v>
                </c:pt>
                <c:pt idx="879">
                  <c:v>46323</c:v>
                </c:pt>
                <c:pt idx="880">
                  <c:v>46324</c:v>
                </c:pt>
                <c:pt idx="881">
                  <c:v>46325</c:v>
                </c:pt>
                <c:pt idx="882">
                  <c:v>46326</c:v>
                </c:pt>
                <c:pt idx="883">
                  <c:v>46327</c:v>
                </c:pt>
                <c:pt idx="884">
                  <c:v>46328</c:v>
                </c:pt>
                <c:pt idx="885">
                  <c:v>46329</c:v>
                </c:pt>
                <c:pt idx="886">
                  <c:v>46330</c:v>
                </c:pt>
                <c:pt idx="887">
                  <c:v>46331</c:v>
                </c:pt>
                <c:pt idx="888">
                  <c:v>46332</c:v>
                </c:pt>
                <c:pt idx="889">
                  <c:v>46333</c:v>
                </c:pt>
                <c:pt idx="890">
                  <c:v>46334</c:v>
                </c:pt>
                <c:pt idx="891">
                  <c:v>46335</c:v>
                </c:pt>
                <c:pt idx="892">
                  <c:v>46336</c:v>
                </c:pt>
                <c:pt idx="893">
                  <c:v>46337</c:v>
                </c:pt>
                <c:pt idx="894">
                  <c:v>46338</c:v>
                </c:pt>
                <c:pt idx="895">
                  <c:v>46339</c:v>
                </c:pt>
                <c:pt idx="896">
                  <c:v>46340</c:v>
                </c:pt>
                <c:pt idx="897">
                  <c:v>46341</c:v>
                </c:pt>
                <c:pt idx="898">
                  <c:v>46342</c:v>
                </c:pt>
                <c:pt idx="899">
                  <c:v>46343</c:v>
                </c:pt>
                <c:pt idx="900">
                  <c:v>46344</c:v>
                </c:pt>
                <c:pt idx="901">
                  <c:v>46345</c:v>
                </c:pt>
                <c:pt idx="902">
                  <c:v>46346</c:v>
                </c:pt>
                <c:pt idx="903">
                  <c:v>46347</c:v>
                </c:pt>
                <c:pt idx="904">
                  <c:v>46348</c:v>
                </c:pt>
                <c:pt idx="905">
                  <c:v>46349</c:v>
                </c:pt>
                <c:pt idx="906">
                  <c:v>46350</c:v>
                </c:pt>
                <c:pt idx="907">
                  <c:v>46351</c:v>
                </c:pt>
                <c:pt idx="908">
                  <c:v>46352</c:v>
                </c:pt>
                <c:pt idx="909">
                  <c:v>46353</c:v>
                </c:pt>
                <c:pt idx="910">
                  <c:v>46354</c:v>
                </c:pt>
                <c:pt idx="911">
                  <c:v>46355</c:v>
                </c:pt>
                <c:pt idx="912">
                  <c:v>46356</c:v>
                </c:pt>
                <c:pt idx="913">
                  <c:v>46357</c:v>
                </c:pt>
                <c:pt idx="914">
                  <c:v>46358</c:v>
                </c:pt>
                <c:pt idx="915">
                  <c:v>46359</c:v>
                </c:pt>
                <c:pt idx="916">
                  <c:v>46360</c:v>
                </c:pt>
                <c:pt idx="917">
                  <c:v>46361</c:v>
                </c:pt>
                <c:pt idx="918">
                  <c:v>46362</c:v>
                </c:pt>
                <c:pt idx="919">
                  <c:v>46363</c:v>
                </c:pt>
                <c:pt idx="920">
                  <c:v>46364</c:v>
                </c:pt>
                <c:pt idx="921">
                  <c:v>46365</c:v>
                </c:pt>
                <c:pt idx="922">
                  <c:v>46366</c:v>
                </c:pt>
                <c:pt idx="923">
                  <c:v>46367</c:v>
                </c:pt>
                <c:pt idx="924">
                  <c:v>46368</c:v>
                </c:pt>
                <c:pt idx="925">
                  <c:v>46369</c:v>
                </c:pt>
                <c:pt idx="926">
                  <c:v>46370</c:v>
                </c:pt>
                <c:pt idx="927">
                  <c:v>46371</c:v>
                </c:pt>
                <c:pt idx="928">
                  <c:v>46372</c:v>
                </c:pt>
                <c:pt idx="929">
                  <c:v>46373</c:v>
                </c:pt>
                <c:pt idx="930">
                  <c:v>46374</c:v>
                </c:pt>
                <c:pt idx="931">
                  <c:v>46375</c:v>
                </c:pt>
                <c:pt idx="932">
                  <c:v>46376</c:v>
                </c:pt>
                <c:pt idx="933">
                  <c:v>46377</c:v>
                </c:pt>
                <c:pt idx="934">
                  <c:v>46378</c:v>
                </c:pt>
                <c:pt idx="935">
                  <c:v>46379</c:v>
                </c:pt>
                <c:pt idx="936">
                  <c:v>46380</c:v>
                </c:pt>
                <c:pt idx="937">
                  <c:v>46381</c:v>
                </c:pt>
                <c:pt idx="938">
                  <c:v>46382</c:v>
                </c:pt>
                <c:pt idx="939">
                  <c:v>46383</c:v>
                </c:pt>
                <c:pt idx="940">
                  <c:v>46384</c:v>
                </c:pt>
                <c:pt idx="941">
                  <c:v>46385</c:v>
                </c:pt>
                <c:pt idx="942">
                  <c:v>46386</c:v>
                </c:pt>
                <c:pt idx="943">
                  <c:v>46387</c:v>
                </c:pt>
                <c:pt idx="944">
                  <c:v>46388</c:v>
                </c:pt>
                <c:pt idx="945">
                  <c:v>46389</c:v>
                </c:pt>
                <c:pt idx="946">
                  <c:v>46390</c:v>
                </c:pt>
                <c:pt idx="947">
                  <c:v>46391</c:v>
                </c:pt>
                <c:pt idx="948">
                  <c:v>46392</c:v>
                </c:pt>
                <c:pt idx="949">
                  <c:v>46393</c:v>
                </c:pt>
                <c:pt idx="950">
                  <c:v>46394</c:v>
                </c:pt>
                <c:pt idx="951">
                  <c:v>46395</c:v>
                </c:pt>
                <c:pt idx="952">
                  <c:v>46396</c:v>
                </c:pt>
                <c:pt idx="953">
                  <c:v>46397</c:v>
                </c:pt>
                <c:pt idx="954">
                  <c:v>46398</c:v>
                </c:pt>
                <c:pt idx="955">
                  <c:v>46399</c:v>
                </c:pt>
                <c:pt idx="956">
                  <c:v>46400</c:v>
                </c:pt>
                <c:pt idx="957">
                  <c:v>46401</c:v>
                </c:pt>
                <c:pt idx="958">
                  <c:v>46402</c:v>
                </c:pt>
                <c:pt idx="959">
                  <c:v>46403</c:v>
                </c:pt>
                <c:pt idx="960">
                  <c:v>46404</c:v>
                </c:pt>
                <c:pt idx="961">
                  <c:v>46405</c:v>
                </c:pt>
                <c:pt idx="962">
                  <c:v>46406</c:v>
                </c:pt>
                <c:pt idx="963">
                  <c:v>46407</c:v>
                </c:pt>
                <c:pt idx="964">
                  <c:v>46408</c:v>
                </c:pt>
                <c:pt idx="965">
                  <c:v>46409</c:v>
                </c:pt>
                <c:pt idx="966">
                  <c:v>46410</c:v>
                </c:pt>
                <c:pt idx="967">
                  <c:v>46411</c:v>
                </c:pt>
                <c:pt idx="968">
                  <c:v>46412</c:v>
                </c:pt>
                <c:pt idx="969">
                  <c:v>46413</c:v>
                </c:pt>
                <c:pt idx="970">
                  <c:v>46414</c:v>
                </c:pt>
                <c:pt idx="971">
                  <c:v>46415</c:v>
                </c:pt>
                <c:pt idx="972">
                  <c:v>46416</c:v>
                </c:pt>
                <c:pt idx="973">
                  <c:v>46417</c:v>
                </c:pt>
                <c:pt idx="974">
                  <c:v>46418</c:v>
                </c:pt>
                <c:pt idx="975">
                  <c:v>46419</c:v>
                </c:pt>
                <c:pt idx="976">
                  <c:v>46420</c:v>
                </c:pt>
                <c:pt idx="977">
                  <c:v>46421</c:v>
                </c:pt>
                <c:pt idx="978">
                  <c:v>46422</c:v>
                </c:pt>
                <c:pt idx="979">
                  <c:v>46423</c:v>
                </c:pt>
                <c:pt idx="980">
                  <c:v>46424</c:v>
                </c:pt>
                <c:pt idx="981">
                  <c:v>46425</c:v>
                </c:pt>
                <c:pt idx="982">
                  <c:v>46426</c:v>
                </c:pt>
                <c:pt idx="983">
                  <c:v>46427</c:v>
                </c:pt>
                <c:pt idx="984">
                  <c:v>46428</c:v>
                </c:pt>
                <c:pt idx="985">
                  <c:v>46429</c:v>
                </c:pt>
                <c:pt idx="986">
                  <c:v>46430</c:v>
                </c:pt>
                <c:pt idx="987">
                  <c:v>46431</c:v>
                </c:pt>
                <c:pt idx="988">
                  <c:v>46432</c:v>
                </c:pt>
                <c:pt idx="989">
                  <c:v>46433</c:v>
                </c:pt>
                <c:pt idx="990">
                  <c:v>46434</c:v>
                </c:pt>
                <c:pt idx="991">
                  <c:v>46435</c:v>
                </c:pt>
                <c:pt idx="992">
                  <c:v>46436</c:v>
                </c:pt>
                <c:pt idx="993">
                  <c:v>46437</c:v>
                </c:pt>
                <c:pt idx="994">
                  <c:v>46438</c:v>
                </c:pt>
                <c:pt idx="995">
                  <c:v>46439</c:v>
                </c:pt>
                <c:pt idx="996">
                  <c:v>46440</c:v>
                </c:pt>
                <c:pt idx="997">
                  <c:v>46441</c:v>
                </c:pt>
                <c:pt idx="998">
                  <c:v>46442</c:v>
                </c:pt>
                <c:pt idx="999">
                  <c:v>46443</c:v>
                </c:pt>
                <c:pt idx="1000">
                  <c:v>46444</c:v>
                </c:pt>
                <c:pt idx="1001">
                  <c:v>46445</c:v>
                </c:pt>
                <c:pt idx="1002">
                  <c:v>46446</c:v>
                </c:pt>
                <c:pt idx="1003">
                  <c:v>46447</c:v>
                </c:pt>
                <c:pt idx="1004">
                  <c:v>46448</c:v>
                </c:pt>
                <c:pt idx="1005">
                  <c:v>46449</c:v>
                </c:pt>
                <c:pt idx="1006">
                  <c:v>46450</c:v>
                </c:pt>
                <c:pt idx="1007">
                  <c:v>46451</c:v>
                </c:pt>
                <c:pt idx="1008">
                  <c:v>46452</c:v>
                </c:pt>
                <c:pt idx="1009">
                  <c:v>46453</c:v>
                </c:pt>
                <c:pt idx="1010">
                  <c:v>46454</c:v>
                </c:pt>
                <c:pt idx="1011">
                  <c:v>46455</c:v>
                </c:pt>
                <c:pt idx="1012">
                  <c:v>46456</c:v>
                </c:pt>
                <c:pt idx="1013">
                  <c:v>46457</c:v>
                </c:pt>
                <c:pt idx="1014">
                  <c:v>46458</c:v>
                </c:pt>
                <c:pt idx="1015">
                  <c:v>46459</c:v>
                </c:pt>
                <c:pt idx="1016">
                  <c:v>46460</c:v>
                </c:pt>
                <c:pt idx="1017">
                  <c:v>46461</c:v>
                </c:pt>
                <c:pt idx="1018">
                  <c:v>46462</c:v>
                </c:pt>
                <c:pt idx="1019">
                  <c:v>46463</c:v>
                </c:pt>
                <c:pt idx="1020">
                  <c:v>46464</c:v>
                </c:pt>
                <c:pt idx="1021">
                  <c:v>46465</c:v>
                </c:pt>
                <c:pt idx="1022">
                  <c:v>46466</c:v>
                </c:pt>
                <c:pt idx="1023">
                  <c:v>46467</c:v>
                </c:pt>
                <c:pt idx="1024">
                  <c:v>46468</c:v>
                </c:pt>
                <c:pt idx="1025">
                  <c:v>46469</c:v>
                </c:pt>
                <c:pt idx="1026">
                  <c:v>46470</c:v>
                </c:pt>
                <c:pt idx="1027">
                  <c:v>46471</c:v>
                </c:pt>
                <c:pt idx="1028">
                  <c:v>46472</c:v>
                </c:pt>
                <c:pt idx="1029">
                  <c:v>46473</c:v>
                </c:pt>
                <c:pt idx="1030">
                  <c:v>46474</c:v>
                </c:pt>
                <c:pt idx="1031">
                  <c:v>46475</c:v>
                </c:pt>
                <c:pt idx="1032">
                  <c:v>46476</c:v>
                </c:pt>
                <c:pt idx="1033">
                  <c:v>46477</c:v>
                </c:pt>
                <c:pt idx="1034">
                  <c:v>46478</c:v>
                </c:pt>
                <c:pt idx="1035">
                  <c:v>46479</c:v>
                </c:pt>
                <c:pt idx="1036">
                  <c:v>46480</c:v>
                </c:pt>
                <c:pt idx="1037">
                  <c:v>46481</c:v>
                </c:pt>
                <c:pt idx="1038">
                  <c:v>46482</c:v>
                </c:pt>
                <c:pt idx="1039">
                  <c:v>46483</c:v>
                </c:pt>
                <c:pt idx="1040">
                  <c:v>46484</c:v>
                </c:pt>
                <c:pt idx="1041">
                  <c:v>46485</c:v>
                </c:pt>
                <c:pt idx="1042">
                  <c:v>46486</c:v>
                </c:pt>
                <c:pt idx="1043">
                  <c:v>46487</c:v>
                </c:pt>
                <c:pt idx="1044">
                  <c:v>46488</c:v>
                </c:pt>
                <c:pt idx="1045">
                  <c:v>46489</c:v>
                </c:pt>
                <c:pt idx="1046">
                  <c:v>46490</c:v>
                </c:pt>
                <c:pt idx="1047">
                  <c:v>46491</c:v>
                </c:pt>
                <c:pt idx="1048">
                  <c:v>46492</c:v>
                </c:pt>
                <c:pt idx="1049">
                  <c:v>46493</c:v>
                </c:pt>
                <c:pt idx="1050">
                  <c:v>46494</c:v>
                </c:pt>
                <c:pt idx="1051">
                  <c:v>46495</c:v>
                </c:pt>
                <c:pt idx="1052">
                  <c:v>46496</c:v>
                </c:pt>
                <c:pt idx="1053">
                  <c:v>46497</c:v>
                </c:pt>
                <c:pt idx="1054">
                  <c:v>46498</c:v>
                </c:pt>
                <c:pt idx="1055">
                  <c:v>46499</c:v>
                </c:pt>
                <c:pt idx="1056">
                  <c:v>46500</c:v>
                </c:pt>
                <c:pt idx="1057">
                  <c:v>46501</c:v>
                </c:pt>
                <c:pt idx="1058">
                  <c:v>46502</c:v>
                </c:pt>
                <c:pt idx="1059">
                  <c:v>46503</c:v>
                </c:pt>
                <c:pt idx="1060">
                  <c:v>46504</c:v>
                </c:pt>
                <c:pt idx="1061">
                  <c:v>46505</c:v>
                </c:pt>
                <c:pt idx="1062">
                  <c:v>46506</c:v>
                </c:pt>
                <c:pt idx="1063">
                  <c:v>46507</c:v>
                </c:pt>
                <c:pt idx="1064">
                  <c:v>46508</c:v>
                </c:pt>
                <c:pt idx="1065">
                  <c:v>46509</c:v>
                </c:pt>
                <c:pt idx="1066">
                  <c:v>46510</c:v>
                </c:pt>
                <c:pt idx="1067">
                  <c:v>46511</c:v>
                </c:pt>
                <c:pt idx="1068">
                  <c:v>46512</c:v>
                </c:pt>
                <c:pt idx="1069">
                  <c:v>46513</c:v>
                </c:pt>
                <c:pt idx="1070">
                  <c:v>46514</c:v>
                </c:pt>
                <c:pt idx="1071">
                  <c:v>46515</c:v>
                </c:pt>
                <c:pt idx="1072">
                  <c:v>46516</c:v>
                </c:pt>
                <c:pt idx="1073">
                  <c:v>46517</c:v>
                </c:pt>
                <c:pt idx="1074">
                  <c:v>46518</c:v>
                </c:pt>
                <c:pt idx="1075">
                  <c:v>46519</c:v>
                </c:pt>
                <c:pt idx="1076">
                  <c:v>46520</c:v>
                </c:pt>
                <c:pt idx="1077">
                  <c:v>46521</c:v>
                </c:pt>
                <c:pt idx="1078">
                  <c:v>46522</c:v>
                </c:pt>
                <c:pt idx="1079">
                  <c:v>46523</c:v>
                </c:pt>
                <c:pt idx="1080">
                  <c:v>46524</c:v>
                </c:pt>
                <c:pt idx="1081">
                  <c:v>46525</c:v>
                </c:pt>
                <c:pt idx="1082">
                  <c:v>46526</c:v>
                </c:pt>
                <c:pt idx="1083">
                  <c:v>46527</c:v>
                </c:pt>
                <c:pt idx="1084">
                  <c:v>46528</c:v>
                </c:pt>
                <c:pt idx="1085">
                  <c:v>46529</c:v>
                </c:pt>
                <c:pt idx="1086">
                  <c:v>46530</c:v>
                </c:pt>
                <c:pt idx="1087">
                  <c:v>46531</c:v>
                </c:pt>
                <c:pt idx="1088">
                  <c:v>46532</c:v>
                </c:pt>
                <c:pt idx="1089">
                  <c:v>46533</c:v>
                </c:pt>
                <c:pt idx="1090">
                  <c:v>46534</c:v>
                </c:pt>
                <c:pt idx="1091">
                  <c:v>46535</c:v>
                </c:pt>
                <c:pt idx="1092">
                  <c:v>46536</c:v>
                </c:pt>
                <c:pt idx="1093">
                  <c:v>46537</c:v>
                </c:pt>
                <c:pt idx="1094">
                  <c:v>46538</c:v>
                </c:pt>
                <c:pt idx="1095">
                  <c:v>46539</c:v>
                </c:pt>
                <c:pt idx="1096">
                  <c:v>46540</c:v>
                </c:pt>
                <c:pt idx="1097">
                  <c:v>46541</c:v>
                </c:pt>
                <c:pt idx="1098">
                  <c:v>46542</c:v>
                </c:pt>
                <c:pt idx="1099">
                  <c:v>46543</c:v>
                </c:pt>
                <c:pt idx="1100">
                  <c:v>46544</c:v>
                </c:pt>
                <c:pt idx="1101">
                  <c:v>46545</c:v>
                </c:pt>
                <c:pt idx="1102">
                  <c:v>46546</c:v>
                </c:pt>
                <c:pt idx="1103">
                  <c:v>46547</c:v>
                </c:pt>
                <c:pt idx="1104">
                  <c:v>46548</c:v>
                </c:pt>
                <c:pt idx="1105">
                  <c:v>46549</c:v>
                </c:pt>
                <c:pt idx="1106">
                  <c:v>46550</c:v>
                </c:pt>
                <c:pt idx="1107">
                  <c:v>46551</c:v>
                </c:pt>
                <c:pt idx="1108">
                  <c:v>46552</c:v>
                </c:pt>
                <c:pt idx="1109">
                  <c:v>46553</c:v>
                </c:pt>
                <c:pt idx="1110">
                  <c:v>46554</c:v>
                </c:pt>
                <c:pt idx="1111">
                  <c:v>46555</c:v>
                </c:pt>
                <c:pt idx="1112">
                  <c:v>46556</c:v>
                </c:pt>
                <c:pt idx="1113">
                  <c:v>46557</c:v>
                </c:pt>
                <c:pt idx="1114">
                  <c:v>46558</c:v>
                </c:pt>
                <c:pt idx="1115">
                  <c:v>46559</c:v>
                </c:pt>
                <c:pt idx="1116">
                  <c:v>46560</c:v>
                </c:pt>
                <c:pt idx="1117">
                  <c:v>46561</c:v>
                </c:pt>
                <c:pt idx="1118">
                  <c:v>46562</c:v>
                </c:pt>
                <c:pt idx="1119">
                  <c:v>46563</c:v>
                </c:pt>
                <c:pt idx="1120">
                  <c:v>46564</c:v>
                </c:pt>
                <c:pt idx="1121">
                  <c:v>46565</c:v>
                </c:pt>
                <c:pt idx="1122">
                  <c:v>46566</c:v>
                </c:pt>
                <c:pt idx="1123">
                  <c:v>46567</c:v>
                </c:pt>
                <c:pt idx="1124">
                  <c:v>46568</c:v>
                </c:pt>
                <c:pt idx="1125">
                  <c:v>46569</c:v>
                </c:pt>
                <c:pt idx="1126">
                  <c:v>46570</c:v>
                </c:pt>
                <c:pt idx="1127">
                  <c:v>46571</c:v>
                </c:pt>
                <c:pt idx="1128">
                  <c:v>46572</c:v>
                </c:pt>
                <c:pt idx="1129">
                  <c:v>46573</c:v>
                </c:pt>
                <c:pt idx="1130">
                  <c:v>46574</c:v>
                </c:pt>
                <c:pt idx="1131">
                  <c:v>46575</c:v>
                </c:pt>
                <c:pt idx="1132">
                  <c:v>46576</c:v>
                </c:pt>
                <c:pt idx="1133">
                  <c:v>46577</c:v>
                </c:pt>
                <c:pt idx="1134">
                  <c:v>46578</c:v>
                </c:pt>
                <c:pt idx="1135">
                  <c:v>46579</c:v>
                </c:pt>
                <c:pt idx="1136">
                  <c:v>46580</c:v>
                </c:pt>
                <c:pt idx="1137">
                  <c:v>46581</c:v>
                </c:pt>
                <c:pt idx="1138">
                  <c:v>46582</c:v>
                </c:pt>
                <c:pt idx="1139">
                  <c:v>46583</c:v>
                </c:pt>
                <c:pt idx="1140">
                  <c:v>46584</c:v>
                </c:pt>
                <c:pt idx="1141">
                  <c:v>46585</c:v>
                </c:pt>
                <c:pt idx="1142">
                  <c:v>46586</c:v>
                </c:pt>
                <c:pt idx="1143">
                  <c:v>46587</c:v>
                </c:pt>
                <c:pt idx="1144">
                  <c:v>46588</c:v>
                </c:pt>
                <c:pt idx="1145">
                  <c:v>46589</c:v>
                </c:pt>
                <c:pt idx="1146">
                  <c:v>46590</c:v>
                </c:pt>
                <c:pt idx="1147">
                  <c:v>46591</c:v>
                </c:pt>
                <c:pt idx="1148">
                  <c:v>46592</c:v>
                </c:pt>
                <c:pt idx="1149">
                  <c:v>46593</c:v>
                </c:pt>
                <c:pt idx="1150">
                  <c:v>46594</c:v>
                </c:pt>
                <c:pt idx="1151">
                  <c:v>46595</c:v>
                </c:pt>
                <c:pt idx="1152">
                  <c:v>46596</c:v>
                </c:pt>
                <c:pt idx="1153">
                  <c:v>46597</c:v>
                </c:pt>
                <c:pt idx="1154">
                  <c:v>46598</c:v>
                </c:pt>
                <c:pt idx="1155">
                  <c:v>46599</c:v>
                </c:pt>
                <c:pt idx="1156">
                  <c:v>46600</c:v>
                </c:pt>
                <c:pt idx="1157">
                  <c:v>46601</c:v>
                </c:pt>
                <c:pt idx="1158">
                  <c:v>46602</c:v>
                </c:pt>
                <c:pt idx="1159">
                  <c:v>46603</c:v>
                </c:pt>
                <c:pt idx="1160">
                  <c:v>46604</c:v>
                </c:pt>
                <c:pt idx="1161">
                  <c:v>46605</c:v>
                </c:pt>
                <c:pt idx="1162">
                  <c:v>46606</c:v>
                </c:pt>
                <c:pt idx="1163">
                  <c:v>46607</c:v>
                </c:pt>
                <c:pt idx="1164">
                  <c:v>46608</c:v>
                </c:pt>
                <c:pt idx="1165">
                  <c:v>46609</c:v>
                </c:pt>
                <c:pt idx="1166">
                  <c:v>46610</c:v>
                </c:pt>
                <c:pt idx="1167">
                  <c:v>46611</c:v>
                </c:pt>
                <c:pt idx="1168">
                  <c:v>46612</c:v>
                </c:pt>
                <c:pt idx="1169">
                  <c:v>46613</c:v>
                </c:pt>
                <c:pt idx="1170">
                  <c:v>46614</c:v>
                </c:pt>
                <c:pt idx="1171">
                  <c:v>46615</c:v>
                </c:pt>
                <c:pt idx="1172">
                  <c:v>46616</c:v>
                </c:pt>
                <c:pt idx="1173">
                  <c:v>46617</c:v>
                </c:pt>
                <c:pt idx="1174">
                  <c:v>46618</c:v>
                </c:pt>
                <c:pt idx="1175">
                  <c:v>46619</c:v>
                </c:pt>
                <c:pt idx="1176">
                  <c:v>46620</c:v>
                </c:pt>
                <c:pt idx="1177">
                  <c:v>46621</c:v>
                </c:pt>
                <c:pt idx="1178">
                  <c:v>46622</c:v>
                </c:pt>
                <c:pt idx="1179">
                  <c:v>46623</c:v>
                </c:pt>
                <c:pt idx="1180">
                  <c:v>46624</c:v>
                </c:pt>
                <c:pt idx="1181">
                  <c:v>46625</c:v>
                </c:pt>
                <c:pt idx="1182">
                  <c:v>46626</c:v>
                </c:pt>
                <c:pt idx="1183">
                  <c:v>46627</c:v>
                </c:pt>
                <c:pt idx="1184">
                  <c:v>46628</c:v>
                </c:pt>
                <c:pt idx="1185">
                  <c:v>46629</c:v>
                </c:pt>
                <c:pt idx="1186">
                  <c:v>46630</c:v>
                </c:pt>
                <c:pt idx="1187">
                  <c:v>46631</c:v>
                </c:pt>
                <c:pt idx="1188">
                  <c:v>46632</c:v>
                </c:pt>
                <c:pt idx="1189">
                  <c:v>46633</c:v>
                </c:pt>
                <c:pt idx="1190">
                  <c:v>46634</c:v>
                </c:pt>
                <c:pt idx="1191">
                  <c:v>46635</c:v>
                </c:pt>
                <c:pt idx="1192">
                  <c:v>46636</c:v>
                </c:pt>
                <c:pt idx="1193">
                  <c:v>46637</c:v>
                </c:pt>
                <c:pt idx="1194">
                  <c:v>46638</c:v>
                </c:pt>
                <c:pt idx="1195">
                  <c:v>46639</c:v>
                </c:pt>
                <c:pt idx="1196">
                  <c:v>46640</c:v>
                </c:pt>
                <c:pt idx="1197">
                  <c:v>46641</c:v>
                </c:pt>
                <c:pt idx="1198">
                  <c:v>46642</c:v>
                </c:pt>
                <c:pt idx="1199">
                  <c:v>46643</c:v>
                </c:pt>
                <c:pt idx="1200">
                  <c:v>46644</c:v>
                </c:pt>
                <c:pt idx="1201">
                  <c:v>46645</c:v>
                </c:pt>
                <c:pt idx="1202">
                  <c:v>46646</c:v>
                </c:pt>
                <c:pt idx="1203">
                  <c:v>46647</c:v>
                </c:pt>
                <c:pt idx="1204">
                  <c:v>46648</c:v>
                </c:pt>
                <c:pt idx="1205">
                  <c:v>46649</c:v>
                </c:pt>
                <c:pt idx="1206">
                  <c:v>46650</c:v>
                </c:pt>
                <c:pt idx="1207">
                  <c:v>46651</c:v>
                </c:pt>
                <c:pt idx="1208">
                  <c:v>46652</c:v>
                </c:pt>
                <c:pt idx="1209">
                  <c:v>46653</c:v>
                </c:pt>
                <c:pt idx="1210">
                  <c:v>46654</c:v>
                </c:pt>
                <c:pt idx="1211">
                  <c:v>46655</c:v>
                </c:pt>
                <c:pt idx="1212">
                  <c:v>46656</c:v>
                </c:pt>
                <c:pt idx="1213">
                  <c:v>46657</c:v>
                </c:pt>
                <c:pt idx="1214">
                  <c:v>46658</c:v>
                </c:pt>
                <c:pt idx="1215">
                  <c:v>46659</c:v>
                </c:pt>
                <c:pt idx="1216">
                  <c:v>46660</c:v>
                </c:pt>
                <c:pt idx="1217">
                  <c:v>46661</c:v>
                </c:pt>
                <c:pt idx="1218">
                  <c:v>46662</c:v>
                </c:pt>
                <c:pt idx="1219">
                  <c:v>46663</c:v>
                </c:pt>
                <c:pt idx="1220">
                  <c:v>46664</c:v>
                </c:pt>
                <c:pt idx="1221">
                  <c:v>46665</c:v>
                </c:pt>
                <c:pt idx="1222">
                  <c:v>46666</c:v>
                </c:pt>
                <c:pt idx="1223">
                  <c:v>46667</c:v>
                </c:pt>
                <c:pt idx="1224">
                  <c:v>46668</c:v>
                </c:pt>
                <c:pt idx="1225">
                  <c:v>46669</c:v>
                </c:pt>
                <c:pt idx="1226">
                  <c:v>46670</c:v>
                </c:pt>
                <c:pt idx="1227">
                  <c:v>46671</c:v>
                </c:pt>
                <c:pt idx="1228">
                  <c:v>46672</c:v>
                </c:pt>
                <c:pt idx="1229">
                  <c:v>46673</c:v>
                </c:pt>
                <c:pt idx="1230">
                  <c:v>46674</c:v>
                </c:pt>
                <c:pt idx="1231">
                  <c:v>46675</c:v>
                </c:pt>
                <c:pt idx="1232">
                  <c:v>46676</c:v>
                </c:pt>
                <c:pt idx="1233">
                  <c:v>46677</c:v>
                </c:pt>
                <c:pt idx="1234">
                  <c:v>46678</c:v>
                </c:pt>
                <c:pt idx="1235">
                  <c:v>46679</c:v>
                </c:pt>
                <c:pt idx="1236">
                  <c:v>46680</c:v>
                </c:pt>
                <c:pt idx="1237">
                  <c:v>46681</c:v>
                </c:pt>
                <c:pt idx="1238">
                  <c:v>46682</c:v>
                </c:pt>
                <c:pt idx="1239">
                  <c:v>46683</c:v>
                </c:pt>
                <c:pt idx="1240">
                  <c:v>46684</c:v>
                </c:pt>
                <c:pt idx="1241">
                  <c:v>46685</c:v>
                </c:pt>
                <c:pt idx="1242">
                  <c:v>46686</c:v>
                </c:pt>
                <c:pt idx="1243">
                  <c:v>46687</c:v>
                </c:pt>
                <c:pt idx="1244">
                  <c:v>46688</c:v>
                </c:pt>
                <c:pt idx="1245">
                  <c:v>46689</c:v>
                </c:pt>
                <c:pt idx="1246">
                  <c:v>46690</c:v>
                </c:pt>
                <c:pt idx="1247">
                  <c:v>46691</c:v>
                </c:pt>
                <c:pt idx="1248">
                  <c:v>46692</c:v>
                </c:pt>
                <c:pt idx="1249">
                  <c:v>46693</c:v>
                </c:pt>
                <c:pt idx="1250">
                  <c:v>46694</c:v>
                </c:pt>
                <c:pt idx="1251">
                  <c:v>46695</c:v>
                </c:pt>
                <c:pt idx="1252">
                  <c:v>46696</c:v>
                </c:pt>
                <c:pt idx="1253">
                  <c:v>46697</c:v>
                </c:pt>
                <c:pt idx="1254">
                  <c:v>46698</c:v>
                </c:pt>
                <c:pt idx="1255">
                  <c:v>46699</c:v>
                </c:pt>
                <c:pt idx="1256">
                  <c:v>46700</c:v>
                </c:pt>
                <c:pt idx="1257">
                  <c:v>46701</c:v>
                </c:pt>
                <c:pt idx="1258">
                  <c:v>46702</c:v>
                </c:pt>
                <c:pt idx="1259">
                  <c:v>46703</c:v>
                </c:pt>
                <c:pt idx="1260">
                  <c:v>46704</c:v>
                </c:pt>
                <c:pt idx="1261">
                  <c:v>46705</c:v>
                </c:pt>
                <c:pt idx="1262">
                  <c:v>46706</c:v>
                </c:pt>
                <c:pt idx="1263">
                  <c:v>46707</c:v>
                </c:pt>
                <c:pt idx="1264">
                  <c:v>46708</c:v>
                </c:pt>
                <c:pt idx="1265">
                  <c:v>46709</c:v>
                </c:pt>
                <c:pt idx="1266">
                  <c:v>46710</c:v>
                </c:pt>
                <c:pt idx="1267">
                  <c:v>46711</c:v>
                </c:pt>
                <c:pt idx="1268">
                  <c:v>46712</c:v>
                </c:pt>
                <c:pt idx="1269">
                  <c:v>46713</c:v>
                </c:pt>
                <c:pt idx="1270">
                  <c:v>46714</c:v>
                </c:pt>
                <c:pt idx="1271">
                  <c:v>46715</c:v>
                </c:pt>
                <c:pt idx="1272">
                  <c:v>46716</c:v>
                </c:pt>
                <c:pt idx="1273">
                  <c:v>46717</c:v>
                </c:pt>
                <c:pt idx="1274">
                  <c:v>46718</c:v>
                </c:pt>
                <c:pt idx="1275">
                  <c:v>46719</c:v>
                </c:pt>
                <c:pt idx="1276">
                  <c:v>46720</c:v>
                </c:pt>
                <c:pt idx="1277">
                  <c:v>46721</c:v>
                </c:pt>
                <c:pt idx="1278">
                  <c:v>46722</c:v>
                </c:pt>
                <c:pt idx="1279">
                  <c:v>46723</c:v>
                </c:pt>
                <c:pt idx="1280">
                  <c:v>46724</c:v>
                </c:pt>
                <c:pt idx="1281">
                  <c:v>46725</c:v>
                </c:pt>
                <c:pt idx="1282">
                  <c:v>46726</c:v>
                </c:pt>
                <c:pt idx="1283">
                  <c:v>46727</c:v>
                </c:pt>
                <c:pt idx="1284">
                  <c:v>46728</c:v>
                </c:pt>
                <c:pt idx="1285">
                  <c:v>46729</c:v>
                </c:pt>
                <c:pt idx="1286">
                  <c:v>46730</c:v>
                </c:pt>
                <c:pt idx="1287">
                  <c:v>46731</c:v>
                </c:pt>
                <c:pt idx="1288">
                  <c:v>46732</c:v>
                </c:pt>
                <c:pt idx="1289">
                  <c:v>46733</c:v>
                </c:pt>
                <c:pt idx="1290">
                  <c:v>46734</c:v>
                </c:pt>
                <c:pt idx="1291">
                  <c:v>46735</c:v>
                </c:pt>
                <c:pt idx="1292">
                  <c:v>46736</c:v>
                </c:pt>
                <c:pt idx="1293">
                  <c:v>46737</c:v>
                </c:pt>
                <c:pt idx="1294">
                  <c:v>46738</c:v>
                </c:pt>
                <c:pt idx="1295">
                  <c:v>46739</c:v>
                </c:pt>
                <c:pt idx="1296">
                  <c:v>46740</c:v>
                </c:pt>
                <c:pt idx="1297">
                  <c:v>46741</c:v>
                </c:pt>
                <c:pt idx="1298">
                  <c:v>46742</c:v>
                </c:pt>
                <c:pt idx="1299">
                  <c:v>46743</c:v>
                </c:pt>
                <c:pt idx="1300">
                  <c:v>46744</c:v>
                </c:pt>
                <c:pt idx="1301">
                  <c:v>46745</c:v>
                </c:pt>
                <c:pt idx="1302">
                  <c:v>46746</c:v>
                </c:pt>
                <c:pt idx="1303">
                  <c:v>46747</c:v>
                </c:pt>
                <c:pt idx="1304">
                  <c:v>46748</c:v>
                </c:pt>
                <c:pt idx="1305">
                  <c:v>46749</c:v>
                </c:pt>
                <c:pt idx="1306">
                  <c:v>46750</c:v>
                </c:pt>
                <c:pt idx="1307">
                  <c:v>46751</c:v>
                </c:pt>
                <c:pt idx="1308">
                  <c:v>46752</c:v>
                </c:pt>
                <c:pt idx="1309">
                  <c:v>46753</c:v>
                </c:pt>
                <c:pt idx="1310">
                  <c:v>46754</c:v>
                </c:pt>
                <c:pt idx="1311">
                  <c:v>46755</c:v>
                </c:pt>
                <c:pt idx="1312">
                  <c:v>46756</c:v>
                </c:pt>
                <c:pt idx="1313">
                  <c:v>46757</c:v>
                </c:pt>
                <c:pt idx="1314">
                  <c:v>46758</c:v>
                </c:pt>
                <c:pt idx="1315">
                  <c:v>46759</c:v>
                </c:pt>
                <c:pt idx="1316">
                  <c:v>46760</c:v>
                </c:pt>
                <c:pt idx="1317">
                  <c:v>46761</c:v>
                </c:pt>
                <c:pt idx="1318">
                  <c:v>46762</c:v>
                </c:pt>
                <c:pt idx="1319">
                  <c:v>46763</c:v>
                </c:pt>
                <c:pt idx="1320">
                  <c:v>46764</c:v>
                </c:pt>
                <c:pt idx="1321">
                  <c:v>46765</c:v>
                </c:pt>
                <c:pt idx="1322">
                  <c:v>46766</c:v>
                </c:pt>
                <c:pt idx="1323">
                  <c:v>46767</c:v>
                </c:pt>
                <c:pt idx="1324">
                  <c:v>46768</c:v>
                </c:pt>
                <c:pt idx="1325">
                  <c:v>46769</c:v>
                </c:pt>
                <c:pt idx="1326">
                  <c:v>46770</c:v>
                </c:pt>
                <c:pt idx="1327">
                  <c:v>46771</c:v>
                </c:pt>
                <c:pt idx="1328">
                  <c:v>46772</c:v>
                </c:pt>
                <c:pt idx="1329">
                  <c:v>46773</c:v>
                </c:pt>
                <c:pt idx="1330">
                  <c:v>46774</c:v>
                </c:pt>
                <c:pt idx="1331">
                  <c:v>46775</c:v>
                </c:pt>
                <c:pt idx="1332">
                  <c:v>46776</c:v>
                </c:pt>
                <c:pt idx="1333">
                  <c:v>46777</c:v>
                </c:pt>
                <c:pt idx="1334">
                  <c:v>46778</c:v>
                </c:pt>
                <c:pt idx="1335">
                  <c:v>46779</c:v>
                </c:pt>
                <c:pt idx="1336">
                  <c:v>46780</c:v>
                </c:pt>
                <c:pt idx="1337">
                  <c:v>46781</c:v>
                </c:pt>
                <c:pt idx="1338">
                  <c:v>46782</c:v>
                </c:pt>
                <c:pt idx="1339">
                  <c:v>46783</c:v>
                </c:pt>
                <c:pt idx="1340">
                  <c:v>46784</c:v>
                </c:pt>
                <c:pt idx="1341">
                  <c:v>46785</c:v>
                </c:pt>
                <c:pt idx="1342">
                  <c:v>46786</c:v>
                </c:pt>
                <c:pt idx="1343">
                  <c:v>46787</c:v>
                </c:pt>
                <c:pt idx="1344">
                  <c:v>46788</c:v>
                </c:pt>
                <c:pt idx="1345">
                  <c:v>46789</c:v>
                </c:pt>
                <c:pt idx="1346">
                  <c:v>46790</c:v>
                </c:pt>
                <c:pt idx="1347">
                  <c:v>46791</c:v>
                </c:pt>
                <c:pt idx="1348">
                  <c:v>46792</c:v>
                </c:pt>
                <c:pt idx="1349">
                  <c:v>46793</c:v>
                </c:pt>
                <c:pt idx="1350">
                  <c:v>46794</c:v>
                </c:pt>
                <c:pt idx="1351">
                  <c:v>46795</c:v>
                </c:pt>
                <c:pt idx="1352">
                  <c:v>46796</c:v>
                </c:pt>
                <c:pt idx="1353">
                  <c:v>46797</c:v>
                </c:pt>
                <c:pt idx="1354">
                  <c:v>46798</c:v>
                </c:pt>
                <c:pt idx="1355">
                  <c:v>46799</c:v>
                </c:pt>
                <c:pt idx="1356">
                  <c:v>46800</c:v>
                </c:pt>
                <c:pt idx="1357">
                  <c:v>46801</c:v>
                </c:pt>
                <c:pt idx="1358">
                  <c:v>46802</c:v>
                </c:pt>
                <c:pt idx="1359">
                  <c:v>46803</c:v>
                </c:pt>
                <c:pt idx="1360">
                  <c:v>46804</c:v>
                </c:pt>
                <c:pt idx="1361">
                  <c:v>46805</c:v>
                </c:pt>
                <c:pt idx="1362">
                  <c:v>46806</c:v>
                </c:pt>
                <c:pt idx="1363">
                  <c:v>46807</c:v>
                </c:pt>
                <c:pt idx="1364">
                  <c:v>46808</c:v>
                </c:pt>
                <c:pt idx="1365">
                  <c:v>46809</c:v>
                </c:pt>
                <c:pt idx="1366">
                  <c:v>46810</c:v>
                </c:pt>
                <c:pt idx="1367">
                  <c:v>46811</c:v>
                </c:pt>
                <c:pt idx="1368">
                  <c:v>46812</c:v>
                </c:pt>
                <c:pt idx="1369">
                  <c:v>46813</c:v>
                </c:pt>
                <c:pt idx="1370">
                  <c:v>46814</c:v>
                </c:pt>
                <c:pt idx="1371">
                  <c:v>46815</c:v>
                </c:pt>
                <c:pt idx="1372">
                  <c:v>46816</c:v>
                </c:pt>
                <c:pt idx="1373">
                  <c:v>46817</c:v>
                </c:pt>
                <c:pt idx="1374">
                  <c:v>46818</c:v>
                </c:pt>
                <c:pt idx="1375">
                  <c:v>46819</c:v>
                </c:pt>
                <c:pt idx="1376">
                  <c:v>46820</c:v>
                </c:pt>
                <c:pt idx="1377">
                  <c:v>46821</c:v>
                </c:pt>
                <c:pt idx="1378">
                  <c:v>46822</c:v>
                </c:pt>
                <c:pt idx="1379">
                  <c:v>46823</c:v>
                </c:pt>
                <c:pt idx="1380">
                  <c:v>46824</c:v>
                </c:pt>
                <c:pt idx="1381">
                  <c:v>46825</c:v>
                </c:pt>
                <c:pt idx="1382">
                  <c:v>46826</c:v>
                </c:pt>
                <c:pt idx="1383">
                  <c:v>46827</c:v>
                </c:pt>
                <c:pt idx="1384">
                  <c:v>46828</c:v>
                </c:pt>
                <c:pt idx="1385">
                  <c:v>46829</c:v>
                </c:pt>
                <c:pt idx="1386">
                  <c:v>46830</c:v>
                </c:pt>
                <c:pt idx="1387">
                  <c:v>46831</c:v>
                </c:pt>
                <c:pt idx="1388">
                  <c:v>46832</c:v>
                </c:pt>
                <c:pt idx="1389">
                  <c:v>46833</c:v>
                </c:pt>
                <c:pt idx="1390">
                  <c:v>46834</c:v>
                </c:pt>
                <c:pt idx="1391">
                  <c:v>46835</c:v>
                </c:pt>
                <c:pt idx="1392">
                  <c:v>46836</c:v>
                </c:pt>
                <c:pt idx="1393">
                  <c:v>46837</c:v>
                </c:pt>
                <c:pt idx="1394">
                  <c:v>46838</c:v>
                </c:pt>
                <c:pt idx="1395">
                  <c:v>46839</c:v>
                </c:pt>
                <c:pt idx="1396">
                  <c:v>46840</c:v>
                </c:pt>
                <c:pt idx="1397">
                  <c:v>46841</c:v>
                </c:pt>
                <c:pt idx="1398">
                  <c:v>46842</c:v>
                </c:pt>
                <c:pt idx="1399">
                  <c:v>46843</c:v>
                </c:pt>
                <c:pt idx="1400">
                  <c:v>46844</c:v>
                </c:pt>
                <c:pt idx="1401">
                  <c:v>46845</c:v>
                </c:pt>
                <c:pt idx="1402">
                  <c:v>46846</c:v>
                </c:pt>
                <c:pt idx="1403">
                  <c:v>46847</c:v>
                </c:pt>
                <c:pt idx="1404">
                  <c:v>46848</c:v>
                </c:pt>
                <c:pt idx="1405">
                  <c:v>46849</c:v>
                </c:pt>
                <c:pt idx="1406">
                  <c:v>46850</c:v>
                </c:pt>
                <c:pt idx="1407">
                  <c:v>46851</c:v>
                </c:pt>
                <c:pt idx="1408">
                  <c:v>46852</c:v>
                </c:pt>
                <c:pt idx="1409">
                  <c:v>46853</c:v>
                </c:pt>
                <c:pt idx="1410">
                  <c:v>46854</c:v>
                </c:pt>
                <c:pt idx="1411">
                  <c:v>46855</c:v>
                </c:pt>
                <c:pt idx="1412">
                  <c:v>46856</c:v>
                </c:pt>
                <c:pt idx="1413">
                  <c:v>46857</c:v>
                </c:pt>
                <c:pt idx="1414">
                  <c:v>46858</c:v>
                </c:pt>
                <c:pt idx="1415">
                  <c:v>46859</c:v>
                </c:pt>
                <c:pt idx="1416">
                  <c:v>46860</c:v>
                </c:pt>
                <c:pt idx="1417">
                  <c:v>46861</c:v>
                </c:pt>
                <c:pt idx="1418">
                  <c:v>46862</c:v>
                </c:pt>
                <c:pt idx="1419">
                  <c:v>46863</c:v>
                </c:pt>
                <c:pt idx="1420">
                  <c:v>46864</c:v>
                </c:pt>
                <c:pt idx="1421">
                  <c:v>46865</c:v>
                </c:pt>
                <c:pt idx="1422">
                  <c:v>46866</c:v>
                </c:pt>
                <c:pt idx="1423">
                  <c:v>46867</c:v>
                </c:pt>
                <c:pt idx="1424">
                  <c:v>46868</c:v>
                </c:pt>
                <c:pt idx="1425">
                  <c:v>46869</c:v>
                </c:pt>
                <c:pt idx="1426">
                  <c:v>46870</c:v>
                </c:pt>
                <c:pt idx="1427">
                  <c:v>46871</c:v>
                </c:pt>
                <c:pt idx="1428">
                  <c:v>46872</c:v>
                </c:pt>
                <c:pt idx="1429">
                  <c:v>46873</c:v>
                </c:pt>
                <c:pt idx="1430">
                  <c:v>46874</c:v>
                </c:pt>
                <c:pt idx="1431">
                  <c:v>46875</c:v>
                </c:pt>
                <c:pt idx="1432">
                  <c:v>46876</c:v>
                </c:pt>
                <c:pt idx="1433">
                  <c:v>46877</c:v>
                </c:pt>
                <c:pt idx="1434">
                  <c:v>46878</c:v>
                </c:pt>
                <c:pt idx="1435">
                  <c:v>46879</c:v>
                </c:pt>
                <c:pt idx="1436">
                  <c:v>46880</c:v>
                </c:pt>
                <c:pt idx="1437">
                  <c:v>46881</c:v>
                </c:pt>
                <c:pt idx="1438">
                  <c:v>46882</c:v>
                </c:pt>
                <c:pt idx="1439">
                  <c:v>46883</c:v>
                </c:pt>
                <c:pt idx="1440">
                  <c:v>46884</c:v>
                </c:pt>
                <c:pt idx="1441">
                  <c:v>46885</c:v>
                </c:pt>
                <c:pt idx="1442">
                  <c:v>46886</c:v>
                </c:pt>
                <c:pt idx="1443">
                  <c:v>46887</c:v>
                </c:pt>
                <c:pt idx="1444">
                  <c:v>46888</c:v>
                </c:pt>
                <c:pt idx="1445">
                  <c:v>46889</c:v>
                </c:pt>
                <c:pt idx="1446">
                  <c:v>46890</c:v>
                </c:pt>
                <c:pt idx="1447">
                  <c:v>46891</c:v>
                </c:pt>
                <c:pt idx="1448">
                  <c:v>46892</c:v>
                </c:pt>
                <c:pt idx="1449">
                  <c:v>46893</c:v>
                </c:pt>
                <c:pt idx="1450">
                  <c:v>46894</c:v>
                </c:pt>
                <c:pt idx="1451">
                  <c:v>46895</c:v>
                </c:pt>
                <c:pt idx="1452">
                  <c:v>46896</c:v>
                </c:pt>
                <c:pt idx="1453">
                  <c:v>46897</c:v>
                </c:pt>
                <c:pt idx="1454">
                  <c:v>46898</c:v>
                </c:pt>
                <c:pt idx="1455">
                  <c:v>46899</c:v>
                </c:pt>
                <c:pt idx="1456">
                  <c:v>46900</c:v>
                </c:pt>
                <c:pt idx="1457">
                  <c:v>46901</c:v>
                </c:pt>
                <c:pt idx="1458">
                  <c:v>46902</c:v>
                </c:pt>
                <c:pt idx="1459">
                  <c:v>46903</c:v>
                </c:pt>
                <c:pt idx="1460">
                  <c:v>46904</c:v>
                </c:pt>
                <c:pt idx="1461">
                  <c:v>46905</c:v>
                </c:pt>
                <c:pt idx="1462">
                  <c:v>46906</c:v>
                </c:pt>
                <c:pt idx="1463">
                  <c:v>46907</c:v>
                </c:pt>
                <c:pt idx="1464">
                  <c:v>46908</c:v>
                </c:pt>
                <c:pt idx="1465">
                  <c:v>46909</c:v>
                </c:pt>
                <c:pt idx="1466">
                  <c:v>46910</c:v>
                </c:pt>
                <c:pt idx="1467">
                  <c:v>46911</c:v>
                </c:pt>
                <c:pt idx="1468">
                  <c:v>46912</c:v>
                </c:pt>
                <c:pt idx="1469">
                  <c:v>46913</c:v>
                </c:pt>
                <c:pt idx="1470">
                  <c:v>46914</c:v>
                </c:pt>
                <c:pt idx="1471">
                  <c:v>46915</c:v>
                </c:pt>
                <c:pt idx="1472">
                  <c:v>46916</c:v>
                </c:pt>
                <c:pt idx="1473">
                  <c:v>46917</c:v>
                </c:pt>
                <c:pt idx="1474">
                  <c:v>46918</c:v>
                </c:pt>
                <c:pt idx="1475">
                  <c:v>46919</c:v>
                </c:pt>
                <c:pt idx="1476">
                  <c:v>46920</c:v>
                </c:pt>
                <c:pt idx="1477">
                  <c:v>46921</c:v>
                </c:pt>
                <c:pt idx="1478">
                  <c:v>46922</c:v>
                </c:pt>
                <c:pt idx="1479">
                  <c:v>46923</c:v>
                </c:pt>
                <c:pt idx="1480">
                  <c:v>46924</c:v>
                </c:pt>
                <c:pt idx="1481">
                  <c:v>46925</c:v>
                </c:pt>
                <c:pt idx="1482">
                  <c:v>46926</c:v>
                </c:pt>
                <c:pt idx="1483">
                  <c:v>46927</c:v>
                </c:pt>
                <c:pt idx="1484">
                  <c:v>46928</c:v>
                </c:pt>
                <c:pt idx="1485">
                  <c:v>46929</c:v>
                </c:pt>
                <c:pt idx="1486">
                  <c:v>46930</c:v>
                </c:pt>
                <c:pt idx="1487">
                  <c:v>46931</c:v>
                </c:pt>
                <c:pt idx="1488">
                  <c:v>46932</c:v>
                </c:pt>
                <c:pt idx="1489">
                  <c:v>46933</c:v>
                </c:pt>
                <c:pt idx="1490">
                  <c:v>46934</c:v>
                </c:pt>
                <c:pt idx="1491">
                  <c:v>46935</c:v>
                </c:pt>
                <c:pt idx="1492">
                  <c:v>46936</c:v>
                </c:pt>
                <c:pt idx="1493">
                  <c:v>46937</c:v>
                </c:pt>
                <c:pt idx="1494">
                  <c:v>46938</c:v>
                </c:pt>
                <c:pt idx="1495">
                  <c:v>46939</c:v>
                </c:pt>
                <c:pt idx="1496">
                  <c:v>46940</c:v>
                </c:pt>
                <c:pt idx="1497">
                  <c:v>46941</c:v>
                </c:pt>
                <c:pt idx="1498">
                  <c:v>46942</c:v>
                </c:pt>
                <c:pt idx="1499">
                  <c:v>46943</c:v>
                </c:pt>
                <c:pt idx="1500">
                  <c:v>46944</c:v>
                </c:pt>
                <c:pt idx="1501">
                  <c:v>46945</c:v>
                </c:pt>
                <c:pt idx="1502">
                  <c:v>46946</c:v>
                </c:pt>
                <c:pt idx="1503">
                  <c:v>46947</c:v>
                </c:pt>
                <c:pt idx="1504">
                  <c:v>46948</c:v>
                </c:pt>
                <c:pt idx="1505">
                  <c:v>46949</c:v>
                </c:pt>
                <c:pt idx="1506">
                  <c:v>46950</c:v>
                </c:pt>
                <c:pt idx="1507">
                  <c:v>46951</c:v>
                </c:pt>
                <c:pt idx="1508">
                  <c:v>46952</c:v>
                </c:pt>
                <c:pt idx="1509">
                  <c:v>46953</c:v>
                </c:pt>
                <c:pt idx="1510">
                  <c:v>46954</c:v>
                </c:pt>
                <c:pt idx="1511">
                  <c:v>46955</c:v>
                </c:pt>
                <c:pt idx="1512">
                  <c:v>46956</c:v>
                </c:pt>
                <c:pt idx="1513">
                  <c:v>46957</c:v>
                </c:pt>
                <c:pt idx="1514">
                  <c:v>46958</c:v>
                </c:pt>
                <c:pt idx="1515">
                  <c:v>46959</c:v>
                </c:pt>
                <c:pt idx="1516">
                  <c:v>46960</c:v>
                </c:pt>
                <c:pt idx="1517">
                  <c:v>46961</c:v>
                </c:pt>
                <c:pt idx="1518">
                  <c:v>46962</c:v>
                </c:pt>
                <c:pt idx="1519">
                  <c:v>46963</c:v>
                </c:pt>
                <c:pt idx="1520">
                  <c:v>46964</c:v>
                </c:pt>
                <c:pt idx="1521">
                  <c:v>46965</c:v>
                </c:pt>
                <c:pt idx="1522">
                  <c:v>46966</c:v>
                </c:pt>
                <c:pt idx="1523">
                  <c:v>46967</c:v>
                </c:pt>
                <c:pt idx="1524">
                  <c:v>46968</c:v>
                </c:pt>
                <c:pt idx="1525">
                  <c:v>46969</c:v>
                </c:pt>
                <c:pt idx="1526">
                  <c:v>46970</c:v>
                </c:pt>
                <c:pt idx="1527">
                  <c:v>46971</c:v>
                </c:pt>
                <c:pt idx="1528">
                  <c:v>46972</c:v>
                </c:pt>
                <c:pt idx="1529">
                  <c:v>46973</c:v>
                </c:pt>
                <c:pt idx="1530">
                  <c:v>46974</c:v>
                </c:pt>
                <c:pt idx="1531">
                  <c:v>46975</c:v>
                </c:pt>
                <c:pt idx="1532">
                  <c:v>46976</c:v>
                </c:pt>
                <c:pt idx="1533">
                  <c:v>46977</c:v>
                </c:pt>
                <c:pt idx="1534">
                  <c:v>46978</c:v>
                </c:pt>
                <c:pt idx="1535">
                  <c:v>46979</c:v>
                </c:pt>
                <c:pt idx="1536">
                  <c:v>46980</c:v>
                </c:pt>
                <c:pt idx="1537">
                  <c:v>46981</c:v>
                </c:pt>
                <c:pt idx="1538">
                  <c:v>46982</c:v>
                </c:pt>
                <c:pt idx="1539">
                  <c:v>46983</c:v>
                </c:pt>
                <c:pt idx="1540">
                  <c:v>46984</c:v>
                </c:pt>
                <c:pt idx="1541">
                  <c:v>46985</c:v>
                </c:pt>
                <c:pt idx="1542">
                  <c:v>46986</c:v>
                </c:pt>
                <c:pt idx="1543">
                  <c:v>46987</c:v>
                </c:pt>
                <c:pt idx="1544">
                  <c:v>46988</c:v>
                </c:pt>
                <c:pt idx="1545">
                  <c:v>46989</c:v>
                </c:pt>
                <c:pt idx="1546">
                  <c:v>46990</c:v>
                </c:pt>
                <c:pt idx="1547">
                  <c:v>46991</c:v>
                </c:pt>
                <c:pt idx="1548">
                  <c:v>46992</c:v>
                </c:pt>
                <c:pt idx="1549">
                  <c:v>46993</c:v>
                </c:pt>
                <c:pt idx="1550">
                  <c:v>46994</c:v>
                </c:pt>
                <c:pt idx="1551">
                  <c:v>46995</c:v>
                </c:pt>
                <c:pt idx="1552">
                  <c:v>46996</c:v>
                </c:pt>
                <c:pt idx="1553">
                  <c:v>46997</c:v>
                </c:pt>
                <c:pt idx="1554">
                  <c:v>46998</c:v>
                </c:pt>
                <c:pt idx="1555">
                  <c:v>46999</c:v>
                </c:pt>
                <c:pt idx="1556">
                  <c:v>47000</c:v>
                </c:pt>
                <c:pt idx="1557">
                  <c:v>47001</c:v>
                </c:pt>
                <c:pt idx="1558">
                  <c:v>47002</c:v>
                </c:pt>
                <c:pt idx="1559">
                  <c:v>47003</c:v>
                </c:pt>
                <c:pt idx="1560">
                  <c:v>47004</c:v>
                </c:pt>
                <c:pt idx="1561">
                  <c:v>47005</c:v>
                </c:pt>
                <c:pt idx="1562">
                  <c:v>47006</c:v>
                </c:pt>
                <c:pt idx="1563">
                  <c:v>47007</c:v>
                </c:pt>
                <c:pt idx="1564">
                  <c:v>47008</c:v>
                </c:pt>
                <c:pt idx="1565">
                  <c:v>47009</c:v>
                </c:pt>
                <c:pt idx="1566">
                  <c:v>47010</c:v>
                </c:pt>
                <c:pt idx="1567">
                  <c:v>47011</c:v>
                </c:pt>
                <c:pt idx="1568">
                  <c:v>47012</c:v>
                </c:pt>
                <c:pt idx="1569">
                  <c:v>47013</c:v>
                </c:pt>
                <c:pt idx="1570">
                  <c:v>47014</c:v>
                </c:pt>
                <c:pt idx="1571">
                  <c:v>47015</c:v>
                </c:pt>
                <c:pt idx="1572">
                  <c:v>47016</c:v>
                </c:pt>
                <c:pt idx="1573">
                  <c:v>47017</c:v>
                </c:pt>
                <c:pt idx="1574">
                  <c:v>47018</c:v>
                </c:pt>
                <c:pt idx="1575">
                  <c:v>47019</c:v>
                </c:pt>
                <c:pt idx="1576">
                  <c:v>47020</c:v>
                </c:pt>
                <c:pt idx="1577">
                  <c:v>47021</c:v>
                </c:pt>
                <c:pt idx="1578">
                  <c:v>47022</c:v>
                </c:pt>
                <c:pt idx="1579">
                  <c:v>47023</c:v>
                </c:pt>
                <c:pt idx="1580">
                  <c:v>47024</c:v>
                </c:pt>
                <c:pt idx="1581">
                  <c:v>47025</c:v>
                </c:pt>
                <c:pt idx="1582">
                  <c:v>47026</c:v>
                </c:pt>
                <c:pt idx="1583">
                  <c:v>47027</c:v>
                </c:pt>
                <c:pt idx="1584">
                  <c:v>47028</c:v>
                </c:pt>
                <c:pt idx="1585">
                  <c:v>47029</c:v>
                </c:pt>
                <c:pt idx="1586">
                  <c:v>47030</c:v>
                </c:pt>
                <c:pt idx="1587">
                  <c:v>47031</c:v>
                </c:pt>
                <c:pt idx="1588">
                  <c:v>47032</c:v>
                </c:pt>
                <c:pt idx="1589">
                  <c:v>47033</c:v>
                </c:pt>
                <c:pt idx="1590">
                  <c:v>47034</c:v>
                </c:pt>
                <c:pt idx="1591">
                  <c:v>47035</c:v>
                </c:pt>
                <c:pt idx="1592">
                  <c:v>47036</c:v>
                </c:pt>
                <c:pt idx="1593">
                  <c:v>47037</c:v>
                </c:pt>
                <c:pt idx="1594">
                  <c:v>47038</c:v>
                </c:pt>
                <c:pt idx="1595">
                  <c:v>47039</c:v>
                </c:pt>
                <c:pt idx="1596">
                  <c:v>47040</c:v>
                </c:pt>
                <c:pt idx="1597">
                  <c:v>47041</c:v>
                </c:pt>
                <c:pt idx="1598">
                  <c:v>47042</c:v>
                </c:pt>
                <c:pt idx="1599">
                  <c:v>47043</c:v>
                </c:pt>
                <c:pt idx="1600">
                  <c:v>47044</c:v>
                </c:pt>
                <c:pt idx="1601">
                  <c:v>47045</c:v>
                </c:pt>
                <c:pt idx="1602">
                  <c:v>47046</c:v>
                </c:pt>
                <c:pt idx="1603">
                  <c:v>47047</c:v>
                </c:pt>
                <c:pt idx="1604">
                  <c:v>47048</c:v>
                </c:pt>
                <c:pt idx="1605">
                  <c:v>47049</c:v>
                </c:pt>
                <c:pt idx="1606">
                  <c:v>47050</c:v>
                </c:pt>
                <c:pt idx="1607">
                  <c:v>47051</c:v>
                </c:pt>
                <c:pt idx="1608">
                  <c:v>47052</c:v>
                </c:pt>
                <c:pt idx="1609">
                  <c:v>47053</c:v>
                </c:pt>
                <c:pt idx="1610">
                  <c:v>47054</c:v>
                </c:pt>
                <c:pt idx="1611">
                  <c:v>47055</c:v>
                </c:pt>
                <c:pt idx="1612">
                  <c:v>47056</c:v>
                </c:pt>
                <c:pt idx="1613">
                  <c:v>47057</c:v>
                </c:pt>
                <c:pt idx="1614">
                  <c:v>47058</c:v>
                </c:pt>
                <c:pt idx="1615">
                  <c:v>47059</c:v>
                </c:pt>
                <c:pt idx="1616">
                  <c:v>47060</c:v>
                </c:pt>
                <c:pt idx="1617">
                  <c:v>47061</c:v>
                </c:pt>
                <c:pt idx="1618">
                  <c:v>47062</c:v>
                </c:pt>
                <c:pt idx="1619">
                  <c:v>47063</c:v>
                </c:pt>
                <c:pt idx="1620">
                  <c:v>47064</c:v>
                </c:pt>
                <c:pt idx="1621">
                  <c:v>47065</c:v>
                </c:pt>
                <c:pt idx="1622">
                  <c:v>47066</c:v>
                </c:pt>
                <c:pt idx="1623">
                  <c:v>47067</c:v>
                </c:pt>
                <c:pt idx="1624">
                  <c:v>47068</c:v>
                </c:pt>
                <c:pt idx="1625">
                  <c:v>47069</c:v>
                </c:pt>
                <c:pt idx="1626">
                  <c:v>47070</c:v>
                </c:pt>
                <c:pt idx="1627">
                  <c:v>47071</c:v>
                </c:pt>
                <c:pt idx="1628">
                  <c:v>47072</c:v>
                </c:pt>
                <c:pt idx="1629">
                  <c:v>47073</c:v>
                </c:pt>
                <c:pt idx="1630">
                  <c:v>47074</c:v>
                </c:pt>
                <c:pt idx="1631">
                  <c:v>47075</c:v>
                </c:pt>
                <c:pt idx="1632">
                  <c:v>47076</c:v>
                </c:pt>
                <c:pt idx="1633">
                  <c:v>47077</c:v>
                </c:pt>
                <c:pt idx="1634">
                  <c:v>47078</c:v>
                </c:pt>
                <c:pt idx="1635">
                  <c:v>47079</c:v>
                </c:pt>
                <c:pt idx="1636">
                  <c:v>47080</c:v>
                </c:pt>
                <c:pt idx="1637">
                  <c:v>47081</c:v>
                </c:pt>
                <c:pt idx="1638">
                  <c:v>47082</c:v>
                </c:pt>
                <c:pt idx="1639">
                  <c:v>47083</c:v>
                </c:pt>
                <c:pt idx="1640">
                  <c:v>47084</c:v>
                </c:pt>
                <c:pt idx="1641">
                  <c:v>47085</c:v>
                </c:pt>
                <c:pt idx="1642">
                  <c:v>47086</c:v>
                </c:pt>
                <c:pt idx="1643">
                  <c:v>47087</c:v>
                </c:pt>
                <c:pt idx="1644">
                  <c:v>47088</c:v>
                </c:pt>
                <c:pt idx="1645">
                  <c:v>47089</c:v>
                </c:pt>
                <c:pt idx="1646">
                  <c:v>47090</c:v>
                </c:pt>
                <c:pt idx="1647">
                  <c:v>47091</c:v>
                </c:pt>
                <c:pt idx="1648">
                  <c:v>47092</c:v>
                </c:pt>
                <c:pt idx="1649">
                  <c:v>47093</c:v>
                </c:pt>
                <c:pt idx="1650">
                  <c:v>47094</c:v>
                </c:pt>
                <c:pt idx="1651">
                  <c:v>47095</c:v>
                </c:pt>
                <c:pt idx="1652">
                  <c:v>47096</c:v>
                </c:pt>
                <c:pt idx="1653">
                  <c:v>47097</c:v>
                </c:pt>
                <c:pt idx="1654">
                  <c:v>47098</c:v>
                </c:pt>
                <c:pt idx="1655">
                  <c:v>47099</c:v>
                </c:pt>
                <c:pt idx="1656">
                  <c:v>47100</c:v>
                </c:pt>
                <c:pt idx="1657">
                  <c:v>47101</c:v>
                </c:pt>
                <c:pt idx="1658">
                  <c:v>47102</c:v>
                </c:pt>
                <c:pt idx="1659">
                  <c:v>47103</c:v>
                </c:pt>
                <c:pt idx="1660">
                  <c:v>47104</c:v>
                </c:pt>
                <c:pt idx="1661">
                  <c:v>47105</c:v>
                </c:pt>
                <c:pt idx="1662">
                  <c:v>47106</c:v>
                </c:pt>
                <c:pt idx="1663">
                  <c:v>47107</c:v>
                </c:pt>
                <c:pt idx="1664">
                  <c:v>47108</c:v>
                </c:pt>
                <c:pt idx="1665">
                  <c:v>47109</c:v>
                </c:pt>
                <c:pt idx="1666">
                  <c:v>47110</c:v>
                </c:pt>
                <c:pt idx="1667">
                  <c:v>47111</c:v>
                </c:pt>
                <c:pt idx="1668">
                  <c:v>47112</c:v>
                </c:pt>
                <c:pt idx="1669">
                  <c:v>47113</c:v>
                </c:pt>
                <c:pt idx="1670">
                  <c:v>47114</c:v>
                </c:pt>
                <c:pt idx="1671">
                  <c:v>47115</c:v>
                </c:pt>
                <c:pt idx="1672">
                  <c:v>47116</c:v>
                </c:pt>
                <c:pt idx="1673">
                  <c:v>47117</c:v>
                </c:pt>
                <c:pt idx="1674">
                  <c:v>47118</c:v>
                </c:pt>
              </c:numCache>
            </c:numRef>
          </c:cat>
          <c:val>
            <c:numRef>
              <c:f>'5.4'!$G$6:$G$1680</c:f>
              <c:numCache>
                <c:formatCode>0</c:formatCode>
                <c:ptCount val="1675"/>
                <c:pt idx="0">
                  <c:v>2213.4928864898002</c:v>
                </c:pt>
                <c:pt idx="1">
                  <c:v>2213.4928864898002</c:v>
                </c:pt>
                <c:pt idx="2">
                  <c:v>2213.4928864898002</c:v>
                </c:pt>
                <c:pt idx="3">
                  <c:v>2213.4928864898002</c:v>
                </c:pt>
                <c:pt idx="4">
                  <c:v>2213.4928864898002</c:v>
                </c:pt>
                <c:pt idx="5">
                  <c:v>2213.4928864898002</c:v>
                </c:pt>
                <c:pt idx="6">
                  <c:v>2213.4928864898002</c:v>
                </c:pt>
                <c:pt idx="7">
                  <c:v>2213.4928864898002</c:v>
                </c:pt>
                <c:pt idx="8">
                  <c:v>2213.4928864898002</c:v>
                </c:pt>
                <c:pt idx="9">
                  <c:v>2213.4928864898002</c:v>
                </c:pt>
                <c:pt idx="10">
                  <c:v>2213.4928864898002</c:v>
                </c:pt>
                <c:pt idx="11">
                  <c:v>2213.4928864898002</c:v>
                </c:pt>
                <c:pt idx="12">
                  <c:v>2213.4928864898002</c:v>
                </c:pt>
                <c:pt idx="13">
                  <c:v>2213.4928864898002</c:v>
                </c:pt>
                <c:pt idx="14">
                  <c:v>2213.4928864898002</c:v>
                </c:pt>
                <c:pt idx="15">
                  <c:v>2213.4928864898002</c:v>
                </c:pt>
                <c:pt idx="16">
                  <c:v>2213.4928864898002</c:v>
                </c:pt>
                <c:pt idx="17">
                  <c:v>2213.4928864898002</c:v>
                </c:pt>
                <c:pt idx="18">
                  <c:v>2213.4928864898002</c:v>
                </c:pt>
                <c:pt idx="19">
                  <c:v>2213.4928864898002</c:v>
                </c:pt>
                <c:pt idx="20">
                  <c:v>2213.4928864898002</c:v>
                </c:pt>
                <c:pt idx="21">
                  <c:v>2213.4928864898002</c:v>
                </c:pt>
                <c:pt idx="22">
                  <c:v>2213.4928864898002</c:v>
                </c:pt>
                <c:pt idx="23">
                  <c:v>2213.4928864898002</c:v>
                </c:pt>
                <c:pt idx="24">
                  <c:v>2213.4928864898002</c:v>
                </c:pt>
                <c:pt idx="25">
                  <c:v>2213.4928864898002</c:v>
                </c:pt>
                <c:pt idx="26">
                  <c:v>2213.4928864898002</c:v>
                </c:pt>
                <c:pt idx="27">
                  <c:v>2213.4928864898002</c:v>
                </c:pt>
                <c:pt idx="28">
                  <c:v>2213.4928864898002</c:v>
                </c:pt>
                <c:pt idx="29">
                  <c:v>2213.4928864898002</c:v>
                </c:pt>
                <c:pt idx="30">
                  <c:v>2145.48</c:v>
                </c:pt>
                <c:pt idx="31">
                  <c:v>2145.48</c:v>
                </c:pt>
                <c:pt idx="32">
                  <c:v>2145.48</c:v>
                </c:pt>
                <c:pt idx="33">
                  <c:v>2145.48</c:v>
                </c:pt>
                <c:pt idx="34">
                  <c:v>2145.48</c:v>
                </c:pt>
                <c:pt idx="35">
                  <c:v>2145.48</c:v>
                </c:pt>
                <c:pt idx="36">
                  <c:v>2145.48</c:v>
                </c:pt>
                <c:pt idx="37">
                  <c:v>2145.48</c:v>
                </c:pt>
                <c:pt idx="38">
                  <c:v>2145.48</c:v>
                </c:pt>
                <c:pt idx="39">
                  <c:v>2145.48</c:v>
                </c:pt>
                <c:pt idx="40">
                  <c:v>2145.48</c:v>
                </c:pt>
                <c:pt idx="41">
                  <c:v>2145.48</c:v>
                </c:pt>
                <c:pt idx="42">
                  <c:v>2145.48</c:v>
                </c:pt>
                <c:pt idx="43">
                  <c:v>2145.48</c:v>
                </c:pt>
                <c:pt idx="44">
                  <c:v>2145.48</c:v>
                </c:pt>
                <c:pt idx="45">
                  <c:v>2145.48</c:v>
                </c:pt>
                <c:pt idx="46">
                  <c:v>2145.48</c:v>
                </c:pt>
                <c:pt idx="47">
                  <c:v>2145.48</c:v>
                </c:pt>
                <c:pt idx="48">
                  <c:v>2145.48</c:v>
                </c:pt>
                <c:pt idx="49">
                  <c:v>2145.48</c:v>
                </c:pt>
                <c:pt idx="50">
                  <c:v>2145.48</c:v>
                </c:pt>
                <c:pt idx="51">
                  <c:v>2145.48</c:v>
                </c:pt>
                <c:pt idx="52">
                  <c:v>2145.48</c:v>
                </c:pt>
                <c:pt idx="53">
                  <c:v>2145.48</c:v>
                </c:pt>
                <c:pt idx="54">
                  <c:v>2145.48</c:v>
                </c:pt>
                <c:pt idx="55">
                  <c:v>2145.48</c:v>
                </c:pt>
                <c:pt idx="56">
                  <c:v>2145.48</c:v>
                </c:pt>
                <c:pt idx="57">
                  <c:v>2145.48</c:v>
                </c:pt>
                <c:pt idx="58">
                  <c:v>2145.48</c:v>
                </c:pt>
                <c:pt idx="59">
                  <c:v>2145.48</c:v>
                </c:pt>
                <c:pt idx="60">
                  <c:v>2145.48</c:v>
                </c:pt>
                <c:pt idx="61">
                  <c:v>2145.48</c:v>
                </c:pt>
                <c:pt idx="62">
                  <c:v>2145.48</c:v>
                </c:pt>
                <c:pt idx="63">
                  <c:v>2145.48</c:v>
                </c:pt>
                <c:pt idx="64">
                  <c:v>2145.48</c:v>
                </c:pt>
                <c:pt idx="65">
                  <c:v>2145.48</c:v>
                </c:pt>
                <c:pt idx="66">
                  <c:v>2145.48</c:v>
                </c:pt>
                <c:pt idx="67">
                  <c:v>2145.48</c:v>
                </c:pt>
                <c:pt idx="68">
                  <c:v>2145.48</c:v>
                </c:pt>
                <c:pt idx="69">
                  <c:v>2145.48</c:v>
                </c:pt>
                <c:pt idx="70">
                  <c:v>2145.48</c:v>
                </c:pt>
                <c:pt idx="71">
                  <c:v>2145.48</c:v>
                </c:pt>
                <c:pt idx="72">
                  <c:v>2145.48</c:v>
                </c:pt>
                <c:pt idx="73">
                  <c:v>2145.48</c:v>
                </c:pt>
                <c:pt idx="74">
                  <c:v>2145.48</c:v>
                </c:pt>
                <c:pt idx="75">
                  <c:v>2145.48</c:v>
                </c:pt>
                <c:pt idx="76">
                  <c:v>2145.48</c:v>
                </c:pt>
                <c:pt idx="77">
                  <c:v>2145.48</c:v>
                </c:pt>
                <c:pt idx="78">
                  <c:v>2145.48</c:v>
                </c:pt>
                <c:pt idx="79">
                  <c:v>2145.48</c:v>
                </c:pt>
                <c:pt idx="80">
                  <c:v>2145.48</c:v>
                </c:pt>
                <c:pt idx="81">
                  <c:v>2145.48</c:v>
                </c:pt>
                <c:pt idx="82">
                  <c:v>2145.48</c:v>
                </c:pt>
                <c:pt idx="83">
                  <c:v>2145.48</c:v>
                </c:pt>
                <c:pt idx="84">
                  <c:v>2145.48</c:v>
                </c:pt>
                <c:pt idx="85">
                  <c:v>2145.48</c:v>
                </c:pt>
                <c:pt idx="86">
                  <c:v>2145.48</c:v>
                </c:pt>
                <c:pt idx="87">
                  <c:v>2145.48</c:v>
                </c:pt>
                <c:pt idx="88">
                  <c:v>2145.48</c:v>
                </c:pt>
                <c:pt idx="89">
                  <c:v>2145.48</c:v>
                </c:pt>
                <c:pt idx="90">
                  <c:v>2145.48</c:v>
                </c:pt>
                <c:pt idx="91">
                  <c:v>2145.48</c:v>
                </c:pt>
                <c:pt idx="92">
                  <c:v>2145.48</c:v>
                </c:pt>
                <c:pt idx="93">
                  <c:v>2145.48</c:v>
                </c:pt>
                <c:pt idx="94">
                  <c:v>2145.48</c:v>
                </c:pt>
                <c:pt idx="95">
                  <c:v>2145.48</c:v>
                </c:pt>
                <c:pt idx="96">
                  <c:v>2145.48</c:v>
                </c:pt>
                <c:pt idx="97">
                  <c:v>2145.48</c:v>
                </c:pt>
                <c:pt idx="98">
                  <c:v>2145.48</c:v>
                </c:pt>
                <c:pt idx="99">
                  <c:v>2145.48</c:v>
                </c:pt>
                <c:pt idx="100">
                  <c:v>2145.48</c:v>
                </c:pt>
                <c:pt idx="101">
                  <c:v>2145.48</c:v>
                </c:pt>
                <c:pt idx="102">
                  <c:v>2145.48</c:v>
                </c:pt>
                <c:pt idx="103">
                  <c:v>2145.48</c:v>
                </c:pt>
                <c:pt idx="104">
                  <c:v>2145.48</c:v>
                </c:pt>
                <c:pt idx="105">
                  <c:v>2145.48</c:v>
                </c:pt>
                <c:pt idx="106">
                  <c:v>2145.48</c:v>
                </c:pt>
                <c:pt idx="107">
                  <c:v>2145.48</c:v>
                </c:pt>
                <c:pt idx="108">
                  <c:v>2145.48</c:v>
                </c:pt>
                <c:pt idx="109">
                  <c:v>2145.48</c:v>
                </c:pt>
                <c:pt idx="110">
                  <c:v>2145.48</c:v>
                </c:pt>
                <c:pt idx="111">
                  <c:v>2145.48</c:v>
                </c:pt>
                <c:pt idx="112">
                  <c:v>2145.48</c:v>
                </c:pt>
                <c:pt idx="113">
                  <c:v>2145.48</c:v>
                </c:pt>
                <c:pt idx="114">
                  <c:v>2145.48</c:v>
                </c:pt>
                <c:pt idx="115">
                  <c:v>2145.48</c:v>
                </c:pt>
                <c:pt idx="116">
                  <c:v>2145.48</c:v>
                </c:pt>
                <c:pt idx="117">
                  <c:v>2145.48</c:v>
                </c:pt>
                <c:pt idx="118">
                  <c:v>2145.48</c:v>
                </c:pt>
                <c:pt idx="119">
                  <c:v>2145.48</c:v>
                </c:pt>
                <c:pt idx="120">
                  <c:v>2145.48</c:v>
                </c:pt>
                <c:pt idx="121">
                  <c:v>2145.48</c:v>
                </c:pt>
                <c:pt idx="122">
                  <c:v>2145.48</c:v>
                </c:pt>
                <c:pt idx="123">
                  <c:v>2145.48</c:v>
                </c:pt>
                <c:pt idx="124">
                  <c:v>2145.48</c:v>
                </c:pt>
                <c:pt idx="125">
                  <c:v>2145.48</c:v>
                </c:pt>
                <c:pt idx="126">
                  <c:v>2145.48</c:v>
                </c:pt>
                <c:pt idx="127">
                  <c:v>2145.48</c:v>
                </c:pt>
                <c:pt idx="128">
                  <c:v>2145.48</c:v>
                </c:pt>
                <c:pt idx="129">
                  <c:v>2145.48</c:v>
                </c:pt>
                <c:pt idx="130">
                  <c:v>2145.48</c:v>
                </c:pt>
                <c:pt idx="131">
                  <c:v>2145.48</c:v>
                </c:pt>
                <c:pt idx="132">
                  <c:v>2145.48</c:v>
                </c:pt>
                <c:pt idx="133">
                  <c:v>2145.48</c:v>
                </c:pt>
                <c:pt idx="134">
                  <c:v>2145.48</c:v>
                </c:pt>
                <c:pt idx="135">
                  <c:v>2145.48</c:v>
                </c:pt>
                <c:pt idx="136">
                  <c:v>2145.48</c:v>
                </c:pt>
                <c:pt idx="137">
                  <c:v>2145.48</c:v>
                </c:pt>
                <c:pt idx="138">
                  <c:v>2145.48</c:v>
                </c:pt>
                <c:pt idx="139">
                  <c:v>2145.48</c:v>
                </c:pt>
                <c:pt idx="140">
                  <c:v>2145.48</c:v>
                </c:pt>
                <c:pt idx="141">
                  <c:v>2145.48</c:v>
                </c:pt>
                <c:pt idx="142">
                  <c:v>2145.48</c:v>
                </c:pt>
                <c:pt idx="143">
                  <c:v>2145.48</c:v>
                </c:pt>
                <c:pt idx="144">
                  <c:v>2145.48</c:v>
                </c:pt>
                <c:pt idx="145">
                  <c:v>2145.48</c:v>
                </c:pt>
                <c:pt idx="146">
                  <c:v>2145.48</c:v>
                </c:pt>
                <c:pt idx="147">
                  <c:v>2145.48</c:v>
                </c:pt>
                <c:pt idx="148">
                  <c:v>2145.48</c:v>
                </c:pt>
                <c:pt idx="149">
                  <c:v>2145.48</c:v>
                </c:pt>
                <c:pt idx="150">
                  <c:v>2145.48</c:v>
                </c:pt>
                <c:pt idx="151">
                  <c:v>2145.48</c:v>
                </c:pt>
                <c:pt idx="152">
                  <c:v>2145.48</c:v>
                </c:pt>
                <c:pt idx="153">
                  <c:v>2145.48</c:v>
                </c:pt>
                <c:pt idx="154">
                  <c:v>2145.48</c:v>
                </c:pt>
                <c:pt idx="155">
                  <c:v>2145.48</c:v>
                </c:pt>
                <c:pt idx="156">
                  <c:v>2145.48</c:v>
                </c:pt>
                <c:pt idx="157">
                  <c:v>2145.48</c:v>
                </c:pt>
                <c:pt idx="158">
                  <c:v>2145.48</c:v>
                </c:pt>
                <c:pt idx="159">
                  <c:v>2145.48</c:v>
                </c:pt>
                <c:pt idx="160">
                  <c:v>2145.48</c:v>
                </c:pt>
                <c:pt idx="161">
                  <c:v>2145.48</c:v>
                </c:pt>
                <c:pt idx="162">
                  <c:v>2145.48</c:v>
                </c:pt>
                <c:pt idx="163">
                  <c:v>2145.48</c:v>
                </c:pt>
                <c:pt idx="164">
                  <c:v>2145.48</c:v>
                </c:pt>
                <c:pt idx="165">
                  <c:v>2145.48</c:v>
                </c:pt>
                <c:pt idx="166">
                  <c:v>2145.48</c:v>
                </c:pt>
                <c:pt idx="167">
                  <c:v>2145.48</c:v>
                </c:pt>
                <c:pt idx="168">
                  <c:v>2145.48</c:v>
                </c:pt>
                <c:pt idx="169">
                  <c:v>2145.48</c:v>
                </c:pt>
                <c:pt idx="170">
                  <c:v>2145.48</c:v>
                </c:pt>
                <c:pt idx="171">
                  <c:v>2145.48</c:v>
                </c:pt>
                <c:pt idx="172">
                  <c:v>2145.48</c:v>
                </c:pt>
                <c:pt idx="173">
                  <c:v>2145.48</c:v>
                </c:pt>
                <c:pt idx="174">
                  <c:v>2145.48</c:v>
                </c:pt>
                <c:pt idx="175">
                  <c:v>2145.48</c:v>
                </c:pt>
                <c:pt idx="176">
                  <c:v>2145.48</c:v>
                </c:pt>
                <c:pt idx="177">
                  <c:v>2145.48</c:v>
                </c:pt>
                <c:pt idx="178">
                  <c:v>2145.48</c:v>
                </c:pt>
                <c:pt idx="179">
                  <c:v>2145.48</c:v>
                </c:pt>
                <c:pt idx="180">
                  <c:v>2145.48</c:v>
                </c:pt>
                <c:pt idx="181">
                  <c:v>2145.48</c:v>
                </c:pt>
                <c:pt idx="182">
                  <c:v>2145.48</c:v>
                </c:pt>
                <c:pt idx="183">
                  <c:v>2145.48</c:v>
                </c:pt>
                <c:pt idx="184">
                  <c:v>2145.48</c:v>
                </c:pt>
                <c:pt idx="185">
                  <c:v>2145.48</c:v>
                </c:pt>
                <c:pt idx="186">
                  <c:v>2145.48</c:v>
                </c:pt>
                <c:pt idx="187">
                  <c:v>2145.48</c:v>
                </c:pt>
                <c:pt idx="188">
                  <c:v>2145.48</c:v>
                </c:pt>
                <c:pt idx="189">
                  <c:v>2145.48</c:v>
                </c:pt>
                <c:pt idx="190">
                  <c:v>2145.48</c:v>
                </c:pt>
                <c:pt idx="191">
                  <c:v>2145.48</c:v>
                </c:pt>
                <c:pt idx="192">
                  <c:v>2145.48</c:v>
                </c:pt>
                <c:pt idx="193">
                  <c:v>2145.48</c:v>
                </c:pt>
                <c:pt idx="194">
                  <c:v>2145.48</c:v>
                </c:pt>
                <c:pt idx="195">
                  <c:v>2145.48</c:v>
                </c:pt>
                <c:pt idx="196">
                  <c:v>2145.48</c:v>
                </c:pt>
                <c:pt idx="197">
                  <c:v>2145.48</c:v>
                </c:pt>
                <c:pt idx="198">
                  <c:v>2145.48</c:v>
                </c:pt>
                <c:pt idx="199">
                  <c:v>2145.48</c:v>
                </c:pt>
                <c:pt idx="200">
                  <c:v>2145.48</c:v>
                </c:pt>
                <c:pt idx="201">
                  <c:v>2145.48</c:v>
                </c:pt>
                <c:pt idx="202">
                  <c:v>2145.48</c:v>
                </c:pt>
                <c:pt idx="203">
                  <c:v>2145.48</c:v>
                </c:pt>
                <c:pt idx="204">
                  <c:v>2145.48</c:v>
                </c:pt>
                <c:pt idx="205">
                  <c:v>2145.48</c:v>
                </c:pt>
                <c:pt idx="206">
                  <c:v>2145.48</c:v>
                </c:pt>
                <c:pt idx="207">
                  <c:v>2145.48</c:v>
                </c:pt>
                <c:pt idx="208">
                  <c:v>2145.48</c:v>
                </c:pt>
                <c:pt idx="209">
                  <c:v>2145.48</c:v>
                </c:pt>
                <c:pt idx="210">
                  <c:v>2145.48</c:v>
                </c:pt>
                <c:pt idx="211">
                  <c:v>2145.48</c:v>
                </c:pt>
                <c:pt idx="212">
                  <c:v>2145.48</c:v>
                </c:pt>
                <c:pt idx="213">
                  <c:v>2145.48</c:v>
                </c:pt>
                <c:pt idx="214">
                  <c:v>2137.0757394606999</c:v>
                </c:pt>
                <c:pt idx="215">
                  <c:v>2137.0757394606999</c:v>
                </c:pt>
                <c:pt idx="216">
                  <c:v>2137.0757394606999</c:v>
                </c:pt>
                <c:pt idx="217">
                  <c:v>2137.0757394606999</c:v>
                </c:pt>
                <c:pt idx="218">
                  <c:v>2137.0757394606999</c:v>
                </c:pt>
                <c:pt idx="219">
                  <c:v>2137.0757394606999</c:v>
                </c:pt>
                <c:pt idx="220">
                  <c:v>2137.0757394606999</c:v>
                </c:pt>
                <c:pt idx="221">
                  <c:v>2137.0757394606999</c:v>
                </c:pt>
                <c:pt idx="222">
                  <c:v>2137.0757394606999</c:v>
                </c:pt>
                <c:pt idx="223">
                  <c:v>2137.0757394606999</c:v>
                </c:pt>
                <c:pt idx="224">
                  <c:v>2137.0757394606999</c:v>
                </c:pt>
                <c:pt idx="225">
                  <c:v>2137.0757394606999</c:v>
                </c:pt>
                <c:pt idx="226">
                  <c:v>2137.0757394606999</c:v>
                </c:pt>
                <c:pt idx="227">
                  <c:v>2137.0757394606999</c:v>
                </c:pt>
                <c:pt idx="228">
                  <c:v>2137.0757394606999</c:v>
                </c:pt>
                <c:pt idx="229">
                  <c:v>2137.0757394606999</c:v>
                </c:pt>
                <c:pt idx="230">
                  <c:v>2137.0757394606999</c:v>
                </c:pt>
                <c:pt idx="231">
                  <c:v>2137.0757394606999</c:v>
                </c:pt>
                <c:pt idx="232">
                  <c:v>2137.0757394606999</c:v>
                </c:pt>
                <c:pt idx="233">
                  <c:v>2137.0757394606999</c:v>
                </c:pt>
                <c:pt idx="234">
                  <c:v>2137.0757394606999</c:v>
                </c:pt>
                <c:pt idx="235">
                  <c:v>2137.0757394606999</c:v>
                </c:pt>
                <c:pt idx="236">
                  <c:v>2137.0757394606999</c:v>
                </c:pt>
                <c:pt idx="237">
                  <c:v>2137.0757394606999</c:v>
                </c:pt>
                <c:pt idx="238">
                  <c:v>2137.0757394606999</c:v>
                </c:pt>
                <c:pt idx="239">
                  <c:v>2137.0757394606999</c:v>
                </c:pt>
                <c:pt idx="240">
                  <c:v>2137.0757394606999</c:v>
                </c:pt>
                <c:pt idx="241">
                  <c:v>2137.0757394606999</c:v>
                </c:pt>
                <c:pt idx="242">
                  <c:v>2137.0757394606999</c:v>
                </c:pt>
                <c:pt idx="243">
                  <c:v>2137.0757394606999</c:v>
                </c:pt>
                <c:pt idx="244">
                  <c:v>2137.0757394606999</c:v>
                </c:pt>
                <c:pt idx="245">
                  <c:v>2137.0757394606999</c:v>
                </c:pt>
                <c:pt idx="246">
                  <c:v>2137.0757394606999</c:v>
                </c:pt>
                <c:pt idx="247">
                  <c:v>2137.0757394606999</c:v>
                </c:pt>
                <c:pt idx="248">
                  <c:v>2137.0757394606999</c:v>
                </c:pt>
                <c:pt idx="249">
                  <c:v>2137.0757394606999</c:v>
                </c:pt>
                <c:pt idx="250">
                  <c:v>2137.0757394606999</c:v>
                </c:pt>
                <c:pt idx="251">
                  <c:v>2137.0757394606999</c:v>
                </c:pt>
                <c:pt idx="252">
                  <c:v>2137.0757394606999</c:v>
                </c:pt>
                <c:pt idx="253">
                  <c:v>2137.0757394606999</c:v>
                </c:pt>
                <c:pt idx="254">
                  <c:v>2137.0757394606999</c:v>
                </c:pt>
                <c:pt idx="255">
                  <c:v>2137.0757394606999</c:v>
                </c:pt>
                <c:pt idx="256">
                  <c:v>2137.0757394606999</c:v>
                </c:pt>
                <c:pt idx="257">
                  <c:v>2137.0757394606999</c:v>
                </c:pt>
                <c:pt idx="258">
                  <c:v>2137.0757394606999</c:v>
                </c:pt>
                <c:pt idx="259">
                  <c:v>2137.0757394606999</c:v>
                </c:pt>
                <c:pt idx="260">
                  <c:v>2137.0757394606999</c:v>
                </c:pt>
                <c:pt idx="261">
                  <c:v>2137.0757394606999</c:v>
                </c:pt>
                <c:pt idx="262">
                  <c:v>2137.0757394606999</c:v>
                </c:pt>
                <c:pt idx="263">
                  <c:v>2137.0757394606999</c:v>
                </c:pt>
                <c:pt idx="264">
                  <c:v>2137.0757394606999</c:v>
                </c:pt>
                <c:pt idx="265">
                  <c:v>2137.0757394606999</c:v>
                </c:pt>
                <c:pt idx="266">
                  <c:v>2137.0757394606999</c:v>
                </c:pt>
                <c:pt idx="267">
                  <c:v>2137.0757394606999</c:v>
                </c:pt>
                <c:pt idx="268">
                  <c:v>2137.0757394606999</c:v>
                </c:pt>
                <c:pt idx="269">
                  <c:v>2137.0757394606999</c:v>
                </c:pt>
                <c:pt idx="270">
                  <c:v>2137.0757394606999</c:v>
                </c:pt>
                <c:pt idx="271">
                  <c:v>2137.0757394606999</c:v>
                </c:pt>
                <c:pt idx="272">
                  <c:v>2137.0757394606999</c:v>
                </c:pt>
                <c:pt idx="273">
                  <c:v>2137.0757394606999</c:v>
                </c:pt>
                <c:pt idx="274">
                  <c:v>2137.0757394606999</c:v>
                </c:pt>
                <c:pt idx="275">
                  <c:v>2137.0757394606999</c:v>
                </c:pt>
                <c:pt idx="276">
                  <c:v>2137.0757394606999</c:v>
                </c:pt>
                <c:pt idx="277">
                  <c:v>2137.0757394606999</c:v>
                </c:pt>
                <c:pt idx="278">
                  <c:v>2137.0757394606999</c:v>
                </c:pt>
                <c:pt idx="279">
                  <c:v>2137.0757394606999</c:v>
                </c:pt>
                <c:pt idx="280">
                  <c:v>2137.0757394606999</c:v>
                </c:pt>
                <c:pt idx="281">
                  <c:v>2137.0757394606999</c:v>
                </c:pt>
                <c:pt idx="282">
                  <c:v>2137.0757394606999</c:v>
                </c:pt>
                <c:pt idx="283">
                  <c:v>2137.0757394606999</c:v>
                </c:pt>
                <c:pt idx="284">
                  <c:v>2137.0757394606999</c:v>
                </c:pt>
                <c:pt idx="285">
                  <c:v>2137.0757394606999</c:v>
                </c:pt>
                <c:pt idx="286">
                  <c:v>2137.0757394606999</c:v>
                </c:pt>
                <c:pt idx="287">
                  <c:v>2137.0757394606999</c:v>
                </c:pt>
                <c:pt idx="288">
                  <c:v>2137.0757394606999</c:v>
                </c:pt>
                <c:pt idx="289">
                  <c:v>2137.0757394606999</c:v>
                </c:pt>
                <c:pt idx="290">
                  <c:v>2137.0757394606999</c:v>
                </c:pt>
                <c:pt idx="291">
                  <c:v>2137.0757394606999</c:v>
                </c:pt>
                <c:pt idx="292">
                  <c:v>2137.0757394606999</c:v>
                </c:pt>
                <c:pt idx="293">
                  <c:v>2137.0757394606999</c:v>
                </c:pt>
                <c:pt idx="294">
                  <c:v>2137.0757394606999</c:v>
                </c:pt>
                <c:pt idx="295">
                  <c:v>2137.0757394606999</c:v>
                </c:pt>
                <c:pt idx="296">
                  <c:v>2137.0757394606999</c:v>
                </c:pt>
                <c:pt idx="297">
                  <c:v>2137.0757394606999</c:v>
                </c:pt>
                <c:pt idx="298">
                  <c:v>2137.0757394606999</c:v>
                </c:pt>
                <c:pt idx="299">
                  <c:v>2137.0757394606999</c:v>
                </c:pt>
                <c:pt idx="300">
                  <c:v>2137.0757394606999</c:v>
                </c:pt>
                <c:pt idx="301">
                  <c:v>2137.0757394606999</c:v>
                </c:pt>
                <c:pt idx="302">
                  <c:v>2137.0757394606999</c:v>
                </c:pt>
                <c:pt idx="303">
                  <c:v>2137.0757394606999</c:v>
                </c:pt>
                <c:pt idx="304">
                  <c:v>2137.0757394606999</c:v>
                </c:pt>
                <c:pt idx="305">
                  <c:v>2137.0757394606999</c:v>
                </c:pt>
                <c:pt idx="306">
                  <c:v>2137.0757394606999</c:v>
                </c:pt>
                <c:pt idx="307">
                  <c:v>2137.0757394606999</c:v>
                </c:pt>
                <c:pt idx="308">
                  <c:v>2137.0757394606999</c:v>
                </c:pt>
                <c:pt idx="309">
                  <c:v>2137.0757394606999</c:v>
                </c:pt>
                <c:pt idx="310">
                  <c:v>2137.0757394606999</c:v>
                </c:pt>
                <c:pt idx="311">
                  <c:v>2137.0757394606999</c:v>
                </c:pt>
                <c:pt idx="312">
                  <c:v>2137.0757394606999</c:v>
                </c:pt>
                <c:pt idx="313">
                  <c:v>2137.0757394606999</c:v>
                </c:pt>
                <c:pt idx="314">
                  <c:v>2137.0757394606999</c:v>
                </c:pt>
                <c:pt idx="315">
                  <c:v>2137.0757394606999</c:v>
                </c:pt>
                <c:pt idx="316">
                  <c:v>2137.0757394606999</c:v>
                </c:pt>
                <c:pt idx="317">
                  <c:v>2137.0757394606999</c:v>
                </c:pt>
                <c:pt idx="318">
                  <c:v>2137.0757394606999</c:v>
                </c:pt>
                <c:pt idx="319">
                  <c:v>2137.0757394606999</c:v>
                </c:pt>
                <c:pt idx="320">
                  <c:v>2137.0757394606999</c:v>
                </c:pt>
                <c:pt idx="321">
                  <c:v>2137.0757394606999</c:v>
                </c:pt>
                <c:pt idx="322">
                  <c:v>2137.0757394606999</c:v>
                </c:pt>
                <c:pt idx="323">
                  <c:v>2137.0757394606999</c:v>
                </c:pt>
                <c:pt idx="324">
                  <c:v>2137.0757394606999</c:v>
                </c:pt>
                <c:pt idx="325">
                  <c:v>2137.0757394606999</c:v>
                </c:pt>
                <c:pt idx="326">
                  <c:v>2137.0757394606999</c:v>
                </c:pt>
                <c:pt idx="327">
                  <c:v>2137.0757394606999</c:v>
                </c:pt>
                <c:pt idx="328">
                  <c:v>2137.0757394606999</c:v>
                </c:pt>
                <c:pt idx="329">
                  <c:v>2137.0757394606999</c:v>
                </c:pt>
                <c:pt idx="330">
                  <c:v>2137.0757394606999</c:v>
                </c:pt>
                <c:pt idx="331">
                  <c:v>2137.0757394606999</c:v>
                </c:pt>
                <c:pt idx="332">
                  <c:v>2137.0757394606999</c:v>
                </c:pt>
                <c:pt idx="333">
                  <c:v>2137.0757394606999</c:v>
                </c:pt>
                <c:pt idx="334">
                  <c:v>2137.0757394606999</c:v>
                </c:pt>
                <c:pt idx="335">
                  <c:v>2137.0757394606999</c:v>
                </c:pt>
                <c:pt idx="336">
                  <c:v>2137.0757394606999</c:v>
                </c:pt>
                <c:pt idx="337">
                  <c:v>2137.0757394606999</c:v>
                </c:pt>
                <c:pt idx="338">
                  <c:v>2137.0757394606999</c:v>
                </c:pt>
                <c:pt idx="339">
                  <c:v>2137.0757394606999</c:v>
                </c:pt>
                <c:pt idx="340">
                  <c:v>2137.0757394606999</c:v>
                </c:pt>
                <c:pt idx="341">
                  <c:v>2137.0757394606999</c:v>
                </c:pt>
                <c:pt idx="342">
                  <c:v>2137.0757394606999</c:v>
                </c:pt>
                <c:pt idx="343">
                  <c:v>2137.0757394606999</c:v>
                </c:pt>
                <c:pt idx="344">
                  <c:v>2137.0757394606999</c:v>
                </c:pt>
                <c:pt idx="345">
                  <c:v>2137.0757394606999</c:v>
                </c:pt>
                <c:pt idx="346">
                  <c:v>2137.0757394606999</c:v>
                </c:pt>
                <c:pt idx="347">
                  <c:v>2137.0757394606999</c:v>
                </c:pt>
                <c:pt idx="348">
                  <c:v>2137.0757394606999</c:v>
                </c:pt>
                <c:pt idx="349">
                  <c:v>2137.0757394606999</c:v>
                </c:pt>
                <c:pt idx="350">
                  <c:v>2137.0757394606999</c:v>
                </c:pt>
                <c:pt idx="351">
                  <c:v>2137.0757394606999</c:v>
                </c:pt>
                <c:pt idx="352">
                  <c:v>2137.0757394606999</c:v>
                </c:pt>
                <c:pt idx="353">
                  <c:v>2137.0757394606999</c:v>
                </c:pt>
                <c:pt idx="354">
                  <c:v>2137.0757394606999</c:v>
                </c:pt>
                <c:pt idx="355">
                  <c:v>2137.0757394606999</c:v>
                </c:pt>
                <c:pt idx="356">
                  <c:v>2137.0757394606999</c:v>
                </c:pt>
                <c:pt idx="357">
                  <c:v>2137.0757394606999</c:v>
                </c:pt>
                <c:pt idx="358">
                  <c:v>2137.0757394606999</c:v>
                </c:pt>
                <c:pt idx="359">
                  <c:v>2137.0757394606999</c:v>
                </c:pt>
                <c:pt idx="360">
                  <c:v>2137.0757394606999</c:v>
                </c:pt>
                <c:pt idx="361">
                  <c:v>2137.0757394606999</c:v>
                </c:pt>
                <c:pt idx="362">
                  <c:v>2137.0757394606999</c:v>
                </c:pt>
                <c:pt idx="363">
                  <c:v>2137.0757394606999</c:v>
                </c:pt>
                <c:pt idx="364">
                  <c:v>2137.0757394606999</c:v>
                </c:pt>
                <c:pt idx="365">
                  <c:v>2137.0757394606999</c:v>
                </c:pt>
                <c:pt idx="366">
                  <c:v>2137.0757394606999</c:v>
                </c:pt>
                <c:pt idx="367">
                  <c:v>2137.0757394606999</c:v>
                </c:pt>
                <c:pt idx="368">
                  <c:v>2137.0757394606999</c:v>
                </c:pt>
                <c:pt idx="369">
                  <c:v>2137.0757394606999</c:v>
                </c:pt>
                <c:pt idx="370">
                  <c:v>2137.0757394606999</c:v>
                </c:pt>
                <c:pt idx="371">
                  <c:v>2137.0757394606999</c:v>
                </c:pt>
                <c:pt idx="372">
                  <c:v>2137.0757394606999</c:v>
                </c:pt>
                <c:pt idx="373">
                  <c:v>2137.0757394606999</c:v>
                </c:pt>
                <c:pt idx="374">
                  <c:v>2137.0757394606999</c:v>
                </c:pt>
                <c:pt idx="375">
                  <c:v>2137.0757394606999</c:v>
                </c:pt>
                <c:pt idx="376">
                  <c:v>2137.0757394606999</c:v>
                </c:pt>
                <c:pt idx="377">
                  <c:v>2137.0757394606999</c:v>
                </c:pt>
                <c:pt idx="378">
                  <c:v>2137.0757394606999</c:v>
                </c:pt>
                <c:pt idx="379">
                  <c:v>2137.0757394606999</c:v>
                </c:pt>
                <c:pt idx="380">
                  <c:v>2137.0757394606999</c:v>
                </c:pt>
                <c:pt idx="381">
                  <c:v>2137.0757394606999</c:v>
                </c:pt>
                <c:pt idx="382">
                  <c:v>2137.0757394606999</c:v>
                </c:pt>
                <c:pt idx="383">
                  <c:v>2137.0757394606999</c:v>
                </c:pt>
                <c:pt idx="384">
                  <c:v>2137.0757394606999</c:v>
                </c:pt>
                <c:pt idx="385">
                  <c:v>2137.0757394606999</c:v>
                </c:pt>
                <c:pt idx="386">
                  <c:v>2137.0757394606999</c:v>
                </c:pt>
                <c:pt idx="387">
                  <c:v>2137.0757394606999</c:v>
                </c:pt>
                <c:pt idx="388">
                  <c:v>2137.0757394606999</c:v>
                </c:pt>
                <c:pt idx="389">
                  <c:v>2137.0757394606999</c:v>
                </c:pt>
                <c:pt idx="390">
                  <c:v>2137.0757394606999</c:v>
                </c:pt>
                <c:pt idx="391">
                  <c:v>2137.0757394606999</c:v>
                </c:pt>
                <c:pt idx="392">
                  <c:v>2137.0757394606999</c:v>
                </c:pt>
                <c:pt idx="393">
                  <c:v>2137.0757394606999</c:v>
                </c:pt>
                <c:pt idx="394">
                  <c:v>2137.0757394606999</c:v>
                </c:pt>
                <c:pt idx="395">
                  <c:v>2137.0757394606999</c:v>
                </c:pt>
                <c:pt idx="396">
                  <c:v>2137.0757394606999</c:v>
                </c:pt>
                <c:pt idx="397">
                  <c:v>2137.0757394606999</c:v>
                </c:pt>
                <c:pt idx="398">
                  <c:v>2137.0757394606999</c:v>
                </c:pt>
                <c:pt idx="399">
                  <c:v>2137.0757394606999</c:v>
                </c:pt>
                <c:pt idx="400">
                  <c:v>2137.0757394606999</c:v>
                </c:pt>
                <c:pt idx="401">
                  <c:v>2137.0757394606999</c:v>
                </c:pt>
                <c:pt idx="402">
                  <c:v>2137.0757394606999</c:v>
                </c:pt>
                <c:pt idx="403">
                  <c:v>2137.0757394606999</c:v>
                </c:pt>
                <c:pt idx="404">
                  <c:v>2137.0757394606999</c:v>
                </c:pt>
                <c:pt idx="405">
                  <c:v>2137.0757394606999</c:v>
                </c:pt>
                <c:pt idx="406">
                  <c:v>2137.0757394606999</c:v>
                </c:pt>
                <c:pt idx="407">
                  <c:v>2137.0757394606999</c:v>
                </c:pt>
                <c:pt idx="408">
                  <c:v>2137.0757394606999</c:v>
                </c:pt>
                <c:pt idx="409">
                  <c:v>2137.0757394606999</c:v>
                </c:pt>
                <c:pt idx="410">
                  <c:v>2137.0757394606999</c:v>
                </c:pt>
                <c:pt idx="411">
                  <c:v>2137.0757394606999</c:v>
                </c:pt>
                <c:pt idx="412">
                  <c:v>2137.0757394606999</c:v>
                </c:pt>
                <c:pt idx="413">
                  <c:v>2137.0757394606999</c:v>
                </c:pt>
                <c:pt idx="414">
                  <c:v>2137.0757394606999</c:v>
                </c:pt>
                <c:pt idx="415">
                  <c:v>2137.0757394606999</c:v>
                </c:pt>
                <c:pt idx="416">
                  <c:v>2137.0757394606999</c:v>
                </c:pt>
                <c:pt idx="417">
                  <c:v>2137.0757394606999</c:v>
                </c:pt>
                <c:pt idx="418">
                  <c:v>2137.0757394606999</c:v>
                </c:pt>
                <c:pt idx="419">
                  <c:v>2137.0757394606999</c:v>
                </c:pt>
                <c:pt idx="420">
                  <c:v>2137.0757394606999</c:v>
                </c:pt>
                <c:pt idx="421">
                  <c:v>2137.0757394606999</c:v>
                </c:pt>
                <c:pt idx="422">
                  <c:v>2137.0757394606999</c:v>
                </c:pt>
                <c:pt idx="423">
                  <c:v>2137.0757394606999</c:v>
                </c:pt>
                <c:pt idx="424">
                  <c:v>2137.0757394606999</c:v>
                </c:pt>
                <c:pt idx="425">
                  <c:v>2137.0757394606999</c:v>
                </c:pt>
                <c:pt idx="426">
                  <c:v>2137.0757394606999</c:v>
                </c:pt>
                <c:pt idx="427">
                  <c:v>2137.0757394606999</c:v>
                </c:pt>
                <c:pt idx="428">
                  <c:v>2137.0757394606999</c:v>
                </c:pt>
                <c:pt idx="429">
                  <c:v>2137.0757394606999</c:v>
                </c:pt>
                <c:pt idx="430">
                  <c:v>2137.0757394606999</c:v>
                </c:pt>
                <c:pt idx="431">
                  <c:v>2137.0757394606999</c:v>
                </c:pt>
                <c:pt idx="432">
                  <c:v>2137.0757394606999</c:v>
                </c:pt>
                <c:pt idx="433">
                  <c:v>2137.0757394606999</c:v>
                </c:pt>
                <c:pt idx="434">
                  <c:v>2137.0757394606999</c:v>
                </c:pt>
                <c:pt idx="435">
                  <c:v>2137.0757394606999</c:v>
                </c:pt>
                <c:pt idx="436">
                  <c:v>2137.0757394606999</c:v>
                </c:pt>
                <c:pt idx="437">
                  <c:v>2137.0757394606999</c:v>
                </c:pt>
                <c:pt idx="438">
                  <c:v>2137.0757394606999</c:v>
                </c:pt>
                <c:pt idx="439">
                  <c:v>2137.0757394606999</c:v>
                </c:pt>
                <c:pt idx="440">
                  <c:v>2137.0757394606999</c:v>
                </c:pt>
                <c:pt idx="441">
                  <c:v>2137.0757394606999</c:v>
                </c:pt>
                <c:pt idx="442">
                  <c:v>2137.0757394606999</c:v>
                </c:pt>
                <c:pt idx="443">
                  <c:v>2137.0757394606999</c:v>
                </c:pt>
                <c:pt idx="444">
                  <c:v>2137.0757394606999</c:v>
                </c:pt>
                <c:pt idx="445">
                  <c:v>2137.0757394606999</c:v>
                </c:pt>
                <c:pt idx="446">
                  <c:v>2137.0757394606999</c:v>
                </c:pt>
                <c:pt idx="447">
                  <c:v>2137.0757394606999</c:v>
                </c:pt>
                <c:pt idx="448">
                  <c:v>2137.0757394606999</c:v>
                </c:pt>
                <c:pt idx="449">
                  <c:v>2137.0757394606999</c:v>
                </c:pt>
                <c:pt idx="450">
                  <c:v>2137.0757394606999</c:v>
                </c:pt>
                <c:pt idx="451">
                  <c:v>2137.0757394606999</c:v>
                </c:pt>
                <c:pt idx="452">
                  <c:v>2137.0757394606999</c:v>
                </c:pt>
                <c:pt idx="453">
                  <c:v>2137.0757394606999</c:v>
                </c:pt>
                <c:pt idx="454">
                  <c:v>2137.0757394606999</c:v>
                </c:pt>
                <c:pt idx="455">
                  <c:v>2137.0757394606999</c:v>
                </c:pt>
                <c:pt idx="456">
                  <c:v>2137.0757394606999</c:v>
                </c:pt>
                <c:pt idx="457">
                  <c:v>2137.0757394606999</c:v>
                </c:pt>
                <c:pt idx="458">
                  <c:v>2137.0757394606999</c:v>
                </c:pt>
                <c:pt idx="459">
                  <c:v>2137.0757394606999</c:v>
                </c:pt>
                <c:pt idx="460">
                  <c:v>2137.0757394606999</c:v>
                </c:pt>
                <c:pt idx="461">
                  <c:v>2137.0757394606999</c:v>
                </c:pt>
                <c:pt idx="462">
                  <c:v>2137.0757394606999</c:v>
                </c:pt>
                <c:pt idx="463">
                  <c:v>2137.0757394606999</c:v>
                </c:pt>
                <c:pt idx="464">
                  <c:v>2137.0757394606999</c:v>
                </c:pt>
                <c:pt idx="465">
                  <c:v>2137.0757394606999</c:v>
                </c:pt>
                <c:pt idx="466">
                  <c:v>2137.0757394606999</c:v>
                </c:pt>
                <c:pt idx="467">
                  <c:v>2137.0757394606999</c:v>
                </c:pt>
                <c:pt idx="468">
                  <c:v>2137.0757394606999</c:v>
                </c:pt>
                <c:pt idx="469">
                  <c:v>2137.0757394606999</c:v>
                </c:pt>
                <c:pt idx="470">
                  <c:v>2137.0757394606999</c:v>
                </c:pt>
                <c:pt idx="471">
                  <c:v>2137.0757394606999</c:v>
                </c:pt>
                <c:pt idx="472">
                  <c:v>2137.0757394606999</c:v>
                </c:pt>
                <c:pt idx="473">
                  <c:v>2137.0757394606999</c:v>
                </c:pt>
                <c:pt idx="474">
                  <c:v>2137.0757394606999</c:v>
                </c:pt>
                <c:pt idx="475">
                  <c:v>2137.0757394606999</c:v>
                </c:pt>
                <c:pt idx="476">
                  <c:v>2137.0757394606999</c:v>
                </c:pt>
                <c:pt idx="477">
                  <c:v>2137.0757394606999</c:v>
                </c:pt>
                <c:pt idx="478">
                  <c:v>2137.0757394606999</c:v>
                </c:pt>
                <c:pt idx="479">
                  <c:v>2137.0757394606999</c:v>
                </c:pt>
                <c:pt idx="480">
                  <c:v>2137.0757394606999</c:v>
                </c:pt>
                <c:pt idx="481">
                  <c:v>2137.0757394606999</c:v>
                </c:pt>
                <c:pt idx="482">
                  <c:v>2137.0757394606999</c:v>
                </c:pt>
                <c:pt idx="483">
                  <c:v>2137.0757394606999</c:v>
                </c:pt>
                <c:pt idx="484">
                  <c:v>2137.0757394606999</c:v>
                </c:pt>
                <c:pt idx="485">
                  <c:v>2137.0757394606999</c:v>
                </c:pt>
                <c:pt idx="486">
                  <c:v>2137.0757394606999</c:v>
                </c:pt>
                <c:pt idx="487">
                  <c:v>2137.0757394606999</c:v>
                </c:pt>
                <c:pt idx="488">
                  <c:v>2137.0757394606999</c:v>
                </c:pt>
                <c:pt idx="489">
                  <c:v>2137.0757394606999</c:v>
                </c:pt>
                <c:pt idx="490">
                  <c:v>2137.0757394606999</c:v>
                </c:pt>
                <c:pt idx="491">
                  <c:v>2137.0757394606999</c:v>
                </c:pt>
                <c:pt idx="492">
                  <c:v>2137.0757394606999</c:v>
                </c:pt>
                <c:pt idx="493">
                  <c:v>2137.0757394606999</c:v>
                </c:pt>
                <c:pt idx="494">
                  <c:v>2137.0757394606999</c:v>
                </c:pt>
                <c:pt idx="495">
                  <c:v>2137.0757394606999</c:v>
                </c:pt>
                <c:pt idx="496">
                  <c:v>2137.0757394606999</c:v>
                </c:pt>
                <c:pt idx="497">
                  <c:v>2137.0757394606999</c:v>
                </c:pt>
                <c:pt idx="498">
                  <c:v>2137.0757394606999</c:v>
                </c:pt>
                <c:pt idx="499">
                  <c:v>2137.0757394606999</c:v>
                </c:pt>
                <c:pt idx="500">
                  <c:v>2137.0757394606999</c:v>
                </c:pt>
                <c:pt idx="501">
                  <c:v>2137.0757394606999</c:v>
                </c:pt>
                <c:pt idx="502">
                  <c:v>2137.0757394606999</c:v>
                </c:pt>
                <c:pt idx="503">
                  <c:v>2137.0757394606999</c:v>
                </c:pt>
                <c:pt idx="504">
                  <c:v>2137.0757394606999</c:v>
                </c:pt>
                <c:pt idx="505">
                  <c:v>2137.0757394606999</c:v>
                </c:pt>
                <c:pt idx="506">
                  <c:v>2137.0757394606999</c:v>
                </c:pt>
                <c:pt idx="507">
                  <c:v>2137.0757394606999</c:v>
                </c:pt>
                <c:pt idx="508">
                  <c:v>2137.0757394606999</c:v>
                </c:pt>
                <c:pt idx="509">
                  <c:v>2137.0757394606999</c:v>
                </c:pt>
                <c:pt idx="510">
                  <c:v>2137.0757394606999</c:v>
                </c:pt>
                <c:pt idx="511">
                  <c:v>2137.0757394606999</c:v>
                </c:pt>
                <c:pt idx="512">
                  <c:v>2137.0757394606999</c:v>
                </c:pt>
                <c:pt idx="513">
                  <c:v>2137.0757394606999</c:v>
                </c:pt>
                <c:pt idx="514">
                  <c:v>2137.0757394606999</c:v>
                </c:pt>
                <c:pt idx="515">
                  <c:v>2137.0757394606999</c:v>
                </c:pt>
                <c:pt idx="516">
                  <c:v>2137.0757394606999</c:v>
                </c:pt>
                <c:pt idx="517">
                  <c:v>2137.0757394606999</c:v>
                </c:pt>
                <c:pt idx="518">
                  <c:v>2137.0757394606999</c:v>
                </c:pt>
                <c:pt idx="519">
                  <c:v>2137.0757394606999</c:v>
                </c:pt>
                <c:pt idx="520">
                  <c:v>2137.0757394606999</c:v>
                </c:pt>
                <c:pt idx="521">
                  <c:v>2137.0757394606999</c:v>
                </c:pt>
                <c:pt idx="522">
                  <c:v>2137.0757394606999</c:v>
                </c:pt>
                <c:pt idx="523">
                  <c:v>2137.0757394606999</c:v>
                </c:pt>
                <c:pt idx="524">
                  <c:v>2137.0757394606999</c:v>
                </c:pt>
                <c:pt idx="525">
                  <c:v>2137.0757394606999</c:v>
                </c:pt>
                <c:pt idx="526">
                  <c:v>2137.0757394606999</c:v>
                </c:pt>
                <c:pt idx="527">
                  <c:v>2137.0757394606999</c:v>
                </c:pt>
                <c:pt idx="528">
                  <c:v>2137.0757394606999</c:v>
                </c:pt>
                <c:pt idx="529">
                  <c:v>2137.0757394606999</c:v>
                </c:pt>
                <c:pt idx="530">
                  <c:v>2137.0757394606999</c:v>
                </c:pt>
                <c:pt idx="531">
                  <c:v>2137.0757394606999</c:v>
                </c:pt>
                <c:pt idx="532">
                  <c:v>2137.0757394606999</c:v>
                </c:pt>
                <c:pt idx="533">
                  <c:v>2137.0757394606999</c:v>
                </c:pt>
                <c:pt idx="534">
                  <c:v>2137.0757394606999</c:v>
                </c:pt>
                <c:pt idx="535">
                  <c:v>2137.0757394606999</c:v>
                </c:pt>
                <c:pt idx="536">
                  <c:v>2137.0757394606999</c:v>
                </c:pt>
                <c:pt idx="537">
                  <c:v>2137.0757394606999</c:v>
                </c:pt>
                <c:pt idx="538">
                  <c:v>2137.0757394606999</c:v>
                </c:pt>
                <c:pt idx="539">
                  <c:v>2137.0757394606999</c:v>
                </c:pt>
                <c:pt idx="540">
                  <c:v>2137.0757394606999</c:v>
                </c:pt>
                <c:pt idx="541">
                  <c:v>2137.0757394606999</c:v>
                </c:pt>
                <c:pt idx="542">
                  <c:v>2137.0757394606999</c:v>
                </c:pt>
                <c:pt idx="543">
                  <c:v>2137.0757394606999</c:v>
                </c:pt>
                <c:pt idx="544">
                  <c:v>2137.0757394606999</c:v>
                </c:pt>
                <c:pt idx="545">
                  <c:v>2137.0757394606999</c:v>
                </c:pt>
                <c:pt idx="546">
                  <c:v>2137.0757394606999</c:v>
                </c:pt>
                <c:pt idx="547">
                  <c:v>2137.0757394606999</c:v>
                </c:pt>
                <c:pt idx="548">
                  <c:v>2137.0757394606999</c:v>
                </c:pt>
                <c:pt idx="549">
                  <c:v>2137.0757394606999</c:v>
                </c:pt>
                <c:pt idx="550">
                  <c:v>2137.0757394606999</c:v>
                </c:pt>
                <c:pt idx="551">
                  <c:v>2137.0757394606999</c:v>
                </c:pt>
                <c:pt idx="552">
                  <c:v>2137.0757394606999</c:v>
                </c:pt>
                <c:pt idx="553">
                  <c:v>2137.0757394606999</c:v>
                </c:pt>
                <c:pt idx="554">
                  <c:v>2137.0757394606999</c:v>
                </c:pt>
                <c:pt idx="555">
                  <c:v>2137.0757394606999</c:v>
                </c:pt>
                <c:pt idx="556">
                  <c:v>2137.0757394606999</c:v>
                </c:pt>
                <c:pt idx="557">
                  <c:v>2137.0757394606999</c:v>
                </c:pt>
                <c:pt idx="558">
                  <c:v>2137.0757394606999</c:v>
                </c:pt>
                <c:pt idx="559">
                  <c:v>2137.0757394606999</c:v>
                </c:pt>
                <c:pt idx="560">
                  <c:v>2137.0757394606999</c:v>
                </c:pt>
                <c:pt idx="561">
                  <c:v>2137.0757394606999</c:v>
                </c:pt>
                <c:pt idx="562">
                  <c:v>2137.0757394606999</c:v>
                </c:pt>
                <c:pt idx="563">
                  <c:v>2137.0757394606999</c:v>
                </c:pt>
                <c:pt idx="564">
                  <c:v>2137.0757394606999</c:v>
                </c:pt>
                <c:pt idx="565">
                  <c:v>2137.0757394606999</c:v>
                </c:pt>
                <c:pt idx="566">
                  <c:v>2137.0757394606999</c:v>
                </c:pt>
                <c:pt idx="567">
                  <c:v>2137.0757394606999</c:v>
                </c:pt>
                <c:pt idx="568">
                  <c:v>2137.0757394606999</c:v>
                </c:pt>
                <c:pt idx="569">
                  <c:v>2137.0757394606999</c:v>
                </c:pt>
                <c:pt idx="570">
                  <c:v>2137.0757394606999</c:v>
                </c:pt>
                <c:pt idx="571">
                  <c:v>2137.0757394606999</c:v>
                </c:pt>
                <c:pt idx="572">
                  <c:v>2137.0757394606999</c:v>
                </c:pt>
                <c:pt idx="573">
                  <c:v>2137.0757394606999</c:v>
                </c:pt>
                <c:pt idx="574">
                  <c:v>2137.0757394606999</c:v>
                </c:pt>
                <c:pt idx="575">
                  <c:v>2137.0757394606999</c:v>
                </c:pt>
                <c:pt idx="576">
                  <c:v>2137.0757394606999</c:v>
                </c:pt>
                <c:pt idx="577">
                  <c:v>2137.0757394606999</c:v>
                </c:pt>
                <c:pt idx="578">
                  <c:v>2137.0757394606999</c:v>
                </c:pt>
                <c:pt idx="579">
                  <c:v>1969.5074137544</c:v>
                </c:pt>
                <c:pt idx="580">
                  <c:v>1969.5074137544</c:v>
                </c:pt>
                <c:pt idx="581">
                  <c:v>1969.5074137544</c:v>
                </c:pt>
                <c:pt idx="582">
                  <c:v>1969.5074137544</c:v>
                </c:pt>
                <c:pt idx="583">
                  <c:v>1969.5074137544</c:v>
                </c:pt>
                <c:pt idx="584">
                  <c:v>1969.5074137544</c:v>
                </c:pt>
                <c:pt idx="585">
                  <c:v>1969.5074137544</c:v>
                </c:pt>
                <c:pt idx="586">
                  <c:v>1969.5074137544</c:v>
                </c:pt>
                <c:pt idx="587">
                  <c:v>1969.5074137544</c:v>
                </c:pt>
                <c:pt idx="588">
                  <c:v>1969.5074137544</c:v>
                </c:pt>
                <c:pt idx="589">
                  <c:v>1969.5074137544</c:v>
                </c:pt>
                <c:pt idx="590">
                  <c:v>1969.5074137544</c:v>
                </c:pt>
                <c:pt idx="591">
                  <c:v>1969.5074137544</c:v>
                </c:pt>
                <c:pt idx="592">
                  <c:v>1969.5074137544</c:v>
                </c:pt>
                <c:pt idx="593">
                  <c:v>1969.5074137544</c:v>
                </c:pt>
                <c:pt idx="594">
                  <c:v>1969.5074137544</c:v>
                </c:pt>
                <c:pt idx="595">
                  <c:v>1969.5074137544</c:v>
                </c:pt>
                <c:pt idx="596">
                  <c:v>1969.5074137544</c:v>
                </c:pt>
                <c:pt idx="597">
                  <c:v>1969.5074137544</c:v>
                </c:pt>
                <c:pt idx="598">
                  <c:v>1969.5074137544</c:v>
                </c:pt>
                <c:pt idx="599">
                  <c:v>1969.5074137544</c:v>
                </c:pt>
                <c:pt idx="600">
                  <c:v>1969.5074137544</c:v>
                </c:pt>
                <c:pt idx="601">
                  <c:v>1969.5074137544</c:v>
                </c:pt>
                <c:pt idx="602">
                  <c:v>1969.5074137544</c:v>
                </c:pt>
                <c:pt idx="603">
                  <c:v>1969.5074137544</c:v>
                </c:pt>
                <c:pt idx="604">
                  <c:v>1969.5074137544</c:v>
                </c:pt>
                <c:pt idx="605">
                  <c:v>1969.5074137544</c:v>
                </c:pt>
                <c:pt idx="606">
                  <c:v>1969.5074137544</c:v>
                </c:pt>
                <c:pt idx="607">
                  <c:v>1969.5074137544</c:v>
                </c:pt>
                <c:pt idx="608">
                  <c:v>1969.5074137544</c:v>
                </c:pt>
                <c:pt idx="609">
                  <c:v>1969.5074137544</c:v>
                </c:pt>
                <c:pt idx="610">
                  <c:v>1969.5074137544</c:v>
                </c:pt>
                <c:pt idx="611">
                  <c:v>1969.5074137544</c:v>
                </c:pt>
                <c:pt idx="612">
                  <c:v>1969.5074137544</c:v>
                </c:pt>
                <c:pt idx="613">
                  <c:v>1969.5074137544</c:v>
                </c:pt>
                <c:pt idx="614">
                  <c:v>1969.5074137544</c:v>
                </c:pt>
                <c:pt idx="615">
                  <c:v>1969.5074137544</c:v>
                </c:pt>
                <c:pt idx="616">
                  <c:v>1969.5074137544</c:v>
                </c:pt>
                <c:pt idx="617">
                  <c:v>1969.5074137544</c:v>
                </c:pt>
                <c:pt idx="618">
                  <c:v>1969.5074137544</c:v>
                </c:pt>
                <c:pt idx="619">
                  <c:v>1969.5074137544</c:v>
                </c:pt>
                <c:pt idx="620">
                  <c:v>1969.5074137544</c:v>
                </c:pt>
                <c:pt idx="621">
                  <c:v>1969.5074137544</c:v>
                </c:pt>
                <c:pt idx="622">
                  <c:v>1969.5074137544</c:v>
                </c:pt>
                <c:pt idx="623">
                  <c:v>1969.5074137544</c:v>
                </c:pt>
                <c:pt idx="624">
                  <c:v>1969.5074137544</c:v>
                </c:pt>
                <c:pt idx="625">
                  <c:v>1969.5074137544</c:v>
                </c:pt>
                <c:pt idx="626">
                  <c:v>1969.5074137544</c:v>
                </c:pt>
                <c:pt idx="627">
                  <c:v>1969.5074137544</c:v>
                </c:pt>
                <c:pt idx="628">
                  <c:v>1969.5074137544</c:v>
                </c:pt>
                <c:pt idx="629">
                  <c:v>1969.5074137544</c:v>
                </c:pt>
                <c:pt idx="630">
                  <c:v>1969.5074137544</c:v>
                </c:pt>
                <c:pt idx="631">
                  <c:v>1969.5074137544</c:v>
                </c:pt>
                <c:pt idx="632">
                  <c:v>1969.5074137544</c:v>
                </c:pt>
                <c:pt idx="633">
                  <c:v>1969.5074137544</c:v>
                </c:pt>
                <c:pt idx="634">
                  <c:v>1969.5074137544</c:v>
                </c:pt>
                <c:pt idx="635">
                  <c:v>1969.5074137544</c:v>
                </c:pt>
                <c:pt idx="636">
                  <c:v>1969.5074137544</c:v>
                </c:pt>
                <c:pt idx="637">
                  <c:v>1969.5074137544</c:v>
                </c:pt>
                <c:pt idx="638">
                  <c:v>1969.5074137544</c:v>
                </c:pt>
                <c:pt idx="639">
                  <c:v>1969.5074137544</c:v>
                </c:pt>
                <c:pt idx="640">
                  <c:v>1969.5074137544</c:v>
                </c:pt>
                <c:pt idx="641">
                  <c:v>1969.5074137544</c:v>
                </c:pt>
                <c:pt idx="642">
                  <c:v>1969.5074137544</c:v>
                </c:pt>
                <c:pt idx="643">
                  <c:v>1969.5074137544</c:v>
                </c:pt>
                <c:pt idx="644">
                  <c:v>1969.5074137544</c:v>
                </c:pt>
                <c:pt idx="645">
                  <c:v>1969.5074137544</c:v>
                </c:pt>
                <c:pt idx="646">
                  <c:v>1969.5074137544</c:v>
                </c:pt>
                <c:pt idx="647">
                  <c:v>1969.5074137544</c:v>
                </c:pt>
                <c:pt idx="648">
                  <c:v>1969.5074137544</c:v>
                </c:pt>
                <c:pt idx="649">
                  <c:v>1969.5074137544</c:v>
                </c:pt>
                <c:pt idx="650">
                  <c:v>1969.5074137544</c:v>
                </c:pt>
                <c:pt idx="651">
                  <c:v>1969.5074137544</c:v>
                </c:pt>
                <c:pt idx="652">
                  <c:v>1969.5074137544</c:v>
                </c:pt>
                <c:pt idx="653">
                  <c:v>1969.5074137544</c:v>
                </c:pt>
                <c:pt idx="654">
                  <c:v>1969.5074137544</c:v>
                </c:pt>
                <c:pt idx="655">
                  <c:v>1969.5074137544</c:v>
                </c:pt>
                <c:pt idx="656">
                  <c:v>1969.5074137544</c:v>
                </c:pt>
                <c:pt idx="657">
                  <c:v>1969.5074137544</c:v>
                </c:pt>
                <c:pt idx="658">
                  <c:v>1969.5074137544</c:v>
                </c:pt>
                <c:pt idx="659">
                  <c:v>1969.5074137544</c:v>
                </c:pt>
                <c:pt idx="660">
                  <c:v>1969.5074137544</c:v>
                </c:pt>
                <c:pt idx="661">
                  <c:v>1969.5074137544</c:v>
                </c:pt>
                <c:pt idx="662">
                  <c:v>1969.5074137544</c:v>
                </c:pt>
                <c:pt idx="663">
                  <c:v>1969.5074137544</c:v>
                </c:pt>
                <c:pt idx="664">
                  <c:v>1969.5074137544</c:v>
                </c:pt>
                <c:pt idx="665">
                  <c:v>1969.5074137544</c:v>
                </c:pt>
                <c:pt idx="666">
                  <c:v>1969.5074137544</c:v>
                </c:pt>
                <c:pt idx="667">
                  <c:v>1969.5074137544</c:v>
                </c:pt>
                <c:pt idx="668">
                  <c:v>1969.5074137544</c:v>
                </c:pt>
                <c:pt idx="669">
                  <c:v>1969.5074137544</c:v>
                </c:pt>
                <c:pt idx="670">
                  <c:v>1969.5074137544</c:v>
                </c:pt>
                <c:pt idx="671">
                  <c:v>1969.5074137544</c:v>
                </c:pt>
                <c:pt idx="672">
                  <c:v>1969.5074137544</c:v>
                </c:pt>
                <c:pt idx="673">
                  <c:v>1969.5074137544</c:v>
                </c:pt>
                <c:pt idx="674">
                  <c:v>1969.5074137544</c:v>
                </c:pt>
                <c:pt idx="675">
                  <c:v>1969.5074137544</c:v>
                </c:pt>
                <c:pt idx="676">
                  <c:v>1969.5074137544</c:v>
                </c:pt>
                <c:pt idx="677">
                  <c:v>1969.5074137544</c:v>
                </c:pt>
                <c:pt idx="678">
                  <c:v>1969.5074137544</c:v>
                </c:pt>
                <c:pt idx="679">
                  <c:v>1969.5074137544</c:v>
                </c:pt>
                <c:pt idx="680">
                  <c:v>1969.5074137544</c:v>
                </c:pt>
                <c:pt idx="681">
                  <c:v>1969.5074137544</c:v>
                </c:pt>
                <c:pt idx="682">
                  <c:v>1969.5074137544</c:v>
                </c:pt>
                <c:pt idx="683">
                  <c:v>1969.5074137544</c:v>
                </c:pt>
                <c:pt idx="684">
                  <c:v>1969.5074137544</c:v>
                </c:pt>
                <c:pt idx="685">
                  <c:v>1969.5074137544</c:v>
                </c:pt>
                <c:pt idx="686">
                  <c:v>1969.5074137544</c:v>
                </c:pt>
                <c:pt idx="687">
                  <c:v>1969.5074137544</c:v>
                </c:pt>
                <c:pt idx="688">
                  <c:v>1969.5074137544</c:v>
                </c:pt>
                <c:pt idx="689">
                  <c:v>1969.5074137544</c:v>
                </c:pt>
                <c:pt idx="690">
                  <c:v>1969.5074137544</c:v>
                </c:pt>
                <c:pt idx="691">
                  <c:v>1969.5074137544</c:v>
                </c:pt>
                <c:pt idx="692">
                  <c:v>1969.5074137544</c:v>
                </c:pt>
                <c:pt idx="693">
                  <c:v>1969.5074137544</c:v>
                </c:pt>
                <c:pt idx="694">
                  <c:v>1969.5074137544</c:v>
                </c:pt>
                <c:pt idx="695">
                  <c:v>1969.5074137544</c:v>
                </c:pt>
                <c:pt idx="696">
                  <c:v>1969.5074137544</c:v>
                </c:pt>
                <c:pt idx="697">
                  <c:v>1969.5074137544</c:v>
                </c:pt>
                <c:pt idx="698">
                  <c:v>1969.5074137544</c:v>
                </c:pt>
                <c:pt idx="699">
                  <c:v>1969.5074137544</c:v>
                </c:pt>
                <c:pt idx="700">
                  <c:v>1969.5074137544</c:v>
                </c:pt>
                <c:pt idx="701">
                  <c:v>1969.5074137544</c:v>
                </c:pt>
                <c:pt idx="702">
                  <c:v>1969.5074137544</c:v>
                </c:pt>
                <c:pt idx="703">
                  <c:v>1969.5074137544</c:v>
                </c:pt>
                <c:pt idx="704">
                  <c:v>1969.5074137544</c:v>
                </c:pt>
                <c:pt idx="705">
                  <c:v>1969.5074137544</c:v>
                </c:pt>
                <c:pt idx="706">
                  <c:v>1969.5074137544</c:v>
                </c:pt>
                <c:pt idx="707">
                  <c:v>1969.5074137544</c:v>
                </c:pt>
                <c:pt idx="708">
                  <c:v>1969.5074137544</c:v>
                </c:pt>
                <c:pt idx="709">
                  <c:v>1969.5074137544</c:v>
                </c:pt>
                <c:pt idx="710">
                  <c:v>1969.5074137544</c:v>
                </c:pt>
                <c:pt idx="711">
                  <c:v>1969.5074137544</c:v>
                </c:pt>
                <c:pt idx="712">
                  <c:v>1969.5074137544</c:v>
                </c:pt>
                <c:pt idx="713">
                  <c:v>1969.5074137544</c:v>
                </c:pt>
                <c:pt idx="714">
                  <c:v>1969.5074137544</c:v>
                </c:pt>
                <c:pt idx="715">
                  <c:v>1969.5074137544</c:v>
                </c:pt>
                <c:pt idx="716">
                  <c:v>1969.5074137544</c:v>
                </c:pt>
                <c:pt idx="717">
                  <c:v>1969.5074137544</c:v>
                </c:pt>
                <c:pt idx="718">
                  <c:v>1969.5074137544</c:v>
                </c:pt>
                <c:pt idx="719">
                  <c:v>1969.5074137544</c:v>
                </c:pt>
                <c:pt idx="720">
                  <c:v>1969.5074137544</c:v>
                </c:pt>
                <c:pt idx="721">
                  <c:v>1969.5074137544</c:v>
                </c:pt>
                <c:pt idx="722">
                  <c:v>1969.5074137544</c:v>
                </c:pt>
                <c:pt idx="723">
                  <c:v>1969.5074137544</c:v>
                </c:pt>
                <c:pt idx="724">
                  <c:v>1969.5074137544</c:v>
                </c:pt>
                <c:pt idx="725">
                  <c:v>1969.5074137544</c:v>
                </c:pt>
                <c:pt idx="726">
                  <c:v>1969.5074137544</c:v>
                </c:pt>
                <c:pt idx="727">
                  <c:v>1969.5074137544</c:v>
                </c:pt>
                <c:pt idx="728">
                  <c:v>1969.5074137544</c:v>
                </c:pt>
                <c:pt idx="729">
                  <c:v>1969.5074137544</c:v>
                </c:pt>
                <c:pt idx="730">
                  <c:v>1969.5074137544</c:v>
                </c:pt>
                <c:pt idx="731">
                  <c:v>1969.5074137544</c:v>
                </c:pt>
                <c:pt idx="732">
                  <c:v>1969.5074137544</c:v>
                </c:pt>
                <c:pt idx="733">
                  <c:v>1969.5074137544</c:v>
                </c:pt>
                <c:pt idx="734">
                  <c:v>1969.5074137544</c:v>
                </c:pt>
                <c:pt idx="735">
                  <c:v>1969.5074137544</c:v>
                </c:pt>
                <c:pt idx="736">
                  <c:v>1969.5074137544</c:v>
                </c:pt>
                <c:pt idx="737">
                  <c:v>1969.5074137544</c:v>
                </c:pt>
                <c:pt idx="738">
                  <c:v>1969.5074137544</c:v>
                </c:pt>
                <c:pt idx="739">
                  <c:v>1969.5074137544</c:v>
                </c:pt>
                <c:pt idx="740">
                  <c:v>1969.5074137544</c:v>
                </c:pt>
                <c:pt idx="741">
                  <c:v>1969.5074137544</c:v>
                </c:pt>
                <c:pt idx="742">
                  <c:v>1969.5074137544</c:v>
                </c:pt>
                <c:pt idx="743">
                  <c:v>1969.5074137544</c:v>
                </c:pt>
                <c:pt idx="744">
                  <c:v>1969.5074137544</c:v>
                </c:pt>
                <c:pt idx="745">
                  <c:v>1969.5074137544</c:v>
                </c:pt>
                <c:pt idx="746">
                  <c:v>1969.5074137544</c:v>
                </c:pt>
                <c:pt idx="747">
                  <c:v>1969.5074137544</c:v>
                </c:pt>
                <c:pt idx="748">
                  <c:v>1969.5074137544</c:v>
                </c:pt>
                <c:pt idx="749">
                  <c:v>1969.5074137544</c:v>
                </c:pt>
                <c:pt idx="750">
                  <c:v>1969.5074137544</c:v>
                </c:pt>
                <c:pt idx="751">
                  <c:v>1969.5074137544</c:v>
                </c:pt>
                <c:pt idx="752">
                  <c:v>1969.5074137544</c:v>
                </c:pt>
                <c:pt idx="753">
                  <c:v>1969.5074137544</c:v>
                </c:pt>
                <c:pt idx="754">
                  <c:v>1969.5074137544</c:v>
                </c:pt>
                <c:pt idx="755">
                  <c:v>1969.5074137544</c:v>
                </c:pt>
                <c:pt idx="756">
                  <c:v>1969.5074137544</c:v>
                </c:pt>
                <c:pt idx="757">
                  <c:v>1969.5074137544</c:v>
                </c:pt>
                <c:pt idx="758">
                  <c:v>1969.5074137544</c:v>
                </c:pt>
                <c:pt idx="759">
                  <c:v>1969.5074137544</c:v>
                </c:pt>
                <c:pt idx="760">
                  <c:v>1969.5074137544</c:v>
                </c:pt>
                <c:pt idx="761">
                  <c:v>1969.5074137544</c:v>
                </c:pt>
                <c:pt idx="762">
                  <c:v>1969.5074137544</c:v>
                </c:pt>
                <c:pt idx="763">
                  <c:v>1969.5074137544</c:v>
                </c:pt>
                <c:pt idx="764">
                  <c:v>1969.5074137544</c:v>
                </c:pt>
                <c:pt idx="765">
                  <c:v>1969.5074137544</c:v>
                </c:pt>
                <c:pt idx="766">
                  <c:v>1969.5074137544</c:v>
                </c:pt>
                <c:pt idx="767">
                  <c:v>1969.5074137544</c:v>
                </c:pt>
                <c:pt idx="768">
                  <c:v>1969.5074137544</c:v>
                </c:pt>
                <c:pt idx="769">
                  <c:v>1969.5074137544</c:v>
                </c:pt>
                <c:pt idx="770">
                  <c:v>1969.5074137544</c:v>
                </c:pt>
                <c:pt idx="771">
                  <c:v>1969.5074137544</c:v>
                </c:pt>
                <c:pt idx="772">
                  <c:v>1969.5074137544</c:v>
                </c:pt>
                <c:pt idx="773">
                  <c:v>1969.5074137544</c:v>
                </c:pt>
                <c:pt idx="774">
                  <c:v>1969.5074137544</c:v>
                </c:pt>
                <c:pt idx="775">
                  <c:v>1969.5074137544</c:v>
                </c:pt>
                <c:pt idx="776">
                  <c:v>1969.5074137544</c:v>
                </c:pt>
                <c:pt idx="777">
                  <c:v>1969.5074137544</c:v>
                </c:pt>
                <c:pt idx="778">
                  <c:v>1969.5074137544</c:v>
                </c:pt>
                <c:pt idx="779">
                  <c:v>1969.5074137544</c:v>
                </c:pt>
                <c:pt idx="780">
                  <c:v>1969.5074137544</c:v>
                </c:pt>
                <c:pt idx="781">
                  <c:v>1969.5074137544</c:v>
                </c:pt>
                <c:pt idx="782">
                  <c:v>1969.5074137544</c:v>
                </c:pt>
                <c:pt idx="783">
                  <c:v>1969.5074137544</c:v>
                </c:pt>
                <c:pt idx="784">
                  <c:v>1969.5074137544</c:v>
                </c:pt>
                <c:pt idx="785">
                  <c:v>1969.5074137544</c:v>
                </c:pt>
                <c:pt idx="786">
                  <c:v>1969.5074137544</c:v>
                </c:pt>
                <c:pt idx="787">
                  <c:v>1969.5074137544</c:v>
                </c:pt>
                <c:pt idx="788">
                  <c:v>1969.5074137544</c:v>
                </c:pt>
                <c:pt idx="789">
                  <c:v>1969.5074137544</c:v>
                </c:pt>
                <c:pt idx="790">
                  <c:v>1969.5074137544</c:v>
                </c:pt>
                <c:pt idx="791">
                  <c:v>1969.5074137544</c:v>
                </c:pt>
                <c:pt idx="792">
                  <c:v>1969.5074137544</c:v>
                </c:pt>
                <c:pt idx="793">
                  <c:v>1969.5074137544</c:v>
                </c:pt>
                <c:pt idx="794">
                  <c:v>1969.5074137544</c:v>
                </c:pt>
                <c:pt idx="795">
                  <c:v>1969.5074137544</c:v>
                </c:pt>
                <c:pt idx="796">
                  <c:v>1969.5074137544</c:v>
                </c:pt>
                <c:pt idx="797">
                  <c:v>1969.5074137544</c:v>
                </c:pt>
                <c:pt idx="798">
                  <c:v>1969.5074137544</c:v>
                </c:pt>
                <c:pt idx="799">
                  <c:v>1969.5074137544</c:v>
                </c:pt>
                <c:pt idx="800">
                  <c:v>1969.5074137544</c:v>
                </c:pt>
                <c:pt idx="801">
                  <c:v>1969.5074137544</c:v>
                </c:pt>
                <c:pt idx="802">
                  <c:v>1969.5074137544</c:v>
                </c:pt>
                <c:pt idx="803">
                  <c:v>1969.5074137544</c:v>
                </c:pt>
                <c:pt idx="804">
                  <c:v>1969.5074137544</c:v>
                </c:pt>
                <c:pt idx="805">
                  <c:v>1969.5074137544</c:v>
                </c:pt>
                <c:pt idx="806">
                  <c:v>1969.5074137544</c:v>
                </c:pt>
                <c:pt idx="807">
                  <c:v>1969.5074137544</c:v>
                </c:pt>
                <c:pt idx="808">
                  <c:v>1969.5074137544</c:v>
                </c:pt>
                <c:pt idx="809">
                  <c:v>1969.5074137544</c:v>
                </c:pt>
                <c:pt idx="810">
                  <c:v>1969.5074137544</c:v>
                </c:pt>
                <c:pt idx="811">
                  <c:v>1969.5074137544</c:v>
                </c:pt>
                <c:pt idx="812">
                  <c:v>1969.5074137544</c:v>
                </c:pt>
                <c:pt idx="813">
                  <c:v>1969.5074137544</c:v>
                </c:pt>
                <c:pt idx="814">
                  <c:v>1969.5074137544</c:v>
                </c:pt>
                <c:pt idx="815">
                  <c:v>1969.5074137544</c:v>
                </c:pt>
                <c:pt idx="816">
                  <c:v>1969.5074137544</c:v>
                </c:pt>
                <c:pt idx="817">
                  <c:v>1969.5074137544</c:v>
                </c:pt>
                <c:pt idx="818">
                  <c:v>1969.5074137544</c:v>
                </c:pt>
                <c:pt idx="819">
                  <c:v>1969.5074137544</c:v>
                </c:pt>
                <c:pt idx="820">
                  <c:v>1969.5074137544</c:v>
                </c:pt>
                <c:pt idx="821">
                  <c:v>1969.5074137544</c:v>
                </c:pt>
                <c:pt idx="822">
                  <c:v>1969.5074137544</c:v>
                </c:pt>
                <c:pt idx="823">
                  <c:v>1969.5074137544</c:v>
                </c:pt>
                <c:pt idx="824">
                  <c:v>1969.5074137544</c:v>
                </c:pt>
                <c:pt idx="825">
                  <c:v>1969.5074137544</c:v>
                </c:pt>
                <c:pt idx="826">
                  <c:v>1969.5074137544</c:v>
                </c:pt>
                <c:pt idx="827">
                  <c:v>1969.5074137544</c:v>
                </c:pt>
                <c:pt idx="828">
                  <c:v>1969.5074137544</c:v>
                </c:pt>
                <c:pt idx="829">
                  <c:v>1969.5074137544</c:v>
                </c:pt>
                <c:pt idx="830">
                  <c:v>1969.5074137544</c:v>
                </c:pt>
                <c:pt idx="831">
                  <c:v>1969.5074137544</c:v>
                </c:pt>
                <c:pt idx="832">
                  <c:v>1969.5074137544</c:v>
                </c:pt>
                <c:pt idx="833">
                  <c:v>1969.5074137544</c:v>
                </c:pt>
                <c:pt idx="834">
                  <c:v>1969.5074137544</c:v>
                </c:pt>
                <c:pt idx="835">
                  <c:v>1969.5074137544</c:v>
                </c:pt>
                <c:pt idx="836">
                  <c:v>1969.5074137544</c:v>
                </c:pt>
                <c:pt idx="837">
                  <c:v>1969.5074137544</c:v>
                </c:pt>
                <c:pt idx="838">
                  <c:v>1969.5074137544</c:v>
                </c:pt>
                <c:pt idx="839">
                  <c:v>1969.5074137544</c:v>
                </c:pt>
                <c:pt idx="840">
                  <c:v>1969.5074137544</c:v>
                </c:pt>
                <c:pt idx="841">
                  <c:v>1969.5074137544</c:v>
                </c:pt>
                <c:pt idx="842">
                  <c:v>1969.5074137544</c:v>
                </c:pt>
                <c:pt idx="843">
                  <c:v>1969.5074137544</c:v>
                </c:pt>
                <c:pt idx="844">
                  <c:v>1969.5074137544</c:v>
                </c:pt>
                <c:pt idx="845">
                  <c:v>1969.5074137544</c:v>
                </c:pt>
                <c:pt idx="846">
                  <c:v>1969.5074137544</c:v>
                </c:pt>
                <c:pt idx="847">
                  <c:v>1969.5074137544</c:v>
                </c:pt>
                <c:pt idx="848">
                  <c:v>1969.5074137544</c:v>
                </c:pt>
                <c:pt idx="849">
                  <c:v>1969.5074137544</c:v>
                </c:pt>
                <c:pt idx="850">
                  <c:v>1969.5074137544</c:v>
                </c:pt>
                <c:pt idx="851">
                  <c:v>1969.5074137544</c:v>
                </c:pt>
                <c:pt idx="852">
                  <c:v>1969.5074137544</c:v>
                </c:pt>
                <c:pt idx="853">
                  <c:v>1969.5074137544</c:v>
                </c:pt>
                <c:pt idx="854">
                  <c:v>1969.5074137544</c:v>
                </c:pt>
                <c:pt idx="855">
                  <c:v>1969.5074137544</c:v>
                </c:pt>
                <c:pt idx="856">
                  <c:v>1969.5074137544</c:v>
                </c:pt>
                <c:pt idx="857">
                  <c:v>1969.5074137544</c:v>
                </c:pt>
                <c:pt idx="858">
                  <c:v>1969.5074137544</c:v>
                </c:pt>
                <c:pt idx="859">
                  <c:v>1969.5074137544</c:v>
                </c:pt>
                <c:pt idx="860">
                  <c:v>1969.5074137544</c:v>
                </c:pt>
                <c:pt idx="861">
                  <c:v>1969.5074137544</c:v>
                </c:pt>
                <c:pt idx="862">
                  <c:v>1969.5074137544</c:v>
                </c:pt>
                <c:pt idx="863">
                  <c:v>1969.5074137544</c:v>
                </c:pt>
                <c:pt idx="864">
                  <c:v>1969.5074137544</c:v>
                </c:pt>
                <c:pt idx="865">
                  <c:v>1969.5074137544</c:v>
                </c:pt>
                <c:pt idx="866">
                  <c:v>1969.5074137544</c:v>
                </c:pt>
                <c:pt idx="867">
                  <c:v>1969.5074137544</c:v>
                </c:pt>
                <c:pt idx="868">
                  <c:v>1969.5074137544</c:v>
                </c:pt>
                <c:pt idx="869">
                  <c:v>1969.5074137544</c:v>
                </c:pt>
                <c:pt idx="870">
                  <c:v>1969.5074137544</c:v>
                </c:pt>
                <c:pt idx="871">
                  <c:v>1969.5074137544</c:v>
                </c:pt>
                <c:pt idx="872">
                  <c:v>1969.5074137544</c:v>
                </c:pt>
                <c:pt idx="873">
                  <c:v>1969.5074137544</c:v>
                </c:pt>
                <c:pt idx="874">
                  <c:v>1969.5074137544</c:v>
                </c:pt>
                <c:pt idx="875">
                  <c:v>1969.5074137544</c:v>
                </c:pt>
                <c:pt idx="876">
                  <c:v>1969.5074137544</c:v>
                </c:pt>
                <c:pt idx="877">
                  <c:v>1969.5074137544</c:v>
                </c:pt>
                <c:pt idx="878">
                  <c:v>1969.5074137544</c:v>
                </c:pt>
                <c:pt idx="879">
                  <c:v>1969.5074137544</c:v>
                </c:pt>
                <c:pt idx="880">
                  <c:v>1969.5074137544</c:v>
                </c:pt>
                <c:pt idx="881">
                  <c:v>1969.5074137544</c:v>
                </c:pt>
                <c:pt idx="882">
                  <c:v>1969.5074137544</c:v>
                </c:pt>
                <c:pt idx="883">
                  <c:v>1969.5074137544</c:v>
                </c:pt>
                <c:pt idx="884">
                  <c:v>1969.5074137544</c:v>
                </c:pt>
                <c:pt idx="885">
                  <c:v>1969.5074137544</c:v>
                </c:pt>
                <c:pt idx="886">
                  <c:v>1969.5074137544</c:v>
                </c:pt>
                <c:pt idx="887">
                  <c:v>1969.5074137544</c:v>
                </c:pt>
                <c:pt idx="888">
                  <c:v>1969.5074137544</c:v>
                </c:pt>
                <c:pt idx="889">
                  <c:v>1969.5074137544</c:v>
                </c:pt>
                <c:pt idx="890">
                  <c:v>1969.5074137544</c:v>
                </c:pt>
                <c:pt idx="891">
                  <c:v>1969.5074137544</c:v>
                </c:pt>
                <c:pt idx="892">
                  <c:v>1969.5074137544</c:v>
                </c:pt>
                <c:pt idx="893">
                  <c:v>1969.5074137544</c:v>
                </c:pt>
                <c:pt idx="894">
                  <c:v>1969.5074137544</c:v>
                </c:pt>
                <c:pt idx="895">
                  <c:v>1969.5074137544</c:v>
                </c:pt>
                <c:pt idx="896">
                  <c:v>1969.5074137544</c:v>
                </c:pt>
                <c:pt idx="897">
                  <c:v>1969.5074137544</c:v>
                </c:pt>
                <c:pt idx="898">
                  <c:v>1969.5074137544</c:v>
                </c:pt>
                <c:pt idx="899">
                  <c:v>1969.5074137544</c:v>
                </c:pt>
                <c:pt idx="900">
                  <c:v>1969.5074137544</c:v>
                </c:pt>
                <c:pt idx="901">
                  <c:v>1969.5074137544</c:v>
                </c:pt>
                <c:pt idx="902">
                  <c:v>1969.5074137544</c:v>
                </c:pt>
                <c:pt idx="903">
                  <c:v>1969.5074137544</c:v>
                </c:pt>
                <c:pt idx="904">
                  <c:v>1969.5074137544</c:v>
                </c:pt>
                <c:pt idx="905">
                  <c:v>1969.5074137544</c:v>
                </c:pt>
                <c:pt idx="906">
                  <c:v>1969.5074137544</c:v>
                </c:pt>
                <c:pt idx="907">
                  <c:v>1969.5074137544</c:v>
                </c:pt>
                <c:pt idx="908">
                  <c:v>1969.5074137544</c:v>
                </c:pt>
                <c:pt idx="909">
                  <c:v>1969.5074137544</c:v>
                </c:pt>
                <c:pt idx="910">
                  <c:v>1969.5074137544</c:v>
                </c:pt>
                <c:pt idx="911">
                  <c:v>1969.5074137544</c:v>
                </c:pt>
                <c:pt idx="912">
                  <c:v>1969.5074137544</c:v>
                </c:pt>
                <c:pt idx="913">
                  <c:v>1969.5074137544</c:v>
                </c:pt>
                <c:pt idx="914">
                  <c:v>1969.5074137544</c:v>
                </c:pt>
                <c:pt idx="915">
                  <c:v>1969.5074137544</c:v>
                </c:pt>
                <c:pt idx="916">
                  <c:v>1969.5074137544</c:v>
                </c:pt>
                <c:pt idx="917">
                  <c:v>1969.5074137544</c:v>
                </c:pt>
                <c:pt idx="918">
                  <c:v>1969.5074137544</c:v>
                </c:pt>
                <c:pt idx="919">
                  <c:v>1969.5074137544</c:v>
                </c:pt>
                <c:pt idx="920">
                  <c:v>1969.5074137544</c:v>
                </c:pt>
                <c:pt idx="921">
                  <c:v>1969.5074137544</c:v>
                </c:pt>
                <c:pt idx="922">
                  <c:v>1969.5074137544</c:v>
                </c:pt>
                <c:pt idx="923">
                  <c:v>1969.5074137544</c:v>
                </c:pt>
                <c:pt idx="924">
                  <c:v>1969.5074137544</c:v>
                </c:pt>
                <c:pt idx="925">
                  <c:v>1969.5074137544</c:v>
                </c:pt>
                <c:pt idx="926">
                  <c:v>1969.5074137544</c:v>
                </c:pt>
                <c:pt idx="927">
                  <c:v>1969.5074137544</c:v>
                </c:pt>
                <c:pt idx="928">
                  <c:v>1969.5074137544</c:v>
                </c:pt>
                <c:pt idx="929">
                  <c:v>1969.5074137544</c:v>
                </c:pt>
                <c:pt idx="930">
                  <c:v>1969.5074137544</c:v>
                </c:pt>
                <c:pt idx="931">
                  <c:v>1969.5074137544</c:v>
                </c:pt>
                <c:pt idx="932">
                  <c:v>1969.5074137544</c:v>
                </c:pt>
                <c:pt idx="933">
                  <c:v>1969.5074137544</c:v>
                </c:pt>
                <c:pt idx="934">
                  <c:v>1969.5074137544</c:v>
                </c:pt>
                <c:pt idx="935">
                  <c:v>1969.5074137544</c:v>
                </c:pt>
                <c:pt idx="936">
                  <c:v>1969.5074137544</c:v>
                </c:pt>
                <c:pt idx="937">
                  <c:v>1969.5074137544</c:v>
                </c:pt>
                <c:pt idx="938">
                  <c:v>1969.5074137544</c:v>
                </c:pt>
                <c:pt idx="939">
                  <c:v>1969.5074137544</c:v>
                </c:pt>
                <c:pt idx="940">
                  <c:v>1969.5074137544</c:v>
                </c:pt>
                <c:pt idx="941">
                  <c:v>1969.5074137544</c:v>
                </c:pt>
                <c:pt idx="942">
                  <c:v>1969.5074137544</c:v>
                </c:pt>
                <c:pt idx="943">
                  <c:v>1969.5074137544</c:v>
                </c:pt>
                <c:pt idx="944">
                  <c:v>1778.3714936877991</c:v>
                </c:pt>
                <c:pt idx="945">
                  <c:v>1778.3714936877991</c:v>
                </c:pt>
                <c:pt idx="946">
                  <c:v>1778.3714936877991</c:v>
                </c:pt>
                <c:pt idx="947">
                  <c:v>1778.3714936877991</c:v>
                </c:pt>
                <c:pt idx="948">
                  <c:v>1778.3714936877991</c:v>
                </c:pt>
                <c:pt idx="949">
                  <c:v>1778.3714936877991</c:v>
                </c:pt>
                <c:pt idx="950">
                  <c:v>1778.3714936877991</c:v>
                </c:pt>
                <c:pt idx="951">
                  <c:v>1778.3714936877991</c:v>
                </c:pt>
                <c:pt idx="952">
                  <c:v>1778.3714936877991</c:v>
                </c:pt>
                <c:pt idx="953">
                  <c:v>1778.3714936877991</c:v>
                </c:pt>
                <c:pt idx="954">
                  <c:v>1778.3714936877991</c:v>
                </c:pt>
                <c:pt idx="955">
                  <c:v>1778.3714936877991</c:v>
                </c:pt>
                <c:pt idx="956">
                  <c:v>1778.3714936877991</c:v>
                </c:pt>
                <c:pt idx="957">
                  <c:v>1778.3714936877991</c:v>
                </c:pt>
                <c:pt idx="958">
                  <c:v>1778.3714936877991</c:v>
                </c:pt>
                <c:pt idx="959">
                  <c:v>1778.3714936877991</c:v>
                </c:pt>
                <c:pt idx="960">
                  <c:v>1778.3714936877991</c:v>
                </c:pt>
                <c:pt idx="961">
                  <c:v>1778.3714936877991</c:v>
                </c:pt>
                <c:pt idx="962">
                  <c:v>1778.3714936877991</c:v>
                </c:pt>
                <c:pt idx="963">
                  <c:v>1778.3714936877991</c:v>
                </c:pt>
                <c:pt idx="964">
                  <c:v>1778.3714936877991</c:v>
                </c:pt>
                <c:pt idx="965">
                  <c:v>1778.3714936877991</c:v>
                </c:pt>
                <c:pt idx="966">
                  <c:v>1778.3714936877991</c:v>
                </c:pt>
                <c:pt idx="967">
                  <c:v>1778.3714936877991</c:v>
                </c:pt>
                <c:pt idx="968">
                  <c:v>1778.3714936877991</c:v>
                </c:pt>
                <c:pt idx="969">
                  <c:v>1778.3714936877991</c:v>
                </c:pt>
                <c:pt idx="970">
                  <c:v>1778.3714936877991</c:v>
                </c:pt>
                <c:pt idx="971">
                  <c:v>1778.3714936877991</c:v>
                </c:pt>
                <c:pt idx="972">
                  <c:v>1778.3714936877991</c:v>
                </c:pt>
                <c:pt idx="973">
                  <c:v>1778.3714936877991</c:v>
                </c:pt>
                <c:pt idx="974">
                  <c:v>1778.3714936877991</c:v>
                </c:pt>
                <c:pt idx="975">
                  <c:v>1778.3714936877991</c:v>
                </c:pt>
                <c:pt idx="976">
                  <c:v>1778.3714936877991</c:v>
                </c:pt>
                <c:pt idx="977">
                  <c:v>1778.3714936877991</c:v>
                </c:pt>
                <c:pt idx="978">
                  <c:v>1778.3714936877991</c:v>
                </c:pt>
                <c:pt idx="979">
                  <c:v>1778.3714936877991</c:v>
                </c:pt>
                <c:pt idx="980">
                  <c:v>1778.3714936877991</c:v>
                </c:pt>
                <c:pt idx="981">
                  <c:v>1778.3714936877991</c:v>
                </c:pt>
                <c:pt idx="982">
                  <c:v>1778.3714936877991</c:v>
                </c:pt>
                <c:pt idx="983">
                  <c:v>1778.3714936877991</c:v>
                </c:pt>
                <c:pt idx="984">
                  <c:v>1778.3714936877991</c:v>
                </c:pt>
                <c:pt idx="985">
                  <c:v>1778.3714936877991</c:v>
                </c:pt>
                <c:pt idx="986">
                  <c:v>1778.3714936877991</c:v>
                </c:pt>
                <c:pt idx="987">
                  <c:v>1778.3714936877991</c:v>
                </c:pt>
                <c:pt idx="988">
                  <c:v>1778.3714936877991</c:v>
                </c:pt>
                <c:pt idx="989">
                  <c:v>1778.3714936877991</c:v>
                </c:pt>
                <c:pt idx="990">
                  <c:v>1778.3714936877991</c:v>
                </c:pt>
                <c:pt idx="991">
                  <c:v>1778.3714936877991</c:v>
                </c:pt>
                <c:pt idx="992">
                  <c:v>1778.3714936877991</c:v>
                </c:pt>
                <c:pt idx="993">
                  <c:v>1778.3714936877991</c:v>
                </c:pt>
                <c:pt idx="994">
                  <c:v>1778.3714936877991</c:v>
                </c:pt>
                <c:pt idx="995">
                  <c:v>1778.3714936877991</c:v>
                </c:pt>
                <c:pt idx="996">
                  <c:v>1778.3714936877991</c:v>
                </c:pt>
                <c:pt idx="997">
                  <c:v>1778.3714936877991</c:v>
                </c:pt>
                <c:pt idx="998">
                  <c:v>1778.3714936877991</c:v>
                </c:pt>
                <c:pt idx="999">
                  <c:v>1778.3714936877991</c:v>
                </c:pt>
                <c:pt idx="1000">
                  <c:v>1778.3714936877991</c:v>
                </c:pt>
                <c:pt idx="1001">
                  <c:v>1778.3714936877991</c:v>
                </c:pt>
                <c:pt idx="1002">
                  <c:v>1778.3714936877991</c:v>
                </c:pt>
                <c:pt idx="1003">
                  <c:v>1778.3714936877991</c:v>
                </c:pt>
                <c:pt idx="1004">
                  <c:v>1778.3714936877991</c:v>
                </c:pt>
                <c:pt idx="1005">
                  <c:v>1778.3714936877991</c:v>
                </c:pt>
                <c:pt idx="1006">
                  <c:v>1778.3714936877991</c:v>
                </c:pt>
                <c:pt idx="1007">
                  <c:v>1778.3714936877991</c:v>
                </c:pt>
                <c:pt idx="1008">
                  <c:v>1778.3714936877991</c:v>
                </c:pt>
                <c:pt idx="1009">
                  <c:v>1778.3714936877991</c:v>
                </c:pt>
                <c:pt idx="1010">
                  <c:v>1778.3714936877991</c:v>
                </c:pt>
                <c:pt idx="1011">
                  <c:v>1778.3714936877991</c:v>
                </c:pt>
                <c:pt idx="1012">
                  <c:v>1778.3714936877991</c:v>
                </c:pt>
                <c:pt idx="1013">
                  <c:v>1778.3714936877991</c:v>
                </c:pt>
                <c:pt idx="1014">
                  <c:v>1778.3714936877991</c:v>
                </c:pt>
                <c:pt idx="1015">
                  <c:v>1778.3714936877991</c:v>
                </c:pt>
                <c:pt idx="1016">
                  <c:v>1778.3714936877991</c:v>
                </c:pt>
                <c:pt idx="1017">
                  <c:v>1778.3714936877991</c:v>
                </c:pt>
                <c:pt idx="1018">
                  <c:v>1778.3714936877991</c:v>
                </c:pt>
                <c:pt idx="1019">
                  <c:v>1778.3714936877991</c:v>
                </c:pt>
                <c:pt idx="1020">
                  <c:v>1778.3714936877991</c:v>
                </c:pt>
                <c:pt idx="1021">
                  <c:v>1778.3714936877991</c:v>
                </c:pt>
                <c:pt idx="1022">
                  <c:v>1778.3714936877991</c:v>
                </c:pt>
                <c:pt idx="1023">
                  <c:v>1778.3714936877991</c:v>
                </c:pt>
                <c:pt idx="1024">
                  <c:v>1778.3714936877991</c:v>
                </c:pt>
                <c:pt idx="1025">
                  <c:v>1778.3714936877991</c:v>
                </c:pt>
                <c:pt idx="1026">
                  <c:v>1778.3714936877991</c:v>
                </c:pt>
                <c:pt idx="1027">
                  <c:v>1778.3714936877991</c:v>
                </c:pt>
                <c:pt idx="1028">
                  <c:v>1778.3714936877991</c:v>
                </c:pt>
                <c:pt idx="1029">
                  <c:v>1778.3714936877991</c:v>
                </c:pt>
                <c:pt idx="1030">
                  <c:v>1778.3714936877991</c:v>
                </c:pt>
                <c:pt idx="1031">
                  <c:v>1778.3714936877991</c:v>
                </c:pt>
                <c:pt idx="1032">
                  <c:v>1778.3714936877991</c:v>
                </c:pt>
                <c:pt idx="1033">
                  <c:v>1778.3714936877991</c:v>
                </c:pt>
                <c:pt idx="1034">
                  <c:v>1778.3714936877991</c:v>
                </c:pt>
                <c:pt idx="1035">
                  <c:v>1778.3714936877991</c:v>
                </c:pt>
                <c:pt idx="1036">
                  <c:v>1778.3714936877991</c:v>
                </c:pt>
                <c:pt idx="1037">
                  <c:v>1778.3714936877991</c:v>
                </c:pt>
                <c:pt idx="1038">
                  <c:v>1778.3714936877991</c:v>
                </c:pt>
                <c:pt idx="1039">
                  <c:v>1778.3714936877991</c:v>
                </c:pt>
                <c:pt idx="1040">
                  <c:v>1778.3714936877991</c:v>
                </c:pt>
                <c:pt idx="1041">
                  <c:v>1778.3714936877991</c:v>
                </c:pt>
                <c:pt idx="1042">
                  <c:v>1778.3714936877991</c:v>
                </c:pt>
                <c:pt idx="1043">
                  <c:v>1778.3714936877991</c:v>
                </c:pt>
                <c:pt idx="1044">
                  <c:v>1778.3714936877991</c:v>
                </c:pt>
                <c:pt idx="1045">
                  <c:v>1778.3714936877991</c:v>
                </c:pt>
                <c:pt idx="1046">
                  <c:v>1778.3714936877991</c:v>
                </c:pt>
                <c:pt idx="1047">
                  <c:v>1778.3714936877991</c:v>
                </c:pt>
                <c:pt idx="1048">
                  <c:v>1778.3714936877991</c:v>
                </c:pt>
                <c:pt idx="1049">
                  <c:v>1778.3714936877991</c:v>
                </c:pt>
                <c:pt idx="1050">
                  <c:v>1778.3714936877991</c:v>
                </c:pt>
                <c:pt idx="1051">
                  <c:v>1778.3714936877991</c:v>
                </c:pt>
                <c:pt idx="1052">
                  <c:v>1778.3714936877991</c:v>
                </c:pt>
                <c:pt idx="1053">
                  <c:v>1778.3714936877991</c:v>
                </c:pt>
                <c:pt idx="1054">
                  <c:v>1778.3714936877991</c:v>
                </c:pt>
                <c:pt idx="1055">
                  <c:v>1778.3714936877991</c:v>
                </c:pt>
                <c:pt idx="1056">
                  <c:v>1778.3714936877991</c:v>
                </c:pt>
                <c:pt idx="1057">
                  <c:v>1778.3714936877991</c:v>
                </c:pt>
                <c:pt idx="1058">
                  <c:v>1778.3714936877991</c:v>
                </c:pt>
                <c:pt idx="1059">
                  <c:v>1778.3714936877991</c:v>
                </c:pt>
                <c:pt idx="1060">
                  <c:v>1778.3714936877991</c:v>
                </c:pt>
                <c:pt idx="1061">
                  <c:v>1778.3714936877991</c:v>
                </c:pt>
                <c:pt idx="1062">
                  <c:v>1778.3714936877991</c:v>
                </c:pt>
                <c:pt idx="1063">
                  <c:v>1778.3714936877991</c:v>
                </c:pt>
                <c:pt idx="1064">
                  <c:v>1778.3714936877991</c:v>
                </c:pt>
                <c:pt idx="1065">
                  <c:v>1778.3714936877991</c:v>
                </c:pt>
                <c:pt idx="1066">
                  <c:v>1778.3714936877991</c:v>
                </c:pt>
                <c:pt idx="1067">
                  <c:v>1778.3714936877991</c:v>
                </c:pt>
                <c:pt idx="1068">
                  <c:v>1778.3714936877991</c:v>
                </c:pt>
                <c:pt idx="1069">
                  <c:v>1778.3714936877991</c:v>
                </c:pt>
                <c:pt idx="1070">
                  <c:v>1778.3714936877991</c:v>
                </c:pt>
                <c:pt idx="1071">
                  <c:v>1778.3714936877991</c:v>
                </c:pt>
                <c:pt idx="1072">
                  <c:v>1778.3714936877991</c:v>
                </c:pt>
                <c:pt idx="1073">
                  <c:v>1778.3714936877991</c:v>
                </c:pt>
                <c:pt idx="1074">
                  <c:v>1778.3714936877991</c:v>
                </c:pt>
                <c:pt idx="1075">
                  <c:v>1778.3714936877991</c:v>
                </c:pt>
                <c:pt idx="1076">
                  <c:v>1778.3714936877991</c:v>
                </c:pt>
                <c:pt idx="1077">
                  <c:v>1778.3714936877991</c:v>
                </c:pt>
                <c:pt idx="1078">
                  <c:v>1778.3714936877991</c:v>
                </c:pt>
                <c:pt idx="1079">
                  <c:v>1778.3714936877991</c:v>
                </c:pt>
                <c:pt idx="1080">
                  <c:v>1778.3714936877991</c:v>
                </c:pt>
                <c:pt idx="1081">
                  <c:v>1778.3714936877991</c:v>
                </c:pt>
                <c:pt idx="1082">
                  <c:v>1778.3714936877991</c:v>
                </c:pt>
                <c:pt idx="1083">
                  <c:v>1778.3714936877991</c:v>
                </c:pt>
                <c:pt idx="1084">
                  <c:v>1778.3714936877991</c:v>
                </c:pt>
                <c:pt idx="1085">
                  <c:v>1778.3714936877991</c:v>
                </c:pt>
                <c:pt idx="1086">
                  <c:v>1778.3714936877991</c:v>
                </c:pt>
                <c:pt idx="1087">
                  <c:v>1778.3714936877991</c:v>
                </c:pt>
                <c:pt idx="1088">
                  <c:v>1778.3714936877991</c:v>
                </c:pt>
                <c:pt idx="1089">
                  <c:v>1778.3714936877991</c:v>
                </c:pt>
                <c:pt idx="1090">
                  <c:v>1778.3714936877991</c:v>
                </c:pt>
                <c:pt idx="1091">
                  <c:v>1778.3714936877991</c:v>
                </c:pt>
                <c:pt idx="1092">
                  <c:v>1778.3714936877991</c:v>
                </c:pt>
                <c:pt idx="1093">
                  <c:v>1778.3714936877991</c:v>
                </c:pt>
                <c:pt idx="1094">
                  <c:v>1778.3714936877991</c:v>
                </c:pt>
                <c:pt idx="1095">
                  <c:v>1778.3714936877991</c:v>
                </c:pt>
                <c:pt idx="1096">
                  <c:v>1778.3714936877991</c:v>
                </c:pt>
                <c:pt idx="1097">
                  <c:v>1778.3714936877991</c:v>
                </c:pt>
                <c:pt idx="1098">
                  <c:v>1778.3714936877991</c:v>
                </c:pt>
                <c:pt idx="1099">
                  <c:v>1778.3714936877991</c:v>
                </c:pt>
                <c:pt idx="1100">
                  <c:v>1778.3714936877991</c:v>
                </c:pt>
                <c:pt idx="1101">
                  <c:v>1778.3714936877991</c:v>
                </c:pt>
                <c:pt idx="1102">
                  <c:v>1778.3714936877991</c:v>
                </c:pt>
                <c:pt idx="1103">
                  <c:v>1778.3714936877991</c:v>
                </c:pt>
                <c:pt idx="1104">
                  <c:v>1778.3714936877991</c:v>
                </c:pt>
                <c:pt idx="1105">
                  <c:v>1778.3714936877991</c:v>
                </c:pt>
                <c:pt idx="1106">
                  <c:v>1778.3714936877991</c:v>
                </c:pt>
                <c:pt idx="1107">
                  <c:v>1778.3714936877991</c:v>
                </c:pt>
                <c:pt idx="1108">
                  <c:v>1778.3714936877991</c:v>
                </c:pt>
                <c:pt idx="1109">
                  <c:v>1778.3714936877991</c:v>
                </c:pt>
                <c:pt idx="1110">
                  <c:v>1778.3714936877991</c:v>
                </c:pt>
                <c:pt idx="1111">
                  <c:v>1778.3714936877991</c:v>
                </c:pt>
                <c:pt idx="1112">
                  <c:v>1778.3714936877991</c:v>
                </c:pt>
                <c:pt idx="1113">
                  <c:v>1778.3714936877991</c:v>
                </c:pt>
                <c:pt idx="1114">
                  <c:v>1778.3714936877991</c:v>
                </c:pt>
                <c:pt idx="1115">
                  <c:v>1778.3714936877991</c:v>
                </c:pt>
                <c:pt idx="1116">
                  <c:v>1778.3714936877991</c:v>
                </c:pt>
                <c:pt idx="1117">
                  <c:v>1778.3714936877991</c:v>
                </c:pt>
                <c:pt idx="1118">
                  <c:v>1778.3714936877991</c:v>
                </c:pt>
                <c:pt idx="1119">
                  <c:v>1778.3714936877991</c:v>
                </c:pt>
                <c:pt idx="1120">
                  <c:v>1778.3714936877991</c:v>
                </c:pt>
                <c:pt idx="1121">
                  <c:v>1778.3714936877991</c:v>
                </c:pt>
                <c:pt idx="1122">
                  <c:v>1778.3714936877991</c:v>
                </c:pt>
                <c:pt idx="1123">
                  <c:v>1778.3714936877991</c:v>
                </c:pt>
                <c:pt idx="1124">
                  <c:v>1778.3714936877991</c:v>
                </c:pt>
                <c:pt idx="1125">
                  <c:v>1778.3714936877991</c:v>
                </c:pt>
                <c:pt idx="1126">
                  <c:v>1778.3714936877991</c:v>
                </c:pt>
                <c:pt idx="1127">
                  <c:v>1778.3714936877991</c:v>
                </c:pt>
                <c:pt idx="1128">
                  <c:v>1778.3714936877991</c:v>
                </c:pt>
                <c:pt idx="1129">
                  <c:v>1778.3714936877991</c:v>
                </c:pt>
                <c:pt idx="1130">
                  <c:v>1778.3714936877991</c:v>
                </c:pt>
                <c:pt idx="1131">
                  <c:v>1778.3714936877991</c:v>
                </c:pt>
                <c:pt idx="1132">
                  <c:v>1778.3714936877991</c:v>
                </c:pt>
                <c:pt idx="1133">
                  <c:v>1778.3714936877991</c:v>
                </c:pt>
                <c:pt idx="1134">
                  <c:v>1778.3714936877991</c:v>
                </c:pt>
                <c:pt idx="1135">
                  <c:v>1778.3714936877991</c:v>
                </c:pt>
                <c:pt idx="1136">
                  <c:v>1778.3714936877991</c:v>
                </c:pt>
                <c:pt idx="1137">
                  <c:v>1778.3714936877991</c:v>
                </c:pt>
                <c:pt idx="1138">
                  <c:v>1778.3714936877991</c:v>
                </c:pt>
                <c:pt idx="1139">
                  <c:v>1778.3714936877991</c:v>
                </c:pt>
                <c:pt idx="1140">
                  <c:v>1778.3714936877991</c:v>
                </c:pt>
                <c:pt idx="1141">
                  <c:v>1778.3714936877991</c:v>
                </c:pt>
                <c:pt idx="1142">
                  <c:v>1778.3714936877991</c:v>
                </c:pt>
                <c:pt idx="1143">
                  <c:v>1778.3714936877991</c:v>
                </c:pt>
                <c:pt idx="1144">
                  <c:v>1778.3714936877991</c:v>
                </c:pt>
                <c:pt idx="1145">
                  <c:v>1778.3714936877991</c:v>
                </c:pt>
                <c:pt idx="1146">
                  <c:v>1778.3714936877991</c:v>
                </c:pt>
                <c:pt idx="1147">
                  <c:v>1778.3714936877991</c:v>
                </c:pt>
                <c:pt idx="1148">
                  <c:v>1778.3714936877991</c:v>
                </c:pt>
                <c:pt idx="1149">
                  <c:v>1778.3714936877991</c:v>
                </c:pt>
                <c:pt idx="1150">
                  <c:v>1778.3714936877991</c:v>
                </c:pt>
                <c:pt idx="1151">
                  <c:v>1778.3714936877991</c:v>
                </c:pt>
                <c:pt idx="1152">
                  <c:v>1778.3714936877991</c:v>
                </c:pt>
                <c:pt idx="1153">
                  <c:v>1778.3714936877991</c:v>
                </c:pt>
                <c:pt idx="1154">
                  <c:v>1778.3714936877991</c:v>
                </c:pt>
                <c:pt idx="1155">
                  <c:v>1778.3714936877991</c:v>
                </c:pt>
                <c:pt idx="1156">
                  <c:v>1778.3714936877991</c:v>
                </c:pt>
                <c:pt idx="1157">
                  <c:v>1778.3714936877991</c:v>
                </c:pt>
                <c:pt idx="1158">
                  <c:v>1778.3714936877991</c:v>
                </c:pt>
                <c:pt idx="1159">
                  <c:v>1778.3714936877991</c:v>
                </c:pt>
                <c:pt idx="1160">
                  <c:v>1778.3714936877991</c:v>
                </c:pt>
                <c:pt idx="1161">
                  <c:v>1778.3714936877991</c:v>
                </c:pt>
                <c:pt idx="1162">
                  <c:v>1778.3714936877991</c:v>
                </c:pt>
                <c:pt idx="1163">
                  <c:v>1778.3714936877991</c:v>
                </c:pt>
                <c:pt idx="1164">
                  <c:v>1778.3714936877991</c:v>
                </c:pt>
                <c:pt idx="1165">
                  <c:v>1778.3714936877991</c:v>
                </c:pt>
                <c:pt idx="1166">
                  <c:v>1778.3714936877991</c:v>
                </c:pt>
                <c:pt idx="1167">
                  <c:v>1778.3714936877991</c:v>
                </c:pt>
                <c:pt idx="1168">
                  <c:v>1778.3714936877991</c:v>
                </c:pt>
                <c:pt idx="1169">
                  <c:v>1778.3714936877991</c:v>
                </c:pt>
                <c:pt idx="1170">
                  <c:v>1778.3714936877991</c:v>
                </c:pt>
                <c:pt idx="1171">
                  <c:v>1778.3714936877991</c:v>
                </c:pt>
                <c:pt idx="1172">
                  <c:v>1778.3714936877991</c:v>
                </c:pt>
                <c:pt idx="1173">
                  <c:v>1778.3714936877991</c:v>
                </c:pt>
                <c:pt idx="1174">
                  <c:v>1778.3714936877991</c:v>
                </c:pt>
                <c:pt idx="1175">
                  <c:v>1778.3714936877991</c:v>
                </c:pt>
                <c:pt idx="1176">
                  <c:v>1778.3714936877991</c:v>
                </c:pt>
                <c:pt idx="1177">
                  <c:v>1778.3714936877991</c:v>
                </c:pt>
                <c:pt idx="1178">
                  <c:v>1778.3714936877991</c:v>
                </c:pt>
                <c:pt idx="1179">
                  <c:v>1778.3714936877991</c:v>
                </c:pt>
                <c:pt idx="1180">
                  <c:v>1778.3714936877991</c:v>
                </c:pt>
                <c:pt idx="1181">
                  <c:v>1778.3714936877991</c:v>
                </c:pt>
                <c:pt idx="1182">
                  <c:v>1778.3714936877991</c:v>
                </c:pt>
                <c:pt idx="1183">
                  <c:v>1778.3714936877991</c:v>
                </c:pt>
                <c:pt idx="1184">
                  <c:v>1778.3714936877991</c:v>
                </c:pt>
                <c:pt idx="1185">
                  <c:v>1778.3714936877991</c:v>
                </c:pt>
                <c:pt idx="1186">
                  <c:v>1778.3714936877991</c:v>
                </c:pt>
                <c:pt idx="1187">
                  <c:v>1778.3714936877991</c:v>
                </c:pt>
                <c:pt idx="1188">
                  <c:v>1778.3714936877991</c:v>
                </c:pt>
                <c:pt idx="1189">
                  <c:v>1778.3714936877991</c:v>
                </c:pt>
                <c:pt idx="1190">
                  <c:v>1778.3714936877991</c:v>
                </c:pt>
                <c:pt idx="1191">
                  <c:v>1778.3714936877991</c:v>
                </c:pt>
                <c:pt idx="1192">
                  <c:v>1778.3714936877991</c:v>
                </c:pt>
                <c:pt idx="1193">
                  <c:v>1778.3714936877991</c:v>
                </c:pt>
                <c:pt idx="1194">
                  <c:v>1778.3714936877991</c:v>
                </c:pt>
                <c:pt idx="1195">
                  <c:v>1778.3714936877991</c:v>
                </c:pt>
                <c:pt idx="1196">
                  <c:v>1778.3714936877991</c:v>
                </c:pt>
                <c:pt idx="1197">
                  <c:v>1778.3714936877991</c:v>
                </c:pt>
                <c:pt idx="1198">
                  <c:v>1778.3714936877991</c:v>
                </c:pt>
                <c:pt idx="1199">
                  <c:v>1778.3714936877991</c:v>
                </c:pt>
                <c:pt idx="1200">
                  <c:v>1778.3714936877991</c:v>
                </c:pt>
                <c:pt idx="1201">
                  <c:v>1778.3714936877991</c:v>
                </c:pt>
                <c:pt idx="1202">
                  <c:v>1778.3714936877991</c:v>
                </c:pt>
                <c:pt idx="1203">
                  <c:v>1778.3714936877991</c:v>
                </c:pt>
                <c:pt idx="1204">
                  <c:v>1778.3714936877991</c:v>
                </c:pt>
                <c:pt idx="1205">
                  <c:v>1778.3714936877991</c:v>
                </c:pt>
                <c:pt idx="1206">
                  <c:v>1778.3714936877991</c:v>
                </c:pt>
                <c:pt idx="1207">
                  <c:v>1778.3714936877991</c:v>
                </c:pt>
                <c:pt idx="1208">
                  <c:v>1778.3714936877991</c:v>
                </c:pt>
                <c:pt idx="1209">
                  <c:v>1778.3714936877991</c:v>
                </c:pt>
                <c:pt idx="1210">
                  <c:v>1778.3714936877991</c:v>
                </c:pt>
                <c:pt idx="1211">
                  <c:v>1778.3714936877991</c:v>
                </c:pt>
                <c:pt idx="1212">
                  <c:v>1778.3714936877991</c:v>
                </c:pt>
                <c:pt idx="1213">
                  <c:v>1778.3714936877991</c:v>
                </c:pt>
                <c:pt idx="1214">
                  <c:v>1778.3714936877991</c:v>
                </c:pt>
                <c:pt idx="1215">
                  <c:v>1778.3714936877991</c:v>
                </c:pt>
                <c:pt idx="1216">
                  <c:v>1778.3714936877991</c:v>
                </c:pt>
                <c:pt idx="1217">
                  <c:v>1778.3714936877991</c:v>
                </c:pt>
                <c:pt idx="1218">
                  <c:v>1778.3714936877991</c:v>
                </c:pt>
                <c:pt idx="1219">
                  <c:v>1778.3714936877991</c:v>
                </c:pt>
                <c:pt idx="1220">
                  <c:v>1778.3714936877991</c:v>
                </c:pt>
                <c:pt idx="1221">
                  <c:v>1778.3714936877991</c:v>
                </c:pt>
                <c:pt idx="1222">
                  <c:v>1778.3714936877991</c:v>
                </c:pt>
                <c:pt idx="1223">
                  <c:v>1778.3714936877991</c:v>
                </c:pt>
                <c:pt idx="1224">
                  <c:v>1778.3714936877991</c:v>
                </c:pt>
                <c:pt idx="1225">
                  <c:v>1778.3714936877991</c:v>
                </c:pt>
                <c:pt idx="1226">
                  <c:v>1778.3714936877991</c:v>
                </c:pt>
                <c:pt idx="1227">
                  <c:v>1778.3714936877991</c:v>
                </c:pt>
                <c:pt idx="1228">
                  <c:v>1778.3714936877991</c:v>
                </c:pt>
                <c:pt idx="1229">
                  <c:v>1778.3714936877991</c:v>
                </c:pt>
                <c:pt idx="1230">
                  <c:v>1778.3714936877991</c:v>
                </c:pt>
                <c:pt idx="1231">
                  <c:v>1778.3714936877991</c:v>
                </c:pt>
                <c:pt idx="1232">
                  <c:v>1778.3714936877991</c:v>
                </c:pt>
                <c:pt idx="1233">
                  <c:v>1778.3714936877991</c:v>
                </c:pt>
                <c:pt idx="1234">
                  <c:v>1778.3714936877991</c:v>
                </c:pt>
                <c:pt idx="1235">
                  <c:v>1778.3714936877991</c:v>
                </c:pt>
                <c:pt idx="1236">
                  <c:v>1778.3714936877991</c:v>
                </c:pt>
                <c:pt idx="1237">
                  <c:v>1778.3714936877991</c:v>
                </c:pt>
                <c:pt idx="1238">
                  <c:v>1778.3714936877991</c:v>
                </c:pt>
                <c:pt idx="1239">
                  <c:v>1778.3714936877991</c:v>
                </c:pt>
                <c:pt idx="1240">
                  <c:v>1778.3714936877991</c:v>
                </c:pt>
                <c:pt idx="1241">
                  <c:v>1778.3714936877991</c:v>
                </c:pt>
                <c:pt idx="1242">
                  <c:v>1778.3714936877991</c:v>
                </c:pt>
                <c:pt idx="1243">
                  <c:v>1778.3714936877991</c:v>
                </c:pt>
                <c:pt idx="1244">
                  <c:v>1778.3714936877991</c:v>
                </c:pt>
                <c:pt idx="1245">
                  <c:v>1778.3714936877991</c:v>
                </c:pt>
                <c:pt idx="1246">
                  <c:v>1778.3714936877991</c:v>
                </c:pt>
                <c:pt idx="1247">
                  <c:v>1778.3714936877991</c:v>
                </c:pt>
                <c:pt idx="1248">
                  <c:v>1778.3714936877991</c:v>
                </c:pt>
                <c:pt idx="1249">
                  <c:v>1778.3714936877991</c:v>
                </c:pt>
                <c:pt idx="1250">
                  <c:v>1778.3714936877991</c:v>
                </c:pt>
                <c:pt idx="1251">
                  <c:v>1778.3714936877991</c:v>
                </c:pt>
                <c:pt idx="1252">
                  <c:v>1778.3714936877991</c:v>
                </c:pt>
                <c:pt idx="1253">
                  <c:v>1778.3714936877991</c:v>
                </c:pt>
                <c:pt idx="1254">
                  <c:v>1778.3714936877991</c:v>
                </c:pt>
                <c:pt idx="1255">
                  <c:v>1778.3714936877991</c:v>
                </c:pt>
                <c:pt idx="1256">
                  <c:v>1778.3714936877991</c:v>
                </c:pt>
                <c:pt idx="1257">
                  <c:v>1778.3714936877991</c:v>
                </c:pt>
                <c:pt idx="1258">
                  <c:v>1778.3714936877991</c:v>
                </c:pt>
                <c:pt idx="1259">
                  <c:v>1778.3714936877991</c:v>
                </c:pt>
                <c:pt idx="1260">
                  <c:v>1778.3714936877991</c:v>
                </c:pt>
                <c:pt idx="1261">
                  <c:v>1778.3714936877991</c:v>
                </c:pt>
                <c:pt idx="1262">
                  <c:v>1778.3714936877991</c:v>
                </c:pt>
                <c:pt idx="1263">
                  <c:v>1778.3714936877991</c:v>
                </c:pt>
                <c:pt idx="1264">
                  <c:v>1778.3714936877991</c:v>
                </c:pt>
                <c:pt idx="1265">
                  <c:v>1778.3714936877991</c:v>
                </c:pt>
                <c:pt idx="1266">
                  <c:v>1778.3714936877991</c:v>
                </c:pt>
                <c:pt idx="1267">
                  <c:v>1778.3714936877991</c:v>
                </c:pt>
                <c:pt idx="1268">
                  <c:v>1778.3714936877991</c:v>
                </c:pt>
                <c:pt idx="1269">
                  <c:v>1778.3714936877991</c:v>
                </c:pt>
                <c:pt idx="1270">
                  <c:v>1778.3714936877991</c:v>
                </c:pt>
                <c:pt idx="1271">
                  <c:v>1778.3714936877991</c:v>
                </c:pt>
                <c:pt idx="1272">
                  <c:v>1778.3714936877991</c:v>
                </c:pt>
                <c:pt idx="1273">
                  <c:v>1778.3714936877991</c:v>
                </c:pt>
                <c:pt idx="1274">
                  <c:v>1778.3714936877991</c:v>
                </c:pt>
                <c:pt idx="1275">
                  <c:v>1778.3714936877991</c:v>
                </c:pt>
                <c:pt idx="1276">
                  <c:v>1778.3714936877991</c:v>
                </c:pt>
                <c:pt idx="1277">
                  <c:v>1778.3714936877991</c:v>
                </c:pt>
                <c:pt idx="1278">
                  <c:v>1778.3714936877991</c:v>
                </c:pt>
                <c:pt idx="1279">
                  <c:v>1778.3714936877991</c:v>
                </c:pt>
                <c:pt idx="1280">
                  <c:v>1778.3714936877991</c:v>
                </c:pt>
                <c:pt idx="1281">
                  <c:v>1778.3714936877991</c:v>
                </c:pt>
                <c:pt idx="1282">
                  <c:v>1778.3714936877991</c:v>
                </c:pt>
                <c:pt idx="1283">
                  <c:v>1778.3714936877991</c:v>
                </c:pt>
                <c:pt idx="1284">
                  <c:v>1778.3714936877991</c:v>
                </c:pt>
                <c:pt idx="1285">
                  <c:v>1778.3714936877991</c:v>
                </c:pt>
                <c:pt idx="1286">
                  <c:v>1778.3714936877991</c:v>
                </c:pt>
                <c:pt idx="1287">
                  <c:v>1778.3714936877991</c:v>
                </c:pt>
                <c:pt idx="1288">
                  <c:v>1778.3714936877991</c:v>
                </c:pt>
                <c:pt idx="1289">
                  <c:v>1778.3714936877991</c:v>
                </c:pt>
                <c:pt idx="1290">
                  <c:v>1778.3714936877991</c:v>
                </c:pt>
                <c:pt idx="1291">
                  <c:v>1778.3714936877991</c:v>
                </c:pt>
                <c:pt idx="1292">
                  <c:v>1778.3714936877991</c:v>
                </c:pt>
                <c:pt idx="1293">
                  <c:v>1778.3714936877991</c:v>
                </c:pt>
                <c:pt idx="1294">
                  <c:v>1778.3714936877991</c:v>
                </c:pt>
                <c:pt idx="1295">
                  <c:v>1778.3714936877991</c:v>
                </c:pt>
                <c:pt idx="1296">
                  <c:v>1778.3714936877991</c:v>
                </c:pt>
                <c:pt idx="1297">
                  <c:v>1778.3714936877991</c:v>
                </c:pt>
                <c:pt idx="1298">
                  <c:v>1778.3714936877991</c:v>
                </c:pt>
                <c:pt idx="1299">
                  <c:v>1778.3714936877991</c:v>
                </c:pt>
                <c:pt idx="1300">
                  <c:v>1778.3714936877991</c:v>
                </c:pt>
                <c:pt idx="1301">
                  <c:v>1778.3714936877991</c:v>
                </c:pt>
                <c:pt idx="1302">
                  <c:v>1778.3714936877991</c:v>
                </c:pt>
                <c:pt idx="1303">
                  <c:v>1778.3714936877991</c:v>
                </c:pt>
                <c:pt idx="1304">
                  <c:v>1778.3714936877991</c:v>
                </c:pt>
                <c:pt idx="1305">
                  <c:v>1778.3714936877991</c:v>
                </c:pt>
                <c:pt idx="1306">
                  <c:v>1778.3714936877991</c:v>
                </c:pt>
                <c:pt idx="1307">
                  <c:v>1778.3714936877991</c:v>
                </c:pt>
                <c:pt idx="1308">
                  <c:v>1778.3714936877991</c:v>
                </c:pt>
                <c:pt idx="1309">
                  <c:v>1614.7290289347989</c:v>
                </c:pt>
                <c:pt idx="1310">
                  <c:v>1614.7290289347989</c:v>
                </c:pt>
                <c:pt idx="1311">
                  <c:v>1614.7290289347989</c:v>
                </c:pt>
                <c:pt idx="1312">
                  <c:v>1614.7290289347989</c:v>
                </c:pt>
                <c:pt idx="1313">
                  <c:v>1614.7290289347989</c:v>
                </c:pt>
                <c:pt idx="1314">
                  <c:v>1614.7290289347989</c:v>
                </c:pt>
                <c:pt idx="1315">
                  <c:v>1614.7290289347989</c:v>
                </c:pt>
                <c:pt idx="1316">
                  <c:v>1614.7290289347989</c:v>
                </c:pt>
                <c:pt idx="1317">
                  <c:v>1614.7290289347989</c:v>
                </c:pt>
                <c:pt idx="1318">
                  <c:v>1614.7290289347989</c:v>
                </c:pt>
                <c:pt idx="1319">
                  <c:v>1614.7290289347989</c:v>
                </c:pt>
                <c:pt idx="1320">
                  <c:v>1614.7290289347989</c:v>
                </c:pt>
                <c:pt idx="1321">
                  <c:v>1614.7290289347989</c:v>
                </c:pt>
                <c:pt idx="1322">
                  <c:v>1614.7290289347989</c:v>
                </c:pt>
                <c:pt idx="1323">
                  <c:v>1614.7290289347989</c:v>
                </c:pt>
                <c:pt idx="1324">
                  <c:v>1614.7290289347989</c:v>
                </c:pt>
                <c:pt idx="1325">
                  <c:v>1614.7290289347989</c:v>
                </c:pt>
                <c:pt idx="1326">
                  <c:v>1614.7290289347989</c:v>
                </c:pt>
                <c:pt idx="1327">
                  <c:v>1614.7290289347989</c:v>
                </c:pt>
                <c:pt idx="1328">
                  <c:v>1614.7290289347989</c:v>
                </c:pt>
                <c:pt idx="1329">
                  <c:v>1614.7290289347989</c:v>
                </c:pt>
                <c:pt idx="1330">
                  <c:v>1614.7290289347989</c:v>
                </c:pt>
                <c:pt idx="1331">
                  <c:v>1614.7290289347989</c:v>
                </c:pt>
                <c:pt idx="1332">
                  <c:v>1614.7290289347989</c:v>
                </c:pt>
                <c:pt idx="1333">
                  <c:v>1614.7290289347989</c:v>
                </c:pt>
                <c:pt idx="1334">
                  <c:v>1614.7290289347989</c:v>
                </c:pt>
                <c:pt idx="1335">
                  <c:v>1614.7290289347989</c:v>
                </c:pt>
                <c:pt idx="1336">
                  <c:v>1614.7290289347989</c:v>
                </c:pt>
                <c:pt idx="1337">
                  <c:v>1614.7290289347989</c:v>
                </c:pt>
                <c:pt idx="1338">
                  <c:v>1614.7290289347989</c:v>
                </c:pt>
                <c:pt idx="1339">
                  <c:v>1614.7290289347989</c:v>
                </c:pt>
                <c:pt idx="1340">
                  <c:v>1614.7290289347989</c:v>
                </c:pt>
                <c:pt idx="1341">
                  <c:v>1614.7290289347989</c:v>
                </c:pt>
                <c:pt idx="1342">
                  <c:v>1614.7290289347989</c:v>
                </c:pt>
                <c:pt idx="1343">
                  <c:v>1614.7290289347989</c:v>
                </c:pt>
                <c:pt idx="1344">
                  <c:v>1614.7290289347989</c:v>
                </c:pt>
                <c:pt idx="1345">
                  <c:v>1614.7290289347989</c:v>
                </c:pt>
                <c:pt idx="1346">
                  <c:v>1614.7290289347989</c:v>
                </c:pt>
                <c:pt idx="1347">
                  <c:v>1614.7290289347989</c:v>
                </c:pt>
                <c:pt idx="1348">
                  <c:v>1614.7290289347989</c:v>
                </c:pt>
                <c:pt idx="1349">
                  <c:v>1614.7290289347989</c:v>
                </c:pt>
                <c:pt idx="1350">
                  <c:v>1614.7290289347989</c:v>
                </c:pt>
                <c:pt idx="1351">
                  <c:v>1614.7290289347989</c:v>
                </c:pt>
                <c:pt idx="1352">
                  <c:v>1614.7290289347989</c:v>
                </c:pt>
                <c:pt idx="1353">
                  <c:v>1614.7290289347989</c:v>
                </c:pt>
                <c:pt idx="1354">
                  <c:v>1614.7290289347989</c:v>
                </c:pt>
                <c:pt idx="1355">
                  <c:v>1614.7290289347989</c:v>
                </c:pt>
                <c:pt idx="1356">
                  <c:v>1614.7290289347989</c:v>
                </c:pt>
                <c:pt idx="1357">
                  <c:v>1614.7290289347989</c:v>
                </c:pt>
                <c:pt idx="1358">
                  <c:v>1614.7290289347989</c:v>
                </c:pt>
                <c:pt idx="1359">
                  <c:v>1614.7290289347989</c:v>
                </c:pt>
                <c:pt idx="1360">
                  <c:v>1614.7290289347989</c:v>
                </c:pt>
                <c:pt idx="1361">
                  <c:v>1614.7290289347989</c:v>
                </c:pt>
                <c:pt idx="1362">
                  <c:v>1614.7290289347989</c:v>
                </c:pt>
                <c:pt idx="1363">
                  <c:v>1614.7290289347989</c:v>
                </c:pt>
                <c:pt idx="1364">
                  <c:v>1614.7290289347989</c:v>
                </c:pt>
                <c:pt idx="1365">
                  <c:v>1614.7290289347989</c:v>
                </c:pt>
                <c:pt idx="1366">
                  <c:v>1614.7290289347989</c:v>
                </c:pt>
                <c:pt idx="1367">
                  <c:v>1614.7290289347989</c:v>
                </c:pt>
                <c:pt idx="1368">
                  <c:v>1614.7290289347989</c:v>
                </c:pt>
                <c:pt idx="1369">
                  <c:v>1614.7290289347989</c:v>
                </c:pt>
                <c:pt idx="1370">
                  <c:v>1614.7290289347989</c:v>
                </c:pt>
                <c:pt idx="1371">
                  <c:v>1614.7290289347989</c:v>
                </c:pt>
                <c:pt idx="1372">
                  <c:v>1614.7290289347989</c:v>
                </c:pt>
                <c:pt idx="1373">
                  <c:v>1614.7290289347989</c:v>
                </c:pt>
                <c:pt idx="1374">
                  <c:v>1614.7290289347989</c:v>
                </c:pt>
                <c:pt idx="1375">
                  <c:v>1614.7290289347989</c:v>
                </c:pt>
                <c:pt idx="1376">
                  <c:v>1614.7290289347989</c:v>
                </c:pt>
                <c:pt idx="1377">
                  <c:v>1614.7290289347989</c:v>
                </c:pt>
                <c:pt idx="1378">
                  <c:v>1614.7290289347989</c:v>
                </c:pt>
                <c:pt idx="1379">
                  <c:v>1614.7290289347989</c:v>
                </c:pt>
                <c:pt idx="1380">
                  <c:v>1614.7290289347989</c:v>
                </c:pt>
                <c:pt idx="1381">
                  <c:v>1614.7290289347989</c:v>
                </c:pt>
                <c:pt idx="1382">
                  <c:v>1614.7290289347989</c:v>
                </c:pt>
                <c:pt idx="1383">
                  <c:v>1614.7290289347989</c:v>
                </c:pt>
                <c:pt idx="1384">
                  <c:v>1614.7290289347989</c:v>
                </c:pt>
                <c:pt idx="1385">
                  <c:v>1614.7290289347989</c:v>
                </c:pt>
                <c:pt idx="1386">
                  <c:v>1614.7290289347989</c:v>
                </c:pt>
                <c:pt idx="1387">
                  <c:v>1614.7290289347989</c:v>
                </c:pt>
                <c:pt idx="1388">
                  <c:v>1614.7290289347989</c:v>
                </c:pt>
                <c:pt idx="1389">
                  <c:v>1614.7290289347989</c:v>
                </c:pt>
                <c:pt idx="1390">
                  <c:v>1614.7290289347989</c:v>
                </c:pt>
                <c:pt idx="1391">
                  <c:v>1614.7290289347989</c:v>
                </c:pt>
                <c:pt idx="1392">
                  <c:v>1614.7290289347989</c:v>
                </c:pt>
                <c:pt idx="1393">
                  <c:v>1614.7290289347989</c:v>
                </c:pt>
                <c:pt idx="1394">
                  <c:v>1614.7290289347989</c:v>
                </c:pt>
                <c:pt idx="1395">
                  <c:v>1614.7290289347989</c:v>
                </c:pt>
                <c:pt idx="1396">
                  <c:v>1614.7290289347989</c:v>
                </c:pt>
                <c:pt idx="1397">
                  <c:v>1614.7290289347989</c:v>
                </c:pt>
                <c:pt idx="1398">
                  <c:v>1614.7290289347989</c:v>
                </c:pt>
                <c:pt idx="1399">
                  <c:v>1614.7290289347989</c:v>
                </c:pt>
                <c:pt idx="1400">
                  <c:v>1614.7290289347989</c:v>
                </c:pt>
                <c:pt idx="1401">
                  <c:v>1614.7290289347989</c:v>
                </c:pt>
                <c:pt idx="1402">
                  <c:v>1614.7290289347989</c:v>
                </c:pt>
                <c:pt idx="1403">
                  <c:v>1614.7290289347989</c:v>
                </c:pt>
                <c:pt idx="1404">
                  <c:v>1614.7290289347989</c:v>
                </c:pt>
                <c:pt idx="1405">
                  <c:v>1614.7290289347989</c:v>
                </c:pt>
                <c:pt idx="1406">
                  <c:v>1614.7290289347989</c:v>
                </c:pt>
                <c:pt idx="1407">
                  <c:v>1614.7290289347989</c:v>
                </c:pt>
                <c:pt idx="1408">
                  <c:v>1614.7290289347989</c:v>
                </c:pt>
                <c:pt idx="1409">
                  <c:v>1614.7290289347989</c:v>
                </c:pt>
                <c:pt idx="1410">
                  <c:v>1614.7290289347989</c:v>
                </c:pt>
                <c:pt idx="1411">
                  <c:v>1614.7290289347989</c:v>
                </c:pt>
                <c:pt idx="1412">
                  <c:v>1614.7290289347989</c:v>
                </c:pt>
                <c:pt idx="1413">
                  <c:v>1614.7290289347989</c:v>
                </c:pt>
                <c:pt idx="1414">
                  <c:v>1614.7290289347989</c:v>
                </c:pt>
                <c:pt idx="1415">
                  <c:v>1614.7290289347989</c:v>
                </c:pt>
                <c:pt idx="1416">
                  <c:v>1614.7290289347989</c:v>
                </c:pt>
                <c:pt idx="1417">
                  <c:v>1614.7290289347989</c:v>
                </c:pt>
                <c:pt idx="1418">
                  <c:v>1614.7290289347989</c:v>
                </c:pt>
                <c:pt idx="1419">
                  <c:v>1614.7290289347989</c:v>
                </c:pt>
                <c:pt idx="1420">
                  <c:v>1614.7290289347989</c:v>
                </c:pt>
                <c:pt idx="1421">
                  <c:v>1614.7290289347989</c:v>
                </c:pt>
                <c:pt idx="1422">
                  <c:v>1614.7290289347989</c:v>
                </c:pt>
                <c:pt idx="1423">
                  <c:v>1614.7290289347989</c:v>
                </c:pt>
                <c:pt idx="1424">
                  <c:v>1614.7290289347989</c:v>
                </c:pt>
                <c:pt idx="1425">
                  <c:v>1614.7290289347989</c:v>
                </c:pt>
                <c:pt idx="1426">
                  <c:v>1614.7290289347989</c:v>
                </c:pt>
                <c:pt idx="1427">
                  <c:v>1614.7290289347989</c:v>
                </c:pt>
                <c:pt idx="1428">
                  <c:v>1614.7290289347989</c:v>
                </c:pt>
                <c:pt idx="1429">
                  <c:v>1614.7290289347989</c:v>
                </c:pt>
                <c:pt idx="1430">
                  <c:v>1614.7290289347989</c:v>
                </c:pt>
                <c:pt idx="1431">
                  <c:v>1614.7290289347989</c:v>
                </c:pt>
                <c:pt idx="1432">
                  <c:v>1614.7290289347989</c:v>
                </c:pt>
                <c:pt idx="1433">
                  <c:v>1614.7290289347989</c:v>
                </c:pt>
                <c:pt idx="1434">
                  <c:v>1614.7290289347989</c:v>
                </c:pt>
                <c:pt idx="1435">
                  <c:v>1614.7290289347989</c:v>
                </c:pt>
                <c:pt idx="1436">
                  <c:v>1614.7290289347989</c:v>
                </c:pt>
                <c:pt idx="1437">
                  <c:v>1614.7290289347989</c:v>
                </c:pt>
                <c:pt idx="1438">
                  <c:v>1614.7290289347989</c:v>
                </c:pt>
                <c:pt idx="1439">
                  <c:v>1614.7290289347989</c:v>
                </c:pt>
                <c:pt idx="1440">
                  <c:v>1614.7290289347989</c:v>
                </c:pt>
                <c:pt idx="1441">
                  <c:v>1614.7290289347989</c:v>
                </c:pt>
                <c:pt idx="1442">
                  <c:v>1614.7290289347989</c:v>
                </c:pt>
                <c:pt idx="1443">
                  <c:v>1614.7290289347989</c:v>
                </c:pt>
                <c:pt idx="1444">
                  <c:v>1614.7290289347989</c:v>
                </c:pt>
                <c:pt idx="1445">
                  <c:v>1614.7290289347989</c:v>
                </c:pt>
                <c:pt idx="1446">
                  <c:v>1614.7290289347989</c:v>
                </c:pt>
                <c:pt idx="1447">
                  <c:v>1614.7290289347989</c:v>
                </c:pt>
                <c:pt idx="1448">
                  <c:v>1614.7290289347989</c:v>
                </c:pt>
                <c:pt idx="1449">
                  <c:v>1614.7290289347989</c:v>
                </c:pt>
                <c:pt idx="1450">
                  <c:v>1614.7290289347989</c:v>
                </c:pt>
                <c:pt idx="1451">
                  <c:v>1614.7290289347989</c:v>
                </c:pt>
                <c:pt idx="1452">
                  <c:v>1614.7290289347989</c:v>
                </c:pt>
                <c:pt idx="1453">
                  <c:v>1614.7290289347989</c:v>
                </c:pt>
                <c:pt idx="1454">
                  <c:v>1614.7290289347989</c:v>
                </c:pt>
                <c:pt idx="1455">
                  <c:v>1614.7290289347989</c:v>
                </c:pt>
                <c:pt idx="1456">
                  <c:v>1614.7290289347989</c:v>
                </c:pt>
                <c:pt idx="1457">
                  <c:v>1614.7290289347989</c:v>
                </c:pt>
                <c:pt idx="1458">
                  <c:v>1614.7290289347989</c:v>
                </c:pt>
                <c:pt idx="1459">
                  <c:v>1614.7290289347989</c:v>
                </c:pt>
                <c:pt idx="1460">
                  <c:v>1614.7290289347989</c:v>
                </c:pt>
                <c:pt idx="1461">
                  <c:v>1614.7290289347989</c:v>
                </c:pt>
                <c:pt idx="1462">
                  <c:v>1614.7290289347989</c:v>
                </c:pt>
                <c:pt idx="1463">
                  <c:v>1614.7290289347989</c:v>
                </c:pt>
                <c:pt idx="1464">
                  <c:v>1614.7290289347989</c:v>
                </c:pt>
                <c:pt idx="1465">
                  <c:v>1614.7290289347989</c:v>
                </c:pt>
                <c:pt idx="1466">
                  <c:v>1614.7290289347989</c:v>
                </c:pt>
                <c:pt idx="1467">
                  <c:v>1614.7290289347989</c:v>
                </c:pt>
                <c:pt idx="1468">
                  <c:v>1614.7290289347989</c:v>
                </c:pt>
                <c:pt idx="1469">
                  <c:v>1614.7290289347989</c:v>
                </c:pt>
                <c:pt idx="1470">
                  <c:v>1614.7290289347989</c:v>
                </c:pt>
                <c:pt idx="1471">
                  <c:v>1614.7290289347989</c:v>
                </c:pt>
                <c:pt idx="1472">
                  <c:v>1614.7290289347989</c:v>
                </c:pt>
                <c:pt idx="1473">
                  <c:v>1614.7290289347989</c:v>
                </c:pt>
                <c:pt idx="1474">
                  <c:v>1614.7290289347989</c:v>
                </c:pt>
                <c:pt idx="1475">
                  <c:v>1614.7290289347989</c:v>
                </c:pt>
                <c:pt idx="1476">
                  <c:v>1614.7290289347989</c:v>
                </c:pt>
                <c:pt idx="1477">
                  <c:v>1614.7290289347989</c:v>
                </c:pt>
                <c:pt idx="1478">
                  <c:v>1614.7290289347989</c:v>
                </c:pt>
                <c:pt idx="1479">
                  <c:v>1614.7290289347989</c:v>
                </c:pt>
                <c:pt idx="1480">
                  <c:v>1614.7290289347989</c:v>
                </c:pt>
                <c:pt idx="1481">
                  <c:v>1614.7290289347989</c:v>
                </c:pt>
                <c:pt idx="1482">
                  <c:v>1614.7290289347989</c:v>
                </c:pt>
                <c:pt idx="1483">
                  <c:v>1614.7290289347989</c:v>
                </c:pt>
                <c:pt idx="1484">
                  <c:v>1614.7290289347989</c:v>
                </c:pt>
                <c:pt idx="1485">
                  <c:v>1614.7290289347989</c:v>
                </c:pt>
                <c:pt idx="1486">
                  <c:v>1614.7290289347989</c:v>
                </c:pt>
                <c:pt idx="1487">
                  <c:v>1614.7290289347989</c:v>
                </c:pt>
                <c:pt idx="1488">
                  <c:v>1614.7290289347989</c:v>
                </c:pt>
                <c:pt idx="1489">
                  <c:v>1614.7290289347989</c:v>
                </c:pt>
                <c:pt idx="1490">
                  <c:v>1614.7290289347989</c:v>
                </c:pt>
                <c:pt idx="1491">
                  <c:v>1614.7290289347989</c:v>
                </c:pt>
                <c:pt idx="1492">
                  <c:v>1614.7290289347989</c:v>
                </c:pt>
                <c:pt idx="1493">
                  <c:v>1614.7290289347989</c:v>
                </c:pt>
                <c:pt idx="1494">
                  <c:v>1614.7290289347989</c:v>
                </c:pt>
                <c:pt idx="1495">
                  <c:v>1614.7290289347989</c:v>
                </c:pt>
                <c:pt idx="1496">
                  <c:v>1614.7290289347989</c:v>
                </c:pt>
                <c:pt idx="1497">
                  <c:v>1614.7290289347989</c:v>
                </c:pt>
                <c:pt idx="1498">
                  <c:v>1614.7290289347989</c:v>
                </c:pt>
                <c:pt idx="1499">
                  <c:v>1614.7290289347989</c:v>
                </c:pt>
                <c:pt idx="1500">
                  <c:v>1614.7290289347989</c:v>
                </c:pt>
                <c:pt idx="1501">
                  <c:v>1614.7290289347989</c:v>
                </c:pt>
                <c:pt idx="1502">
                  <c:v>1614.7290289347989</c:v>
                </c:pt>
                <c:pt idx="1503">
                  <c:v>1614.7290289347989</c:v>
                </c:pt>
                <c:pt idx="1504">
                  <c:v>1614.7290289347989</c:v>
                </c:pt>
                <c:pt idx="1505">
                  <c:v>1614.7290289347989</c:v>
                </c:pt>
                <c:pt idx="1506">
                  <c:v>1614.7290289347989</c:v>
                </c:pt>
                <c:pt idx="1507">
                  <c:v>1614.7290289347989</c:v>
                </c:pt>
                <c:pt idx="1508">
                  <c:v>1614.7290289347989</c:v>
                </c:pt>
                <c:pt idx="1509">
                  <c:v>1614.7290289347989</c:v>
                </c:pt>
                <c:pt idx="1510">
                  <c:v>1614.7290289347989</c:v>
                </c:pt>
                <c:pt idx="1511">
                  <c:v>1614.7290289347989</c:v>
                </c:pt>
                <c:pt idx="1512">
                  <c:v>1614.7290289347989</c:v>
                </c:pt>
                <c:pt idx="1513">
                  <c:v>1614.7290289347989</c:v>
                </c:pt>
                <c:pt idx="1514">
                  <c:v>1614.7290289347989</c:v>
                </c:pt>
                <c:pt idx="1515">
                  <c:v>1614.7290289347989</c:v>
                </c:pt>
                <c:pt idx="1516">
                  <c:v>1614.7290289347989</c:v>
                </c:pt>
                <c:pt idx="1517">
                  <c:v>1614.7290289347989</c:v>
                </c:pt>
                <c:pt idx="1518">
                  <c:v>1614.7290289347989</c:v>
                </c:pt>
                <c:pt idx="1519">
                  <c:v>1614.7290289347989</c:v>
                </c:pt>
                <c:pt idx="1520">
                  <c:v>1614.7290289347989</c:v>
                </c:pt>
                <c:pt idx="1521">
                  <c:v>1614.7290289347989</c:v>
                </c:pt>
                <c:pt idx="1522">
                  <c:v>1614.7290289347989</c:v>
                </c:pt>
                <c:pt idx="1523">
                  <c:v>1614.7290289347989</c:v>
                </c:pt>
                <c:pt idx="1524">
                  <c:v>1614.7290289347989</c:v>
                </c:pt>
                <c:pt idx="1525">
                  <c:v>1614.7290289347989</c:v>
                </c:pt>
                <c:pt idx="1526">
                  <c:v>1614.7290289347989</c:v>
                </c:pt>
                <c:pt idx="1527">
                  <c:v>1614.7290289347989</c:v>
                </c:pt>
                <c:pt idx="1528">
                  <c:v>1614.7290289347989</c:v>
                </c:pt>
                <c:pt idx="1529">
                  <c:v>1614.7290289347989</c:v>
                </c:pt>
                <c:pt idx="1530">
                  <c:v>1614.7290289347989</c:v>
                </c:pt>
                <c:pt idx="1531">
                  <c:v>1614.7290289347989</c:v>
                </c:pt>
                <c:pt idx="1532">
                  <c:v>1614.7290289347989</c:v>
                </c:pt>
                <c:pt idx="1533">
                  <c:v>1614.7290289347989</c:v>
                </c:pt>
                <c:pt idx="1534">
                  <c:v>1614.7290289347989</c:v>
                </c:pt>
                <c:pt idx="1535">
                  <c:v>1614.7290289347989</c:v>
                </c:pt>
                <c:pt idx="1536">
                  <c:v>1614.7290289347989</c:v>
                </c:pt>
                <c:pt idx="1537">
                  <c:v>1614.7290289347989</c:v>
                </c:pt>
                <c:pt idx="1538">
                  <c:v>1614.7290289347989</c:v>
                </c:pt>
                <c:pt idx="1539">
                  <c:v>1614.7290289347989</c:v>
                </c:pt>
                <c:pt idx="1540">
                  <c:v>1614.7290289347989</c:v>
                </c:pt>
                <c:pt idx="1541">
                  <c:v>1614.7290289347989</c:v>
                </c:pt>
                <c:pt idx="1542">
                  <c:v>1614.7290289347989</c:v>
                </c:pt>
                <c:pt idx="1543">
                  <c:v>1614.7290289347989</c:v>
                </c:pt>
                <c:pt idx="1544">
                  <c:v>1614.7290289347989</c:v>
                </c:pt>
                <c:pt idx="1545">
                  <c:v>1614.7290289347989</c:v>
                </c:pt>
                <c:pt idx="1546">
                  <c:v>1614.7290289347989</c:v>
                </c:pt>
                <c:pt idx="1547">
                  <c:v>1614.7290289347989</c:v>
                </c:pt>
                <c:pt idx="1548">
                  <c:v>1614.7290289347989</c:v>
                </c:pt>
                <c:pt idx="1549">
                  <c:v>1614.7290289347989</c:v>
                </c:pt>
                <c:pt idx="1550">
                  <c:v>1614.7290289347989</c:v>
                </c:pt>
                <c:pt idx="1551">
                  <c:v>1614.7290289347989</c:v>
                </c:pt>
                <c:pt idx="1552">
                  <c:v>1614.7290289347989</c:v>
                </c:pt>
                <c:pt idx="1553">
                  <c:v>1614.7290289347989</c:v>
                </c:pt>
                <c:pt idx="1554">
                  <c:v>1614.7290289347989</c:v>
                </c:pt>
                <c:pt idx="1555">
                  <c:v>1614.7290289347989</c:v>
                </c:pt>
                <c:pt idx="1556">
                  <c:v>1614.7290289347989</c:v>
                </c:pt>
                <c:pt idx="1557">
                  <c:v>1614.7290289347989</c:v>
                </c:pt>
                <c:pt idx="1558">
                  <c:v>1614.7290289347989</c:v>
                </c:pt>
                <c:pt idx="1559">
                  <c:v>1614.7290289347989</c:v>
                </c:pt>
                <c:pt idx="1560">
                  <c:v>1614.7290289347989</c:v>
                </c:pt>
                <c:pt idx="1561">
                  <c:v>1614.7290289347989</c:v>
                </c:pt>
                <c:pt idx="1562">
                  <c:v>1614.7290289347989</c:v>
                </c:pt>
                <c:pt idx="1563">
                  <c:v>1614.7290289347989</c:v>
                </c:pt>
                <c:pt idx="1564">
                  <c:v>1614.7290289347989</c:v>
                </c:pt>
                <c:pt idx="1565">
                  <c:v>1614.7290289347989</c:v>
                </c:pt>
                <c:pt idx="1566">
                  <c:v>1614.7290289347989</c:v>
                </c:pt>
                <c:pt idx="1567">
                  <c:v>1614.7290289347989</c:v>
                </c:pt>
                <c:pt idx="1568">
                  <c:v>1614.7290289347989</c:v>
                </c:pt>
                <c:pt idx="1569">
                  <c:v>1614.7290289347989</c:v>
                </c:pt>
                <c:pt idx="1570">
                  <c:v>1614.7290289347989</c:v>
                </c:pt>
                <c:pt idx="1571">
                  <c:v>1614.7290289347989</c:v>
                </c:pt>
                <c:pt idx="1572">
                  <c:v>1614.7290289347989</c:v>
                </c:pt>
                <c:pt idx="1573">
                  <c:v>1614.7290289347989</c:v>
                </c:pt>
                <c:pt idx="1574">
                  <c:v>1614.7290289347989</c:v>
                </c:pt>
                <c:pt idx="1575">
                  <c:v>1614.7290289347989</c:v>
                </c:pt>
                <c:pt idx="1576">
                  <c:v>1614.7290289347989</c:v>
                </c:pt>
                <c:pt idx="1577">
                  <c:v>1614.7290289347989</c:v>
                </c:pt>
                <c:pt idx="1578">
                  <c:v>1614.7290289347989</c:v>
                </c:pt>
                <c:pt idx="1579">
                  <c:v>1614.7290289347989</c:v>
                </c:pt>
                <c:pt idx="1580">
                  <c:v>1614.7290289347989</c:v>
                </c:pt>
                <c:pt idx="1581">
                  <c:v>1614.7290289347989</c:v>
                </c:pt>
                <c:pt idx="1582">
                  <c:v>1614.7290289347989</c:v>
                </c:pt>
                <c:pt idx="1583">
                  <c:v>1614.7290289347989</c:v>
                </c:pt>
                <c:pt idx="1584">
                  <c:v>1614.7290289347989</c:v>
                </c:pt>
                <c:pt idx="1585">
                  <c:v>1614.7290289347989</c:v>
                </c:pt>
                <c:pt idx="1586">
                  <c:v>1614.7290289347989</c:v>
                </c:pt>
                <c:pt idx="1587">
                  <c:v>1614.7290289347989</c:v>
                </c:pt>
                <c:pt idx="1588">
                  <c:v>1614.7290289347989</c:v>
                </c:pt>
                <c:pt idx="1589">
                  <c:v>1614.7290289347989</c:v>
                </c:pt>
                <c:pt idx="1590">
                  <c:v>1614.7290289347989</c:v>
                </c:pt>
                <c:pt idx="1591">
                  <c:v>1614.7290289347989</c:v>
                </c:pt>
                <c:pt idx="1592">
                  <c:v>1614.7290289347989</c:v>
                </c:pt>
                <c:pt idx="1593">
                  <c:v>1614.7290289347989</c:v>
                </c:pt>
                <c:pt idx="1594">
                  <c:v>1614.7290289347989</c:v>
                </c:pt>
                <c:pt idx="1595">
                  <c:v>1614.7290289347989</c:v>
                </c:pt>
                <c:pt idx="1596">
                  <c:v>1614.7290289347989</c:v>
                </c:pt>
                <c:pt idx="1597">
                  <c:v>1614.7290289347989</c:v>
                </c:pt>
                <c:pt idx="1598">
                  <c:v>1614.7290289347989</c:v>
                </c:pt>
                <c:pt idx="1599">
                  <c:v>1614.7290289347989</c:v>
                </c:pt>
                <c:pt idx="1600">
                  <c:v>1614.7290289347989</c:v>
                </c:pt>
                <c:pt idx="1601">
                  <c:v>1614.7290289347989</c:v>
                </c:pt>
                <c:pt idx="1602">
                  <c:v>1614.7290289347989</c:v>
                </c:pt>
                <c:pt idx="1603">
                  <c:v>1614.7290289347989</c:v>
                </c:pt>
                <c:pt idx="1604">
                  <c:v>1614.7290289347989</c:v>
                </c:pt>
                <c:pt idx="1605">
                  <c:v>1614.7290289347989</c:v>
                </c:pt>
                <c:pt idx="1606">
                  <c:v>1614.7290289347989</c:v>
                </c:pt>
                <c:pt idx="1607">
                  <c:v>1614.7290289347989</c:v>
                </c:pt>
                <c:pt idx="1608">
                  <c:v>1614.7290289347989</c:v>
                </c:pt>
                <c:pt idx="1609">
                  <c:v>1614.7290289347989</c:v>
                </c:pt>
                <c:pt idx="1610">
                  <c:v>1614.7290289347989</c:v>
                </c:pt>
                <c:pt idx="1611">
                  <c:v>1614.7290289347989</c:v>
                </c:pt>
                <c:pt idx="1612">
                  <c:v>1614.7290289347989</c:v>
                </c:pt>
                <c:pt idx="1613">
                  <c:v>1614.7290289347989</c:v>
                </c:pt>
                <c:pt idx="1614">
                  <c:v>1614.7290289347989</c:v>
                </c:pt>
                <c:pt idx="1615">
                  <c:v>1614.7290289347989</c:v>
                </c:pt>
                <c:pt idx="1616">
                  <c:v>1614.7290289347989</c:v>
                </c:pt>
                <c:pt idx="1617">
                  <c:v>1614.7290289347989</c:v>
                </c:pt>
                <c:pt idx="1618">
                  <c:v>1614.7290289347989</c:v>
                </c:pt>
                <c:pt idx="1619">
                  <c:v>1614.7290289347989</c:v>
                </c:pt>
                <c:pt idx="1620">
                  <c:v>1614.7290289347989</c:v>
                </c:pt>
                <c:pt idx="1621">
                  <c:v>1614.7290289347989</c:v>
                </c:pt>
                <c:pt idx="1622">
                  <c:v>1614.7290289347989</c:v>
                </c:pt>
                <c:pt idx="1623">
                  <c:v>1614.7290289347989</c:v>
                </c:pt>
                <c:pt idx="1624">
                  <c:v>1614.7290289347989</c:v>
                </c:pt>
                <c:pt idx="1625">
                  <c:v>1614.7290289347989</c:v>
                </c:pt>
                <c:pt idx="1626">
                  <c:v>1614.7290289347989</c:v>
                </c:pt>
                <c:pt idx="1627">
                  <c:v>1614.7290289347989</c:v>
                </c:pt>
                <c:pt idx="1628">
                  <c:v>1614.7290289347989</c:v>
                </c:pt>
                <c:pt idx="1629">
                  <c:v>1614.7290289347989</c:v>
                </c:pt>
                <c:pt idx="1630">
                  <c:v>1614.7290289347989</c:v>
                </c:pt>
                <c:pt idx="1631">
                  <c:v>1614.7290289347989</c:v>
                </c:pt>
                <c:pt idx="1632">
                  <c:v>1614.7290289347989</c:v>
                </c:pt>
                <c:pt idx="1633">
                  <c:v>1614.7290289347989</c:v>
                </c:pt>
                <c:pt idx="1634">
                  <c:v>1614.7290289347989</c:v>
                </c:pt>
                <c:pt idx="1635">
                  <c:v>1614.7290289347989</c:v>
                </c:pt>
                <c:pt idx="1636">
                  <c:v>1614.7290289347989</c:v>
                </c:pt>
                <c:pt idx="1637">
                  <c:v>1614.7290289347989</c:v>
                </c:pt>
                <c:pt idx="1638">
                  <c:v>1614.7290289347989</c:v>
                </c:pt>
                <c:pt idx="1639">
                  <c:v>1614.7290289347989</c:v>
                </c:pt>
                <c:pt idx="1640">
                  <c:v>1614.7290289347989</c:v>
                </c:pt>
                <c:pt idx="1641">
                  <c:v>1614.7290289347989</c:v>
                </c:pt>
                <c:pt idx="1642">
                  <c:v>1614.7290289347989</c:v>
                </c:pt>
                <c:pt idx="1643">
                  <c:v>1614.7290289347989</c:v>
                </c:pt>
                <c:pt idx="1644">
                  <c:v>1614.7290289347989</c:v>
                </c:pt>
                <c:pt idx="1645">
                  <c:v>1614.7290289347989</c:v>
                </c:pt>
                <c:pt idx="1646">
                  <c:v>1614.7290289347989</c:v>
                </c:pt>
                <c:pt idx="1647">
                  <c:v>1614.7290289347989</c:v>
                </c:pt>
                <c:pt idx="1648">
                  <c:v>1614.7290289347989</c:v>
                </c:pt>
                <c:pt idx="1649">
                  <c:v>1614.7290289347989</c:v>
                </c:pt>
                <c:pt idx="1650">
                  <c:v>1614.7290289347989</c:v>
                </c:pt>
                <c:pt idx="1651">
                  <c:v>1614.7290289347989</c:v>
                </c:pt>
                <c:pt idx="1652">
                  <c:v>1614.7290289347989</c:v>
                </c:pt>
                <c:pt idx="1653">
                  <c:v>1614.7290289347989</c:v>
                </c:pt>
                <c:pt idx="1654">
                  <c:v>1614.7290289347989</c:v>
                </c:pt>
                <c:pt idx="1655">
                  <c:v>1614.7290289347989</c:v>
                </c:pt>
                <c:pt idx="1656">
                  <c:v>1614.7290289347989</c:v>
                </c:pt>
                <c:pt idx="1657">
                  <c:v>1614.7290289347989</c:v>
                </c:pt>
                <c:pt idx="1658">
                  <c:v>1614.7290289347989</c:v>
                </c:pt>
                <c:pt idx="1659">
                  <c:v>1614.7290289347989</c:v>
                </c:pt>
                <c:pt idx="1660">
                  <c:v>1614.7290289347989</c:v>
                </c:pt>
                <c:pt idx="1661">
                  <c:v>1614.7290289347989</c:v>
                </c:pt>
                <c:pt idx="1662">
                  <c:v>1614.7290289347989</c:v>
                </c:pt>
                <c:pt idx="1663">
                  <c:v>1614.7290289347989</c:v>
                </c:pt>
                <c:pt idx="1664">
                  <c:v>1614.7290289347989</c:v>
                </c:pt>
                <c:pt idx="1665">
                  <c:v>1614.7290289347989</c:v>
                </c:pt>
                <c:pt idx="1666">
                  <c:v>1614.7290289347989</c:v>
                </c:pt>
                <c:pt idx="1667">
                  <c:v>1614.7290289347989</c:v>
                </c:pt>
                <c:pt idx="1668">
                  <c:v>1614.7290289347989</c:v>
                </c:pt>
                <c:pt idx="1669">
                  <c:v>1614.7290289347989</c:v>
                </c:pt>
                <c:pt idx="1670">
                  <c:v>1614.7290289347989</c:v>
                </c:pt>
                <c:pt idx="1671">
                  <c:v>1614.7290289347989</c:v>
                </c:pt>
                <c:pt idx="1672">
                  <c:v>1614.7290289347989</c:v>
                </c:pt>
                <c:pt idx="1673">
                  <c:v>1614.7290289347989</c:v>
                </c:pt>
                <c:pt idx="1674">
                  <c:v>1614.7290289347989</c:v>
                </c:pt>
              </c:numCache>
            </c:numRef>
          </c:val>
          <c:smooth val="0"/>
          <c:extLst>
            <c:ext xmlns:c16="http://schemas.microsoft.com/office/drawing/2014/chart" uri="{C3380CC4-5D6E-409C-BE32-E72D297353CC}">
              <c16:uniqueId val="{00000004-03FE-4373-B0A1-A11C7CC2FD3A}"/>
            </c:ext>
          </c:extLst>
        </c:ser>
        <c:ser>
          <c:idx val="5"/>
          <c:order val="5"/>
          <c:tx>
            <c:strRef>
              <c:f>'5.4'!$H$5</c:f>
              <c:strCache>
                <c:ptCount val="1"/>
                <c:pt idx="0">
                  <c:v>Max. southern production, SWQP, deep, and shallow storage</c:v>
                </c:pt>
              </c:strCache>
            </c:strRef>
          </c:tx>
          <c:spPr>
            <a:ln w="28575" cap="rnd">
              <a:solidFill>
                <a:srgbClr val="D1AAF7"/>
              </a:solidFill>
              <a:prstDash val="solid"/>
              <a:round/>
            </a:ln>
            <a:effectLst/>
          </c:spPr>
          <c:marker>
            <c:symbol val="none"/>
          </c:marker>
          <c:cat>
            <c:numRef>
              <c:f>'5.4'!$B$6:$B$1680</c:f>
              <c:numCache>
                <c:formatCode>m/d/yyyy</c:formatCode>
                <c:ptCount val="1675"/>
                <c:pt idx="0">
                  <c:v>45444</c:v>
                </c:pt>
                <c:pt idx="1">
                  <c:v>45445</c:v>
                </c:pt>
                <c:pt idx="2">
                  <c:v>45446</c:v>
                </c:pt>
                <c:pt idx="3">
                  <c:v>45447</c:v>
                </c:pt>
                <c:pt idx="4">
                  <c:v>45448</c:v>
                </c:pt>
                <c:pt idx="5">
                  <c:v>45449</c:v>
                </c:pt>
                <c:pt idx="6">
                  <c:v>45450</c:v>
                </c:pt>
                <c:pt idx="7">
                  <c:v>45451</c:v>
                </c:pt>
                <c:pt idx="8">
                  <c:v>45452</c:v>
                </c:pt>
                <c:pt idx="9">
                  <c:v>45453</c:v>
                </c:pt>
                <c:pt idx="10">
                  <c:v>45454</c:v>
                </c:pt>
                <c:pt idx="11">
                  <c:v>45455</c:v>
                </c:pt>
                <c:pt idx="12">
                  <c:v>45456</c:v>
                </c:pt>
                <c:pt idx="13">
                  <c:v>45457</c:v>
                </c:pt>
                <c:pt idx="14">
                  <c:v>45458</c:v>
                </c:pt>
                <c:pt idx="15">
                  <c:v>45459</c:v>
                </c:pt>
                <c:pt idx="16">
                  <c:v>45460</c:v>
                </c:pt>
                <c:pt idx="17">
                  <c:v>45461</c:v>
                </c:pt>
                <c:pt idx="18">
                  <c:v>45462</c:v>
                </c:pt>
                <c:pt idx="19">
                  <c:v>45463</c:v>
                </c:pt>
                <c:pt idx="20">
                  <c:v>45464</c:v>
                </c:pt>
                <c:pt idx="21">
                  <c:v>45465</c:v>
                </c:pt>
                <c:pt idx="22">
                  <c:v>45466</c:v>
                </c:pt>
                <c:pt idx="23">
                  <c:v>45467</c:v>
                </c:pt>
                <c:pt idx="24">
                  <c:v>45468</c:v>
                </c:pt>
                <c:pt idx="25">
                  <c:v>45469</c:v>
                </c:pt>
                <c:pt idx="26">
                  <c:v>45470</c:v>
                </c:pt>
                <c:pt idx="27">
                  <c:v>45471</c:v>
                </c:pt>
                <c:pt idx="28">
                  <c:v>45472</c:v>
                </c:pt>
                <c:pt idx="29">
                  <c:v>45473</c:v>
                </c:pt>
                <c:pt idx="30">
                  <c:v>45474</c:v>
                </c:pt>
                <c:pt idx="31">
                  <c:v>45475</c:v>
                </c:pt>
                <c:pt idx="32">
                  <c:v>45476</c:v>
                </c:pt>
                <c:pt idx="33">
                  <c:v>45477</c:v>
                </c:pt>
                <c:pt idx="34">
                  <c:v>45478</c:v>
                </c:pt>
                <c:pt idx="35">
                  <c:v>45479</c:v>
                </c:pt>
                <c:pt idx="36">
                  <c:v>45480</c:v>
                </c:pt>
                <c:pt idx="37">
                  <c:v>45481</c:v>
                </c:pt>
                <c:pt idx="38">
                  <c:v>45482</c:v>
                </c:pt>
                <c:pt idx="39">
                  <c:v>45483</c:v>
                </c:pt>
                <c:pt idx="40">
                  <c:v>45484</c:v>
                </c:pt>
                <c:pt idx="41">
                  <c:v>45485</c:v>
                </c:pt>
                <c:pt idx="42">
                  <c:v>45486</c:v>
                </c:pt>
                <c:pt idx="43">
                  <c:v>45487</c:v>
                </c:pt>
                <c:pt idx="44">
                  <c:v>45488</c:v>
                </c:pt>
                <c:pt idx="45">
                  <c:v>45489</c:v>
                </c:pt>
                <c:pt idx="46">
                  <c:v>45490</c:v>
                </c:pt>
                <c:pt idx="47">
                  <c:v>45491</c:v>
                </c:pt>
                <c:pt idx="48">
                  <c:v>45492</c:v>
                </c:pt>
                <c:pt idx="49">
                  <c:v>45493</c:v>
                </c:pt>
                <c:pt idx="50">
                  <c:v>45494</c:v>
                </c:pt>
                <c:pt idx="51">
                  <c:v>45495</c:v>
                </c:pt>
                <c:pt idx="52">
                  <c:v>45496</c:v>
                </c:pt>
                <c:pt idx="53">
                  <c:v>45497</c:v>
                </c:pt>
                <c:pt idx="54">
                  <c:v>45498</c:v>
                </c:pt>
                <c:pt idx="55">
                  <c:v>45499</c:v>
                </c:pt>
                <c:pt idx="56">
                  <c:v>45500</c:v>
                </c:pt>
                <c:pt idx="57">
                  <c:v>45501</c:v>
                </c:pt>
                <c:pt idx="58">
                  <c:v>45502</c:v>
                </c:pt>
                <c:pt idx="59">
                  <c:v>45503</c:v>
                </c:pt>
                <c:pt idx="60">
                  <c:v>45504</c:v>
                </c:pt>
                <c:pt idx="61">
                  <c:v>45505</c:v>
                </c:pt>
                <c:pt idx="62">
                  <c:v>45506</c:v>
                </c:pt>
                <c:pt idx="63">
                  <c:v>45507</c:v>
                </c:pt>
                <c:pt idx="64">
                  <c:v>45508</c:v>
                </c:pt>
                <c:pt idx="65">
                  <c:v>45509</c:v>
                </c:pt>
                <c:pt idx="66">
                  <c:v>45510</c:v>
                </c:pt>
                <c:pt idx="67">
                  <c:v>45511</c:v>
                </c:pt>
                <c:pt idx="68">
                  <c:v>45512</c:v>
                </c:pt>
                <c:pt idx="69">
                  <c:v>45513</c:v>
                </c:pt>
                <c:pt idx="70">
                  <c:v>45514</c:v>
                </c:pt>
                <c:pt idx="71">
                  <c:v>45515</c:v>
                </c:pt>
                <c:pt idx="72">
                  <c:v>45516</c:v>
                </c:pt>
                <c:pt idx="73">
                  <c:v>45517</c:v>
                </c:pt>
                <c:pt idx="74">
                  <c:v>45518</c:v>
                </c:pt>
                <c:pt idx="75">
                  <c:v>45519</c:v>
                </c:pt>
                <c:pt idx="76">
                  <c:v>45520</c:v>
                </c:pt>
                <c:pt idx="77">
                  <c:v>45521</c:v>
                </c:pt>
                <c:pt idx="78">
                  <c:v>45522</c:v>
                </c:pt>
                <c:pt idx="79">
                  <c:v>45523</c:v>
                </c:pt>
                <c:pt idx="80">
                  <c:v>45524</c:v>
                </c:pt>
                <c:pt idx="81">
                  <c:v>45525</c:v>
                </c:pt>
                <c:pt idx="82">
                  <c:v>45526</c:v>
                </c:pt>
                <c:pt idx="83">
                  <c:v>45527</c:v>
                </c:pt>
                <c:pt idx="84">
                  <c:v>45528</c:v>
                </c:pt>
                <c:pt idx="85">
                  <c:v>45529</c:v>
                </c:pt>
                <c:pt idx="86">
                  <c:v>45530</c:v>
                </c:pt>
                <c:pt idx="87">
                  <c:v>45531</c:v>
                </c:pt>
                <c:pt idx="88">
                  <c:v>45532</c:v>
                </c:pt>
                <c:pt idx="89">
                  <c:v>45533</c:v>
                </c:pt>
                <c:pt idx="90">
                  <c:v>45534</c:v>
                </c:pt>
                <c:pt idx="91">
                  <c:v>45535</c:v>
                </c:pt>
                <c:pt idx="92">
                  <c:v>45536</c:v>
                </c:pt>
                <c:pt idx="93">
                  <c:v>45537</c:v>
                </c:pt>
                <c:pt idx="94">
                  <c:v>45538</c:v>
                </c:pt>
                <c:pt idx="95">
                  <c:v>45539</c:v>
                </c:pt>
                <c:pt idx="96">
                  <c:v>45540</c:v>
                </c:pt>
                <c:pt idx="97">
                  <c:v>45541</c:v>
                </c:pt>
                <c:pt idx="98">
                  <c:v>45542</c:v>
                </c:pt>
                <c:pt idx="99">
                  <c:v>45543</c:v>
                </c:pt>
                <c:pt idx="100">
                  <c:v>45544</c:v>
                </c:pt>
                <c:pt idx="101">
                  <c:v>45545</c:v>
                </c:pt>
                <c:pt idx="102">
                  <c:v>45546</c:v>
                </c:pt>
                <c:pt idx="103">
                  <c:v>45547</c:v>
                </c:pt>
                <c:pt idx="104">
                  <c:v>45548</c:v>
                </c:pt>
                <c:pt idx="105">
                  <c:v>45549</c:v>
                </c:pt>
                <c:pt idx="106">
                  <c:v>45550</c:v>
                </c:pt>
                <c:pt idx="107">
                  <c:v>45551</c:v>
                </c:pt>
                <c:pt idx="108">
                  <c:v>45552</c:v>
                </c:pt>
                <c:pt idx="109">
                  <c:v>45553</c:v>
                </c:pt>
                <c:pt idx="110">
                  <c:v>45554</c:v>
                </c:pt>
                <c:pt idx="111">
                  <c:v>45555</c:v>
                </c:pt>
                <c:pt idx="112">
                  <c:v>45556</c:v>
                </c:pt>
                <c:pt idx="113">
                  <c:v>45557</c:v>
                </c:pt>
                <c:pt idx="114">
                  <c:v>45558</c:v>
                </c:pt>
                <c:pt idx="115">
                  <c:v>45559</c:v>
                </c:pt>
                <c:pt idx="116">
                  <c:v>45560</c:v>
                </c:pt>
                <c:pt idx="117">
                  <c:v>45561</c:v>
                </c:pt>
                <c:pt idx="118">
                  <c:v>45562</c:v>
                </c:pt>
                <c:pt idx="119">
                  <c:v>45563</c:v>
                </c:pt>
                <c:pt idx="120">
                  <c:v>45564</c:v>
                </c:pt>
                <c:pt idx="121">
                  <c:v>45565</c:v>
                </c:pt>
                <c:pt idx="122">
                  <c:v>45566</c:v>
                </c:pt>
                <c:pt idx="123">
                  <c:v>45567</c:v>
                </c:pt>
                <c:pt idx="124">
                  <c:v>45568</c:v>
                </c:pt>
                <c:pt idx="125">
                  <c:v>45569</c:v>
                </c:pt>
                <c:pt idx="126">
                  <c:v>45570</c:v>
                </c:pt>
                <c:pt idx="127">
                  <c:v>45571</c:v>
                </c:pt>
                <c:pt idx="128">
                  <c:v>45572</c:v>
                </c:pt>
                <c:pt idx="129">
                  <c:v>45573</c:v>
                </c:pt>
                <c:pt idx="130">
                  <c:v>45574</c:v>
                </c:pt>
                <c:pt idx="131">
                  <c:v>45575</c:v>
                </c:pt>
                <c:pt idx="132">
                  <c:v>45576</c:v>
                </c:pt>
                <c:pt idx="133">
                  <c:v>45577</c:v>
                </c:pt>
                <c:pt idx="134">
                  <c:v>45578</c:v>
                </c:pt>
                <c:pt idx="135">
                  <c:v>45579</c:v>
                </c:pt>
                <c:pt idx="136">
                  <c:v>45580</c:v>
                </c:pt>
                <c:pt idx="137">
                  <c:v>45581</c:v>
                </c:pt>
                <c:pt idx="138">
                  <c:v>45582</c:v>
                </c:pt>
                <c:pt idx="139">
                  <c:v>45583</c:v>
                </c:pt>
                <c:pt idx="140">
                  <c:v>45584</c:v>
                </c:pt>
                <c:pt idx="141">
                  <c:v>45585</c:v>
                </c:pt>
                <c:pt idx="142">
                  <c:v>45586</c:v>
                </c:pt>
                <c:pt idx="143">
                  <c:v>45587</c:v>
                </c:pt>
                <c:pt idx="144">
                  <c:v>45588</c:v>
                </c:pt>
                <c:pt idx="145">
                  <c:v>45589</c:v>
                </c:pt>
                <c:pt idx="146">
                  <c:v>45590</c:v>
                </c:pt>
                <c:pt idx="147">
                  <c:v>45591</c:v>
                </c:pt>
                <c:pt idx="148">
                  <c:v>45592</c:v>
                </c:pt>
                <c:pt idx="149">
                  <c:v>45593</c:v>
                </c:pt>
                <c:pt idx="150">
                  <c:v>45594</c:v>
                </c:pt>
                <c:pt idx="151">
                  <c:v>45595</c:v>
                </c:pt>
                <c:pt idx="152">
                  <c:v>45596</c:v>
                </c:pt>
                <c:pt idx="153">
                  <c:v>45597</c:v>
                </c:pt>
                <c:pt idx="154">
                  <c:v>45598</c:v>
                </c:pt>
                <c:pt idx="155">
                  <c:v>45599</c:v>
                </c:pt>
                <c:pt idx="156">
                  <c:v>45600</c:v>
                </c:pt>
                <c:pt idx="157">
                  <c:v>45601</c:v>
                </c:pt>
                <c:pt idx="158">
                  <c:v>45602</c:v>
                </c:pt>
                <c:pt idx="159">
                  <c:v>45603</c:v>
                </c:pt>
                <c:pt idx="160">
                  <c:v>45604</c:v>
                </c:pt>
                <c:pt idx="161">
                  <c:v>45605</c:v>
                </c:pt>
                <c:pt idx="162">
                  <c:v>45606</c:v>
                </c:pt>
                <c:pt idx="163">
                  <c:v>45607</c:v>
                </c:pt>
                <c:pt idx="164">
                  <c:v>45608</c:v>
                </c:pt>
                <c:pt idx="165">
                  <c:v>45609</c:v>
                </c:pt>
                <c:pt idx="166">
                  <c:v>45610</c:v>
                </c:pt>
                <c:pt idx="167">
                  <c:v>45611</c:v>
                </c:pt>
                <c:pt idx="168">
                  <c:v>45612</c:v>
                </c:pt>
                <c:pt idx="169">
                  <c:v>45613</c:v>
                </c:pt>
                <c:pt idx="170">
                  <c:v>45614</c:v>
                </c:pt>
                <c:pt idx="171">
                  <c:v>45615</c:v>
                </c:pt>
                <c:pt idx="172">
                  <c:v>45616</c:v>
                </c:pt>
                <c:pt idx="173">
                  <c:v>45617</c:v>
                </c:pt>
                <c:pt idx="174">
                  <c:v>45618</c:v>
                </c:pt>
                <c:pt idx="175">
                  <c:v>45619</c:v>
                </c:pt>
                <c:pt idx="176">
                  <c:v>45620</c:v>
                </c:pt>
                <c:pt idx="177">
                  <c:v>45621</c:v>
                </c:pt>
                <c:pt idx="178">
                  <c:v>45622</c:v>
                </c:pt>
                <c:pt idx="179">
                  <c:v>45623</c:v>
                </c:pt>
                <c:pt idx="180">
                  <c:v>45624</c:v>
                </c:pt>
                <c:pt idx="181">
                  <c:v>45625</c:v>
                </c:pt>
                <c:pt idx="182">
                  <c:v>45626</c:v>
                </c:pt>
                <c:pt idx="183">
                  <c:v>45627</c:v>
                </c:pt>
                <c:pt idx="184">
                  <c:v>45628</c:v>
                </c:pt>
                <c:pt idx="185">
                  <c:v>45629</c:v>
                </c:pt>
                <c:pt idx="186">
                  <c:v>45630</c:v>
                </c:pt>
                <c:pt idx="187">
                  <c:v>45631</c:v>
                </c:pt>
                <c:pt idx="188">
                  <c:v>45632</c:v>
                </c:pt>
                <c:pt idx="189">
                  <c:v>45633</c:v>
                </c:pt>
                <c:pt idx="190">
                  <c:v>45634</c:v>
                </c:pt>
                <c:pt idx="191">
                  <c:v>45635</c:v>
                </c:pt>
                <c:pt idx="192">
                  <c:v>45636</c:v>
                </c:pt>
                <c:pt idx="193">
                  <c:v>45637</c:v>
                </c:pt>
                <c:pt idx="194">
                  <c:v>45638</c:v>
                </c:pt>
                <c:pt idx="195">
                  <c:v>45639</c:v>
                </c:pt>
                <c:pt idx="196">
                  <c:v>45640</c:v>
                </c:pt>
                <c:pt idx="197">
                  <c:v>45641</c:v>
                </c:pt>
                <c:pt idx="198">
                  <c:v>45642</c:v>
                </c:pt>
                <c:pt idx="199">
                  <c:v>45643</c:v>
                </c:pt>
                <c:pt idx="200">
                  <c:v>45644</c:v>
                </c:pt>
                <c:pt idx="201">
                  <c:v>45645</c:v>
                </c:pt>
                <c:pt idx="202">
                  <c:v>45646</c:v>
                </c:pt>
                <c:pt idx="203">
                  <c:v>45647</c:v>
                </c:pt>
                <c:pt idx="204">
                  <c:v>45648</c:v>
                </c:pt>
                <c:pt idx="205">
                  <c:v>45649</c:v>
                </c:pt>
                <c:pt idx="206">
                  <c:v>45650</c:v>
                </c:pt>
                <c:pt idx="207">
                  <c:v>45651</c:v>
                </c:pt>
                <c:pt idx="208">
                  <c:v>45652</c:v>
                </c:pt>
                <c:pt idx="209">
                  <c:v>45653</c:v>
                </c:pt>
                <c:pt idx="210">
                  <c:v>45654</c:v>
                </c:pt>
                <c:pt idx="211">
                  <c:v>45655</c:v>
                </c:pt>
                <c:pt idx="212">
                  <c:v>45656</c:v>
                </c:pt>
                <c:pt idx="213">
                  <c:v>45657</c:v>
                </c:pt>
                <c:pt idx="214">
                  <c:v>45658</c:v>
                </c:pt>
                <c:pt idx="215">
                  <c:v>45659</c:v>
                </c:pt>
                <c:pt idx="216">
                  <c:v>45660</c:v>
                </c:pt>
                <c:pt idx="217">
                  <c:v>45661</c:v>
                </c:pt>
                <c:pt idx="218">
                  <c:v>45662</c:v>
                </c:pt>
                <c:pt idx="219">
                  <c:v>45663</c:v>
                </c:pt>
                <c:pt idx="220">
                  <c:v>45664</c:v>
                </c:pt>
                <c:pt idx="221">
                  <c:v>45665</c:v>
                </c:pt>
                <c:pt idx="222">
                  <c:v>45666</c:v>
                </c:pt>
                <c:pt idx="223">
                  <c:v>45667</c:v>
                </c:pt>
                <c:pt idx="224">
                  <c:v>45668</c:v>
                </c:pt>
                <c:pt idx="225">
                  <c:v>45669</c:v>
                </c:pt>
                <c:pt idx="226">
                  <c:v>45670</c:v>
                </c:pt>
                <c:pt idx="227">
                  <c:v>45671</c:v>
                </c:pt>
                <c:pt idx="228">
                  <c:v>45672</c:v>
                </c:pt>
                <c:pt idx="229">
                  <c:v>45673</c:v>
                </c:pt>
                <c:pt idx="230">
                  <c:v>45674</c:v>
                </c:pt>
                <c:pt idx="231">
                  <c:v>45675</c:v>
                </c:pt>
                <c:pt idx="232">
                  <c:v>45676</c:v>
                </c:pt>
                <c:pt idx="233">
                  <c:v>45677</c:v>
                </c:pt>
                <c:pt idx="234">
                  <c:v>45678</c:v>
                </c:pt>
                <c:pt idx="235">
                  <c:v>45679</c:v>
                </c:pt>
                <c:pt idx="236">
                  <c:v>45680</c:v>
                </c:pt>
                <c:pt idx="237">
                  <c:v>45681</c:v>
                </c:pt>
                <c:pt idx="238">
                  <c:v>45682</c:v>
                </c:pt>
                <c:pt idx="239">
                  <c:v>45683</c:v>
                </c:pt>
                <c:pt idx="240">
                  <c:v>45684</c:v>
                </c:pt>
                <c:pt idx="241">
                  <c:v>45685</c:v>
                </c:pt>
                <c:pt idx="242">
                  <c:v>45686</c:v>
                </c:pt>
                <c:pt idx="243">
                  <c:v>45687</c:v>
                </c:pt>
                <c:pt idx="244">
                  <c:v>45688</c:v>
                </c:pt>
                <c:pt idx="245">
                  <c:v>45689</c:v>
                </c:pt>
                <c:pt idx="246">
                  <c:v>45690</c:v>
                </c:pt>
                <c:pt idx="247">
                  <c:v>45691</c:v>
                </c:pt>
                <c:pt idx="248">
                  <c:v>45692</c:v>
                </c:pt>
                <c:pt idx="249">
                  <c:v>45693</c:v>
                </c:pt>
                <c:pt idx="250">
                  <c:v>45694</c:v>
                </c:pt>
                <c:pt idx="251">
                  <c:v>45695</c:v>
                </c:pt>
                <c:pt idx="252">
                  <c:v>45696</c:v>
                </c:pt>
                <c:pt idx="253">
                  <c:v>45697</c:v>
                </c:pt>
                <c:pt idx="254">
                  <c:v>45698</c:v>
                </c:pt>
                <c:pt idx="255">
                  <c:v>45699</c:v>
                </c:pt>
                <c:pt idx="256">
                  <c:v>45700</c:v>
                </c:pt>
                <c:pt idx="257">
                  <c:v>45701</c:v>
                </c:pt>
                <c:pt idx="258">
                  <c:v>45702</c:v>
                </c:pt>
                <c:pt idx="259">
                  <c:v>45703</c:v>
                </c:pt>
                <c:pt idx="260">
                  <c:v>45704</c:v>
                </c:pt>
                <c:pt idx="261">
                  <c:v>45705</c:v>
                </c:pt>
                <c:pt idx="262">
                  <c:v>45706</c:v>
                </c:pt>
                <c:pt idx="263">
                  <c:v>45707</c:v>
                </c:pt>
                <c:pt idx="264">
                  <c:v>45708</c:v>
                </c:pt>
                <c:pt idx="265">
                  <c:v>45709</c:v>
                </c:pt>
                <c:pt idx="266">
                  <c:v>45710</c:v>
                </c:pt>
                <c:pt idx="267">
                  <c:v>45711</c:v>
                </c:pt>
                <c:pt idx="268">
                  <c:v>45712</c:v>
                </c:pt>
                <c:pt idx="269">
                  <c:v>45713</c:v>
                </c:pt>
                <c:pt idx="270">
                  <c:v>45714</c:v>
                </c:pt>
                <c:pt idx="271">
                  <c:v>45715</c:v>
                </c:pt>
                <c:pt idx="272">
                  <c:v>45716</c:v>
                </c:pt>
                <c:pt idx="273">
                  <c:v>45717</c:v>
                </c:pt>
                <c:pt idx="274">
                  <c:v>45718</c:v>
                </c:pt>
                <c:pt idx="275">
                  <c:v>45719</c:v>
                </c:pt>
                <c:pt idx="276">
                  <c:v>45720</c:v>
                </c:pt>
                <c:pt idx="277">
                  <c:v>45721</c:v>
                </c:pt>
                <c:pt idx="278">
                  <c:v>45722</c:v>
                </c:pt>
                <c:pt idx="279">
                  <c:v>45723</c:v>
                </c:pt>
                <c:pt idx="280">
                  <c:v>45724</c:v>
                </c:pt>
                <c:pt idx="281">
                  <c:v>45725</c:v>
                </c:pt>
                <c:pt idx="282">
                  <c:v>45726</c:v>
                </c:pt>
                <c:pt idx="283">
                  <c:v>45727</c:v>
                </c:pt>
                <c:pt idx="284">
                  <c:v>45728</c:v>
                </c:pt>
                <c:pt idx="285">
                  <c:v>45729</c:v>
                </c:pt>
                <c:pt idx="286">
                  <c:v>45730</c:v>
                </c:pt>
                <c:pt idx="287">
                  <c:v>45731</c:v>
                </c:pt>
                <c:pt idx="288">
                  <c:v>45732</c:v>
                </c:pt>
                <c:pt idx="289">
                  <c:v>45733</c:v>
                </c:pt>
                <c:pt idx="290">
                  <c:v>45734</c:v>
                </c:pt>
                <c:pt idx="291">
                  <c:v>45735</c:v>
                </c:pt>
                <c:pt idx="292">
                  <c:v>45736</c:v>
                </c:pt>
                <c:pt idx="293">
                  <c:v>45737</c:v>
                </c:pt>
                <c:pt idx="294">
                  <c:v>45738</c:v>
                </c:pt>
                <c:pt idx="295">
                  <c:v>45739</c:v>
                </c:pt>
                <c:pt idx="296">
                  <c:v>45740</c:v>
                </c:pt>
                <c:pt idx="297">
                  <c:v>45741</c:v>
                </c:pt>
                <c:pt idx="298">
                  <c:v>45742</c:v>
                </c:pt>
                <c:pt idx="299">
                  <c:v>45743</c:v>
                </c:pt>
                <c:pt idx="300">
                  <c:v>45744</c:v>
                </c:pt>
                <c:pt idx="301">
                  <c:v>45745</c:v>
                </c:pt>
                <c:pt idx="302">
                  <c:v>45746</c:v>
                </c:pt>
                <c:pt idx="303">
                  <c:v>45747</c:v>
                </c:pt>
                <c:pt idx="304">
                  <c:v>45748</c:v>
                </c:pt>
                <c:pt idx="305">
                  <c:v>45749</c:v>
                </c:pt>
                <c:pt idx="306">
                  <c:v>45750</c:v>
                </c:pt>
                <c:pt idx="307">
                  <c:v>45751</c:v>
                </c:pt>
                <c:pt idx="308">
                  <c:v>45752</c:v>
                </c:pt>
                <c:pt idx="309">
                  <c:v>45753</c:v>
                </c:pt>
                <c:pt idx="310">
                  <c:v>45754</c:v>
                </c:pt>
                <c:pt idx="311">
                  <c:v>45755</c:v>
                </c:pt>
                <c:pt idx="312">
                  <c:v>45756</c:v>
                </c:pt>
                <c:pt idx="313">
                  <c:v>45757</c:v>
                </c:pt>
                <c:pt idx="314">
                  <c:v>45758</c:v>
                </c:pt>
                <c:pt idx="315">
                  <c:v>45759</c:v>
                </c:pt>
                <c:pt idx="316">
                  <c:v>45760</c:v>
                </c:pt>
                <c:pt idx="317">
                  <c:v>45761</c:v>
                </c:pt>
                <c:pt idx="318">
                  <c:v>45762</c:v>
                </c:pt>
                <c:pt idx="319">
                  <c:v>45763</c:v>
                </c:pt>
                <c:pt idx="320">
                  <c:v>45764</c:v>
                </c:pt>
                <c:pt idx="321">
                  <c:v>45765</c:v>
                </c:pt>
                <c:pt idx="322">
                  <c:v>45766</c:v>
                </c:pt>
                <c:pt idx="323">
                  <c:v>45767</c:v>
                </c:pt>
                <c:pt idx="324">
                  <c:v>45768</c:v>
                </c:pt>
                <c:pt idx="325">
                  <c:v>45769</c:v>
                </c:pt>
                <c:pt idx="326">
                  <c:v>45770</c:v>
                </c:pt>
                <c:pt idx="327">
                  <c:v>45771</c:v>
                </c:pt>
                <c:pt idx="328">
                  <c:v>45772</c:v>
                </c:pt>
                <c:pt idx="329">
                  <c:v>45773</c:v>
                </c:pt>
                <c:pt idx="330">
                  <c:v>45774</c:v>
                </c:pt>
                <c:pt idx="331">
                  <c:v>45775</c:v>
                </c:pt>
                <c:pt idx="332">
                  <c:v>45776</c:v>
                </c:pt>
                <c:pt idx="333">
                  <c:v>45777</c:v>
                </c:pt>
                <c:pt idx="334">
                  <c:v>45778</c:v>
                </c:pt>
                <c:pt idx="335">
                  <c:v>45779</c:v>
                </c:pt>
                <c:pt idx="336">
                  <c:v>45780</c:v>
                </c:pt>
                <c:pt idx="337">
                  <c:v>45781</c:v>
                </c:pt>
                <c:pt idx="338">
                  <c:v>45782</c:v>
                </c:pt>
                <c:pt idx="339">
                  <c:v>45783</c:v>
                </c:pt>
                <c:pt idx="340">
                  <c:v>45784</c:v>
                </c:pt>
                <c:pt idx="341">
                  <c:v>45785</c:v>
                </c:pt>
                <c:pt idx="342">
                  <c:v>45786</c:v>
                </c:pt>
                <c:pt idx="343">
                  <c:v>45787</c:v>
                </c:pt>
                <c:pt idx="344">
                  <c:v>45788</c:v>
                </c:pt>
                <c:pt idx="345">
                  <c:v>45789</c:v>
                </c:pt>
                <c:pt idx="346">
                  <c:v>45790</c:v>
                </c:pt>
                <c:pt idx="347">
                  <c:v>45791</c:v>
                </c:pt>
                <c:pt idx="348">
                  <c:v>45792</c:v>
                </c:pt>
                <c:pt idx="349">
                  <c:v>45793</c:v>
                </c:pt>
                <c:pt idx="350">
                  <c:v>45794</c:v>
                </c:pt>
                <c:pt idx="351">
                  <c:v>45795</c:v>
                </c:pt>
                <c:pt idx="352">
                  <c:v>45796</c:v>
                </c:pt>
                <c:pt idx="353">
                  <c:v>45797</c:v>
                </c:pt>
                <c:pt idx="354">
                  <c:v>45798</c:v>
                </c:pt>
                <c:pt idx="355">
                  <c:v>45799</c:v>
                </c:pt>
                <c:pt idx="356">
                  <c:v>45800</c:v>
                </c:pt>
                <c:pt idx="357">
                  <c:v>45801</c:v>
                </c:pt>
                <c:pt idx="358">
                  <c:v>45802</c:v>
                </c:pt>
                <c:pt idx="359">
                  <c:v>45803</c:v>
                </c:pt>
                <c:pt idx="360">
                  <c:v>45804</c:v>
                </c:pt>
                <c:pt idx="361">
                  <c:v>45805</c:v>
                </c:pt>
                <c:pt idx="362">
                  <c:v>45806</c:v>
                </c:pt>
                <c:pt idx="363">
                  <c:v>45807</c:v>
                </c:pt>
                <c:pt idx="364">
                  <c:v>45808</c:v>
                </c:pt>
                <c:pt idx="365">
                  <c:v>45809</c:v>
                </c:pt>
                <c:pt idx="366">
                  <c:v>45810</c:v>
                </c:pt>
                <c:pt idx="367">
                  <c:v>45811</c:v>
                </c:pt>
                <c:pt idx="368">
                  <c:v>45812</c:v>
                </c:pt>
                <c:pt idx="369">
                  <c:v>45813</c:v>
                </c:pt>
                <c:pt idx="370">
                  <c:v>45814</c:v>
                </c:pt>
                <c:pt idx="371">
                  <c:v>45815</c:v>
                </c:pt>
                <c:pt idx="372">
                  <c:v>45816</c:v>
                </c:pt>
                <c:pt idx="373">
                  <c:v>45817</c:v>
                </c:pt>
                <c:pt idx="374">
                  <c:v>45818</c:v>
                </c:pt>
                <c:pt idx="375">
                  <c:v>45819</c:v>
                </c:pt>
                <c:pt idx="376">
                  <c:v>45820</c:v>
                </c:pt>
                <c:pt idx="377">
                  <c:v>45821</c:v>
                </c:pt>
                <c:pt idx="378">
                  <c:v>45822</c:v>
                </c:pt>
                <c:pt idx="379">
                  <c:v>45823</c:v>
                </c:pt>
                <c:pt idx="380">
                  <c:v>45824</c:v>
                </c:pt>
                <c:pt idx="381">
                  <c:v>45825</c:v>
                </c:pt>
                <c:pt idx="382">
                  <c:v>45826</c:v>
                </c:pt>
                <c:pt idx="383">
                  <c:v>45827</c:v>
                </c:pt>
                <c:pt idx="384">
                  <c:v>45828</c:v>
                </c:pt>
                <c:pt idx="385">
                  <c:v>45829</c:v>
                </c:pt>
                <c:pt idx="386">
                  <c:v>45830</c:v>
                </c:pt>
                <c:pt idx="387">
                  <c:v>45831</c:v>
                </c:pt>
                <c:pt idx="388">
                  <c:v>45832</c:v>
                </c:pt>
                <c:pt idx="389">
                  <c:v>45833</c:v>
                </c:pt>
                <c:pt idx="390">
                  <c:v>45834</c:v>
                </c:pt>
                <c:pt idx="391">
                  <c:v>45835</c:v>
                </c:pt>
                <c:pt idx="392">
                  <c:v>45836</c:v>
                </c:pt>
                <c:pt idx="393">
                  <c:v>45837</c:v>
                </c:pt>
                <c:pt idx="394">
                  <c:v>45838</c:v>
                </c:pt>
                <c:pt idx="395">
                  <c:v>45839</c:v>
                </c:pt>
                <c:pt idx="396">
                  <c:v>45840</c:v>
                </c:pt>
                <c:pt idx="397">
                  <c:v>45841</c:v>
                </c:pt>
                <c:pt idx="398">
                  <c:v>45842</c:v>
                </c:pt>
                <c:pt idx="399">
                  <c:v>45843</c:v>
                </c:pt>
                <c:pt idx="400">
                  <c:v>45844</c:v>
                </c:pt>
                <c:pt idx="401">
                  <c:v>45845</c:v>
                </c:pt>
                <c:pt idx="402">
                  <c:v>45846</c:v>
                </c:pt>
                <c:pt idx="403">
                  <c:v>45847</c:v>
                </c:pt>
                <c:pt idx="404">
                  <c:v>45848</c:v>
                </c:pt>
                <c:pt idx="405">
                  <c:v>45849</c:v>
                </c:pt>
                <c:pt idx="406">
                  <c:v>45850</c:v>
                </c:pt>
                <c:pt idx="407">
                  <c:v>45851</c:v>
                </c:pt>
                <c:pt idx="408">
                  <c:v>45852</c:v>
                </c:pt>
                <c:pt idx="409">
                  <c:v>45853</c:v>
                </c:pt>
                <c:pt idx="410">
                  <c:v>45854</c:v>
                </c:pt>
                <c:pt idx="411">
                  <c:v>45855</c:v>
                </c:pt>
                <c:pt idx="412">
                  <c:v>45856</c:v>
                </c:pt>
                <c:pt idx="413">
                  <c:v>45857</c:v>
                </c:pt>
                <c:pt idx="414">
                  <c:v>45858</c:v>
                </c:pt>
                <c:pt idx="415">
                  <c:v>45859</c:v>
                </c:pt>
                <c:pt idx="416">
                  <c:v>45860</c:v>
                </c:pt>
                <c:pt idx="417">
                  <c:v>45861</c:v>
                </c:pt>
                <c:pt idx="418">
                  <c:v>45862</c:v>
                </c:pt>
                <c:pt idx="419">
                  <c:v>45863</c:v>
                </c:pt>
                <c:pt idx="420">
                  <c:v>45864</c:v>
                </c:pt>
                <c:pt idx="421">
                  <c:v>45865</c:v>
                </c:pt>
                <c:pt idx="422">
                  <c:v>45866</c:v>
                </c:pt>
                <c:pt idx="423">
                  <c:v>45867</c:v>
                </c:pt>
                <c:pt idx="424">
                  <c:v>45868</c:v>
                </c:pt>
                <c:pt idx="425">
                  <c:v>45869</c:v>
                </c:pt>
                <c:pt idx="426">
                  <c:v>45870</c:v>
                </c:pt>
                <c:pt idx="427">
                  <c:v>45871</c:v>
                </c:pt>
                <c:pt idx="428">
                  <c:v>45872</c:v>
                </c:pt>
                <c:pt idx="429">
                  <c:v>45873</c:v>
                </c:pt>
                <c:pt idx="430">
                  <c:v>45874</c:v>
                </c:pt>
                <c:pt idx="431">
                  <c:v>45875</c:v>
                </c:pt>
                <c:pt idx="432">
                  <c:v>45876</c:v>
                </c:pt>
                <c:pt idx="433">
                  <c:v>45877</c:v>
                </c:pt>
                <c:pt idx="434">
                  <c:v>45878</c:v>
                </c:pt>
                <c:pt idx="435">
                  <c:v>45879</c:v>
                </c:pt>
                <c:pt idx="436">
                  <c:v>45880</c:v>
                </c:pt>
                <c:pt idx="437">
                  <c:v>45881</c:v>
                </c:pt>
                <c:pt idx="438">
                  <c:v>45882</c:v>
                </c:pt>
                <c:pt idx="439">
                  <c:v>45883</c:v>
                </c:pt>
                <c:pt idx="440">
                  <c:v>45884</c:v>
                </c:pt>
                <c:pt idx="441">
                  <c:v>45885</c:v>
                </c:pt>
                <c:pt idx="442">
                  <c:v>45886</c:v>
                </c:pt>
                <c:pt idx="443">
                  <c:v>45887</c:v>
                </c:pt>
                <c:pt idx="444">
                  <c:v>45888</c:v>
                </c:pt>
                <c:pt idx="445">
                  <c:v>45889</c:v>
                </c:pt>
                <c:pt idx="446">
                  <c:v>45890</c:v>
                </c:pt>
                <c:pt idx="447">
                  <c:v>45891</c:v>
                </c:pt>
                <c:pt idx="448">
                  <c:v>45892</c:v>
                </c:pt>
                <c:pt idx="449">
                  <c:v>45893</c:v>
                </c:pt>
                <c:pt idx="450">
                  <c:v>45894</c:v>
                </c:pt>
                <c:pt idx="451">
                  <c:v>45895</c:v>
                </c:pt>
                <c:pt idx="452">
                  <c:v>45896</c:v>
                </c:pt>
                <c:pt idx="453">
                  <c:v>45897</c:v>
                </c:pt>
                <c:pt idx="454">
                  <c:v>45898</c:v>
                </c:pt>
                <c:pt idx="455">
                  <c:v>45899</c:v>
                </c:pt>
                <c:pt idx="456">
                  <c:v>45900</c:v>
                </c:pt>
                <c:pt idx="457">
                  <c:v>45901</c:v>
                </c:pt>
                <c:pt idx="458">
                  <c:v>45902</c:v>
                </c:pt>
                <c:pt idx="459">
                  <c:v>45903</c:v>
                </c:pt>
                <c:pt idx="460">
                  <c:v>45904</c:v>
                </c:pt>
                <c:pt idx="461">
                  <c:v>45905</c:v>
                </c:pt>
                <c:pt idx="462">
                  <c:v>45906</c:v>
                </c:pt>
                <c:pt idx="463">
                  <c:v>45907</c:v>
                </c:pt>
                <c:pt idx="464">
                  <c:v>45908</c:v>
                </c:pt>
                <c:pt idx="465">
                  <c:v>45909</c:v>
                </c:pt>
                <c:pt idx="466">
                  <c:v>45910</c:v>
                </c:pt>
                <c:pt idx="467">
                  <c:v>45911</c:v>
                </c:pt>
                <c:pt idx="468">
                  <c:v>45912</c:v>
                </c:pt>
                <c:pt idx="469">
                  <c:v>45913</c:v>
                </c:pt>
                <c:pt idx="470">
                  <c:v>45914</c:v>
                </c:pt>
                <c:pt idx="471">
                  <c:v>45915</c:v>
                </c:pt>
                <c:pt idx="472">
                  <c:v>45916</c:v>
                </c:pt>
                <c:pt idx="473">
                  <c:v>45917</c:v>
                </c:pt>
                <c:pt idx="474">
                  <c:v>45918</c:v>
                </c:pt>
                <c:pt idx="475">
                  <c:v>45919</c:v>
                </c:pt>
                <c:pt idx="476">
                  <c:v>45920</c:v>
                </c:pt>
                <c:pt idx="477">
                  <c:v>45921</c:v>
                </c:pt>
                <c:pt idx="478">
                  <c:v>45922</c:v>
                </c:pt>
                <c:pt idx="479">
                  <c:v>45923</c:v>
                </c:pt>
                <c:pt idx="480">
                  <c:v>45924</c:v>
                </c:pt>
                <c:pt idx="481">
                  <c:v>45925</c:v>
                </c:pt>
                <c:pt idx="482">
                  <c:v>45926</c:v>
                </c:pt>
                <c:pt idx="483">
                  <c:v>45927</c:v>
                </c:pt>
                <c:pt idx="484">
                  <c:v>45928</c:v>
                </c:pt>
                <c:pt idx="485">
                  <c:v>45929</c:v>
                </c:pt>
                <c:pt idx="486">
                  <c:v>45930</c:v>
                </c:pt>
                <c:pt idx="487">
                  <c:v>45931</c:v>
                </c:pt>
                <c:pt idx="488">
                  <c:v>45932</c:v>
                </c:pt>
                <c:pt idx="489">
                  <c:v>45933</c:v>
                </c:pt>
                <c:pt idx="490">
                  <c:v>45934</c:v>
                </c:pt>
                <c:pt idx="491">
                  <c:v>45935</c:v>
                </c:pt>
                <c:pt idx="492">
                  <c:v>45936</c:v>
                </c:pt>
                <c:pt idx="493">
                  <c:v>45937</c:v>
                </c:pt>
                <c:pt idx="494">
                  <c:v>45938</c:v>
                </c:pt>
                <c:pt idx="495">
                  <c:v>45939</c:v>
                </c:pt>
                <c:pt idx="496">
                  <c:v>45940</c:v>
                </c:pt>
                <c:pt idx="497">
                  <c:v>45941</c:v>
                </c:pt>
                <c:pt idx="498">
                  <c:v>45942</c:v>
                </c:pt>
                <c:pt idx="499">
                  <c:v>45943</c:v>
                </c:pt>
                <c:pt idx="500">
                  <c:v>45944</c:v>
                </c:pt>
                <c:pt idx="501">
                  <c:v>45945</c:v>
                </c:pt>
                <c:pt idx="502">
                  <c:v>45946</c:v>
                </c:pt>
                <c:pt idx="503">
                  <c:v>45947</c:v>
                </c:pt>
                <c:pt idx="504">
                  <c:v>45948</c:v>
                </c:pt>
                <c:pt idx="505">
                  <c:v>45949</c:v>
                </c:pt>
                <c:pt idx="506">
                  <c:v>45950</c:v>
                </c:pt>
                <c:pt idx="507">
                  <c:v>45951</c:v>
                </c:pt>
                <c:pt idx="508">
                  <c:v>45952</c:v>
                </c:pt>
                <c:pt idx="509">
                  <c:v>45953</c:v>
                </c:pt>
                <c:pt idx="510">
                  <c:v>45954</c:v>
                </c:pt>
                <c:pt idx="511">
                  <c:v>45955</c:v>
                </c:pt>
                <c:pt idx="512">
                  <c:v>45956</c:v>
                </c:pt>
                <c:pt idx="513">
                  <c:v>45957</c:v>
                </c:pt>
                <c:pt idx="514">
                  <c:v>45958</c:v>
                </c:pt>
                <c:pt idx="515">
                  <c:v>45959</c:v>
                </c:pt>
                <c:pt idx="516">
                  <c:v>45960</c:v>
                </c:pt>
                <c:pt idx="517">
                  <c:v>45961</c:v>
                </c:pt>
                <c:pt idx="518">
                  <c:v>45962</c:v>
                </c:pt>
                <c:pt idx="519">
                  <c:v>45963</c:v>
                </c:pt>
                <c:pt idx="520">
                  <c:v>45964</c:v>
                </c:pt>
                <c:pt idx="521">
                  <c:v>45965</c:v>
                </c:pt>
                <c:pt idx="522">
                  <c:v>45966</c:v>
                </c:pt>
                <c:pt idx="523">
                  <c:v>45967</c:v>
                </c:pt>
                <c:pt idx="524">
                  <c:v>45968</c:v>
                </c:pt>
                <c:pt idx="525">
                  <c:v>45969</c:v>
                </c:pt>
                <c:pt idx="526">
                  <c:v>45970</c:v>
                </c:pt>
                <c:pt idx="527">
                  <c:v>45971</c:v>
                </c:pt>
                <c:pt idx="528">
                  <c:v>45972</c:v>
                </c:pt>
                <c:pt idx="529">
                  <c:v>45973</c:v>
                </c:pt>
                <c:pt idx="530">
                  <c:v>45974</c:v>
                </c:pt>
                <c:pt idx="531">
                  <c:v>45975</c:v>
                </c:pt>
                <c:pt idx="532">
                  <c:v>45976</c:v>
                </c:pt>
                <c:pt idx="533">
                  <c:v>45977</c:v>
                </c:pt>
                <c:pt idx="534">
                  <c:v>45978</c:v>
                </c:pt>
                <c:pt idx="535">
                  <c:v>45979</c:v>
                </c:pt>
                <c:pt idx="536">
                  <c:v>45980</c:v>
                </c:pt>
                <c:pt idx="537">
                  <c:v>45981</c:v>
                </c:pt>
                <c:pt idx="538">
                  <c:v>45982</c:v>
                </c:pt>
                <c:pt idx="539">
                  <c:v>45983</c:v>
                </c:pt>
                <c:pt idx="540">
                  <c:v>45984</c:v>
                </c:pt>
                <c:pt idx="541">
                  <c:v>45985</c:v>
                </c:pt>
                <c:pt idx="542">
                  <c:v>45986</c:v>
                </c:pt>
                <c:pt idx="543">
                  <c:v>45987</c:v>
                </c:pt>
                <c:pt idx="544">
                  <c:v>45988</c:v>
                </c:pt>
                <c:pt idx="545">
                  <c:v>45989</c:v>
                </c:pt>
                <c:pt idx="546">
                  <c:v>45990</c:v>
                </c:pt>
                <c:pt idx="547">
                  <c:v>45991</c:v>
                </c:pt>
                <c:pt idx="548">
                  <c:v>45992</c:v>
                </c:pt>
                <c:pt idx="549">
                  <c:v>45993</c:v>
                </c:pt>
                <c:pt idx="550">
                  <c:v>45994</c:v>
                </c:pt>
                <c:pt idx="551">
                  <c:v>45995</c:v>
                </c:pt>
                <c:pt idx="552">
                  <c:v>45996</c:v>
                </c:pt>
                <c:pt idx="553">
                  <c:v>45997</c:v>
                </c:pt>
                <c:pt idx="554">
                  <c:v>45998</c:v>
                </c:pt>
                <c:pt idx="555">
                  <c:v>45999</c:v>
                </c:pt>
                <c:pt idx="556">
                  <c:v>46000</c:v>
                </c:pt>
                <c:pt idx="557">
                  <c:v>46001</c:v>
                </c:pt>
                <c:pt idx="558">
                  <c:v>46002</c:v>
                </c:pt>
                <c:pt idx="559">
                  <c:v>46003</c:v>
                </c:pt>
                <c:pt idx="560">
                  <c:v>46004</c:v>
                </c:pt>
                <c:pt idx="561">
                  <c:v>46005</c:v>
                </c:pt>
                <c:pt idx="562">
                  <c:v>46006</c:v>
                </c:pt>
                <c:pt idx="563">
                  <c:v>46007</c:v>
                </c:pt>
                <c:pt idx="564">
                  <c:v>46008</c:v>
                </c:pt>
                <c:pt idx="565">
                  <c:v>46009</c:v>
                </c:pt>
                <c:pt idx="566">
                  <c:v>46010</c:v>
                </c:pt>
                <c:pt idx="567">
                  <c:v>46011</c:v>
                </c:pt>
                <c:pt idx="568">
                  <c:v>46012</c:v>
                </c:pt>
                <c:pt idx="569">
                  <c:v>46013</c:v>
                </c:pt>
                <c:pt idx="570">
                  <c:v>46014</c:v>
                </c:pt>
                <c:pt idx="571">
                  <c:v>46015</c:v>
                </c:pt>
                <c:pt idx="572">
                  <c:v>46016</c:v>
                </c:pt>
                <c:pt idx="573">
                  <c:v>46017</c:v>
                </c:pt>
                <c:pt idx="574">
                  <c:v>46018</c:v>
                </c:pt>
                <c:pt idx="575">
                  <c:v>46019</c:v>
                </c:pt>
                <c:pt idx="576">
                  <c:v>46020</c:v>
                </c:pt>
                <c:pt idx="577">
                  <c:v>46021</c:v>
                </c:pt>
                <c:pt idx="578">
                  <c:v>46022</c:v>
                </c:pt>
                <c:pt idx="579">
                  <c:v>46023</c:v>
                </c:pt>
                <c:pt idx="580">
                  <c:v>46024</c:v>
                </c:pt>
                <c:pt idx="581">
                  <c:v>46025</c:v>
                </c:pt>
                <c:pt idx="582">
                  <c:v>46026</c:v>
                </c:pt>
                <c:pt idx="583">
                  <c:v>46027</c:v>
                </c:pt>
                <c:pt idx="584">
                  <c:v>46028</c:v>
                </c:pt>
                <c:pt idx="585">
                  <c:v>46029</c:v>
                </c:pt>
                <c:pt idx="586">
                  <c:v>46030</c:v>
                </c:pt>
                <c:pt idx="587">
                  <c:v>46031</c:v>
                </c:pt>
                <c:pt idx="588">
                  <c:v>46032</c:v>
                </c:pt>
                <c:pt idx="589">
                  <c:v>46033</c:v>
                </c:pt>
                <c:pt idx="590">
                  <c:v>46034</c:v>
                </c:pt>
                <c:pt idx="591">
                  <c:v>46035</c:v>
                </c:pt>
                <c:pt idx="592">
                  <c:v>46036</c:v>
                </c:pt>
                <c:pt idx="593">
                  <c:v>46037</c:v>
                </c:pt>
                <c:pt idx="594">
                  <c:v>46038</c:v>
                </c:pt>
                <c:pt idx="595">
                  <c:v>46039</c:v>
                </c:pt>
                <c:pt idx="596">
                  <c:v>46040</c:v>
                </c:pt>
                <c:pt idx="597">
                  <c:v>46041</c:v>
                </c:pt>
                <c:pt idx="598">
                  <c:v>46042</c:v>
                </c:pt>
                <c:pt idx="599">
                  <c:v>46043</c:v>
                </c:pt>
                <c:pt idx="600">
                  <c:v>46044</c:v>
                </c:pt>
                <c:pt idx="601">
                  <c:v>46045</c:v>
                </c:pt>
                <c:pt idx="602">
                  <c:v>46046</c:v>
                </c:pt>
                <c:pt idx="603">
                  <c:v>46047</c:v>
                </c:pt>
                <c:pt idx="604">
                  <c:v>46048</c:v>
                </c:pt>
                <c:pt idx="605">
                  <c:v>46049</c:v>
                </c:pt>
                <c:pt idx="606">
                  <c:v>46050</c:v>
                </c:pt>
                <c:pt idx="607">
                  <c:v>46051</c:v>
                </c:pt>
                <c:pt idx="608">
                  <c:v>46052</c:v>
                </c:pt>
                <c:pt idx="609">
                  <c:v>46053</c:v>
                </c:pt>
                <c:pt idx="610">
                  <c:v>46054</c:v>
                </c:pt>
                <c:pt idx="611">
                  <c:v>46055</c:v>
                </c:pt>
                <c:pt idx="612">
                  <c:v>46056</c:v>
                </c:pt>
                <c:pt idx="613">
                  <c:v>46057</c:v>
                </c:pt>
                <c:pt idx="614">
                  <c:v>46058</c:v>
                </c:pt>
                <c:pt idx="615">
                  <c:v>46059</c:v>
                </c:pt>
                <c:pt idx="616">
                  <c:v>46060</c:v>
                </c:pt>
                <c:pt idx="617">
                  <c:v>46061</c:v>
                </c:pt>
                <c:pt idx="618">
                  <c:v>46062</c:v>
                </c:pt>
                <c:pt idx="619">
                  <c:v>46063</c:v>
                </c:pt>
                <c:pt idx="620">
                  <c:v>46064</c:v>
                </c:pt>
                <c:pt idx="621">
                  <c:v>46065</c:v>
                </c:pt>
                <c:pt idx="622">
                  <c:v>46066</c:v>
                </c:pt>
                <c:pt idx="623">
                  <c:v>46067</c:v>
                </c:pt>
                <c:pt idx="624">
                  <c:v>46068</c:v>
                </c:pt>
                <c:pt idx="625">
                  <c:v>46069</c:v>
                </c:pt>
                <c:pt idx="626">
                  <c:v>46070</c:v>
                </c:pt>
                <c:pt idx="627">
                  <c:v>46071</c:v>
                </c:pt>
                <c:pt idx="628">
                  <c:v>46072</c:v>
                </c:pt>
                <c:pt idx="629">
                  <c:v>46073</c:v>
                </c:pt>
                <c:pt idx="630">
                  <c:v>46074</c:v>
                </c:pt>
                <c:pt idx="631">
                  <c:v>46075</c:v>
                </c:pt>
                <c:pt idx="632">
                  <c:v>46076</c:v>
                </c:pt>
                <c:pt idx="633">
                  <c:v>46077</c:v>
                </c:pt>
                <c:pt idx="634">
                  <c:v>46078</c:v>
                </c:pt>
                <c:pt idx="635">
                  <c:v>46079</c:v>
                </c:pt>
                <c:pt idx="636">
                  <c:v>46080</c:v>
                </c:pt>
                <c:pt idx="637">
                  <c:v>46081</c:v>
                </c:pt>
                <c:pt idx="638">
                  <c:v>46082</c:v>
                </c:pt>
                <c:pt idx="639">
                  <c:v>46083</c:v>
                </c:pt>
                <c:pt idx="640">
                  <c:v>46084</c:v>
                </c:pt>
                <c:pt idx="641">
                  <c:v>46085</c:v>
                </c:pt>
                <c:pt idx="642">
                  <c:v>46086</c:v>
                </c:pt>
                <c:pt idx="643">
                  <c:v>46087</c:v>
                </c:pt>
                <c:pt idx="644">
                  <c:v>46088</c:v>
                </c:pt>
                <c:pt idx="645">
                  <c:v>46089</c:v>
                </c:pt>
                <c:pt idx="646">
                  <c:v>46090</c:v>
                </c:pt>
                <c:pt idx="647">
                  <c:v>46091</c:v>
                </c:pt>
                <c:pt idx="648">
                  <c:v>46092</c:v>
                </c:pt>
                <c:pt idx="649">
                  <c:v>46093</c:v>
                </c:pt>
                <c:pt idx="650">
                  <c:v>46094</c:v>
                </c:pt>
                <c:pt idx="651">
                  <c:v>46095</c:v>
                </c:pt>
                <c:pt idx="652">
                  <c:v>46096</c:v>
                </c:pt>
                <c:pt idx="653">
                  <c:v>46097</c:v>
                </c:pt>
                <c:pt idx="654">
                  <c:v>46098</c:v>
                </c:pt>
                <c:pt idx="655">
                  <c:v>46099</c:v>
                </c:pt>
                <c:pt idx="656">
                  <c:v>46100</c:v>
                </c:pt>
                <c:pt idx="657">
                  <c:v>46101</c:v>
                </c:pt>
                <c:pt idx="658">
                  <c:v>46102</c:v>
                </c:pt>
                <c:pt idx="659">
                  <c:v>46103</c:v>
                </c:pt>
                <c:pt idx="660">
                  <c:v>46104</c:v>
                </c:pt>
                <c:pt idx="661">
                  <c:v>46105</c:v>
                </c:pt>
                <c:pt idx="662">
                  <c:v>46106</c:v>
                </c:pt>
                <c:pt idx="663">
                  <c:v>46107</c:v>
                </c:pt>
                <c:pt idx="664">
                  <c:v>46108</c:v>
                </c:pt>
                <c:pt idx="665">
                  <c:v>46109</c:v>
                </c:pt>
                <c:pt idx="666">
                  <c:v>46110</c:v>
                </c:pt>
                <c:pt idx="667">
                  <c:v>46111</c:v>
                </c:pt>
                <c:pt idx="668">
                  <c:v>46112</c:v>
                </c:pt>
                <c:pt idx="669">
                  <c:v>46113</c:v>
                </c:pt>
                <c:pt idx="670">
                  <c:v>46114</c:v>
                </c:pt>
                <c:pt idx="671">
                  <c:v>46115</c:v>
                </c:pt>
                <c:pt idx="672">
                  <c:v>46116</c:v>
                </c:pt>
                <c:pt idx="673">
                  <c:v>46117</c:v>
                </c:pt>
                <c:pt idx="674">
                  <c:v>46118</c:v>
                </c:pt>
                <c:pt idx="675">
                  <c:v>46119</c:v>
                </c:pt>
                <c:pt idx="676">
                  <c:v>46120</c:v>
                </c:pt>
                <c:pt idx="677">
                  <c:v>46121</c:v>
                </c:pt>
                <c:pt idx="678">
                  <c:v>46122</c:v>
                </c:pt>
                <c:pt idx="679">
                  <c:v>46123</c:v>
                </c:pt>
                <c:pt idx="680">
                  <c:v>46124</c:v>
                </c:pt>
                <c:pt idx="681">
                  <c:v>46125</c:v>
                </c:pt>
                <c:pt idx="682">
                  <c:v>46126</c:v>
                </c:pt>
                <c:pt idx="683">
                  <c:v>46127</c:v>
                </c:pt>
                <c:pt idx="684">
                  <c:v>46128</c:v>
                </c:pt>
                <c:pt idx="685">
                  <c:v>46129</c:v>
                </c:pt>
                <c:pt idx="686">
                  <c:v>46130</c:v>
                </c:pt>
                <c:pt idx="687">
                  <c:v>46131</c:v>
                </c:pt>
                <c:pt idx="688">
                  <c:v>46132</c:v>
                </c:pt>
                <c:pt idx="689">
                  <c:v>46133</c:v>
                </c:pt>
                <c:pt idx="690">
                  <c:v>46134</c:v>
                </c:pt>
                <c:pt idx="691">
                  <c:v>46135</c:v>
                </c:pt>
                <c:pt idx="692">
                  <c:v>46136</c:v>
                </c:pt>
                <c:pt idx="693">
                  <c:v>46137</c:v>
                </c:pt>
                <c:pt idx="694">
                  <c:v>46138</c:v>
                </c:pt>
                <c:pt idx="695">
                  <c:v>46139</c:v>
                </c:pt>
                <c:pt idx="696">
                  <c:v>46140</c:v>
                </c:pt>
                <c:pt idx="697">
                  <c:v>46141</c:v>
                </c:pt>
                <c:pt idx="698">
                  <c:v>46142</c:v>
                </c:pt>
                <c:pt idx="699">
                  <c:v>46143</c:v>
                </c:pt>
                <c:pt idx="700">
                  <c:v>46144</c:v>
                </c:pt>
                <c:pt idx="701">
                  <c:v>46145</c:v>
                </c:pt>
                <c:pt idx="702">
                  <c:v>46146</c:v>
                </c:pt>
                <c:pt idx="703">
                  <c:v>46147</c:v>
                </c:pt>
                <c:pt idx="704">
                  <c:v>46148</c:v>
                </c:pt>
                <c:pt idx="705">
                  <c:v>46149</c:v>
                </c:pt>
                <c:pt idx="706">
                  <c:v>46150</c:v>
                </c:pt>
                <c:pt idx="707">
                  <c:v>46151</c:v>
                </c:pt>
                <c:pt idx="708">
                  <c:v>46152</c:v>
                </c:pt>
                <c:pt idx="709">
                  <c:v>46153</c:v>
                </c:pt>
                <c:pt idx="710">
                  <c:v>46154</c:v>
                </c:pt>
                <c:pt idx="711">
                  <c:v>46155</c:v>
                </c:pt>
                <c:pt idx="712">
                  <c:v>46156</c:v>
                </c:pt>
                <c:pt idx="713">
                  <c:v>46157</c:v>
                </c:pt>
                <c:pt idx="714">
                  <c:v>46158</c:v>
                </c:pt>
                <c:pt idx="715">
                  <c:v>46159</c:v>
                </c:pt>
                <c:pt idx="716">
                  <c:v>46160</c:v>
                </c:pt>
                <c:pt idx="717">
                  <c:v>46161</c:v>
                </c:pt>
                <c:pt idx="718">
                  <c:v>46162</c:v>
                </c:pt>
                <c:pt idx="719">
                  <c:v>46163</c:v>
                </c:pt>
                <c:pt idx="720">
                  <c:v>46164</c:v>
                </c:pt>
                <c:pt idx="721">
                  <c:v>46165</c:v>
                </c:pt>
                <c:pt idx="722">
                  <c:v>46166</c:v>
                </c:pt>
                <c:pt idx="723">
                  <c:v>46167</c:v>
                </c:pt>
                <c:pt idx="724">
                  <c:v>46168</c:v>
                </c:pt>
                <c:pt idx="725">
                  <c:v>46169</c:v>
                </c:pt>
                <c:pt idx="726">
                  <c:v>46170</c:v>
                </c:pt>
                <c:pt idx="727">
                  <c:v>46171</c:v>
                </c:pt>
                <c:pt idx="728">
                  <c:v>46172</c:v>
                </c:pt>
                <c:pt idx="729">
                  <c:v>46173</c:v>
                </c:pt>
                <c:pt idx="730">
                  <c:v>46174</c:v>
                </c:pt>
                <c:pt idx="731">
                  <c:v>46175</c:v>
                </c:pt>
                <c:pt idx="732">
                  <c:v>46176</c:v>
                </c:pt>
                <c:pt idx="733">
                  <c:v>46177</c:v>
                </c:pt>
                <c:pt idx="734">
                  <c:v>46178</c:v>
                </c:pt>
                <c:pt idx="735">
                  <c:v>46179</c:v>
                </c:pt>
                <c:pt idx="736">
                  <c:v>46180</c:v>
                </c:pt>
                <c:pt idx="737">
                  <c:v>46181</c:v>
                </c:pt>
                <c:pt idx="738">
                  <c:v>46182</c:v>
                </c:pt>
                <c:pt idx="739">
                  <c:v>46183</c:v>
                </c:pt>
                <c:pt idx="740">
                  <c:v>46184</c:v>
                </c:pt>
                <c:pt idx="741">
                  <c:v>46185</c:v>
                </c:pt>
                <c:pt idx="742">
                  <c:v>46186</c:v>
                </c:pt>
                <c:pt idx="743">
                  <c:v>46187</c:v>
                </c:pt>
                <c:pt idx="744">
                  <c:v>46188</c:v>
                </c:pt>
                <c:pt idx="745">
                  <c:v>46189</c:v>
                </c:pt>
                <c:pt idx="746">
                  <c:v>46190</c:v>
                </c:pt>
                <c:pt idx="747">
                  <c:v>46191</c:v>
                </c:pt>
                <c:pt idx="748">
                  <c:v>46192</c:v>
                </c:pt>
                <c:pt idx="749">
                  <c:v>46193</c:v>
                </c:pt>
                <c:pt idx="750">
                  <c:v>46194</c:v>
                </c:pt>
                <c:pt idx="751">
                  <c:v>46195</c:v>
                </c:pt>
                <c:pt idx="752">
                  <c:v>46196</c:v>
                </c:pt>
                <c:pt idx="753">
                  <c:v>46197</c:v>
                </c:pt>
                <c:pt idx="754">
                  <c:v>46198</c:v>
                </c:pt>
                <c:pt idx="755">
                  <c:v>46199</c:v>
                </c:pt>
                <c:pt idx="756">
                  <c:v>46200</c:v>
                </c:pt>
                <c:pt idx="757">
                  <c:v>46201</c:v>
                </c:pt>
                <c:pt idx="758">
                  <c:v>46202</c:v>
                </c:pt>
                <c:pt idx="759">
                  <c:v>46203</c:v>
                </c:pt>
                <c:pt idx="760">
                  <c:v>46204</c:v>
                </c:pt>
                <c:pt idx="761">
                  <c:v>46205</c:v>
                </c:pt>
                <c:pt idx="762">
                  <c:v>46206</c:v>
                </c:pt>
                <c:pt idx="763">
                  <c:v>46207</c:v>
                </c:pt>
                <c:pt idx="764">
                  <c:v>46208</c:v>
                </c:pt>
                <c:pt idx="765">
                  <c:v>46209</c:v>
                </c:pt>
                <c:pt idx="766">
                  <c:v>46210</c:v>
                </c:pt>
                <c:pt idx="767">
                  <c:v>46211</c:v>
                </c:pt>
                <c:pt idx="768">
                  <c:v>46212</c:v>
                </c:pt>
                <c:pt idx="769">
                  <c:v>46213</c:v>
                </c:pt>
                <c:pt idx="770">
                  <c:v>46214</c:v>
                </c:pt>
                <c:pt idx="771">
                  <c:v>46215</c:v>
                </c:pt>
                <c:pt idx="772">
                  <c:v>46216</c:v>
                </c:pt>
                <c:pt idx="773">
                  <c:v>46217</c:v>
                </c:pt>
                <c:pt idx="774">
                  <c:v>46218</c:v>
                </c:pt>
                <c:pt idx="775">
                  <c:v>46219</c:v>
                </c:pt>
                <c:pt idx="776">
                  <c:v>46220</c:v>
                </c:pt>
                <c:pt idx="777">
                  <c:v>46221</c:v>
                </c:pt>
                <c:pt idx="778">
                  <c:v>46222</c:v>
                </c:pt>
                <c:pt idx="779">
                  <c:v>46223</c:v>
                </c:pt>
                <c:pt idx="780">
                  <c:v>46224</c:v>
                </c:pt>
                <c:pt idx="781">
                  <c:v>46225</c:v>
                </c:pt>
                <c:pt idx="782">
                  <c:v>46226</c:v>
                </c:pt>
                <c:pt idx="783">
                  <c:v>46227</c:v>
                </c:pt>
                <c:pt idx="784">
                  <c:v>46228</c:v>
                </c:pt>
                <c:pt idx="785">
                  <c:v>46229</c:v>
                </c:pt>
                <c:pt idx="786">
                  <c:v>46230</c:v>
                </c:pt>
                <c:pt idx="787">
                  <c:v>46231</c:v>
                </c:pt>
                <c:pt idx="788">
                  <c:v>46232</c:v>
                </c:pt>
                <c:pt idx="789">
                  <c:v>46233</c:v>
                </c:pt>
                <c:pt idx="790">
                  <c:v>46234</c:v>
                </c:pt>
                <c:pt idx="791">
                  <c:v>46235</c:v>
                </c:pt>
                <c:pt idx="792">
                  <c:v>46236</c:v>
                </c:pt>
                <c:pt idx="793">
                  <c:v>46237</c:v>
                </c:pt>
                <c:pt idx="794">
                  <c:v>46238</c:v>
                </c:pt>
                <c:pt idx="795">
                  <c:v>46239</c:v>
                </c:pt>
                <c:pt idx="796">
                  <c:v>46240</c:v>
                </c:pt>
                <c:pt idx="797">
                  <c:v>46241</c:v>
                </c:pt>
                <c:pt idx="798">
                  <c:v>46242</c:v>
                </c:pt>
                <c:pt idx="799">
                  <c:v>46243</c:v>
                </c:pt>
                <c:pt idx="800">
                  <c:v>46244</c:v>
                </c:pt>
                <c:pt idx="801">
                  <c:v>46245</c:v>
                </c:pt>
                <c:pt idx="802">
                  <c:v>46246</c:v>
                </c:pt>
                <c:pt idx="803">
                  <c:v>46247</c:v>
                </c:pt>
                <c:pt idx="804">
                  <c:v>46248</c:v>
                </c:pt>
                <c:pt idx="805">
                  <c:v>46249</c:v>
                </c:pt>
                <c:pt idx="806">
                  <c:v>46250</c:v>
                </c:pt>
                <c:pt idx="807">
                  <c:v>46251</c:v>
                </c:pt>
                <c:pt idx="808">
                  <c:v>46252</c:v>
                </c:pt>
                <c:pt idx="809">
                  <c:v>46253</c:v>
                </c:pt>
                <c:pt idx="810">
                  <c:v>46254</c:v>
                </c:pt>
                <c:pt idx="811">
                  <c:v>46255</c:v>
                </c:pt>
                <c:pt idx="812">
                  <c:v>46256</c:v>
                </c:pt>
                <c:pt idx="813">
                  <c:v>46257</c:v>
                </c:pt>
                <c:pt idx="814">
                  <c:v>46258</c:v>
                </c:pt>
                <c:pt idx="815">
                  <c:v>46259</c:v>
                </c:pt>
                <c:pt idx="816">
                  <c:v>46260</c:v>
                </c:pt>
                <c:pt idx="817">
                  <c:v>46261</c:v>
                </c:pt>
                <c:pt idx="818">
                  <c:v>46262</c:v>
                </c:pt>
                <c:pt idx="819">
                  <c:v>46263</c:v>
                </c:pt>
                <c:pt idx="820">
                  <c:v>46264</c:v>
                </c:pt>
                <c:pt idx="821">
                  <c:v>46265</c:v>
                </c:pt>
                <c:pt idx="822">
                  <c:v>46266</c:v>
                </c:pt>
                <c:pt idx="823">
                  <c:v>46267</c:v>
                </c:pt>
                <c:pt idx="824">
                  <c:v>46268</c:v>
                </c:pt>
                <c:pt idx="825">
                  <c:v>46269</c:v>
                </c:pt>
                <c:pt idx="826">
                  <c:v>46270</c:v>
                </c:pt>
                <c:pt idx="827">
                  <c:v>46271</c:v>
                </c:pt>
                <c:pt idx="828">
                  <c:v>46272</c:v>
                </c:pt>
                <c:pt idx="829">
                  <c:v>46273</c:v>
                </c:pt>
                <c:pt idx="830">
                  <c:v>46274</c:v>
                </c:pt>
                <c:pt idx="831">
                  <c:v>46275</c:v>
                </c:pt>
                <c:pt idx="832">
                  <c:v>46276</c:v>
                </c:pt>
                <c:pt idx="833">
                  <c:v>46277</c:v>
                </c:pt>
                <c:pt idx="834">
                  <c:v>46278</c:v>
                </c:pt>
                <c:pt idx="835">
                  <c:v>46279</c:v>
                </c:pt>
                <c:pt idx="836">
                  <c:v>46280</c:v>
                </c:pt>
                <c:pt idx="837">
                  <c:v>46281</c:v>
                </c:pt>
                <c:pt idx="838">
                  <c:v>46282</c:v>
                </c:pt>
                <c:pt idx="839">
                  <c:v>46283</c:v>
                </c:pt>
                <c:pt idx="840">
                  <c:v>46284</c:v>
                </c:pt>
                <c:pt idx="841">
                  <c:v>46285</c:v>
                </c:pt>
                <c:pt idx="842">
                  <c:v>46286</c:v>
                </c:pt>
                <c:pt idx="843">
                  <c:v>46287</c:v>
                </c:pt>
                <c:pt idx="844">
                  <c:v>46288</c:v>
                </c:pt>
                <c:pt idx="845">
                  <c:v>46289</c:v>
                </c:pt>
                <c:pt idx="846">
                  <c:v>46290</c:v>
                </c:pt>
                <c:pt idx="847">
                  <c:v>46291</c:v>
                </c:pt>
                <c:pt idx="848">
                  <c:v>46292</c:v>
                </c:pt>
                <c:pt idx="849">
                  <c:v>46293</c:v>
                </c:pt>
                <c:pt idx="850">
                  <c:v>46294</c:v>
                </c:pt>
                <c:pt idx="851">
                  <c:v>46295</c:v>
                </c:pt>
                <c:pt idx="852">
                  <c:v>46296</c:v>
                </c:pt>
                <c:pt idx="853">
                  <c:v>46297</c:v>
                </c:pt>
                <c:pt idx="854">
                  <c:v>46298</c:v>
                </c:pt>
                <c:pt idx="855">
                  <c:v>46299</c:v>
                </c:pt>
                <c:pt idx="856">
                  <c:v>46300</c:v>
                </c:pt>
                <c:pt idx="857">
                  <c:v>46301</c:v>
                </c:pt>
                <c:pt idx="858">
                  <c:v>46302</c:v>
                </c:pt>
                <c:pt idx="859">
                  <c:v>46303</c:v>
                </c:pt>
                <c:pt idx="860">
                  <c:v>46304</c:v>
                </c:pt>
                <c:pt idx="861">
                  <c:v>46305</c:v>
                </c:pt>
                <c:pt idx="862">
                  <c:v>46306</c:v>
                </c:pt>
                <c:pt idx="863">
                  <c:v>46307</c:v>
                </c:pt>
                <c:pt idx="864">
                  <c:v>46308</c:v>
                </c:pt>
                <c:pt idx="865">
                  <c:v>46309</c:v>
                </c:pt>
                <c:pt idx="866">
                  <c:v>46310</c:v>
                </c:pt>
                <c:pt idx="867">
                  <c:v>46311</c:v>
                </c:pt>
                <c:pt idx="868">
                  <c:v>46312</c:v>
                </c:pt>
                <c:pt idx="869">
                  <c:v>46313</c:v>
                </c:pt>
                <c:pt idx="870">
                  <c:v>46314</c:v>
                </c:pt>
                <c:pt idx="871">
                  <c:v>46315</c:v>
                </c:pt>
                <c:pt idx="872">
                  <c:v>46316</c:v>
                </c:pt>
                <c:pt idx="873">
                  <c:v>46317</c:v>
                </c:pt>
                <c:pt idx="874">
                  <c:v>46318</c:v>
                </c:pt>
                <c:pt idx="875">
                  <c:v>46319</c:v>
                </c:pt>
                <c:pt idx="876">
                  <c:v>46320</c:v>
                </c:pt>
                <c:pt idx="877">
                  <c:v>46321</c:v>
                </c:pt>
                <c:pt idx="878">
                  <c:v>46322</c:v>
                </c:pt>
                <c:pt idx="879">
                  <c:v>46323</c:v>
                </c:pt>
                <c:pt idx="880">
                  <c:v>46324</c:v>
                </c:pt>
                <c:pt idx="881">
                  <c:v>46325</c:v>
                </c:pt>
                <c:pt idx="882">
                  <c:v>46326</c:v>
                </c:pt>
                <c:pt idx="883">
                  <c:v>46327</c:v>
                </c:pt>
                <c:pt idx="884">
                  <c:v>46328</c:v>
                </c:pt>
                <c:pt idx="885">
                  <c:v>46329</c:v>
                </c:pt>
                <c:pt idx="886">
                  <c:v>46330</c:v>
                </c:pt>
                <c:pt idx="887">
                  <c:v>46331</c:v>
                </c:pt>
                <c:pt idx="888">
                  <c:v>46332</c:v>
                </c:pt>
                <c:pt idx="889">
                  <c:v>46333</c:v>
                </c:pt>
                <c:pt idx="890">
                  <c:v>46334</c:v>
                </c:pt>
                <c:pt idx="891">
                  <c:v>46335</c:v>
                </c:pt>
                <c:pt idx="892">
                  <c:v>46336</c:v>
                </c:pt>
                <c:pt idx="893">
                  <c:v>46337</c:v>
                </c:pt>
                <c:pt idx="894">
                  <c:v>46338</c:v>
                </c:pt>
                <c:pt idx="895">
                  <c:v>46339</c:v>
                </c:pt>
                <c:pt idx="896">
                  <c:v>46340</c:v>
                </c:pt>
                <c:pt idx="897">
                  <c:v>46341</c:v>
                </c:pt>
                <c:pt idx="898">
                  <c:v>46342</c:v>
                </c:pt>
                <c:pt idx="899">
                  <c:v>46343</c:v>
                </c:pt>
                <c:pt idx="900">
                  <c:v>46344</c:v>
                </c:pt>
                <c:pt idx="901">
                  <c:v>46345</c:v>
                </c:pt>
                <c:pt idx="902">
                  <c:v>46346</c:v>
                </c:pt>
                <c:pt idx="903">
                  <c:v>46347</c:v>
                </c:pt>
                <c:pt idx="904">
                  <c:v>46348</c:v>
                </c:pt>
                <c:pt idx="905">
                  <c:v>46349</c:v>
                </c:pt>
                <c:pt idx="906">
                  <c:v>46350</c:v>
                </c:pt>
                <c:pt idx="907">
                  <c:v>46351</c:v>
                </c:pt>
                <c:pt idx="908">
                  <c:v>46352</c:v>
                </c:pt>
                <c:pt idx="909">
                  <c:v>46353</c:v>
                </c:pt>
                <c:pt idx="910">
                  <c:v>46354</c:v>
                </c:pt>
                <c:pt idx="911">
                  <c:v>46355</c:v>
                </c:pt>
                <c:pt idx="912">
                  <c:v>46356</c:v>
                </c:pt>
                <c:pt idx="913">
                  <c:v>46357</c:v>
                </c:pt>
                <c:pt idx="914">
                  <c:v>46358</c:v>
                </c:pt>
                <c:pt idx="915">
                  <c:v>46359</c:v>
                </c:pt>
                <c:pt idx="916">
                  <c:v>46360</c:v>
                </c:pt>
                <c:pt idx="917">
                  <c:v>46361</c:v>
                </c:pt>
                <c:pt idx="918">
                  <c:v>46362</c:v>
                </c:pt>
                <c:pt idx="919">
                  <c:v>46363</c:v>
                </c:pt>
                <c:pt idx="920">
                  <c:v>46364</c:v>
                </c:pt>
                <c:pt idx="921">
                  <c:v>46365</c:v>
                </c:pt>
                <c:pt idx="922">
                  <c:v>46366</c:v>
                </c:pt>
                <c:pt idx="923">
                  <c:v>46367</c:v>
                </c:pt>
                <c:pt idx="924">
                  <c:v>46368</c:v>
                </c:pt>
                <c:pt idx="925">
                  <c:v>46369</c:v>
                </c:pt>
                <c:pt idx="926">
                  <c:v>46370</c:v>
                </c:pt>
                <c:pt idx="927">
                  <c:v>46371</c:v>
                </c:pt>
                <c:pt idx="928">
                  <c:v>46372</c:v>
                </c:pt>
                <c:pt idx="929">
                  <c:v>46373</c:v>
                </c:pt>
                <c:pt idx="930">
                  <c:v>46374</c:v>
                </c:pt>
                <c:pt idx="931">
                  <c:v>46375</c:v>
                </c:pt>
                <c:pt idx="932">
                  <c:v>46376</c:v>
                </c:pt>
                <c:pt idx="933">
                  <c:v>46377</c:v>
                </c:pt>
                <c:pt idx="934">
                  <c:v>46378</c:v>
                </c:pt>
                <c:pt idx="935">
                  <c:v>46379</c:v>
                </c:pt>
                <c:pt idx="936">
                  <c:v>46380</c:v>
                </c:pt>
                <c:pt idx="937">
                  <c:v>46381</c:v>
                </c:pt>
                <c:pt idx="938">
                  <c:v>46382</c:v>
                </c:pt>
                <c:pt idx="939">
                  <c:v>46383</c:v>
                </c:pt>
                <c:pt idx="940">
                  <c:v>46384</c:v>
                </c:pt>
                <c:pt idx="941">
                  <c:v>46385</c:v>
                </c:pt>
                <c:pt idx="942">
                  <c:v>46386</c:v>
                </c:pt>
                <c:pt idx="943">
                  <c:v>46387</c:v>
                </c:pt>
                <c:pt idx="944">
                  <c:v>46388</c:v>
                </c:pt>
                <c:pt idx="945">
                  <c:v>46389</c:v>
                </c:pt>
                <c:pt idx="946">
                  <c:v>46390</c:v>
                </c:pt>
                <c:pt idx="947">
                  <c:v>46391</c:v>
                </c:pt>
                <c:pt idx="948">
                  <c:v>46392</c:v>
                </c:pt>
                <c:pt idx="949">
                  <c:v>46393</c:v>
                </c:pt>
                <c:pt idx="950">
                  <c:v>46394</c:v>
                </c:pt>
                <c:pt idx="951">
                  <c:v>46395</c:v>
                </c:pt>
                <c:pt idx="952">
                  <c:v>46396</c:v>
                </c:pt>
                <c:pt idx="953">
                  <c:v>46397</c:v>
                </c:pt>
                <c:pt idx="954">
                  <c:v>46398</c:v>
                </c:pt>
                <c:pt idx="955">
                  <c:v>46399</c:v>
                </c:pt>
                <c:pt idx="956">
                  <c:v>46400</c:v>
                </c:pt>
                <c:pt idx="957">
                  <c:v>46401</c:v>
                </c:pt>
                <c:pt idx="958">
                  <c:v>46402</c:v>
                </c:pt>
                <c:pt idx="959">
                  <c:v>46403</c:v>
                </c:pt>
                <c:pt idx="960">
                  <c:v>46404</c:v>
                </c:pt>
                <c:pt idx="961">
                  <c:v>46405</c:v>
                </c:pt>
                <c:pt idx="962">
                  <c:v>46406</c:v>
                </c:pt>
                <c:pt idx="963">
                  <c:v>46407</c:v>
                </c:pt>
                <c:pt idx="964">
                  <c:v>46408</c:v>
                </c:pt>
                <c:pt idx="965">
                  <c:v>46409</c:v>
                </c:pt>
                <c:pt idx="966">
                  <c:v>46410</c:v>
                </c:pt>
                <c:pt idx="967">
                  <c:v>46411</c:v>
                </c:pt>
                <c:pt idx="968">
                  <c:v>46412</c:v>
                </c:pt>
                <c:pt idx="969">
                  <c:v>46413</c:v>
                </c:pt>
                <c:pt idx="970">
                  <c:v>46414</c:v>
                </c:pt>
                <c:pt idx="971">
                  <c:v>46415</c:v>
                </c:pt>
                <c:pt idx="972">
                  <c:v>46416</c:v>
                </c:pt>
                <c:pt idx="973">
                  <c:v>46417</c:v>
                </c:pt>
                <c:pt idx="974">
                  <c:v>46418</c:v>
                </c:pt>
                <c:pt idx="975">
                  <c:v>46419</c:v>
                </c:pt>
                <c:pt idx="976">
                  <c:v>46420</c:v>
                </c:pt>
                <c:pt idx="977">
                  <c:v>46421</c:v>
                </c:pt>
                <c:pt idx="978">
                  <c:v>46422</c:v>
                </c:pt>
                <c:pt idx="979">
                  <c:v>46423</c:v>
                </c:pt>
                <c:pt idx="980">
                  <c:v>46424</c:v>
                </c:pt>
                <c:pt idx="981">
                  <c:v>46425</c:v>
                </c:pt>
                <c:pt idx="982">
                  <c:v>46426</c:v>
                </c:pt>
                <c:pt idx="983">
                  <c:v>46427</c:v>
                </c:pt>
                <c:pt idx="984">
                  <c:v>46428</c:v>
                </c:pt>
                <c:pt idx="985">
                  <c:v>46429</c:v>
                </c:pt>
                <c:pt idx="986">
                  <c:v>46430</c:v>
                </c:pt>
                <c:pt idx="987">
                  <c:v>46431</c:v>
                </c:pt>
                <c:pt idx="988">
                  <c:v>46432</c:v>
                </c:pt>
                <c:pt idx="989">
                  <c:v>46433</c:v>
                </c:pt>
                <c:pt idx="990">
                  <c:v>46434</c:v>
                </c:pt>
                <c:pt idx="991">
                  <c:v>46435</c:v>
                </c:pt>
                <c:pt idx="992">
                  <c:v>46436</c:v>
                </c:pt>
                <c:pt idx="993">
                  <c:v>46437</c:v>
                </c:pt>
                <c:pt idx="994">
                  <c:v>46438</c:v>
                </c:pt>
                <c:pt idx="995">
                  <c:v>46439</c:v>
                </c:pt>
                <c:pt idx="996">
                  <c:v>46440</c:v>
                </c:pt>
                <c:pt idx="997">
                  <c:v>46441</c:v>
                </c:pt>
                <c:pt idx="998">
                  <c:v>46442</c:v>
                </c:pt>
                <c:pt idx="999">
                  <c:v>46443</c:v>
                </c:pt>
                <c:pt idx="1000">
                  <c:v>46444</c:v>
                </c:pt>
                <c:pt idx="1001">
                  <c:v>46445</c:v>
                </c:pt>
                <c:pt idx="1002">
                  <c:v>46446</c:v>
                </c:pt>
                <c:pt idx="1003">
                  <c:v>46447</c:v>
                </c:pt>
                <c:pt idx="1004">
                  <c:v>46448</c:v>
                </c:pt>
                <c:pt idx="1005">
                  <c:v>46449</c:v>
                </c:pt>
                <c:pt idx="1006">
                  <c:v>46450</c:v>
                </c:pt>
                <c:pt idx="1007">
                  <c:v>46451</c:v>
                </c:pt>
                <c:pt idx="1008">
                  <c:v>46452</c:v>
                </c:pt>
                <c:pt idx="1009">
                  <c:v>46453</c:v>
                </c:pt>
                <c:pt idx="1010">
                  <c:v>46454</c:v>
                </c:pt>
                <c:pt idx="1011">
                  <c:v>46455</c:v>
                </c:pt>
                <c:pt idx="1012">
                  <c:v>46456</c:v>
                </c:pt>
                <c:pt idx="1013">
                  <c:v>46457</c:v>
                </c:pt>
                <c:pt idx="1014">
                  <c:v>46458</c:v>
                </c:pt>
                <c:pt idx="1015">
                  <c:v>46459</c:v>
                </c:pt>
                <c:pt idx="1016">
                  <c:v>46460</c:v>
                </c:pt>
                <c:pt idx="1017">
                  <c:v>46461</c:v>
                </c:pt>
                <c:pt idx="1018">
                  <c:v>46462</c:v>
                </c:pt>
                <c:pt idx="1019">
                  <c:v>46463</c:v>
                </c:pt>
                <c:pt idx="1020">
                  <c:v>46464</c:v>
                </c:pt>
                <c:pt idx="1021">
                  <c:v>46465</c:v>
                </c:pt>
                <c:pt idx="1022">
                  <c:v>46466</c:v>
                </c:pt>
                <c:pt idx="1023">
                  <c:v>46467</c:v>
                </c:pt>
                <c:pt idx="1024">
                  <c:v>46468</c:v>
                </c:pt>
                <c:pt idx="1025">
                  <c:v>46469</c:v>
                </c:pt>
                <c:pt idx="1026">
                  <c:v>46470</c:v>
                </c:pt>
                <c:pt idx="1027">
                  <c:v>46471</c:v>
                </c:pt>
                <c:pt idx="1028">
                  <c:v>46472</c:v>
                </c:pt>
                <c:pt idx="1029">
                  <c:v>46473</c:v>
                </c:pt>
                <c:pt idx="1030">
                  <c:v>46474</c:v>
                </c:pt>
                <c:pt idx="1031">
                  <c:v>46475</c:v>
                </c:pt>
                <c:pt idx="1032">
                  <c:v>46476</c:v>
                </c:pt>
                <c:pt idx="1033">
                  <c:v>46477</c:v>
                </c:pt>
                <c:pt idx="1034">
                  <c:v>46478</c:v>
                </c:pt>
                <c:pt idx="1035">
                  <c:v>46479</c:v>
                </c:pt>
                <c:pt idx="1036">
                  <c:v>46480</c:v>
                </c:pt>
                <c:pt idx="1037">
                  <c:v>46481</c:v>
                </c:pt>
                <c:pt idx="1038">
                  <c:v>46482</c:v>
                </c:pt>
                <c:pt idx="1039">
                  <c:v>46483</c:v>
                </c:pt>
                <c:pt idx="1040">
                  <c:v>46484</c:v>
                </c:pt>
                <c:pt idx="1041">
                  <c:v>46485</c:v>
                </c:pt>
                <c:pt idx="1042">
                  <c:v>46486</c:v>
                </c:pt>
                <c:pt idx="1043">
                  <c:v>46487</c:v>
                </c:pt>
                <c:pt idx="1044">
                  <c:v>46488</c:v>
                </c:pt>
                <c:pt idx="1045">
                  <c:v>46489</c:v>
                </c:pt>
                <c:pt idx="1046">
                  <c:v>46490</c:v>
                </c:pt>
                <c:pt idx="1047">
                  <c:v>46491</c:v>
                </c:pt>
                <c:pt idx="1048">
                  <c:v>46492</c:v>
                </c:pt>
                <c:pt idx="1049">
                  <c:v>46493</c:v>
                </c:pt>
                <c:pt idx="1050">
                  <c:v>46494</c:v>
                </c:pt>
                <c:pt idx="1051">
                  <c:v>46495</c:v>
                </c:pt>
                <c:pt idx="1052">
                  <c:v>46496</c:v>
                </c:pt>
                <c:pt idx="1053">
                  <c:v>46497</c:v>
                </c:pt>
                <c:pt idx="1054">
                  <c:v>46498</c:v>
                </c:pt>
                <c:pt idx="1055">
                  <c:v>46499</c:v>
                </c:pt>
                <c:pt idx="1056">
                  <c:v>46500</c:v>
                </c:pt>
                <c:pt idx="1057">
                  <c:v>46501</c:v>
                </c:pt>
                <c:pt idx="1058">
                  <c:v>46502</c:v>
                </c:pt>
                <c:pt idx="1059">
                  <c:v>46503</c:v>
                </c:pt>
                <c:pt idx="1060">
                  <c:v>46504</c:v>
                </c:pt>
                <c:pt idx="1061">
                  <c:v>46505</c:v>
                </c:pt>
                <c:pt idx="1062">
                  <c:v>46506</c:v>
                </c:pt>
                <c:pt idx="1063">
                  <c:v>46507</c:v>
                </c:pt>
                <c:pt idx="1064">
                  <c:v>46508</c:v>
                </c:pt>
                <c:pt idx="1065">
                  <c:v>46509</c:v>
                </c:pt>
                <c:pt idx="1066">
                  <c:v>46510</c:v>
                </c:pt>
                <c:pt idx="1067">
                  <c:v>46511</c:v>
                </c:pt>
                <c:pt idx="1068">
                  <c:v>46512</c:v>
                </c:pt>
                <c:pt idx="1069">
                  <c:v>46513</c:v>
                </c:pt>
                <c:pt idx="1070">
                  <c:v>46514</c:v>
                </c:pt>
                <c:pt idx="1071">
                  <c:v>46515</c:v>
                </c:pt>
                <c:pt idx="1072">
                  <c:v>46516</c:v>
                </c:pt>
                <c:pt idx="1073">
                  <c:v>46517</c:v>
                </c:pt>
                <c:pt idx="1074">
                  <c:v>46518</c:v>
                </c:pt>
                <c:pt idx="1075">
                  <c:v>46519</c:v>
                </c:pt>
                <c:pt idx="1076">
                  <c:v>46520</c:v>
                </c:pt>
                <c:pt idx="1077">
                  <c:v>46521</c:v>
                </c:pt>
                <c:pt idx="1078">
                  <c:v>46522</c:v>
                </c:pt>
                <c:pt idx="1079">
                  <c:v>46523</c:v>
                </c:pt>
                <c:pt idx="1080">
                  <c:v>46524</c:v>
                </c:pt>
                <c:pt idx="1081">
                  <c:v>46525</c:v>
                </c:pt>
                <c:pt idx="1082">
                  <c:v>46526</c:v>
                </c:pt>
                <c:pt idx="1083">
                  <c:v>46527</c:v>
                </c:pt>
                <c:pt idx="1084">
                  <c:v>46528</c:v>
                </c:pt>
                <c:pt idx="1085">
                  <c:v>46529</c:v>
                </c:pt>
                <c:pt idx="1086">
                  <c:v>46530</c:v>
                </c:pt>
                <c:pt idx="1087">
                  <c:v>46531</c:v>
                </c:pt>
                <c:pt idx="1088">
                  <c:v>46532</c:v>
                </c:pt>
                <c:pt idx="1089">
                  <c:v>46533</c:v>
                </c:pt>
                <c:pt idx="1090">
                  <c:v>46534</c:v>
                </c:pt>
                <c:pt idx="1091">
                  <c:v>46535</c:v>
                </c:pt>
                <c:pt idx="1092">
                  <c:v>46536</c:v>
                </c:pt>
                <c:pt idx="1093">
                  <c:v>46537</c:v>
                </c:pt>
                <c:pt idx="1094">
                  <c:v>46538</c:v>
                </c:pt>
                <c:pt idx="1095">
                  <c:v>46539</c:v>
                </c:pt>
                <c:pt idx="1096">
                  <c:v>46540</c:v>
                </c:pt>
                <c:pt idx="1097">
                  <c:v>46541</c:v>
                </c:pt>
                <c:pt idx="1098">
                  <c:v>46542</c:v>
                </c:pt>
                <c:pt idx="1099">
                  <c:v>46543</c:v>
                </c:pt>
                <c:pt idx="1100">
                  <c:v>46544</c:v>
                </c:pt>
                <c:pt idx="1101">
                  <c:v>46545</c:v>
                </c:pt>
                <c:pt idx="1102">
                  <c:v>46546</c:v>
                </c:pt>
                <c:pt idx="1103">
                  <c:v>46547</c:v>
                </c:pt>
                <c:pt idx="1104">
                  <c:v>46548</c:v>
                </c:pt>
                <c:pt idx="1105">
                  <c:v>46549</c:v>
                </c:pt>
                <c:pt idx="1106">
                  <c:v>46550</c:v>
                </c:pt>
                <c:pt idx="1107">
                  <c:v>46551</c:v>
                </c:pt>
                <c:pt idx="1108">
                  <c:v>46552</c:v>
                </c:pt>
                <c:pt idx="1109">
                  <c:v>46553</c:v>
                </c:pt>
                <c:pt idx="1110">
                  <c:v>46554</c:v>
                </c:pt>
                <c:pt idx="1111">
                  <c:v>46555</c:v>
                </c:pt>
                <c:pt idx="1112">
                  <c:v>46556</c:v>
                </c:pt>
                <c:pt idx="1113">
                  <c:v>46557</c:v>
                </c:pt>
                <c:pt idx="1114">
                  <c:v>46558</c:v>
                </c:pt>
                <c:pt idx="1115">
                  <c:v>46559</c:v>
                </c:pt>
                <c:pt idx="1116">
                  <c:v>46560</c:v>
                </c:pt>
                <c:pt idx="1117">
                  <c:v>46561</c:v>
                </c:pt>
                <c:pt idx="1118">
                  <c:v>46562</c:v>
                </c:pt>
                <c:pt idx="1119">
                  <c:v>46563</c:v>
                </c:pt>
                <c:pt idx="1120">
                  <c:v>46564</c:v>
                </c:pt>
                <c:pt idx="1121">
                  <c:v>46565</c:v>
                </c:pt>
                <c:pt idx="1122">
                  <c:v>46566</c:v>
                </c:pt>
                <c:pt idx="1123">
                  <c:v>46567</c:v>
                </c:pt>
                <c:pt idx="1124">
                  <c:v>46568</c:v>
                </c:pt>
                <c:pt idx="1125">
                  <c:v>46569</c:v>
                </c:pt>
                <c:pt idx="1126">
                  <c:v>46570</c:v>
                </c:pt>
                <c:pt idx="1127">
                  <c:v>46571</c:v>
                </c:pt>
                <c:pt idx="1128">
                  <c:v>46572</c:v>
                </c:pt>
                <c:pt idx="1129">
                  <c:v>46573</c:v>
                </c:pt>
                <c:pt idx="1130">
                  <c:v>46574</c:v>
                </c:pt>
                <c:pt idx="1131">
                  <c:v>46575</c:v>
                </c:pt>
                <c:pt idx="1132">
                  <c:v>46576</c:v>
                </c:pt>
                <c:pt idx="1133">
                  <c:v>46577</c:v>
                </c:pt>
                <c:pt idx="1134">
                  <c:v>46578</c:v>
                </c:pt>
                <c:pt idx="1135">
                  <c:v>46579</c:v>
                </c:pt>
                <c:pt idx="1136">
                  <c:v>46580</c:v>
                </c:pt>
                <c:pt idx="1137">
                  <c:v>46581</c:v>
                </c:pt>
                <c:pt idx="1138">
                  <c:v>46582</c:v>
                </c:pt>
                <c:pt idx="1139">
                  <c:v>46583</c:v>
                </c:pt>
                <c:pt idx="1140">
                  <c:v>46584</c:v>
                </c:pt>
                <c:pt idx="1141">
                  <c:v>46585</c:v>
                </c:pt>
                <c:pt idx="1142">
                  <c:v>46586</c:v>
                </c:pt>
                <c:pt idx="1143">
                  <c:v>46587</c:v>
                </c:pt>
                <c:pt idx="1144">
                  <c:v>46588</c:v>
                </c:pt>
                <c:pt idx="1145">
                  <c:v>46589</c:v>
                </c:pt>
                <c:pt idx="1146">
                  <c:v>46590</c:v>
                </c:pt>
                <c:pt idx="1147">
                  <c:v>46591</c:v>
                </c:pt>
                <c:pt idx="1148">
                  <c:v>46592</c:v>
                </c:pt>
                <c:pt idx="1149">
                  <c:v>46593</c:v>
                </c:pt>
                <c:pt idx="1150">
                  <c:v>46594</c:v>
                </c:pt>
                <c:pt idx="1151">
                  <c:v>46595</c:v>
                </c:pt>
                <c:pt idx="1152">
                  <c:v>46596</c:v>
                </c:pt>
                <c:pt idx="1153">
                  <c:v>46597</c:v>
                </c:pt>
                <c:pt idx="1154">
                  <c:v>46598</c:v>
                </c:pt>
                <c:pt idx="1155">
                  <c:v>46599</c:v>
                </c:pt>
                <c:pt idx="1156">
                  <c:v>46600</c:v>
                </c:pt>
                <c:pt idx="1157">
                  <c:v>46601</c:v>
                </c:pt>
                <c:pt idx="1158">
                  <c:v>46602</c:v>
                </c:pt>
                <c:pt idx="1159">
                  <c:v>46603</c:v>
                </c:pt>
                <c:pt idx="1160">
                  <c:v>46604</c:v>
                </c:pt>
                <c:pt idx="1161">
                  <c:v>46605</c:v>
                </c:pt>
                <c:pt idx="1162">
                  <c:v>46606</c:v>
                </c:pt>
                <c:pt idx="1163">
                  <c:v>46607</c:v>
                </c:pt>
                <c:pt idx="1164">
                  <c:v>46608</c:v>
                </c:pt>
                <c:pt idx="1165">
                  <c:v>46609</c:v>
                </c:pt>
                <c:pt idx="1166">
                  <c:v>46610</c:v>
                </c:pt>
                <c:pt idx="1167">
                  <c:v>46611</c:v>
                </c:pt>
                <c:pt idx="1168">
                  <c:v>46612</c:v>
                </c:pt>
                <c:pt idx="1169">
                  <c:v>46613</c:v>
                </c:pt>
                <c:pt idx="1170">
                  <c:v>46614</c:v>
                </c:pt>
                <c:pt idx="1171">
                  <c:v>46615</c:v>
                </c:pt>
                <c:pt idx="1172">
                  <c:v>46616</c:v>
                </c:pt>
                <c:pt idx="1173">
                  <c:v>46617</c:v>
                </c:pt>
                <c:pt idx="1174">
                  <c:v>46618</c:v>
                </c:pt>
                <c:pt idx="1175">
                  <c:v>46619</c:v>
                </c:pt>
                <c:pt idx="1176">
                  <c:v>46620</c:v>
                </c:pt>
                <c:pt idx="1177">
                  <c:v>46621</c:v>
                </c:pt>
                <c:pt idx="1178">
                  <c:v>46622</c:v>
                </c:pt>
                <c:pt idx="1179">
                  <c:v>46623</c:v>
                </c:pt>
                <c:pt idx="1180">
                  <c:v>46624</c:v>
                </c:pt>
                <c:pt idx="1181">
                  <c:v>46625</c:v>
                </c:pt>
                <c:pt idx="1182">
                  <c:v>46626</c:v>
                </c:pt>
                <c:pt idx="1183">
                  <c:v>46627</c:v>
                </c:pt>
                <c:pt idx="1184">
                  <c:v>46628</c:v>
                </c:pt>
                <c:pt idx="1185">
                  <c:v>46629</c:v>
                </c:pt>
                <c:pt idx="1186">
                  <c:v>46630</c:v>
                </c:pt>
                <c:pt idx="1187">
                  <c:v>46631</c:v>
                </c:pt>
                <c:pt idx="1188">
                  <c:v>46632</c:v>
                </c:pt>
                <c:pt idx="1189">
                  <c:v>46633</c:v>
                </c:pt>
                <c:pt idx="1190">
                  <c:v>46634</c:v>
                </c:pt>
                <c:pt idx="1191">
                  <c:v>46635</c:v>
                </c:pt>
                <c:pt idx="1192">
                  <c:v>46636</c:v>
                </c:pt>
                <c:pt idx="1193">
                  <c:v>46637</c:v>
                </c:pt>
                <c:pt idx="1194">
                  <c:v>46638</c:v>
                </c:pt>
                <c:pt idx="1195">
                  <c:v>46639</c:v>
                </c:pt>
                <c:pt idx="1196">
                  <c:v>46640</c:v>
                </c:pt>
                <c:pt idx="1197">
                  <c:v>46641</c:v>
                </c:pt>
                <c:pt idx="1198">
                  <c:v>46642</c:v>
                </c:pt>
                <c:pt idx="1199">
                  <c:v>46643</c:v>
                </c:pt>
                <c:pt idx="1200">
                  <c:v>46644</c:v>
                </c:pt>
                <c:pt idx="1201">
                  <c:v>46645</c:v>
                </c:pt>
                <c:pt idx="1202">
                  <c:v>46646</c:v>
                </c:pt>
                <c:pt idx="1203">
                  <c:v>46647</c:v>
                </c:pt>
                <c:pt idx="1204">
                  <c:v>46648</c:v>
                </c:pt>
                <c:pt idx="1205">
                  <c:v>46649</c:v>
                </c:pt>
                <c:pt idx="1206">
                  <c:v>46650</c:v>
                </c:pt>
                <c:pt idx="1207">
                  <c:v>46651</c:v>
                </c:pt>
                <c:pt idx="1208">
                  <c:v>46652</c:v>
                </c:pt>
                <c:pt idx="1209">
                  <c:v>46653</c:v>
                </c:pt>
                <c:pt idx="1210">
                  <c:v>46654</c:v>
                </c:pt>
                <c:pt idx="1211">
                  <c:v>46655</c:v>
                </c:pt>
                <c:pt idx="1212">
                  <c:v>46656</c:v>
                </c:pt>
                <c:pt idx="1213">
                  <c:v>46657</c:v>
                </c:pt>
                <c:pt idx="1214">
                  <c:v>46658</c:v>
                </c:pt>
                <c:pt idx="1215">
                  <c:v>46659</c:v>
                </c:pt>
                <c:pt idx="1216">
                  <c:v>46660</c:v>
                </c:pt>
                <c:pt idx="1217">
                  <c:v>46661</c:v>
                </c:pt>
                <c:pt idx="1218">
                  <c:v>46662</c:v>
                </c:pt>
                <c:pt idx="1219">
                  <c:v>46663</c:v>
                </c:pt>
                <c:pt idx="1220">
                  <c:v>46664</c:v>
                </c:pt>
                <c:pt idx="1221">
                  <c:v>46665</c:v>
                </c:pt>
                <c:pt idx="1222">
                  <c:v>46666</c:v>
                </c:pt>
                <c:pt idx="1223">
                  <c:v>46667</c:v>
                </c:pt>
                <c:pt idx="1224">
                  <c:v>46668</c:v>
                </c:pt>
                <c:pt idx="1225">
                  <c:v>46669</c:v>
                </c:pt>
                <c:pt idx="1226">
                  <c:v>46670</c:v>
                </c:pt>
                <c:pt idx="1227">
                  <c:v>46671</c:v>
                </c:pt>
                <c:pt idx="1228">
                  <c:v>46672</c:v>
                </c:pt>
                <c:pt idx="1229">
                  <c:v>46673</c:v>
                </c:pt>
                <c:pt idx="1230">
                  <c:v>46674</c:v>
                </c:pt>
                <c:pt idx="1231">
                  <c:v>46675</c:v>
                </c:pt>
                <c:pt idx="1232">
                  <c:v>46676</c:v>
                </c:pt>
                <c:pt idx="1233">
                  <c:v>46677</c:v>
                </c:pt>
                <c:pt idx="1234">
                  <c:v>46678</c:v>
                </c:pt>
                <c:pt idx="1235">
                  <c:v>46679</c:v>
                </c:pt>
                <c:pt idx="1236">
                  <c:v>46680</c:v>
                </c:pt>
                <c:pt idx="1237">
                  <c:v>46681</c:v>
                </c:pt>
                <c:pt idx="1238">
                  <c:v>46682</c:v>
                </c:pt>
                <c:pt idx="1239">
                  <c:v>46683</c:v>
                </c:pt>
                <c:pt idx="1240">
                  <c:v>46684</c:v>
                </c:pt>
                <c:pt idx="1241">
                  <c:v>46685</c:v>
                </c:pt>
                <c:pt idx="1242">
                  <c:v>46686</c:v>
                </c:pt>
                <c:pt idx="1243">
                  <c:v>46687</c:v>
                </c:pt>
                <c:pt idx="1244">
                  <c:v>46688</c:v>
                </c:pt>
                <c:pt idx="1245">
                  <c:v>46689</c:v>
                </c:pt>
                <c:pt idx="1246">
                  <c:v>46690</c:v>
                </c:pt>
                <c:pt idx="1247">
                  <c:v>46691</c:v>
                </c:pt>
                <c:pt idx="1248">
                  <c:v>46692</c:v>
                </c:pt>
                <c:pt idx="1249">
                  <c:v>46693</c:v>
                </c:pt>
                <c:pt idx="1250">
                  <c:v>46694</c:v>
                </c:pt>
                <c:pt idx="1251">
                  <c:v>46695</c:v>
                </c:pt>
                <c:pt idx="1252">
                  <c:v>46696</c:v>
                </c:pt>
                <c:pt idx="1253">
                  <c:v>46697</c:v>
                </c:pt>
                <c:pt idx="1254">
                  <c:v>46698</c:v>
                </c:pt>
                <c:pt idx="1255">
                  <c:v>46699</c:v>
                </c:pt>
                <c:pt idx="1256">
                  <c:v>46700</c:v>
                </c:pt>
                <c:pt idx="1257">
                  <c:v>46701</c:v>
                </c:pt>
                <c:pt idx="1258">
                  <c:v>46702</c:v>
                </c:pt>
                <c:pt idx="1259">
                  <c:v>46703</c:v>
                </c:pt>
                <c:pt idx="1260">
                  <c:v>46704</c:v>
                </c:pt>
                <c:pt idx="1261">
                  <c:v>46705</c:v>
                </c:pt>
                <c:pt idx="1262">
                  <c:v>46706</c:v>
                </c:pt>
                <c:pt idx="1263">
                  <c:v>46707</c:v>
                </c:pt>
                <c:pt idx="1264">
                  <c:v>46708</c:v>
                </c:pt>
                <c:pt idx="1265">
                  <c:v>46709</c:v>
                </c:pt>
                <c:pt idx="1266">
                  <c:v>46710</c:v>
                </c:pt>
                <c:pt idx="1267">
                  <c:v>46711</c:v>
                </c:pt>
                <c:pt idx="1268">
                  <c:v>46712</c:v>
                </c:pt>
                <c:pt idx="1269">
                  <c:v>46713</c:v>
                </c:pt>
                <c:pt idx="1270">
                  <c:v>46714</c:v>
                </c:pt>
                <c:pt idx="1271">
                  <c:v>46715</c:v>
                </c:pt>
                <c:pt idx="1272">
                  <c:v>46716</c:v>
                </c:pt>
                <c:pt idx="1273">
                  <c:v>46717</c:v>
                </c:pt>
                <c:pt idx="1274">
                  <c:v>46718</c:v>
                </c:pt>
                <c:pt idx="1275">
                  <c:v>46719</c:v>
                </c:pt>
                <c:pt idx="1276">
                  <c:v>46720</c:v>
                </c:pt>
                <c:pt idx="1277">
                  <c:v>46721</c:v>
                </c:pt>
                <c:pt idx="1278">
                  <c:v>46722</c:v>
                </c:pt>
                <c:pt idx="1279">
                  <c:v>46723</c:v>
                </c:pt>
                <c:pt idx="1280">
                  <c:v>46724</c:v>
                </c:pt>
                <c:pt idx="1281">
                  <c:v>46725</c:v>
                </c:pt>
                <c:pt idx="1282">
                  <c:v>46726</c:v>
                </c:pt>
                <c:pt idx="1283">
                  <c:v>46727</c:v>
                </c:pt>
                <c:pt idx="1284">
                  <c:v>46728</c:v>
                </c:pt>
                <c:pt idx="1285">
                  <c:v>46729</c:v>
                </c:pt>
                <c:pt idx="1286">
                  <c:v>46730</c:v>
                </c:pt>
                <c:pt idx="1287">
                  <c:v>46731</c:v>
                </c:pt>
                <c:pt idx="1288">
                  <c:v>46732</c:v>
                </c:pt>
                <c:pt idx="1289">
                  <c:v>46733</c:v>
                </c:pt>
                <c:pt idx="1290">
                  <c:v>46734</c:v>
                </c:pt>
                <c:pt idx="1291">
                  <c:v>46735</c:v>
                </c:pt>
                <c:pt idx="1292">
                  <c:v>46736</c:v>
                </c:pt>
                <c:pt idx="1293">
                  <c:v>46737</c:v>
                </c:pt>
                <c:pt idx="1294">
                  <c:v>46738</c:v>
                </c:pt>
                <c:pt idx="1295">
                  <c:v>46739</c:v>
                </c:pt>
                <c:pt idx="1296">
                  <c:v>46740</c:v>
                </c:pt>
                <c:pt idx="1297">
                  <c:v>46741</c:v>
                </c:pt>
                <c:pt idx="1298">
                  <c:v>46742</c:v>
                </c:pt>
                <c:pt idx="1299">
                  <c:v>46743</c:v>
                </c:pt>
                <c:pt idx="1300">
                  <c:v>46744</c:v>
                </c:pt>
                <c:pt idx="1301">
                  <c:v>46745</c:v>
                </c:pt>
                <c:pt idx="1302">
                  <c:v>46746</c:v>
                </c:pt>
                <c:pt idx="1303">
                  <c:v>46747</c:v>
                </c:pt>
                <c:pt idx="1304">
                  <c:v>46748</c:v>
                </c:pt>
                <c:pt idx="1305">
                  <c:v>46749</c:v>
                </c:pt>
                <c:pt idx="1306">
                  <c:v>46750</c:v>
                </c:pt>
                <c:pt idx="1307">
                  <c:v>46751</c:v>
                </c:pt>
                <c:pt idx="1308">
                  <c:v>46752</c:v>
                </c:pt>
                <c:pt idx="1309">
                  <c:v>46753</c:v>
                </c:pt>
                <c:pt idx="1310">
                  <c:v>46754</c:v>
                </c:pt>
                <c:pt idx="1311">
                  <c:v>46755</c:v>
                </c:pt>
                <c:pt idx="1312">
                  <c:v>46756</c:v>
                </c:pt>
                <c:pt idx="1313">
                  <c:v>46757</c:v>
                </c:pt>
                <c:pt idx="1314">
                  <c:v>46758</c:v>
                </c:pt>
                <c:pt idx="1315">
                  <c:v>46759</c:v>
                </c:pt>
                <c:pt idx="1316">
                  <c:v>46760</c:v>
                </c:pt>
                <c:pt idx="1317">
                  <c:v>46761</c:v>
                </c:pt>
                <c:pt idx="1318">
                  <c:v>46762</c:v>
                </c:pt>
                <c:pt idx="1319">
                  <c:v>46763</c:v>
                </c:pt>
                <c:pt idx="1320">
                  <c:v>46764</c:v>
                </c:pt>
                <c:pt idx="1321">
                  <c:v>46765</c:v>
                </c:pt>
                <c:pt idx="1322">
                  <c:v>46766</c:v>
                </c:pt>
                <c:pt idx="1323">
                  <c:v>46767</c:v>
                </c:pt>
                <c:pt idx="1324">
                  <c:v>46768</c:v>
                </c:pt>
                <c:pt idx="1325">
                  <c:v>46769</c:v>
                </c:pt>
                <c:pt idx="1326">
                  <c:v>46770</c:v>
                </c:pt>
                <c:pt idx="1327">
                  <c:v>46771</c:v>
                </c:pt>
                <c:pt idx="1328">
                  <c:v>46772</c:v>
                </c:pt>
                <c:pt idx="1329">
                  <c:v>46773</c:v>
                </c:pt>
                <c:pt idx="1330">
                  <c:v>46774</c:v>
                </c:pt>
                <c:pt idx="1331">
                  <c:v>46775</c:v>
                </c:pt>
                <c:pt idx="1332">
                  <c:v>46776</c:v>
                </c:pt>
                <c:pt idx="1333">
                  <c:v>46777</c:v>
                </c:pt>
                <c:pt idx="1334">
                  <c:v>46778</c:v>
                </c:pt>
                <c:pt idx="1335">
                  <c:v>46779</c:v>
                </c:pt>
                <c:pt idx="1336">
                  <c:v>46780</c:v>
                </c:pt>
                <c:pt idx="1337">
                  <c:v>46781</c:v>
                </c:pt>
                <c:pt idx="1338">
                  <c:v>46782</c:v>
                </c:pt>
                <c:pt idx="1339">
                  <c:v>46783</c:v>
                </c:pt>
                <c:pt idx="1340">
                  <c:v>46784</c:v>
                </c:pt>
                <c:pt idx="1341">
                  <c:v>46785</c:v>
                </c:pt>
                <c:pt idx="1342">
                  <c:v>46786</c:v>
                </c:pt>
                <c:pt idx="1343">
                  <c:v>46787</c:v>
                </c:pt>
                <c:pt idx="1344">
                  <c:v>46788</c:v>
                </c:pt>
                <c:pt idx="1345">
                  <c:v>46789</c:v>
                </c:pt>
                <c:pt idx="1346">
                  <c:v>46790</c:v>
                </c:pt>
                <c:pt idx="1347">
                  <c:v>46791</c:v>
                </c:pt>
                <c:pt idx="1348">
                  <c:v>46792</c:v>
                </c:pt>
                <c:pt idx="1349">
                  <c:v>46793</c:v>
                </c:pt>
                <c:pt idx="1350">
                  <c:v>46794</c:v>
                </c:pt>
                <c:pt idx="1351">
                  <c:v>46795</c:v>
                </c:pt>
                <c:pt idx="1352">
                  <c:v>46796</c:v>
                </c:pt>
                <c:pt idx="1353">
                  <c:v>46797</c:v>
                </c:pt>
                <c:pt idx="1354">
                  <c:v>46798</c:v>
                </c:pt>
                <c:pt idx="1355">
                  <c:v>46799</c:v>
                </c:pt>
                <c:pt idx="1356">
                  <c:v>46800</c:v>
                </c:pt>
                <c:pt idx="1357">
                  <c:v>46801</c:v>
                </c:pt>
                <c:pt idx="1358">
                  <c:v>46802</c:v>
                </c:pt>
                <c:pt idx="1359">
                  <c:v>46803</c:v>
                </c:pt>
                <c:pt idx="1360">
                  <c:v>46804</c:v>
                </c:pt>
                <c:pt idx="1361">
                  <c:v>46805</c:v>
                </c:pt>
                <c:pt idx="1362">
                  <c:v>46806</c:v>
                </c:pt>
                <c:pt idx="1363">
                  <c:v>46807</c:v>
                </c:pt>
                <c:pt idx="1364">
                  <c:v>46808</c:v>
                </c:pt>
                <c:pt idx="1365">
                  <c:v>46809</c:v>
                </c:pt>
                <c:pt idx="1366">
                  <c:v>46810</c:v>
                </c:pt>
                <c:pt idx="1367">
                  <c:v>46811</c:v>
                </c:pt>
                <c:pt idx="1368">
                  <c:v>46812</c:v>
                </c:pt>
                <c:pt idx="1369">
                  <c:v>46813</c:v>
                </c:pt>
                <c:pt idx="1370">
                  <c:v>46814</c:v>
                </c:pt>
                <c:pt idx="1371">
                  <c:v>46815</c:v>
                </c:pt>
                <c:pt idx="1372">
                  <c:v>46816</c:v>
                </c:pt>
                <c:pt idx="1373">
                  <c:v>46817</c:v>
                </c:pt>
                <c:pt idx="1374">
                  <c:v>46818</c:v>
                </c:pt>
                <c:pt idx="1375">
                  <c:v>46819</c:v>
                </c:pt>
                <c:pt idx="1376">
                  <c:v>46820</c:v>
                </c:pt>
                <c:pt idx="1377">
                  <c:v>46821</c:v>
                </c:pt>
                <c:pt idx="1378">
                  <c:v>46822</c:v>
                </c:pt>
                <c:pt idx="1379">
                  <c:v>46823</c:v>
                </c:pt>
                <c:pt idx="1380">
                  <c:v>46824</c:v>
                </c:pt>
                <c:pt idx="1381">
                  <c:v>46825</c:v>
                </c:pt>
                <c:pt idx="1382">
                  <c:v>46826</c:v>
                </c:pt>
                <c:pt idx="1383">
                  <c:v>46827</c:v>
                </c:pt>
                <c:pt idx="1384">
                  <c:v>46828</c:v>
                </c:pt>
                <c:pt idx="1385">
                  <c:v>46829</c:v>
                </c:pt>
                <c:pt idx="1386">
                  <c:v>46830</c:v>
                </c:pt>
                <c:pt idx="1387">
                  <c:v>46831</c:v>
                </c:pt>
                <c:pt idx="1388">
                  <c:v>46832</c:v>
                </c:pt>
                <c:pt idx="1389">
                  <c:v>46833</c:v>
                </c:pt>
                <c:pt idx="1390">
                  <c:v>46834</c:v>
                </c:pt>
                <c:pt idx="1391">
                  <c:v>46835</c:v>
                </c:pt>
                <c:pt idx="1392">
                  <c:v>46836</c:v>
                </c:pt>
                <c:pt idx="1393">
                  <c:v>46837</c:v>
                </c:pt>
                <c:pt idx="1394">
                  <c:v>46838</c:v>
                </c:pt>
                <c:pt idx="1395">
                  <c:v>46839</c:v>
                </c:pt>
                <c:pt idx="1396">
                  <c:v>46840</c:v>
                </c:pt>
                <c:pt idx="1397">
                  <c:v>46841</c:v>
                </c:pt>
                <c:pt idx="1398">
                  <c:v>46842</c:v>
                </c:pt>
                <c:pt idx="1399">
                  <c:v>46843</c:v>
                </c:pt>
                <c:pt idx="1400">
                  <c:v>46844</c:v>
                </c:pt>
                <c:pt idx="1401">
                  <c:v>46845</c:v>
                </c:pt>
                <c:pt idx="1402">
                  <c:v>46846</c:v>
                </c:pt>
                <c:pt idx="1403">
                  <c:v>46847</c:v>
                </c:pt>
                <c:pt idx="1404">
                  <c:v>46848</c:v>
                </c:pt>
                <c:pt idx="1405">
                  <c:v>46849</c:v>
                </c:pt>
                <c:pt idx="1406">
                  <c:v>46850</c:v>
                </c:pt>
                <c:pt idx="1407">
                  <c:v>46851</c:v>
                </c:pt>
                <c:pt idx="1408">
                  <c:v>46852</c:v>
                </c:pt>
                <c:pt idx="1409">
                  <c:v>46853</c:v>
                </c:pt>
                <c:pt idx="1410">
                  <c:v>46854</c:v>
                </c:pt>
                <c:pt idx="1411">
                  <c:v>46855</c:v>
                </c:pt>
                <c:pt idx="1412">
                  <c:v>46856</c:v>
                </c:pt>
                <c:pt idx="1413">
                  <c:v>46857</c:v>
                </c:pt>
                <c:pt idx="1414">
                  <c:v>46858</c:v>
                </c:pt>
                <c:pt idx="1415">
                  <c:v>46859</c:v>
                </c:pt>
                <c:pt idx="1416">
                  <c:v>46860</c:v>
                </c:pt>
                <c:pt idx="1417">
                  <c:v>46861</c:v>
                </c:pt>
                <c:pt idx="1418">
                  <c:v>46862</c:v>
                </c:pt>
                <c:pt idx="1419">
                  <c:v>46863</c:v>
                </c:pt>
                <c:pt idx="1420">
                  <c:v>46864</c:v>
                </c:pt>
                <c:pt idx="1421">
                  <c:v>46865</c:v>
                </c:pt>
                <c:pt idx="1422">
                  <c:v>46866</c:v>
                </c:pt>
                <c:pt idx="1423">
                  <c:v>46867</c:v>
                </c:pt>
                <c:pt idx="1424">
                  <c:v>46868</c:v>
                </c:pt>
                <c:pt idx="1425">
                  <c:v>46869</c:v>
                </c:pt>
                <c:pt idx="1426">
                  <c:v>46870</c:v>
                </c:pt>
                <c:pt idx="1427">
                  <c:v>46871</c:v>
                </c:pt>
                <c:pt idx="1428">
                  <c:v>46872</c:v>
                </c:pt>
                <c:pt idx="1429">
                  <c:v>46873</c:v>
                </c:pt>
                <c:pt idx="1430">
                  <c:v>46874</c:v>
                </c:pt>
                <c:pt idx="1431">
                  <c:v>46875</c:v>
                </c:pt>
                <c:pt idx="1432">
                  <c:v>46876</c:v>
                </c:pt>
                <c:pt idx="1433">
                  <c:v>46877</c:v>
                </c:pt>
                <c:pt idx="1434">
                  <c:v>46878</c:v>
                </c:pt>
                <c:pt idx="1435">
                  <c:v>46879</c:v>
                </c:pt>
                <c:pt idx="1436">
                  <c:v>46880</c:v>
                </c:pt>
                <c:pt idx="1437">
                  <c:v>46881</c:v>
                </c:pt>
                <c:pt idx="1438">
                  <c:v>46882</c:v>
                </c:pt>
                <c:pt idx="1439">
                  <c:v>46883</c:v>
                </c:pt>
                <c:pt idx="1440">
                  <c:v>46884</c:v>
                </c:pt>
                <c:pt idx="1441">
                  <c:v>46885</c:v>
                </c:pt>
                <c:pt idx="1442">
                  <c:v>46886</c:v>
                </c:pt>
                <c:pt idx="1443">
                  <c:v>46887</c:v>
                </c:pt>
                <c:pt idx="1444">
                  <c:v>46888</c:v>
                </c:pt>
                <c:pt idx="1445">
                  <c:v>46889</c:v>
                </c:pt>
                <c:pt idx="1446">
                  <c:v>46890</c:v>
                </c:pt>
                <c:pt idx="1447">
                  <c:v>46891</c:v>
                </c:pt>
                <c:pt idx="1448">
                  <c:v>46892</c:v>
                </c:pt>
                <c:pt idx="1449">
                  <c:v>46893</c:v>
                </c:pt>
                <c:pt idx="1450">
                  <c:v>46894</c:v>
                </c:pt>
                <c:pt idx="1451">
                  <c:v>46895</c:v>
                </c:pt>
                <c:pt idx="1452">
                  <c:v>46896</c:v>
                </c:pt>
                <c:pt idx="1453">
                  <c:v>46897</c:v>
                </c:pt>
                <c:pt idx="1454">
                  <c:v>46898</c:v>
                </c:pt>
                <c:pt idx="1455">
                  <c:v>46899</c:v>
                </c:pt>
                <c:pt idx="1456">
                  <c:v>46900</c:v>
                </c:pt>
                <c:pt idx="1457">
                  <c:v>46901</c:v>
                </c:pt>
                <c:pt idx="1458">
                  <c:v>46902</c:v>
                </c:pt>
                <c:pt idx="1459">
                  <c:v>46903</c:v>
                </c:pt>
                <c:pt idx="1460">
                  <c:v>46904</c:v>
                </c:pt>
                <c:pt idx="1461">
                  <c:v>46905</c:v>
                </c:pt>
                <c:pt idx="1462">
                  <c:v>46906</c:v>
                </c:pt>
                <c:pt idx="1463">
                  <c:v>46907</c:v>
                </c:pt>
                <c:pt idx="1464">
                  <c:v>46908</c:v>
                </c:pt>
                <c:pt idx="1465">
                  <c:v>46909</c:v>
                </c:pt>
                <c:pt idx="1466">
                  <c:v>46910</c:v>
                </c:pt>
                <c:pt idx="1467">
                  <c:v>46911</c:v>
                </c:pt>
                <c:pt idx="1468">
                  <c:v>46912</c:v>
                </c:pt>
                <c:pt idx="1469">
                  <c:v>46913</c:v>
                </c:pt>
                <c:pt idx="1470">
                  <c:v>46914</c:v>
                </c:pt>
                <c:pt idx="1471">
                  <c:v>46915</c:v>
                </c:pt>
                <c:pt idx="1472">
                  <c:v>46916</c:v>
                </c:pt>
                <c:pt idx="1473">
                  <c:v>46917</c:v>
                </c:pt>
                <c:pt idx="1474">
                  <c:v>46918</c:v>
                </c:pt>
                <c:pt idx="1475">
                  <c:v>46919</c:v>
                </c:pt>
                <c:pt idx="1476">
                  <c:v>46920</c:v>
                </c:pt>
                <c:pt idx="1477">
                  <c:v>46921</c:v>
                </c:pt>
                <c:pt idx="1478">
                  <c:v>46922</c:v>
                </c:pt>
                <c:pt idx="1479">
                  <c:v>46923</c:v>
                </c:pt>
                <c:pt idx="1480">
                  <c:v>46924</c:v>
                </c:pt>
                <c:pt idx="1481">
                  <c:v>46925</c:v>
                </c:pt>
                <c:pt idx="1482">
                  <c:v>46926</c:v>
                </c:pt>
                <c:pt idx="1483">
                  <c:v>46927</c:v>
                </c:pt>
                <c:pt idx="1484">
                  <c:v>46928</c:v>
                </c:pt>
                <c:pt idx="1485">
                  <c:v>46929</c:v>
                </c:pt>
                <c:pt idx="1486">
                  <c:v>46930</c:v>
                </c:pt>
                <c:pt idx="1487">
                  <c:v>46931</c:v>
                </c:pt>
                <c:pt idx="1488">
                  <c:v>46932</c:v>
                </c:pt>
                <c:pt idx="1489">
                  <c:v>46933</c:v>
                </c:pt>
                <c:pt idx="1490">
                  <c:v>46934</c:v>
                </c:pt>
                <c:pt idx="1491">
                  <c:v>46935</c:v>
                </c:pt>
                <c:pt idx="1492">
                  <c:v>46936</c:v>
                </c:pt>
                <c:pt idx="1493">
                  <c:v>46937</c:v>
                </c:pt>
                <c:pt idx="1494">
                  <c:v>46938</c:v>
                </c:pt>
                <c:pt idx="1495">
                  <c:v>46939</c:v>
                </c:pt>
                <c:pt idx="1496">
                  <c:v>46940</c:v>
                </c:pt>
                <c:pt idx="1497">
                  <c:v>46941</c:v>
                </c:pt>
                <c:pt idx="1498">
                  <c:v>46942</c:v>
                </c:pt>
                <c:pt idx="1499">
                  <c:v>46943</c:v>
                </c:pt>
                <c:pt idx="1500">
                  <c:v>46944</c:v>
                </c:pt>
                <c:pt idx="1501">
                  <c:v>46945</c:v>
                </c:pt>
                <c:pt idx="1502">
                  <c:v>46946</c:v>
                </c:pt>
                <c:pt idx="1503">
                  <c:v>46947</c:v>
                </c:pt>
                <c:pt idx="1504">
                  <c:v>46948</c:v>
                </c:pt>
                <c:pt idx="1505">
                  <c:v>46949</c:v>
                </c:pt>
                <c:pt idx="1506">
                  <c:v>46950</c:v>
                </c:pt>
                <c:pt idx="1507">
                  <c:v>46951</c:v>
                </c:pt>
                <c:pt idx="1508">
                  <c:v>46952</c:v>
                </c:pt>
                <c:pt idx="1509">
                  <c:v>46953</c:v>
                </c:pt>
                <c:pt idx="1510">
                  <c:v>46954</c:v>
                </c:pt>
                <c:pt idx="1511">
                  <c:v>46955</c:v>
                </c:pt>
                <c:pt idx="1512">
                  <c:v>46956</c:v>
                </c:pt>
                <c:pt idx="1513">
                  <c:v>46957</c:v>
                </c:pt>
                <c:pt idx="1514">
                  <c:v>46958</c:v>
                </c:pt>
                <c:pt idx="1515">
                  <c:v>46959</c:v>
                </c:pt>
                <c:pt idx="1516">
                  <c:v>46960</c:v>
                </c:pt>
                <c:pt idx="1517">
                  <c:v>46961</c:v>
                </c:pt>
                <c:pt idx="1518">
                  <c:v>46962</c:v>
                </c:pt>
                <c:pt idx="1519">
                  <c:v>46963</c:v>
                </c:pt>
                <c:pt idx="1520">
                  <c:v>46964</c:v>
                </c:pt>
                <c:pt idx="1521">
                  <c:v>46965</c:v>
                </c:pt>
                <c:pt idx="1522">
                  <c:v>46966</c:v>
                </c:pt>
                <c:pt idx="1523">
                  <c:v>46967</c:v>
                </c:pt>
                <c:pt idx="1524">
                  <c:v>46968</c:v>
                </c:pt>
                <c:pt idx="1525">
                  <c:v>46969</c:v>
                </c:pt>
                <c:pt idx="1526">
                  <c:v>46970</c:v>
                </c:pt>
                <c:pt idx="1527">
                  <c:v>46971</c:v>
                </c:pt>
                <c:pt idx="1528">
                  <c:v>46972</c:v>
                </c:pt>
                <c:pt idx="1529">
                  <c:v>46973</c:v>
                </c:pt>
                <c:pt idx="1530">
                  <c:v>46974</c:v>
                </c:pt>
                <c:pt idx="1531">
                  <c:v>46975</c:v>
                </c:pt>
                <c:pt idx="1532">
                  <c:v>46976</c:v>
                </c:pt>
                <c:pt idx="1533">
                  <c:v>46977</c:v>
                </c:pt>
                <c:pt idx="1534">
                  <c:v>46978</c:v>
                </c:pt>
                <c:pt idx="1535">
                  <c:v>46979</c:v>
                </c:pt>
                <c:pt idx="1536">
                  <c:v>46980</c:v>
                </c:pt>
                <c:pt idx="1537">
                  <c:v>46981</c:v>
                </c:pt>
                <c:pt idx="1538">
                  <c:v>46982</c:v>
                </c:pt>
                <c:pt idx="1539">
                  <c:v>46983</c:v>
                </c:pt>
                <c:pt idx="1540">
                  <c:v>46984</c:v>
                </c:pt>
                <c:pt idx="1541">
                  <c:v>46985</c:v>
                </c:pt>
                <c:pt idx="1542">
                  <c:v>46986</c:v>
                </c:pt>
                <c:pt idx="1543">
                  <c:v>46987</c:v>
                </c:pt>
                <c:pt idx="1544">
                  <c:v>46988</c:v>
                </c:pt>
                <c:pt idx="1545">
                  <c:v>46989</c:v>
                </c:pt>
                <c:pt idx="1546">
                  <c:v>46990</c:v>
                </c:pt>
                <c:pt idx="1547">
                  <c:v>46991</c:v>
                </c:pt>
                <c:pt idx="1548">
                  <c:v>46992</c:v>
                </c:pt>
                <c:pt idx="1549">
                  <c:v>46993</c:v>
                </c:pt>
                <c:pt idx="1550">
                  <c:v>46994</c:v>
                </c:pt>
                <c:pt idx="1551">
                  <c:v>46995</c:v>
                </c:pt>
                <c:pt idx="1552">
                  <c:v>46996</c:v>
                </c:pt>
                <c:pt idx="1553">
                  <c:v>46997</c:v>
                </c:pt>
                <c:pt idx="1554">
                  <c:v>46998</c:v>
                </c:pt>
                <c:pt idx="1555">
                  <c:v>46999</c:v>
                </c:pt>
                <c:pt idx="1556">
                  <c:v>47000</c:v>
                </c:pt>
                <c:pt idx="1557">
                  <c:v>47001</c:v>
                </c:pt>
                <c:pt idx="1558">
                  <c:v>47002</c:v>
                </c:pt>
                <c:pt idx="1559">
                  <c:v>47003</c:v>
                </c:pt>
                <c:pt idx="1560">
                  <c:v>47004</c:v>
                </c:pt>
                <c:pt idx="1561">
                  <c:v>47005</c:v>
                </c:pt>
                <c:pt idx="1562">
                  <c:v>47006</c:v>
                </c:pt>
                <c:pt idx="1563">
                  <c:v>47007</c:v>
                </c:pt>
                <c:pt idx="1564">
                  <c:v>47008</c:v>
                </c:pt>
                <c:pt idx="1565">
                  <c:v>47009</c:v>
                </c:pt>
                <c:pt idx="1566">
                  <c:v>47010</c:v>
                </c:pt>
                <c:pt idx="1567">
                  <c:v>47011</c:v>
                </c:pt>
                <c:pt idx="1568">
                  <c:v>47012</c:v>
                </c:pt>
                <c:pt idx="1569">
                  <c:v>47013</c:v>
                </c:pt>
                <c:pt idx="1570">
                  <c:v>47014</c:v>
                </c:pt>
                <c:pt idx="1571">
                  <c:v>47015</c:v>
                </c:pt>
                <c:pt idx="1572">
                  <c:v>47016</c:v>
                </c:pt>
                <c:pt idx="1573">
                  <c:v>47017</c:v>
                </c:pt>
                <c:pt idx="1574">
                  <c:v>47018</c:v>
                </c:pt>
                <c:pt idx="1575">
                  <c:v>47019</c:v>
                </c:pt>
                <c:pt idx="1576">
                  <c:v>47020</c:v>
                </c:pt>
                <c:pt idx="1577">
                  <c:v>47021</c:v>
                </c:pt>
                <c:pt idx="1578">
                  <c:v>47022</c:v>
                </c:pt>
                <c:pt idx="1579">
                  <c:v>47023</c:v>
                </c:pt>
                <c:pt idx="1580">
                  <c:v>47024</c:v>
                </c:pt>
                <c:pt idx="1581">
                  <c:v>47025</c:v>
                </c:pt>
                <c:pt idx="1582">
                  <c:v>47026</c:v>
                </c:pt>
                <c:pt idx="1583">
                  <c:v>47027</c:v>
                </c:pt>
                <c:pt idx="1584">
                  <c:v>47028</c:v>
                </c:pt>
                <c:pt idx="1585">
                  <c:v>47029</c:v>
                </c:pt>
                <c:pt idx="1586">
                  <c:v>47030</c:v>
                </c:pt>
                <c:pt idx="1587">
                  <c:v>47031</c:v>
                </c:pt>
                <c:pt idx="1588">
                  <c:v>47032</c:v>
                </c:pt>
                <c:pt idx="1589">
                  <c:v>47033</c:v>
                </c:pt>
                <c:pt idx="1590">
                  <c:v>47034</c:v>
                </c:pt>
                <c:pt idx="1591">
                  <c:v>47035</c:v>
                </c:pt>
                <c:pt idx="1592">
                  <c:v>47036</c:v>
                </c:pt>
                <c:pt idx="1593">
                  <c:v>47037</c:v>
                </c:pt>
                <c:pt idx="1594">
                  <c:v>47038</c:v>
                </c:pt>
                <c:pt idx="1595">
                  <c:v>47039</c:v>
                </c:pt>
                <c:pt idx="1596">
                  <c:v>47040</c:v>
                </c:pt>
                <c:pt idx="1597">
                  <c:v>47041</c:v>
                </c:pt>
                <c:pt idx="1598">
                  <c:v>47042</c:v>
                </c:pt>
                <c:pt idx="1599">
                  <c:v>47043</c:v>
                </c:pt>
                <c:pt idx="1600">
                  <c:v>47044</c:v>
                </c:pt>
                <c:pt idx="1601">
                  <c:v>47045</c:v>
                </c:pt>
                <c:pt idx="1602">
                  <c:v>47046</c:v>
                </c:pt>
                <c:pt idx="1603">
                  <c:v>47047</c:v>
                </c:pt>
                <c:pt idx="1604">
                  <c:v>47048</c:v>
                </c:pt>
                <c:pt idx="1605">
                  <c:v>47049</c:v>
                </c:pt>
                <c:pt idx="1606">
                  <c:v>47050</c:v>
                </c:pt>
                <c:pt idx="1607">
                  <c:v>47051</c:v>
                </c:pt>
                <c:pt idx="1608">
                  <c:v>47052</c:v>
                </c:pt>
                <c:pt idx="1609">
                  <c:v>47053</c:v>
                </c:pt>
                <c:pt idx="1610">
                  <c:v>47054</c:v>
                </c:pt>
                <c:pt idx="1611">
                  <c:v>47055</c:v>
                </c:pt>
                <c:pt idx="1612">
                  <c:v>47056</c:v>
                </c:pt>
                <c:pt idx="1613">
                  <c:v>47057</c:v>
                </c:pt>
                <c:pt idx="1614">
                  <c:v>47058</c:v>
                </c:pt>
                <c:pt idx="1615">
                  <c:v>47059</c:v>
                </c:pt>
                <c:pt idx="1616">
                  <c:v>47060</c:v>
                </c:pt>
                <c:pt idx="1617">
                  <c:v>47061</c:v>
                </c:pt>
                <c:pt idx="1618">
                  <c:v>47062</c:v>
                </c:pt>
                <c:pt idx="1619">
                  <c:v>47063</c:v>
                </c:pt>
                <c:pt idx="1620">
                  <c:v>47064</c:v>
                </c:pt>
                <c:pt idx="1621">
                  <c:v>47065</c:v>
                </c:pt>
                <c:pt idx="1622">
                  <c:v>47066</c:v>
                </c:pt>
                <c:pt idx="1623">
                  <c:v>47067</c:v>
                </c:pt>
                <c:pt idx="1624">
                  <c:v>47068</c:v>
                </c:pt>
                <c:pt idx="1625">
                  <c:v>47069</c:v>
                </c:pt>
                <c:pt idx="1626">
                  <c:v>47070</c:v>
                </c:pt>
                <c:pt idx="1627">
                  <c:v>47071</c:v>
                </c:pt>
                <c:pt idx="1628">
                  <c:v>47072</c:v>
                </c:pt>
                <c:pt idx="1629">
                  <c:v>47073</c:v>
                </c:pt>
                <c:pt idx="1630">
                  <c:v>47074</c:v>
                </c:pt>
                <c:pt idx="1631">
                  <c:v>47075</c:v>
                </c:pt>
                <c:pt idx="1632">
                  <c:v>47076</c:v>
                </c:pt>
                <c:pt idx="1633">
                  <c:v>47077</c:v>
                </c:pt>
                <c:pt idx="1634">
                  <c:v>47078</c:v>
                </c:pt>
                <c:pt idx="1635">
                  <c:v>47079</c:v>
                </c:pt>
                <c:pt idx="1636">
                  <c:v>47080</c:v>
                </c:pt>
                <c:pt idx="1637">
                  <c:v>47081</c:v>
                </c:pt>
                <c:pt idx="1638">
                  <c:v>47082</c:v>
                </c:pt>
                <c:pt idx="1639">
                  <c:v>47083</c:v>
                </c:pt>
                <c:pt idx="1640">
                  <c:v>47084</c:v>
                </c:pt>
                <c:pt idx="1641">
                  <c:v>47085</c:v>
                </c:pt>
                <c:pt idx="1642">
                  <c:v>47086</c:v>
                </c:pt>
                <c:pt idx="1643">
                  <c:v>47087</c:v>
                </c:pt>
                <c:pt idx="1644">
                  <c:v>47088</c:v>
                </c:pt>
                <c:pt idx="1645">
                  <c:v>47089</c:v>
                </c:pt>
                <c:pt idx="1646">
                  <c:v>47090</c:v>
                </c:pt>
                <c:pt idx="1647">
                  <c:v>47091</c:v>
                </c:pt>
                <c:pt idx="1648">
                  <c:v>47092</c:v>
                </c:pt>
                <c:pt idx="1649">
                  <c:v>47093</c:v>
                </c:pt>
                <c:pt idx="1650">
                  <c:v>47094</c:v>
                </c:pt>
                <c:pt idx="1651">
                  <c:v>47095</c:v>
                </c:pt>
                <c:pt idx="1652">
                  <c:v>47096</c:v>
                </c:pt>
                <c:pt idx="1653">
                  <c:v>47097</c:v>
                </c:pt>
                <c:pt idx="1654">
                  <c:v>47098</c:v>
                </c:pt>
                <c:pt idx="1655">
                  <c:v>47099</c:v>
                </c:pt>
                <c:pt idx="1656">
                  <c:v>47100</c:v>
                </c:pt>
                <c:pt idx="1657">
                  <c:v>47101</c:v>
                </c:pt>
                <c:pt idx="1658">
                  <c:v>47102</c:v>
                </c:pt>
                <c:pt idx="1659">
                  <c:v>47103</c:v>
                </c:pt>
                <c:pt idx="1660">
                  <c:v>47104</c:v>
                </c:pt>
                <c:pt idx="1661">
                  <c:v>47105</c:v>
                </c:pt>
                <c:pt idx="1662">
                  <c:v>47106</c:v>
                </c:pt>
                <c:pt idx="1663">
                  <c:v>47107</c:v>
                </c:pt>
                <c:pt idx="1664">
                  <c:v>47108</c:v>
                </c:pt>
                <c:pt idx="1665">
                  <c:v>47109</c:v>
                </c:pt>
                <c:pt idx="1666">
                  <c:v>47110</c:v>
                </c:pt>
                <c:pt idx="1667">
                  <c:v>47111</c:v>
                </c:pt>
                <c:pt idx="1668">
                  <c:v>47112</c:v>
                </c:pt>
                <c:pt idx="1669">
                  <c:v>47113</c:v>
                </c:pt>
                <c:pt idx="1670">
                  <c:v>47114</c:v>
                </c:pt>
                <c:pt idx="1671">
                  <c:v>47115</c:v>
                </c:pt>
                <c:pt idx="1672">
                  <c:v>47116</c:v>
                </c:pt>
                <c:pt idx="1673">
                  <c:v>47117</c:v>
                </c:pt>
                <c:pt idx="1674">
                  <c:v>47118</c:v>
                </c:pt>
              </c:numCache>
            </c:numRef>
          </c:cat>
          <c:val>
            <c:numRef>
              <c:f>'5.4'!$H$6:$H$1680</c:f>
              <c:numCache>
                <c:formatCode>0</c:formatCode>
                <c:ptCount val="1675"/>
                <c:pt idx="0">
                  <c:v>2420.4928864898002</c:v>
                </c:pt>
                <c:pt idx="1">
                  <c:v>2420.4928864898002</c:v>
                </c:pt>
                <c:pt idx="2">
                  <c:v>2420.4928864898002</c:v>
                </c:pt>
                <c:pt idx="3">
                  <c:v>2420.4928864898002</c:v>
                </c:pt>
                <c:pt idx="4">
                  <c:v>2420.4928864898002</c:v>
                </c:pt>
                <c:pt idx="5">
                  <c:v>2420.4928864898002</c:v>
                </c:pt>
                <c:pt idx="6">
                  <c:v>2420.4928864898002</c:v>
                </c:pt>
                <c:pt idx="7">
                  <c:v>2420.4928864898002</c:v>
                </c:pt>
                <c:pt idx="8">
                  <c:v>2420.4928864898002</c:v>
                </c:pt>
                <c:pt idx="9">
                  <c:v>2420.4928864898002</c:v>
                </c:pt>
                <c:pt idx="10">
                  <c:v>2420.4928864898002</c:v>
                </c:pt>
                <c:pt idx="11">
                  <c:v>2420.4928864898002</c:v>
                </c:pt>
                <c:pt idx="12">
                  <c:v>2420.4928864898002</c:v>
                </c:pt>
                <c:pt idx="13">
                  <c:v>2420.4928864898002</c:v>
                </c:pt>
                <c:pt idx="14">
                  <c:v>2420.4928864898002</c:v>
                </c:pt>
                <c:pt idx="15">
                  <c:v>2420.4928864898002</c:v>
                </c:pt>
                <c:pt idx="16">
                  <c:v>2420.4928864898002</c:v>
                </c:pt>
                <c:pt idx="17">
                  <c:v>2420.4928864898002</c:v>
                </c:pt>
                <c:pt idx="18">
                  <c:v>2420.4928864898002</c:v>
                </c:pt>
                <c:pt idx="19">
                  <c:v>2420.4928864898002</c:v>
                </c:pt>
                <c:pt idx="20">
                  <c:v>2420.4928864898002</c:v>
                </c:pt>
                <c:pt idx="21">
                  <c:v>2420.4928864898002</c:v>
                </c:pt>
                <c:pt idx="22">
                  <c:v>2420.4928864898002</c:v>
                </c:pt>
                <c:pt idx="23">
                  <c:v>2420.4928864898002</c:v>
                </c:pt>
                <c:pt idx="24">
                  <c:v>2420.4928864898002</c:v>
                </c:pt>
                <c:pt idx="25">
                  <c:v>2420.4928864898002</c:v>
                </c:pt>
                <c:pt idx="26">
                  <c:v>2420.4928864898002</c:v>
                </c:pt>
                <c:pt idx="27">
                  <c:v>2420.4928864898002</c:v>
                </c:pt>
                <c:pt idx="28">
                  <c:v>2420.4928864898002</c:v>
                </c:pt>
                <c:pt idx="29">
                  <c:v>2420.4928864898002</c:v>
                </c:pt>
                <c:pt idx="30">
                  <c:v>2352.48</c:v>
                </c:pt>
                <c:pt idx="31">
                  <c:v>2352.48</c:v>
                </c:pt>
                <c:pt idx="32">
                  <c:v>2352.48</c:v>
                </c:pt>
                <c:pt idx="33">
                  <c:v>2352.48</c:v>
                </c:pt>
                <c:pt idx="34">
                  <c:v>2352.48</c:v>
                </c:pt>
                <c:pt idx="35">
                  <c:v>2352.48</c:v>
                </c:pt>
                <c:pt idx="36">
                  <c:v>2352.48</c:v>
                </c:pt>
                <c:pt idx="37">
                  <c:v>2352.48</c:v>
                </c:pt>
                <c:pt idx="38">
                  <c:v>2352.48</c:v>
                </c:pt>
                <c:pt idx="39">
                  <c:v>2352.48</c:v>
                </c:pt>
                <c:pt idx="40">
                  <c:v>2352.48</c:v>
                </c:pt>
                <c:pt idx="41">
                  <c:v>2352.48</c:v>
                </c:pt>
                <c:pt idx="42">
                  <c:v>2352.48</c:v>
                </c:pt>
                <c:pt idx="43">
                  <c:v>2352.48</c:v>
                </c:pt>
                <c:pt idx="44">
                  <c:v>2352.48</c:v>
                </c:pt>
                <c:pt idx="45">
                  <c:v>2352.48</c:v>
                </c:pt>
                <c:pt idx="46">
                  <c:v>2352.48</c:v>
                </c:pt>
                <c:pt idx="47">
                  <c:v>2352.48</c:v>
                </c:pt>
                <c:pt idx="48">
                  <c:v>2352.48</c:v>
                </c:pt>
                <c:pt idx="49">
                  <c:v>2352.48</c:v>
                </c:pt>
                <c:pt idx="50">
                  <c:v>2352.48</c:v>
                </c:pt>
                <c:pt idx="51">
                  <c:v>2352.48</c:v>
                </c:pt>
                <c:pt idx="52">
                  <c:v>2352.48</c:v>
                </c:pt>
                <c:pt idx="53">
                  <c:v>2352.48</c:v>
                </c:pt>
                <c:pt idx="54">
                  <c:v>2352.48</c:v>
                </c:pt>
                <c:pt idx="55">
                  <c:v>2352.48</c:v>
                </c:pt>
                <c:pt idx="56">
                  <c:v>2352.48</c:v>
                </c:pt>
                <c:pt idx="57">
                  <c:v>2352.48</c:v>
                </c:pt>
                <c:pt idx="58">
                  <c:v>2352.48</c:v>
                </c:pt>
                <c:pt idx="59">
                  <c:v>2352.48</c:v>
                </c:pt>
                <c:pt idx="60">
                  <c:v>2352.48</c:v>
                </c:pt>
                <c:pt idx="61">
                  <c:v>2352.48</c:v>
                </c:pt>
                <c:pt idx="62">
                  <c:v>2352.48</c:v>
                </c:pt>
                <c:pt idx="63">
                  <c:v>2352.48</c:v>
                </c:pt>
                <c:pt idx="64">
                  <c:v>2352.48</c:v>
                </c:pt>
                <c:pt idx="65">
                  <c:v>2352.48</c:v>
                </c:pt>
                <c:pt idx="66">
                  <c:v>2352.48</c:v>
                </c:pt>
                <c:pt idx="67">
                  <c:v>2352.48</c:v>
                </c:pt>
                <c:pt idx="68">
                  <c:v>2352.48</c:v>
                </c:pt>
                <c:pt idx="69">
                  <c:v>2352.48</c:v>
                </c:pt>
                <c:pt idx="70">
                  <c:v>2352.48</c:v>
                </c:pt>
                <c:pt idx="71">
                  <c:v>2352.48</c:v>
                </c:pt>
                <c:pt idx="72">
                  <c:v>2352.48</c:v>
                </c:pt>
                <c:pt idx="73">
                  <c:v>2352.48</c:v>
                </c:pt>
                <c:pt idx="74">
                  <c:v>2352.48</c:v>
                </c:pt>
                <c:pt idx="75">
                  <c:v>2352.48</c:v>
                </c:pt>
                <c:pt idx="76">
                  <c:v>2352.48</c:v>
                </c:pt>
                <c:pt idx="77">
                  <c:v>2352.48</c:v>
                </c:pt>
                <c:pt idx="78">
                  <c:v>2352.48</c:v>
                </c:pt>
                <c:pt idx="79">
                  <c:v>2352.48</c:v>
                </c:pt>
                <c:pt idx="80">
                  <c:v>2352.48</c:v>
                </c:pt>
                <c:pt idx="81">
                  <c:v>2352.48</c:v>
                </c:pt>
                <c:pt idx="82">
                  <c:v>2352.48</c:v>
                </c:pt>
                <c:pt idx="83">
                  <c:v>2352.48</c:v>
                </c:pt>
                <c:pt idx="84">
                  <c:v>2352.48</c:v>
                </c:pt>
                <c:pt idx="85">
                  <c:v>2352.48</c:v>
                </c:pt>
                <c:pt idx="86">
                  <c:v>2352.48</c:v>
                </c:pt>
                <c:pt idx="87">
                  <c:v>2352.48</c:v>
                </c:pt>
                <c:pt idx="88">
                  <c:v>2352.48</c:v>
                </c:pt>
                <c:pt idx="89">
                  <c:v>2352.48</c:v>
                </c:pt>
                <c:pt idx="90">
                  <c:v>2352.48</c:v>
                </c:pt>
                <c:pt idx="91">
                  <c:v>2352.48</c:v>
                </c:pt>
                <c:pt idx="92">
                  <c:v>2352.48</c:v>
                </c:pt>
                <c:pt idx="93">
                  <c:v>2352.48</c:v>
                </c:pt>
                <c:pt idx="94">
                  <c:v>2352.48</c:v>
                </c:pt>
                <c:pt idx="95">
                  <c:v>2352.48</c:v>
                </c:pt>
                <c:pt idx="96">
                  <c:v>2352.48</c:v>
                </c:pt>
                <c:pt idx="97">
                  <c:v>2352.48</c:v>
                </c:pt>
                <c:pt idx="98">
                  <c:v>2352.48</c:v>
                </c:pt>
                <c:pt idx="99">
                  <c:v>2352.48</c:v>
                </c:pt>
                <c:pt idx="100">
                  <c:v>2352.48</c:v>
                </c:pt>
                <c:pt idx="101">
                  <c:v>2352.48</c:v>
                </c:pt>
                <c:pt idx="102">
                  <c:v>2352.48</c:v>
                </c:pt>
                <c:pt idx="103">
                  <c:v>2352.48</c:v>
                </c:pt>
                <c:pt idx="104">
                  <c:v>2352.48</c:v>
                </c:pt>
                <c:pt idx="105">
                  <c:v>2352.48</c:v>
                </c:pt>
                <c:pt idx="106">
                  <c:v>2352.48</c:v>
                </c:pt>
                <c:pt idx="107">
                  <c:v>2352.48</c:v>
                </c:pt>
                <c:pt idx="108">
                  <c:v>2352.48</c:v>
                </c:pt>
                <c:pt idx="109">
                  <c:v>2352.48</c:v>
                </c:pt>
                <c:pt idx="110">
                  <c:v>2352.48</c:v>
                </c:pt>
                <c:pt idx="111">
                  <c:v>2352.48</c:v>
                </c:pt>
                <c:pt idx="112">
                  <c:v>2352.48</c:v>
                </c:pt>
                <c:pt idx="113">
                  <c:v>2352.48</c:v>
                </c:pt>
                <c:pt idx="114">
                  <c:v>2352.48</c:v>
                </c:pt>
                <c:pt idx="115">
                  <c:v>2352.48</c:v>
                </c:pt>
                <c:pt idx="116">
                  <c:v>2352.48</c:v>
                </c:pt>
                <c:pt idx="117">
                  <c:v>2352.48</c:v>
                </c:pt>
                <c:pt idx="118">
                  <c:v>2352.48</c:v>
                </c:pt>
                <c:pt idx="119">
                  <c:v>2352.48</c:v>
                </c:pt>
                <c:pt idx="120">
                  <c:v>2352.48</c:v>
                </c:pt>
                <c:pt idx="121">
                  <c:v>2352.48</c:v>
                </c:pt>
                <c:pt idx="122">
                  <c:v>2352.48</c:v>
                </c:pt>
                <c:pt idx="123">
                  <c:v>2352.48</c:v>
                </c:pt>
                <c:pt idx="124">
                  <c:v>2352.48</c:v>
                </c:pt>
                <c:pt idx="125">
                  <c:v>2352.48</c:v>
                </c:pt>
                <c:pt idx="126">
                  <c:v>2352.48</c:v>
                </c:pt>
                <c:pt idx="127">
                  <c:v>2352.48</c:v>
                </c:pt>
                <c:pt idx="128">
                  <c:v>2352.48</c:v>
                </c:pt>
                <c:pt idx="129">
                  <c:v>2352.48</c:v>
                </c:pt>
                <c:pt idx="130">
                  <c:v>2352.48</c:v>
                </c:pt>
                <c:pt idx="131">
                  <c:v>2352.48</c:v>
                </c:pt>
                <c:pt idx="132">
                  <c:v>2352.48</c:v>
                </c:pt>
                <c:pt idx="133">
                  <c:v>2352.48</c:v>
                </c:pt>
                <c:pt idx="134">
                  <c:v>2352.48</c:v>
                </c:pt>
                <c:pt idx="135">
                  <c:v>2352.48</c:v>
                </c:pt>
                <c:pt idx="136">
                  <c:v>2352.48</c:v>
                </c:pt>
                <c:pt idx="137">
                  <c:v>2352.48</c:v>
                </c:pt>
                <c:pt idx="138">
                  <c:v>2352.48</c:v>
                </c:pt>
                <c:pt idx="139">
                  <c:v>2352.48</c:v>
                </c:pt>
                <c:pt idx="140">
                  <c:v>2352.48</c:v>
                </c:pt>
                <c:pt idx="141">
                  <c:v>2352.48</c:v>
                </c:pt>
                <c:pt idx="142">
                  <c:v>2352.48</c:v>
                </c:pt>
                <c:pt idx="143">
                  <c:v>2352.48</c:v>
                </c:pt>
                <c:pt idx="144">
                  <c:v>2352.48</c:v>
                </c:pt>
                <c:pt idx="145">
                  <c:v>2352.48</c:v>
                </c:pt>
                <c:pt idx="146">
                  <c:v>2352.48</c:v>
                </c:pt>
                <c:pt idx="147">
                  <c:v>2352.48</c:v>
                </c:pt>
                <c:pt idx="148">
                  <c:v>2352.48</c:v>
                </c:pt>
                <c:pt idx="149">
                  <c:v>2352.48</c:v>
                </c:pt>
                <c:pt idx="150">
                  <c:v>2352.48</c:v>
                </c:pt>
                <c:pt idx="151">
                  <c:v>2352.48</c:v>
                </c:pt>
                <c:pt idx="152">
                  <c:v>2352.48</c:v>
                </c:pt>
                <c:pt idx="153">
                  <c:v>2352.48</c:v>
                </c:pt>
                <c:pt idx="154">
                  <c:v>2352.48</c:v>
                </c:pt>
                <c:pt idx="155">
                  <c:v>2352.48</c:v>
                </c:pt>
                <c:pt idx="156">
                  <c:v>2352.48</c:v>
                </c:pt>
                <c:pt idx="157">
                  <c:v>2352.48</c:v>
                </c:pt>
                <c:pt idx="158">
                  <c:v>2352.48</c:v>
                </c:pt>
                <c:pt idx="159">
                  <c:v>2352.48</c:v>
                </c:pt>
                <c:pt idx="160">
                  <c:v>2352.48</c:v>
                </c:pt>
                <c:pt idx="161">
                  <c:v>2352.48</c:v>
                </c:pt>
                <c:pt idx="162">
                  <c:v>2352.48</c:v>
                </c:pt>
                <c:pt idx="163">
                  <c:v>2352.48</c:v>
                </c:pt>
                <c:pt idx="164">
                  <c:v>2352.48</c:v>
                </c:pt>
                <c:pt idx="165">
                  <c:v>2352.48</c:v>
                </c:pt>
                <c:pt idx="166">
                  <c:v>2352.48</c:v>
                </c:pt>
                <c:pt idx="167">
                  <c:v>2352.48</c:v>
                </c:pt>
                <c:pt idx="168">
                  <c:v>2352.48</c:v>
                </c:pt>
                <c:pt idx="169">
                  <c:v>2352.48</c:v>
                </c:pt>
                <c:pt idx="170">
                  <c:v>2352.48</c:v>
                </c:pt>
                <c:pt idx="171">
                  <c:v>2352.48</c:v>
                </c:pt>
                <c:pt idx="172">
                  <c:v>2352.48</c:v>
                </c:pt>
                <c:pt idx="173">
                  <c:v>2352.48</c:v>
                </c:pt>
                <c:pt idx="174">
                  <c:v>2352.48</c:v>
                </c:pt>
                <c:pt idx="175">
                  <c:v>2352.48</c:v>
                </c:pt>
                <c:pt idx="176">
                  <c:v>2352.48</c:v>
                </c:pt>
                <c:pt idx="177">
                  <c:v>2352.48</c:v>
                </c:pt>
                <c:pt idx="178">
                  <c:v>2352.48</c:v>
                </c:pt>
                <c:pt idx="179">
                  <c:v>2352.48</c:v>
                </c:pt>
                <c:pt idx="180">
                  <c:v>2352.48</c:v>
                </c:pt>
                <c:pt idx="181">
                  <c:v>2352.48</c:v>
                </c:pt>
                <c:pt idx="182">
                  <c:v>2352.48</c:v>
                </c:pt>
                <c:pt idx="183">
                  <c:v>2352.48</c:v>
                </c:pt>
                <c:pt idx="184">
                  <c:v>2352.48</c:v>
                </c:pt>
                <c:pt idx="185">
                  <c:v>2352.48</c:v>
                </c:pt>
                <c:pt idx="186">
                  <c:v>2352.48</c:v>
                </c:pt>
                <c:pt idx="187">
                  <c:v>2352.48</c:v>
                </c:pt>
                <c:pt idx="188">
                  <c:v>2352.48</c:v>
                </c:pt>
                <c:pt idx="189">
                  <c:v>2352.48</c:v>
                </c:pt>
                <c:pt idx="190">
                  <c:v>2352.48</c:v>
                </c:pt>
                <c:pt idx="191">
                  <c:v>2352.48</c:v>
                </c:pt>
                <c:pt idx="192">
                  <c:v>2352.48</c:v>
                </c:pt>
                <c:pt idx="193">
                  <c:v>2352.48</c:v>
                </c:pt>
                <c:pt idx="194">
                  <c:v>2352.48</c:v>
                </c:pt>
                <c:pt idx="195">
                  <c:v>2352.48</c:v>
                </c:pt>
                <c:pt idx="196">
                  <c:v>2352.48</c:v>
                </c:pt>
                <c:pt idx="197">
                  <c:v>2352.48</c:v>
                </c:pt>
                <c:pt idx="198">
                  <c:v>2352.48</c:v>
                </c:pt>
                <c:pt idx="199">
                  <c:v>2352.48</c:v>
                </c:pt>
                <c:pt idx="200">
                  <c:v>2352.48</c:v>
                </c:pt>
                <c:pt idx="201">
                  <c:v>2352.48</c:v>
                </c:pt>
                <c:pt idx="202">
                  <c:v>2352.48</c:v>
                </c:pt>
                <c:pt idx="203">
                  <c:v>2352.48</c:v>
                </c:pt>
                <c:pt idx="204">
                  <c:v>2352.48</c:v>
                </c:pt>
                <c:pt idx="205">
                  <c:v>2352.48</c:v>
                </c:pt>
                <c:pt idx="206">
                  <c:v>2352.48</c:v>
                </c:pt>
                <c:pt idx="207">
                  <c:v>2352.48</c:v>
                </c:pt>
                <c:pt idx="208">
                  <c:v>2352.48</c:v>
                </c:pt>
                <c:pt idx="209">
                  <c:v>2352.48</c:v>
                </c:pt>
                <c:pt idx="210">
                  <c:v>2352.48</c:v>
                </c:pt>
                <c:pt idx="211">
                  <c:v>2352.48</c:v>
                </c:pt>
                <c:pt idx="212">
                  <c:v>2352.48</c:v>
                </c:pt>
                <c:pt idx="213">
                  <c:v>2352.48</c:v>
                </c:pt>
                <c:pt idx="214">
                  <c:v>2344.0757394606999</c:v>
                </c:pt>
                <c:pt idx="215">
                  <c:v>2344.0757394606999</c:v>
                </c:pt>
                <c:pt idx="216">
                  <c:v>2344.0757394606999</c:v>
                </c:pt>
                <c:pt idx="217">
                  <c:v>2344.0757394606999</c:v>
                </c:pt>
                <c:pt idx="218">
                  <c:v>2344.0757394606999</c:v>
                </c:pt>
                <c:pt idx="219">
                  <c:v>2344.0757394606999</c:v>
                </c:pt>
                <c:pt idx="220">
                  <c:v>2344.0757394606999</c:v>
                </c:pt>
                <c:pt idx="221">
                  <c:v>2344.0757394606999</c:v>
                </c:pt>
                <c:pt idx="222">
                  <c:v>2344.0757394606999</c:v>
                </c:pt>
                <c:pt idx="223">
                  <c:v>2344.0757394606999</c:v>
                </c:pt>
                <c:pt idx="224">
                  <c:v>2344.0757394606999</c:v>
                </c:pt>
                <c:pt idx="225">
                  <c:v>2344.0757394606999</c:v>
                </c:pt>
                <c:pt idx="226">
                  <c:v>2344.0757394606999</c:v>
                </c:pt>
                <c:pt idx="227">
                  <c:v>2344.0757394606999</c:v>
                </c:pt>
                <c:pt idx="228">
                  <c:v>2344.0757394606999</c:v>
                </c:pt>
                <c:pt idx="229">
                  <c:v>2344.0757394606999</c:v>
                </c:pt>
                <c:pt idx="230">
                  <c:v>2344.0757394606999</c:v>
                </c:pt>
                <c:pt idx="231">
                  <c:v>2344.0757394606999</c:v>
                </c:pt>
                <c:pt idx="232">
                  <c:v>2344.0757394606999</c:v>
                </c:pt>
                <c:pt idx="233">
                  <c:v>2344.0757394606999</c:v>
                </c:pt>
                <c:pt idx="234">
                  <c:v>2344.0757394606999</c:v>
                </c:pt>
                <c:pt idx="235">
                  <c:v>2344.0757394606999</c:v>
                </c:pt>
                <c:pt idx="236">
                  <c:v>2344.0757394606999</c:v>
                </c:pt>
                <c:pt idx="237">
                  <c:v>2344.0757394606999</c:v>
                </c:pt>
                <c:pt idx="238">
                  <c:v>2344.0757394606999</c:v>
                </c:pt>
                <c:pt idx="239">
                  <c:v>2344.0757394606999</c:v>
                </c:pt>
                <c:pt idx="240">
                  <c:v>2344.0757394606999</c:v>
                </c:pt>
                <c:pt idx="241">
                  <c:v>2344.0757394606999</c:v>
                </c:pt>
                <c:pt idx="242">
                  <c:v>2344.0757394606999</c:v>
                </c:pt>
                <c:pt idx="243">
                  <c:v>2344.0757394606999</c:v>
                </c:pt>
                <c:pt idx="244">
                  <c:v>2344.0757394606999</c:v>
                </c:pt>
                <c:pt idx="245">
                  <c:v>2344.0757394606999</c:v>
                </c:pt>
                <c:pt idx="246">
                  <c:v>2344.0757394606999</c:v>
                </c:pt>
                <c:pt idx="247">
                  <c:v>2344.0757394606999</c:v>
                </c:pt>
                <c:pt idx="248">
                  <c:v>2344.0757394606999</c:v>
                </c:pt>
                <c:pt idx="249">
                  <c:v>2344.0757394606999</c:v>
                </c:pt>
                <c:pt idx="250">
                  <c:v>2344.0757394606999</c:v>
                </c:pt>
                <c:pt idx="251">
                  <c:v>2344.0757394606999</c:v>
                </c:pt>
                <c:pt idx="252">
                  <c:v>2344.0757394606999</c:v>
                </c:pt>
                <c:pt idx="253">
                  <c:v>2344.0757394606999</c:v>
                </c:pt>
                <c:pt idx="254">
                  <c:v>2344.0757394606999</c:v>
                </c:pt>
                <c:pt idx="255">
                  <c:v>2344.0757394606999</c:v>
                </c:pt>
                <c:pt idx="256">
                  <c:v>2344.0757394606999</c:v>
                </c:pt>
                <c:pt idx="257">
                  <c:v>2344.0757394606999</c:v>
                </c:pt>
                <c:pt idx="258">
                  <c:v>2344.0757394606999</c:v>
                </c:pt>
                <c:pt idx="259">
                  <c:v>2344.0757394606999</c:v>
                </c:pt>
                <c:pt idx="260">
                  <c:v>2344.0757394606999</c:v>
                </c:pt>
                <c:pt idx="261">
                  <c:v>2344.0757394606999</c:v>
                </c:pt>
                <c:pt idx="262">
                  <c:v>2344.0757394606999</c:v>
                </c:pt>
                <c:pt idx="263">
                  <c:v>2344.0757394606999</c:v>
                </c:pt>
                <c:pt idx="264">
                  <c:v>2344.0757394606999</c:v>
                </c:pt>
                <c:pt idx="265">
                  <c:v>2344.0757394606999</c:v>
                </c:pt>
                <c:pt idx="266">
                  <c:v>2344.0757394606999</c:v>
                </c:pt>
                <c:pt idx="267">
                  <c:v>2344.0757394606999</c:v>
                </c:pt>
                <c:pt idx="268">
                  <c:v>2344.0757394606999</c:v>
                </c:pt>
                <c:pt idx="269">
                  <c:v>2344.0757394606999</c:v>
                </c:pt>
                <c:pt idx="270">
                  <c:v>2344.0757394606999</c:v>
                </c:pt>
                <c:pt idx="271">
                  <c:v>2344.0757394606999</c:v>
                </c:pt>
                <c:pt idx="272">
                  <c:v>2344.0757394606999</c:v>
                </c:pt>
                <c:pt idx="273">
                  <c:v>2344.0757394606999</c:v>
                </c:pt>
                <c:pt idx="274">
                  <c:v>2344.0757394606999</c:v>
                </c:pt>
                <c:pt idx="275">
                  <c:v>2344.0757394606999</c:v>
                </c:pt>
                <c:pt idx="276">
                  <c:v>2344.0757394606999</c:v>
                </c:pt>
                <c:pt idx="277">
                  <c:v>2344.0757394606999</c:v>
                </c:pt>
                <c:pt idx="278">
                  <c:v>2344.0757394606999</c:v>
                </c:pt>
                <c:pt idx="279">
                  <c:v>2344.0757394606999</c:v>
                </c:pt>
                <c:pt idx="280">
                  <c:v>2344.0757394606999</c:v>
                </c:pt>
                <c:pt idx="281">
                  <c:v>2344.0757394606999</c:v>
                </c:pt>
                <c:pt idx="282">
                  <c:v>2344.0757394606999</c:v>
                </c:pt>
                <c:pt idx="283">
                  <c:v>2344.0757394606999</c:v>
                </c:pt>
                <c:pt idx="284">
                  <c:v>2344.0757394606999</c:v>
                </c:pt>
                <c:pt idx="285">
                  <c:v>2344.0757394606999</c:v>
                </c:pt>
                <c:pt idx="286">
                  <c:v>2344.0757394606999</c:v>
                </c:pt>
                <c:pt idx="287">
                  <c:v>2344.0757394606999</c:v>
                </c:pt>
                <c:pt idx="288">
                  <c:v>2344.0757394606999</c:v>
                </c:pt>
                <c:pt idx="289">
                  <c:v>2344.0757394606999</c:v>
                </c:pt>
                <c:pt idx="290">
                  <c:v>2344.0757394606999</c:v>
                </c:pt>
                <c:pt idx="291">
                  <c:v>2344.0757394606999</c:v>
                </c:pt>
                <c:pt idx="292">
                  <c:v>2344.0757394606999</c:v>
                </c:pt>
                <c:pt idx="293">
                  <c:v>2344.0757394606999</c:v>
                </c:pt>
                <c:pt idx="294">
                  <c:v>2344.0757394606999</c:v>
                </c:pt>
                <c:pt idx="295">
                  <c:v>2344.0757394606999</c:v>
                </c:pt>
                <c:pt idx="296">
                  <c:v>2344.0757394606999</c:v>
                </c:pt>
                <c:pt idx="297">
                  <c:v>2344.0757394606999</c:v>
                </c:pt>
                <c:pt idx="298">
                  <c:v>2344.0757394606999</c:v>
                </c:pt>
                <c:pt idx="299">
                  <c:v>2344.0757394606999</c:v>
                </c:pt>
                <c:pt idx="300">
                  <c:v>2344.0757394606999</c:v>
                </c:pt>
                <c:pt idx="301">
                  <c:v>2344.0757394606999</c:v>
                </c:pt>
                <c:pt idx="302">
                  <c:v>2344.0757394606999</c:v>
                </c:pt>
                <c:pt idx="303">
                  <c:v>2344.0757394606999</c:v>
                </c:pt>
                <c:pt idx="304">
                  <c:v>2344.0757394606999</c:v>
                </c:pt>
                <c:pt idx="305">
                  <c:v>2344.0757394606999</c:v>
                </c:pt>
                <c:pt idx="306">
                  <c:v>2344.0757394606999</c:v>
                </c:pt>
                <c:pt idx="307">
                  <c:v>2344.0757394606999</c:v>
                </c:pt>
                <c:pt idx="308">
                  <c:v>2344.0757394606999</c:v>
                </c:pt>
                <c:pt idx="309">
                  <c:v>2344.0757394606999</c:v>
                </c:pt>
                <c:pt idx="310">
                  <c:v>2344.0757394606999</c:v>
                </c:pt>
                <c:pt idx="311">
                  <c:v>2344.0757394606999</c:v>
                </c:pt>
                <c:pt idx="312">
                  <c:v>2344.0757394606999</c:v>
                </c:pt>
                <c:pt idx="313">
                  <c:v>2344.0757394606999</c:v>
                </c:pt>
                <c:pt idx="314">
                  <c:v>2344.0757394606999</c:v>
                </c:pt>
                <c:pt idx="315">
                  <c:v>2344.0757394606999</c:v>
                </c:pt>
                <c:pt idx="316">
                  <c:v>2344.0757394606999</c:v>
                </c:pt>
                <c:pt idx="317">
                  <c:v>2344.0757394606999</c:v>
                </c:pt>
                <c:pt idx="318">
                  <c:v>2344.0757394606999</c:v>
                </c:pt>
                <c:pt idx="319">
                  <c:v>2344.0757394606999</c:v>
                </c:pt>
                <c:pt idx="320">
                  <c:v>2344.0757394606999</c:v>
                </c:pt>
                <c:pt idx="321">
                  <c:v>2344.0757394606999</c:v>
                </c:pt>
                <c:pt idx="322">
                  <c:v>2344.0757394606999</c:v>
                </c:pt>
                <c:pt idx="323">
                  <c:v>2344.0757394606999</c:v>
                </c:pt>
                <c:pt idx="324">
                  <c:v>2344.0757394606999</c:v>
                </c:pt>
                <c:pt idx="325">
                  <c:v>2344.0757394606999</c:v>
                </c:pt>
                <c:pt idx="326">
                  <c:v>2344.0757394606999</c:v>
                </c:pt>
                <c:pt idx="327">
                  <c:v>2344.0757394606999</c:v>
                </c:pt>
                <c:pt idx="328">
                  <c:v>2344.0757394606999</c:v>
                </c:pt>
                <c:pt idx="329">
                  <c:v>2344.0757394606999</c:v>
                </c:pt>
                <c:pt idx="330">
                  <c:v>2344.0757394606999</c:v>
                </c:pt>
                <c:pt idx="331">
                  <c:v>2344.0757394606999</c:v>
                </c:pt>
                <c:pt idx="332">
                  <c:v>2344.0757394606999</c:v>
                </c:pt>
                <c:pt idx="333">
                  <c:v>2344.0757394606999</c:v>
                </c:pt>
                <c:pt idx="334">
                  <c:v>2344.0757394606999</c:v>
                </c:pt>
                <c:pt idx="335">
                  <c:v>2344.0757394606999</c:v>
                </c:pt>
                <c:pt idx="336">
                  <c:v>2344.0757394606999</c:v>
                </c:pt>
                <c:pt idx="337">
                  <c:v>2344.0757394606999</c:v>
                </c:pt>
                <c:pt idx="338">
                  <c:v>2344.0757394606999</c:v>
                </c:pt>
                <c:pt idx="339">
                  <c:v>2344.0757394606999</c:v>
                </c:pt>
                <c:pt idx="340">
                  <c:v>2344.0757394606999</c:v>
                </c:pt>
                <c:pt idx="341">
                  <c:v>2344.0757394606999</c:v>
                </c:pt>
                <c:pt idx="342">
                  <c:v>2344.0757394606999</c:v>
                </c:pt>
                <c:pt idx="343">
                  <c:v>2344.0757394606999</c:v>
                </c:pt>
                <c:pt idx="344">
                  <c:v>2344.0757394606999</c:v>
                </c:pt>
                <c:pt idx="345">
                  <c:v>2344.0757394606999</c:v>
                </c:pt>
                <c:pt idx="346">
                  <c:v>2344.0757394606999</c:v>
                </c:pt>
                <c:pt idx="347">
                  <c:v>2344.0757394606999</c:v>
                </c:pt>
                <c:pt idx="348">
                  <c:v>2344.0757394606999</c:v>
                </c:pt>
                <c:pt idx="349">
                  <c:v>2344.0757394606999</c:v>
                </c:pt>
                <c:pt idx="350">
                  <c:v>2344.0757394606999</c:v>
                </c:pt>
                <c:pt idx="351">
                  <c:v>2344.0757394606999</c:v>
                </c:pt>
                <c:pt idx="352">
                  <c:v>2344.0757394606999</c:v>
                </c:pt>
                <c:pt idx="353">
                  <c:v>2344.0757394606999</c:v>
                </c:pt>
                <c:pt idx="354">
                  <c:v>2344.0757394606999</c:v>
                </c:pt>
                <c:pt idx="355">
                  <c:v>2344.0757394606999</c:v>
                </c:pt>
                <c:pt idx="356">
                  <c:v>2344.0757394606999</c:v>
                </c:pt>
                <c:pt idx="357">
                  <c:v>2344.0757394606999</c:v>
                </c:pt>
                <c:pt idx="358">
                  <c:v>2344.0757394606999</c:v>
                </c:pt>
                <c:pt idx="359">
                  <c:v>2344.0757394606999</c:v>
                </c:pt>
                <c:pt idx="360">
                  <c:v>2344.0757394606999</c:v>
                </c:pt>
                <c:pt idx="361">
                  <c:v>2344.0757394606999</c:v>
                </c:pt>
                <c:pt idx="362">
                  <c:v>2344.0757394606999</c:v>
                </c:pt>
                <c:pt idx="363">
                  <c:v>2344.0757394606999</c:v>
                </c:pt>
                <c:pt idx="364">
                  <c:v>2344.0757394606999</c:v>
                </c:pt>
                <c:pt idx="365">
                  <c:v>2344.0757394606999</c:v>
                </c:pt>
                <c:pt idx="366">
                  <c:v>2344.0757394606999</c:v>
                </c:pt>
                <c:pt idx="367">
                  <c:v>2344.0757394606999</c:v>
                </c:pt>
                <c:pt idx="368">
                  <c:v>2344.0757394606999</c:v>
                </c:pt>
                <c:pt idx="369">
                  <c:v>2344.0757394606999</c:v>
                </c:pt>
                <c:pt idx="370">
                  <c:v>2344.0757394606999</c:v>
                </c:pt>
                <c:pt idx="371">
                  <c:v>2344.0757394606999</c:v>
                </c:pt>
                <c:pt idx="372">
                  <c:v>2344.0757394606999</c:v>
                </c:pt>
                <c:pt idx="373">
                  <c:v>2344.0757394606999</c:v>
                </c:pt>
                <c:pt idx="374">
                  <c:v>2344.0757394606999</c:v>
                </c:pt>
                <c:pt idx="375">
                  <c:v>2344.0757394606999</c:v>
                </c:pt>
                <c:pt idx="376">
                  <c:v>2344.0757394606999</c:v>
                </c:pt>
                <c:pt idx="377">
                  <c:v>2344.0757394606999</c:v>
                </c:pt>
                <c:pt idx="378">
                  <c:v>2344.0757394606999</c:v>
                </c:pt>
                <c:pt idx="379">
                  <c:v>2344.0757394606999</c:v>
                </c:pt>
                <c:pt idx="380">
                  <c:v>2344.0757394606999</c:v>
                </c:pt>
                <c:pt idx="381">
                  <c:v>2344.0757394606999</c:v>
                </c:pt>
                <c:pt idx="382">
                  <c:v>2344.0757394606999</c:v>
                </c:pt>
                <c:pt idx="383">
                  <c:v>2344.0757394606999</c:v>
                </c:pt>
                <c:pt idx="384">
                  <c:v>2344.0757394606999</c:v>
                </c:pt>
                <c:pt idx="385">
                  <c:v>2344.0757394606999</c:v>
                </c:pt>
                <c:pt idx="386">
                  <c:v>2344.0757394606999</c:v>
                </c:pt>
                <c:pt idx="387">
                  <c:v>2344.0757394606999</c:v>
                </c:pt>
                <c:pt idx="388">
                  <c:v>2344.0757394606999</c:v>
                </c:pt>
                <c:pt idx="389">
                  <c:v>2344.0757394606999</c:v>
                </c:pt>
                <c:pt idx="390">
                  <c:v>2344.0757394606999</c:v>
                </c:pt>
                <c:pt idx="391">
                  <c:v>2344.0757394606999</c:v>
                </c:pt>
                <c:pt idx="392">
                  <c:v>2344.0757394606999</c:v>
                </c:pt>
                <c:pt idx="393">
                  <c:v>2344.0757394606999</c:v>
                </c:pt>
                <c:pt idx="394">
                  <c:v>2344.0757394606999</c:v>
                </c:pt>
                <c:pt idx="395">
                  <c:v>2344.0757394606999</c:v>
                </c:pt>
                <c:pt idx="396">
                  <c:v>2344.0757394606999</c:v>
                </c:pt>
                <c:pt idx="397">
                  <c:v>2344.0757394606999</c:v>
                </c:pt>
                <c:pt idx="398">
                  <c:v>2344.0757394606999</c:v>
                </c:pt>
                <c:pt idx="399">
                  <c:v>2344.0757394606999</c:v>
                </c:pt>
                <c:pt idx="400">
                  <c:v>2344.0757394606999</c:v>
                </c:pt>
                <c:pt idx="401">
                  <c:v>2344.0757394606999</c:v>
                </c:pt>
                <c:pt idx="402">
                  <c:v>2344.0757394606999</c:v>
                </c:pt>
                <c:pt idx="403">
                  <c:v>2344.0757394606999</c:v>
                </c:pt>
                <c:pt idx="404">
                  <c:v>2344.0757394606999</c:v>
                </c:pt>
                <c:pt idx="405">
                  <c:v>2344.0757394606999</c:v>
                </c:pt>
                <c:pt idx="406">
                  <c:v>2344.0757394606999</c:v>
                </c:pt>
                <c:pt idx="407">
                  <c:v>2344.0757394606999</c:v>
                </c:pt>
                <c:pt idx="408">
                  <c:v>2344.0757394606999</c:v>
                </c:pt>
                <c:pt idx="409">
                  <c:v>2344.0757394606999</c:v>
                </c:pt>
                <c:pt idx="410">
                  <c:v>2344.0757394606999</c:v>
                </c:pt>
                <c:pt idx="411">
                  <c:v>2344.0757394606999</c:v>
                </c:pt>
                <c:pt idx="412">
                  <c:v>2344.0757394606999</c:v>
                </c:pt>
                <c:pt idx="413">
                  <c:v>2344.0757394606999</c:v>
                </c:pt>
                <c:pt idx="414">
                  <c:v>2344.0757394606999</c:v>
                </c:pt>
                <c:pt idx="415">
                  <c:v>2344.0757394606999</c:v>
                </c:pt>
                <c:pt idx="416">
                  <c:v>2344.0757394606999</c:v>
                </c:pt>
                <c:pt idx="417">
                  <c:v>2344.0757394606999</c:v>
                </c:pt>
                <c:pt idx="418">
                  <c:v>2344.0757394606999</c:v>
                </c:pt>
                <c:pt idx="419">
                  <c:v>2344.0757394606999</c:v>
                </c:pt>
                <c:pt idx="420">
                  <c:v>2344.0757394606999</c:v>
                </c:pt>
                <c:pt idx="421">
                  <c:v>2344.0757394606999</c:v>
                </c:pt>
                <c:pt idx="422">
                  <c:v>2344.0757394606999</c:v>
                </c:pt>
                <c:pt idx="423">
                  <c:v>2344.0757394606999</c:v>
                </c:pt>
                <c:pt idx="424">
                  <c:v>2344.0757394606999</c:v>
                </c:pt>
                <c:pt idx="425">
                  <c:v>2344.0757394606999</c:v>
                </c:pt>
                <c:pt idx="426">
                  <c:v>2344.0757394606999</c:v>
                </c:pt>
                <c:pt idx="427">
                  <c:v>2344.0757394606999</c:v>
                </c:pt>
                <c:pt idx="428">
                  <c:v>2344.0757394606999</c:v>
                </c:pt>
                <c:pt idx="429">
                  <c:v>2344.0757394606999</c:v>
                </c:pt>
                <c:pt idx="430">
                  <c:v>2344.0757394606999</c:v>
                </c:pt>
                <c:pt idx="431">
                  <c:v>2344.0757394606999</c:v>
                </c:pt>
                <c:pt idx="432">
                  <c:v>2344.0757394606999</c:v>
                </c:pt>
                <c:pt idx="433">
                  <c:v>2344.0757394606999</c:v>
                </c:pt>
                <c:pt idx="434">
                  <c:v>2344.0757394606999</c:v>
                </c:pt>
                <c:pt idx="435">
                  <c:v>2344.0757394606999</c:v>
                </c:pt>
                <c:pt idx="436">
                  <c:v>2344.0757394606999</c:v>
                </c:pt>
                <c:pt idx="437">
                  <c:v>2344.0757394606999</c:v>
                </c:pt>
                <c:pt idx="438">
                  <c:v>2344.0757394606999</c:v>
                </c:pt>
                <c:pt idx="439">
                  <c:v>2344.0757394606999</c:v>
                </c:pt>
                <c:pt idx="440">
                  <c:v>2344.0757394606999</c:v>
                </c:pt>
                <c:pt idx="441">
                  <c:v>2344.0757394606999</c:v>
                </c:pt>
                <c:pt idx="442">
                  <c:v>2344.0757394606999</c:v>
                </c:pt>
                <c:pt idx="443">
                  <c:v>2344.0757394606999</c:v>
                </c:pt>
                <c:pt idx="444">
                  <c:v>2344.0757394606999</c:v>
                </c:pt>
                <c:pt idx="445">
                  <c:v>2344.0757394606999</c:v>
                </c:pt>
                <c:pt idx="446">
                  <c:v>2344.0757394606999</c:v>
                </c:pt>
                <c:pt idx="447">
                  <c:v>2344.0757394606999</c:v>
                </c:pt>
                <c:pt idx="448">
                  <c:v>2344.0757394606999</c:v>
                </c:pt>
                <c:pt idx="449">
                  <c:v>2344.0757394606999</c:v>
                </c:pt>
                <c:pt idx="450">
                  <c:v>2344.0757394606999</c:v>
                </c:pt>
                <c:pt idx="451">
                  <c:v>2344.0757394606999</c:v>
                </c:pt>
                <c:pt idx="452">
                  <c:v>2344.0757394606999</c:v>
                </c:pt>
                <c:pt idx="453">
                  <c:v>2344.0757394606999</c:v>
                </c:pt>
                <c:pt idx="454">
                  <c:v>2344.0757394606999</c:v>
                </c:pt>
                <c:pt idx="455">
                  <c:v>2344.0757394606999</c:v>
                </c:pt>
                <c:pt idx="456">
                  <c:v>2344.0757394606999</c:v>
                </c:pt>
                <c:pt idx="457">
                  <c:v>2344.0757394606999</c:v>
                </c:pt>
                <c:pt idx="458">
                  <c:v>2344.0757394606999</c:v>
                </c:pt>
                <c:pt idx="459">
                  <c:v>2344.0757394606999</c:v>
                </c:pt>
                <c:pt idx="460">
                  <c:v>2344.0757394606999</c:v>
                </c:pt>
                <c:pt idx="461">
                  <c:v>2344.0757394606999</c:v>
                </c:pt>
                <c:pt idx="462">
                  <c:v>2344.0757394606999</c:v>
                </c:pt>
                <c:pt idx="463">
                  <c:v>2344.0757394606999</c:v>
                </c:pt>
                <c:pt idx="464">
                  <c:v>2344.0757394606999</c:v>
                </c:pt>
                <c:pt idx="465">
                  <c:v>2344.0757394606999</c:v>
                </c:pt>
                <c:pt idx="466">
                  <c:v>2344.0757394606999</c:v>
                </c:pt>
                <c:pt idx="467">
                  <c:v>2344.0757394606999</c:v>
                </c:pt>
                <c:pt idx="468">
                  <c:v>2344.0757394606999</c:v>
                </c:pt>
                <c:pt idx="469">
                  <c:v>2344.0757394606999</c:v>
                </c:pt>
                <c:pt idx="470">
                  <c:v>2344.0757394606999</c:v>
                </c:pt>
                <c:pt idx="471">
                  <c:v>2344.0757394606999</c:v>
                </c:pt>
                <c:pt idx="472">
                  <c:v>2344.0757394606999</c:v>
                </c:pt>
                <c:pt idx="473">
                  <c:v>2344.0757394606999</c:v>
                </c:pt>
                <c:pt idx="474">
                  <c:v>2344.0757394606999</c:v>
                </c:pt>
                <c:pt idx="475">
                  <c:v>2344.0757394606999</c:v>
                </c:pt>
                <c:pt idx="476">
                  <c:v>2344.0757394606999</c:v>
                </c:pt>
                <c:pt idx="477">
                  <c:v>2344.0757394606999</c:v>
                </c:pt>
                <c:pt idx="478">
                  <c:v>2344.0757394606999</c:v>
                </c:pt>
                <c:pt idx="479">
                  <c:v>2344.0757394606999</c:v>
                </c:pt>
                <c:pt idx="480">
                  <c:v>2344.0757394606999</c:v>
                </c:pt>
                <c:pt idx="481">
                  <c:v>2344.0757394606999</c:v>
                </c:pt>
                <c:pt idx="482">
                  <c:v>2344.0757394606999</c:v>
                </c:pt>
                <c:pt idx="483">
                  <c:v>2344.0757394606999</c:v>
                </c:pt>
                <c:pt idx="484">
                  <c:v>2344.0757394606999</c:v>
                </c:pt>
                <c:pt idx="485">
                  <c:v>2344.0757394606999</c:v>
                </c:pt>
                <c:pt idx="486">
                  <c:v>2344.0757394606999</c:v>
                </c:pt>
                <c:pt idx="487">
                  <c:v>2344.0757394606999</c:v>
                </c:pt>
                <c:pt idx="488">
                  <c:v>2344.0757394606999</c:v>
                </c:pt>
                <c:pt idx="489">
                  <c:v>2344.0757394606999</c:v>
                </c:pt>
                <c:pt idx="490">
                  <c:v>2344.0757394606999</c:v>
                </c:pt>
                <c:pt idx="491">
                  <c:v>2344.0757394606999</c:v>
                </c:pt>
                <c:pt idx="492">
                  <c:v>2344.0757394606999</c:v>
                </c:pt>
                <c:pt idx="493">
                  <c:v>2344.0757394606999</c:v>
                </c:pt>
                <c:pt idx="494">
                  <c:v>2344.0757394606999</c:v>
                </c:pt>
                <c:pt idx="495">
                  <c:v>2344.0757394606999</c:v>
                </c:pt>
                <c:pt idx="496">
                  <c:v>2344.0757394606999</c:v>
                </c:pt>
                <c:pt idx="497">
                  <c:v>2344.0757394606999</c:v>
                </c:pt>
                <c:pt idx="498">
                  <c:v>2344.0757394606999</c:v>
                </c:pt>
                <c:pt idx="499">
                  <c:v>2344.0757394606999</c:v>
                </c:pt>
                <c:pt idx="500">
                  <c:v>2344.0757394606999</c:v>
                </c:pt>
                <c:pt idx="501">
                  <c:v>2344.0757394606999</c:v>
                </c:pt>
                <c:pt idx="502">
                  <c:v>2344.0757394606999</c:v>
                </c:pt>
                <c:pt idx="503">
                  <c:v>2344.0757394606999</c:v>
                </c:pt>
                <c:pt idx="504">
                  <c:v>2344.0757394606999</c:v>
                </c:pt>
                <c:pt idx="505">
                  <c:v>2344.0757394606999</c:v>
                </c:pt>
                <c:pt idx="506">
                  <c:v>2344.0757394606999</c:v>
                </c:pt>
                <c:pt idx="507">
                  <c:v>2344.0757394606999</c:v>
                </c:pt>
                <c:pt idx="508">
                  <c:v>2344.0757394606999</c:v>
                </c:pt>
                <c:pt idx="509">
                  <c:v>2344.0757394606999</c:v>
                </c:pt>
                <c:pt idx="510">
                  <c:v>2344.0757394606999</c:v>
                </c:pt>
                <c:pt idx="511">
                  <c:v>2344.0757394606999</c:v>
                </c:pt>
                <c:pt idx="512">
                  <c:v>2344.0757394606999</c:v>
                </c:pt>
                <c:pt idx="513">
                  <c:v>2344.0757394606999</c:v>
                </c:pt>
                <c:pt idx="514">
                  <c:v>2344.0757394606999</c:v>
                </c:pt>
                <c:pt idx="515">
                  <c:v>2344.0757394606999</c:v>
                </c:pt>
                <c:pt idx="516">
                  <c:v>2344.0757394606999</c:v>
                </c:pt>
                <c:pt idx="517">
                  <c:v>2344.0757394606999</c:v>
                </c:pt>
                <c:pt idx="518">
                  <c:v>2344.0757394606999</c:v>
                </c:pt>
                <c:pt idx="519">
                  <c:v>2344.0757394606999</c:v>
                </c:pt>
                <c:pt idx="520">
                  <c:v>2344.0757394606999</c:v>
                </c:pt>
                <c:pt idx="521">
                  <c:v>2344.0757394606999</c:v>
                </c:pt>
                <c:pt idx="522">
                  <c:v>2344.0757394606999</c:v>
                </c:pt>
                <c:pt idx="523">
                  <c:v>2344.0757394606999</c:v>
                </c:pt>
                <c:pt idx="524">
                  <c:v>2344.0757394606999</c:v>
                </c:pt>
                <c:pt idx="525">
                  <c:v>2344.0757394606999</c:v>
                </c:pt>
                <c:pt idx="526">
                  <c:v>2344.0757394606999</c:v>
                </c:pt>
                <c:pt idx="527">
                  <c:v>2344.0757394606999</c:v>
                </c:pt>
                <c:pt idx="528">
                  <c:v>2344.0757394606999</c:v>
                </c:pt>
                <c:pt idx="529">
                  <c:v>2344.0757394606999</c:v>
                </c:pt>
                <c:pt idx="530">
                  <c:v>2344.0757394606999</c:v>
                </c:pt>
                <c:pt idx="531">
                  <c:v>2344.0757394606999</c:v>
                </c:pt>
                <c:pt idx="532">
                  <c:v>2344.0757394606999</c:v>
                </c:pt>
                <c:pt idx="533">
                  <c:v>2344.0757394606999</c:v>
                </c:pt>
                <c:pt idx="534">
                  <c:v>2344.0757394606999</c:v>
                </c:pt>
                <c:pt idx="535">
                  <c:v>2344.0757394606999</c:v>
                </c:pt>
                <c:pt idx="536">
                  <c:v>2344.0757394606999</c:v>
                </c:pt>
                <c:pt idx="537">
                  <c:v>2344.0757394606999</c:v>
                </c:pt>
                <c:pt idx="538">
                  <c:v>2344.0757394606999</c:v>
                </c:pt>
                <c:pt idx="539">
                  <c:v>2344.0757394606999</c:v>
                </c:pt>
                <c:pt idx="540">
                  <c:v>2344.0757394606999</c:v>
                </c:pt>
                <c:pt idx="541">
                  <c:v>2344.0757394606999</c:v>
                </c:pt>
                <c:pt idx="542">
                  <c:v>2344.0757394606999</c:v>
                </c:pt>
                <c:pt idx="543">
                  <c:v>2344.0757394606999</c:v>
                </c:pt>
                <c:pt idx="544">
                  <c:v>2344.0757394606999</c:v>
                </c:pt>
                <c:pt idx="545">
                  <c:v>2344.0757394606999</c:v>
                </c:pt>
                <c:pt idx="546">
                  <c:v>2344.0757394606999</c:v>
                </c:pt>
                <c:pt idx="547">
                  <c:v>2344.0757394606999</c:v>
                </c:pt>
                <c:pt idx="548">
                  <c:v>2344.0757394606999</c:v>
                </c:pt>
                <c:pt idx="549">
                  <c:v>2344.0757394606999</c:v>
                </c:pt>
                <c:pt idx="550">
                  <c:v>2344.0757394606999</c:v>
                </c:pt>
                <c:pt idx="551">
                  <c:v>2344.0757394606999</c:v>
                </c:pt>
                <c:pt idx="552">
                  <c:v>2344.0757394606999</c:v>
                </c:pt>
                <c:pt idx="553">
                  <c:v>2344.0757394606999</c:v>
                </c:pt>
                <c:pt idx="554">
                  <c:v>2344.0757394606999</c:v>
                </c:pt>
                <c:pt idx="555">
                  <c:v>2344.0757394606999</c:v>
                </c:pt>
                <c:pt idx="556">
                  <c:v>2344.0757394606999</c:v>
                </c:pt>
                <c:pt idx="557">
                  <c:v>2344.0757394606999</c:v>
                </c:pt>
                <c:pt idx="558">
                  <c:v>2344.0757394606999</c:v>
                </c:pt>
                <c:pt idx="559">
                  <c:v>2344.0757394606999</c:v>
                </c:pt>
                <c:pt idx="560">
                  <c:v>2344.0757394606999</c:v>
                </c:pt>
                <c:pt idx="561">
                  <c:v>2344.0757394606999</c:v>
                </c:pt>
                <c:pt idx="562">
                  <c:v>2344.0757394606999</c:v>
                </c:pt>
                <c:pt idx="563">
                  <c:v>2344.0757394606999</c:v>
                </c:pt>
                <c:pt idx="564">
                  <c:v>2344.0757394606999</c:v>
                </c:pt>
                <c:pt idx="565">
                  <c:v>2344.0757394606999</c:v>
                </c:pt>
                <c:pt idx="566">
                  <c:v>2344.0757394606999</c:v>
                </c:pt>
                <c:pt idx="567">
                  <c:v>2344.0757394606999</c:v>
                </c:pt>
                <c:pt idx="568">
                  <c:v>2344.0757394606999</c:v>
                </c:pt>
                <c:pt idx="569">
                  <c:v>2344.0757394606999</c:v>
                </c:pt>
                <c:pt idx="570">
                  <c:v>2344.0757394606999</c:v>
                </c:pt>
                <c:pt idx="571">
                  <c:v>2344.0757394606999</c:v>
                </c:pt>
                <c:pt idx="572">
                  <c:v>2344.0757394606999</c:v>
                </c:pt>
                <c:pt idx="573">
                  <c:v>2344.0757394606999</c:v>
                </c:pt>
                <c:pt idx="574">
                  <c:v>2344.0757394606999</c:v>
                </c:pt>
                <c:pt idx="575">
                  <c:v>2344.0757394606999</c:v>
                </c:pt>
                <c:pt idx="576">
                  <c:v>2344.0757394606999</c:v>
                </c:pt>
                <c:pt idx="577">
                  <c:v>2344.0757394606999</c:v>
                </c:pt>
                <c:pt idx="578">
                  <c:v>2344.0757394606999</c:v>
                </c:pt>
                <c:pt idx="579">
                  <c:v>2176.5074137543997</c:v>
                </c:pt>
                <c:pt idx="580">
                  <c:v>2176.5074137543997</c:v>
                </c:pt>
                <c:pt idx="581">
                  <c:v>2176.5074137543997</c:v>
                </c:pt>
                <c:pt idx="582">
                  <c:v>2176.5074137543997</c:v>
                </c:pt>
                <c:pt idx="583">
                  <c:v>2176.5074137543997</c:v>
                </c:pt>
                <c:pt idx="584">
                  <c:v>2176.5074137543997</c:v>
                </c:pt>
                <c:pt idx="585">
                  <c:v>2176.5074137543997</c:v>
                </c:pt>
                <c:pt idx="586">
                  <c:v>2176.5074137543997</c:v>
                </c:pt>
                <c:pt idx="587">
                  <c:v>2176.5074137543997</c:v>
                </c:pt>
                <c:pt idx="588">
                  <c:v>2176.5074137543997</c:v>
                </c:pt>
                <c:pt idx="589">
                  <c:v>2176.5074137543997</c:v>
                </c:pt>
                <c:pt idx="590">
                  <c:v>2176.5074137543997</c:v>
                </c:pt>
                <c:pt idx="591">
                  <c:v>2176.5074137543997</c:v>
                </c:pt>
                <c:pt idx="592">
                  <c:v>2176.5074137543997</c:v>
                </c:pt>
                <c:pt idx="593">
                  <c:v>2176.5074137543997</c:v>
                </c:pt>
                <c:pt idx="594">
                  <c:v>2176.5074137543997</c:v>
                </c:pt>
                <c:pt idx="595">
                  <c:v>2176.5074137543997</c:v>
                </c:pt>
                <c:pt idx="596">
                  <c:v>2176.5074137543997</c:v>
                </c:pt>
                <c:pt idx="597">
                  <c:v>2176.5074137543997</c:v>
                </c:pt>
                <c:pt idx="598">
                  <c:v>2176.5074137543997</c:v>
                </c:pt>
                <c:pt idx="599">
                  <c:v>2176.5074137543997</c:v>
                </c:pt>
                <c:pt idx="600">
                  <c:v>2176.5074137543997</c:v>
                </c:pt>
                <c:pt idx="601">
                  <c:v>2176.5074137543997</c:v>
                </c:pt>
                <c:pt idx="602">
                  <c:v>2176.5074137543997</c:v>
                </c:pt>
                <c:pt idx="603">
                  <c:v>2176.5074137543997</c:v>
                </c:pt>
                <c:pt idx="604">
                  <c:v>2176.5074137543997</c:v>
                </c:pt>
                <c:pt idx="605">
                  <c:v>2176.5074137543997</c:v>
                </c:pt>
                <c:pt idx="606">
                  <c:v>2176.5074137543997</c:v>
                </c:pt>
                <c:pt idx="607">
                  <c:v>2176.5074137543997</c:v>
                </c:pt>
                <c:pt idx="608">
                  <c:v>2176.5074137543997</c:v>
                </c:pt>
                <c:pt idx="609">
                  <c:v>2176.5074137543997</c:v>
                </c:pt>
                <c:pt idx="610">
                  <c:v>2176.5074137543997</c:v>
                </c:pt>
                <c:pt idx="611">
                  <c:v>2176.5074137543997</c:v>
                </c:pt>
                <c:pt idx="612">
                  <c:v>2176.5074137543997</c:v>
                </c:pt>
                <c:pt idx="613">
                  <c:v>2176.5074137543997</c:v>
                </c:pt>
                <c:pt idx="614">
                  <c:v>2176.5074137543997</c:v>
                </c:pt>
                <c:pt idx="615">
                  <c:v>2176.5074137543997</c:v>
                </c:pt>
                <c:pt idx="616">
                  <c:v>2176.5074137543997</c:v>
                </c:pt>
                <c:pt idx="617">
                  <c:v>2176.5074137543997</c:v>
                </c:pt>
                <c:pt idx="618">
                  <c:v>2176.5074137543997</c:v>
                </c:pt>
                <c:pt idx="619">
                  <c:v>2176.5074137543997</c:v>
                </c:pt>
                <c:pt idx="620">
                  <c:v>2176.5074137543997</c:v>
                </c:pt>
                <c:pt idx="621">
                  <c:v>2176.5074137543997</c:v>
                </c:pt>
                <c:pt idx="622">
                  <c:v>2176.5074137543997</c:v>
                </c:pt>
                <c:pt idx="623">
                  <c:v>2176.5074137543997</c:v>
                </c:pt>
                <c:pt idx="624">
                  <c:v>2176.5074137543997</c:v>
                </c:pt>
                <c:pt idx="625">
                  <c:v>2176.5074137543997</c:v>
                </c:pt>
                <c:pt idx="626">
                  <c:v>2176.5074137543997</c:v>
                </c:pt>
                <c:pt idx="627">
                  <c:v>2176.5074137543997</c:v>
                </c:pt>
                <c:pt idx="628">
                  <c:v>2176.5074137543997</c:v>
                </c:pt>
                <c:pt idx="629">
                  <c:v>2176.5074137543997</c:v>
                </c:pt>
                <c:pt idx="630">
                  <c:v>2176.5074137543997</c:v>
                </c:pt>
                <c:pt idx="631">
                  <c:v>2176.5074137543997</c:v>
                </c:pt>
                <c:pt idx="632">
                  <c:v>2176.5074137543997</c:v>
                </c:pt>
                <c:pt idx="633">
                  <c:v>2176.5074137543997</c:v>
                </c:pt>
                <c:pt idx="634">
                  <c:v>2176.5074137543997</c:v>
                </c:pt>
                <c:pt idx="635">
                  <c:v>2176.5074137543997</c:v>
                </c:pt>
                <c:pt idx="636">
                  <c:v>2176.5074137543997</c:v>
                </c:pt>
                <c:pt idx="637">
                  <c:v>2176.5074137543997</c:v>
                </c:pt>
                <c:pt idx="638">
                  <c:v>2176.5074137543997</c:v>
                </c:pt>
                <c:pt idx="639">
                  <c:v>2176.5074137543997</c:v>
                </c:pt>
                <c:pt idx="640">
                  <c:v>2176.5074137543997</c:v>
                </c:pt>
                <c:pt idx="641">
                  <c:v>2176.5074137543997</c:v>
                </c:pt>
                <c:pt idx="642">
                  <c:v>2176.5074137543997</c:v>
                </c:pt>
                <c:pt idx="643">
                  <c:v>2176.5074137543997</c:v>
                </c:pt>
                <c:pt idx="644">
                  <c:v>2176.5074137543997</c:v>
                </c:pt>
                <c:pt idx="645">
                  <c:v>2176.5074137543997</c:v>
                </c:pt>
                <c:pt idx="646">
                  <c:v>2176.5074137543997</c:v>
                </c:pt>
                <c:pt idx="647">
                  <c:v>2176.5074137543997</c:v>
                </c:pt>
                <c:pt idx="648">
                  <c:v>2176.5074137543997</c:v>
                </c:pt>
                <c:pt idx="649">
                  <c:v>2176.5074137543997</c:v>
                </c:pt>
                <c:pt idx="650">
                  <c:v>2176.5074137543997</c:v>
                </c:pt>
                <c:pt idx="651">
                  <c:v>2176.5074137543997</c:v>
                </c:pt>
                <c:pt idx="652">
                  <c:v>2176.5074137543997</c:v>
                </c:pt>
                <c:pt idx="653">
                  <c:v>2176.5074137543997</c:v>
                </c:pt>
                <c:pt idx="654">
                  <c:v>2176.5074137543997</c:v>
                </c:pt>
                <c:pt idx="655">
                  <c:v>2176.5074137543997</c:v>
                </c:pt>
                <c:pt idx="656">
                  <c:v>2176.5074137543997</c:v>
                </c:pt>
                <c:pt idx="657">
                  <c:v>2176.5074137543997</c:v>
                </c:pt>
                <c:pt idx="658">
                  <c:v>2176.5074137543997</c:v>
                </c:pt>
                <c:pt idx="659">
                  <c:v>2176.5074137543997</c:v>
                </c:pt>
                <c:pt idx="660">
                  <c:v>2176.5074137543997</c:v>
                </c:pt>
                <c:pt idx="661">
                  <c:v>2176.5074137543997</c:v>
                </c:pt>
                <c:pt idx="662">
                  <c:v>2176.5074137543997</c:v>
                </c:pt>
                <c:pt idx="663">
                  <c:v>2176.5074137543997</c:v>
                </c:pt>
                <c:pt idx="664">
                  <c:v>2176.5074137543997</c:v>
                </c:pt>
                <c:pt idx="665">
                  <c:v>2176.5074137543997</c:v>
                </c:pt>
                <c:pt idx="666">
                  <c:v>2176.5074137543997</c:v>
                </c:pt>
                <c:pt idx="667">
                  <c:v>2176.5074137543997</c:v>
                </c:pt>
                <c:pt idx="668">
                  <c:v>2176.5074137543997</c:v>
                </c:pt>
                <c:pt idx="669">
                  <c:v>2176.5074137543997</c:v>
                </c:pt>
                <c:pt idx="670">
                  <c:v>2176.5074137543997</c:v>
                </c:pt>
                <c:pt idx="671">
                  <c:v>2176.5074137543997</c:v>
                </c:pt>
                <c:pt idx="672">
                  <c:v>2176.5074137543997</c:v>
                </c:pt>
                <c:pt idx="673">
                  <c:v>2176.5074137543997</c:v>
                </c:pt>
                <c:pt idx="674">
                  <c:v>2176.5074137543997</c:v>
                </c:pt>
                <c:pt idx="675">
                  <c:v>2176.5074137543997</c:v>
                </c:pt>
                <c:pt idx="676">
                  <c:v>2176.5074137543997</c:v>
                </c:pt>
                <c:pt idx="677">
                  <c:v>2176.5074137543997</c:v>
                </c:pt>
                <c:pt idx="678">
                  <c:v>2176.5074137543997</c:v>
                </c:pt>
                <c:pt idx="679">
                  <c:v>2176.5074137543997</c:v>
                </c:pt>
                <c:pt idx="680">
                  <c:v>2176.5074137543997</c:v>
                </c:pt>
                <c:pt idx="681">
                  <c:v>2176.5074137543997</c:v>
                </c:pt>
                <c:pt idx="682">
                  <c:v>2176.5074137543997</c:v>
                </c:pt>
                <c:pt idx="683">
                  <c:v>2176.5074137543997</c:v>
                </c:pt>
                <c:pt idx="684">
                  <c:v>2176.5074137543997</c:v>
                </c:pt>
                <c:pt idx="685">
                  <c:v>2176.5074137543997</c:v>
                </c:pt>
                <c:pt idx="686">
                  <c:v>2176.5074137543997</c:v>
                </c:pt>
                <c:pt idx="687">
                  <c:v>2176.5074137543997</c:v>
                </c:pt>
                <c:pt idx="688">
                  <c:v>2176.5074137543997</c:v>
                </c:pt>
                <c:pt idx="689">
                  <c:v>2176.5074137543997</c:v>
                </c:pt>
                <c:pt idx="690">
                  <c:v>2176.5074137543997</c:v>
                </c:pt>
                <c:pt idx="691">
                  <c:v>2176.5074137543997</c:v>
                </c:pt>
                <c:pt idx="692">
                  <c:v>2176.5074137543997</c:v>
                </c:pt>
                <c:pt idx="693">
                  <c:v>2176.5074137543997</c:v>
                </c:pt>
                <c:pt idx="694">
                  <c:v>2176.5074137543997</c:v>
                </c:pt>
                <c:pt idx="695">
                  <c:v>2176.5074137543997</c:v>
                </c:pt>
                <c:pt idx="696">
                  <c:v>2176.5074137543997</c:v>
                </c:pt>
                <c:pt idx="697">
                  <c:v>2176.5074137543997</c:v>
                </c:pt>
                <c:pt idx="698">
                  <c:v>2176.5074137543997</c:v>
                </c:pt>
                <c:pt idx="699">
                  <c:v>2176.5074137543997</c:v>
                </c:pt>
                <c:pt idx="700">
                  <c:v>2176.5074137543997</c:v>
                </c:pt>
                <c:pt idx="701">
                  <c:v>2176.5074137543997</c:v>
                </c:pt>
                <c:pt idx="702">
                  <c:v>2176.5074137543997</c:v>
                </c:pt>
                <c:pt idx="703">
                  <c:v>2176.5074137543997</c:v>
                </c:pt>
                <c:pt idx="704">
                  <c:v>2176.5074137543997</c:v>
                </c:pt>
                <c:pt idx="705">
                  <c:v>2176.5074137543997</c:v>
                </c:pt>
                <c:pt idx="706">
                  <c:v>2176.5074137543997</c:v>
                </c:pt>
                <c:pt idx="707">
                  <c:v>2176.5074137543997</c:v>
                </c:pt>
                <c:pt idx="708">
                  <c:v>2176.5074137543997</c:v>
                </c:pt>
                <c:pt idx="709">
                  <c:v>2176.5074137543997</c:v>
                </c:pt>
                <c:pt idx="710">
                  <c:v>2176.5074137543997</c:v>
                </c:pt>
                <c:pt idx="711">
                  <c:v>2176.5074137543997</c:v>
                </c:pt>
                <c:pt idx="712">
                  <c:v>2176.5074137543997</c:v>
                </c:pt>
                <c:pt idx="713">
                  <c:v>2176.5074137543997</c:v>
                </c:pt>
                <c:pt idx="714">
                  <c:v>2176.5074137543997</c:v>
                </c:pt>
                <c:pt idx="715">
                  <c:v>2176.5074137543997</c:v>
                </c:pt>
                <c:pt idx="716">
                  <c:v>2176.5074137543997</c:v>
                </c:pt>
                <c:pt idx="717">
                  <c:v>2176.5074137543997</c:v>
                </c:pt>
                <c:pt idx="718">
                  <c:v>2176.5074137543997</c:v>
                </c:pt>
                <c:pt idx="719">
                  <c:v>2176.5074137543997</c:v>
                </c:pt>
                <c:pt idx="720">
                  <c:v>2176.5074137543997</c:v>
                </c:pt>
                <c:pt idx="721">
                  <c:v>2176.5074137543997</c:v>
                </c:pt>
                <c:pt idx="722">
                  <c:v>2176.5074137543997</c:v>
                </c:pt>
                <c:pt idx="723">
                  <c:v>2176.5074137543997</c:v>
                </c:pt>
                <c:pt idx="724">
                  <c:v>2176.5074137543997</c:v>
                </c:pt>
                <c:pt idx="725">
                  <c:v>2176.5074137543997</c:v>
                </c:pt>
                <c:pt idx="726">
                  <c:v>2176.5074137543997</c:v>
                </c:pt>
                <c:pt idx="727">
                  <c:v>2176.5074137543997</c:v>
                </c:pt>
                <c:pt idx="728">
                  <c:v>2176.5074137543997</c:v>
                </c:pt>
                <c:pt idx="729">
                  <c:v>2176.5074137543997</c:v>
                </c:pt>
                <c:pt idx="730">
                  <c:v>2176.5074137543997</c:v>
                </c:pt>
                <c:pt idx="731">
                  <c:v>2176.5074137543997</c:v>
                </c:pt>
                <c:pt idx="732">
                  <c:v>2176.5074137543997</c:v>
                </c:pt>
                <c:pt idx="733">
                  <c:v>2176.5074137543997</c:v>
                </c:pt>
                <c:pt idx="734">
                  <c:v>2176.5074137543997</c:v>
                </c:pt>
                <c:pt idx="735">
                  <c:v>2176.5074137543997</c:v>
                </c:pt>
                <c:pt idx="736">
                  <c:v>2176.5074137543997</c:v>
                </c:pt>
                <c:pt idx="737">
                  <c:v>2176.5074137543997</c:v>
                </c:pt>
                <c:pt idx="738">
                  <c:v>2176.5074137543997</c:v>
                </c:pt>
                <c:pt idx="739">
                  <c:v>2176.5074137543997</c:v>
                </c:pt>
                <c:pt idx="740">
                  <c:v>2176.5074137543997</c:v>
                </c:pt>
                <c:pt idx="741">
                  <c:v>2176.5074137543997</c:v>
                </c:pt>
                <c:pt idx="742">
                  <c:v>2176.5074137543997</c:v>
                </c:pt>
                <c:pt idx="743">
                  <c:v>2176.5074137543997</c:v>
                </c:pt>
                <c:pt idx="744">
                  <c:v>2176.5074137543997</c:v>
                </c:pt>
                <c:pt idx="745">
                  <c:v>2176.5074137543997</c:v>
                </c:pt>
                <c:pt idx="746">
                  <c:v>2176.5074137543997</c:v>
                </c:pt>
                <c:pt idx="747">
                  <c:v>2176.5074137543997</c:v>
                </c:pt>
                <c:pt idx="748">
                  <c:v>2176.5074137543997</c:v>
                </c:pt>
                <c:pt idx="749">
                  <c:v>2176.5074137543997</c:v>
                </c:pt>
                <c:pt idx="750">
                  <c:v>2176.5074137543997</c:v>
                </c:pt>
                <c:pt idx="751">
                  <c:v>2176.5074137543997</c:v>
                </c:pt>
                <c:pt idx="752">
                  <c:v>2176.5074137543997</c:v>
                </c:pt>
                <c:pt idx="753">
                  <c:v>2176.5074137543997</c:v>
                </c:pt>
                <c:pt idx="754">
                  <c:v>2176.5074137543997</c:v>
                </c:pt>
                <c:pt idx="755">
                  <c:v>2176.5074137543997</c:v>
                </c:pt>
                <c:pt idx="756">
                  <c:v>2176.5074137543997</c:v>
                </c:pt>
                <c:pt idx="757">
                  <c:v>2176.5074137543997</c:v>
                </c:pt>
                <c:pt idx="758">
                  <c:v>2176.5074137543997</c:v>
                </c:pt>
                <c:pt idx="759">
                  <c:v>2176.5074137543997</c:v>
                </c:pt>
                <c:pt idx="760">
                  <c:v>2176.5074137543997</c:v>
                </c:pt>
                <c:pt idx="761">
                  <c:v>2176.5074137543997</c:v>
                </c:pt>
                <c:pt idx="762">
                  <c:v>2176.5074137543997</c:v>
                </c:pt>
                <c:pt idx="763">
                  <c:v>2176.5074137543997</c:v>
                </c:pt>
                <c:pt idx="764">
                  <c:v>2176.5074137543997</c:v>
                </c:pt>
                <c:pt idx="765">
                  <c:v>2176.5074137543997</c:v>
                </c:pt>
                <c:pt idx="766">
                  <c:v>2176.5074137543997</c:v>
                </c:pt>
                <c:pt idx="767">
                  <c:v>2176.5074137543997</c:v>
                </c:pt>
                <c:pt idx="768">
                  <c:v>2176.5074137543997</c:v>
                </c:pt>
                <c:pt idx="769">
                  <c:v>2176.5074137543997</c:v>
                </c:pt>
                <c:pt idx="770">
                  <c:v>2176.5074137543997</c:v>
                </c:pt>
                <c:pt idx="771">
                  <c:v>2176.5074137543997</c:v>
                </c:pt>
                <c:pt idx="772">
                  <c:v>2176.5074137543997</c:v>
                </c:pt>
                <c:pt idx="773">
                  <c:v>2176.5074137543997</c:v>
                </c:pt>
                <c:pt idx="774">
                  <c:v>2176.5074137543997</c:v>
                </c:pt>
                <c:pt idx="775">
                  <c:v>2176.5074137543997</c:v>
                </c:pt>
                <c:pt idx="776">
                  <c:v>2176.5074137543997</c:v>
                </c:pt>
                <c:pt idx="777">
                  <c:v>2176.5074137543997</c:v>
                </c:pt>
                <c:pt idx="778">
                  <c:v>2176.5074137543997</c:v>
                </c:pt>
                <c:pt idx="779">
                  <c:v>2176.5074137543997</c:v>
                </c:pt>
                <c:pt idx="780">
                  <c:v>2176.5074137543997</c:v>
                </c:pt>
                <c:pt idx="781">
                  <c:v>2176.5074137543997</c:v>
                </c:pt>
                <c:pt idx="782">
                  <c:v>2176.5074137543997</c:v>
                </c:pt>
                <c:pt idx="783">
                  <c:v>2176.5074137543997</c:v>
                </c:pt>
                <c:pt idx="784">
                  <c:v>2176.5074137543997</c:v>
                </c:pt>
                <c:pt idx="785">
                  <c:v>2176.5074137543997</c:v>
                </c:pt>
                <c:pt idx="786">
                  <c:v>2176.5074137543997</c:v>
                </c:pt>
                <c:pt idx="787">
                  <c:v>2176.5074137543997</c:v>
                </c:pt>
                <c:pt idx="788">
                  <c:v>2176.5074137543997</c:v>
                </c:pt>
                <c:pt idx="789">
                  <c:v>2176.5074137543997</c:v>
                </c:pt>
                <c:pt idx="790">
                  <c:v>2176.5074137543997</c:v>
                </c:pt>
                <c:pt idx="791">
                  <c:v>2176.5074137543997</c:v>
                </c:pt>
                <c:pt idx="792">
                  <c:v>2176.5074137543997</c:v>
                </c:pt>
                <c:pt idx="793">
                  <c:v>2176.5074137543997</c:v>
                </c:pt>
                <c:pt idx="794">
                  <c:v>2176.5074137543997</c:v>
                </c:pt>
                <c:pt idx="795">
                  <c:v>2176.5074137543997</c:v>
                </c:pt>
                <c:pt idx="796">
                  <c:v>2176.5074137543997</c:v>
                </c:pt>
                <c:pt idx="797">
                  <c:v>2176.5074137543997</c:v>
                </c:pt>
                <c:pt idx="798">
                  <c:v>2176.5074137543997</c:v>
                </c:pt>
                <c:pt idx="799">
                  <c:v>2176.5074137543997</c:v>
                </c:pt>
                <c:pt idx="800">
                  <c:v>2176.5074137543997</c:v>
                </c:pt>
                <c:pt idx="801">
                  <c:v>2176.5074137543997</c:v>
                </c:pt>
                <c:pt idx="802">
                  <c:v>2176.5074137543997</c:v>
                </c:pt>
                <c:pt idx="803">
                  <c:v>2176.5074137543997</c:v>
                </c:pt>
                <c:pt idx="804">
                  <c:v>2176.5074137543997</c:v>
                </c:pt>
                <c:pt idx="805">
                  <c:v>2176.5074137543997</c:v>
                </c:pt>
                <c:pt idx="806">
                  <c:v>2176.5074137543997</c:v>
                </c:pt>
                <c:pt idx="807">
                  <c:v>2176.5074137543997</c:v>
                </c:pt>
                <c:pt idx="808">
                  <c:v>2176.5074137543997</c:v>
                </c:pt>
                <c:pt idx="809">
                  <c:v>2176.5074137543997</c:v>
                </c:pt>
                <c:pt idx="810">
                  <c:v>2176.5074137543997</c:v>
                </c:pt>
                <c:pt idx="811">
                  <c:v>2176.5074137543997</c:v>
                </c:pt>
                <c:pt idx="812">
                  <c:v>2176.5074137543997</c:v>
                </c:pt>
                <c:pt idx="813">
                  <c:v>2176.5074137543997</c:v>
                </c:pt>
                <c:pt idx="814">
                  <c:v>2176.5074137543997</c:v>
                </c:pt>
                <c:pt idx="815">
                  <c:v>2176.5074137543997</c:v>
                </c:pt>
                <c:pt idx="816">
                  <c:v>2176.5074137543997</c:v>
                </c:pt>
                <c:pt idx="817">
                  <c:v>2176.5074137543997</c:v>
                </c:pt>
                <c:pt idx="818">
                  <c:v>2176.5074137543997</c:v>
                </c:pt>
                <c:pt idx="819">
                  <c:v>2176.5074137543997</c:v>
                </c:pt>
                <c:pt idx="820">
                  <c:v>2176.5074137543997</c:v>
                </c:pt>
                <c:pt idx="821">
                  <c:v>2176.5074137543997</c:v>
                </c:pt>
                <c:pt idx="822">
                  <c:v>2176.5074137543997</c:v>
                </c:pt>
                <c:pt idx="823">
                  <c:v>2176.5074137543997</c:v>
                </c:pt>
                <c:pt idx="824">
                  <c:v>2176.5074137543997</c:v>
                </c:pt>
                <c:pt idx="825">
                  <c:v>2176.5074137543997</c:v>
                </c:pt>
                <c:pt idx="826">
                  <c:v>2176.5074137543997</c:v>
                </c:pt>
                <c:pt idx="827">
                  <c:v>2176.5074137543997</c:v>
                </c:pt>
                <c:pt idx="828">
                  <c:v>2176.5074137543997</c:v>
                </c:pt>
                <c:pt idx="829">
                  <c:v>2176.5074137543997</c:v>
                </c:pt>
                <c:pt idx="830">
                  <c:v>2176.5074137543997</c:v>
                </c:pt>
                <c:pt idx="831">
                  <c:v>2176.5074137543997</c:v>
                </c:pt>
                <c:pt idx="832">
                  <c:v>2176.5074137543997</c:v>
                </c:pt>
                <c:pt idx="833">
                  <c:v>2176.5074137543997</c:v>
                </c:pt>
                <c:pt idx="834">
                  <c:v>2176.5074137543997</c:v>
                </c:pt>
                <c:pt idx="835">
                  <c:v>2176.5074137543997</c:v>
                </c:pt>
                <c:pt idx="836">
                  <c:v>2176.5074137543997</c:v>
                </c:pt>
                <c:pt idx="837">
                  <c:v>2176.5074137543997</c:v>
                </c:pt>
                <c:pt idx="838">
                  <c:v>2176.5074137543997</c:v>
                </c:pt>
                <c:pt idx="839">
                  <c:v>2176.5074137543997</c:v>
                </c:pt>
                <c:pt idx="840">
                  <c:v>2176.5074137543997</c:v>
                </c:pt>
                <c:pt idx="841">
                  <c:v>2176.5074137543997</c:v>
                </c:pt>
                <c:pt idx="842">
                  <c:v>2176.5074137543997</c:v>
                </c:pt>
                <c:pt idx="843">
                  <c:v>2176.5074137543997</c:v>
                </c:pt>
                <c:pt idx="844">
                  <c:v>2176.5074137543997</c:v>
                </c:pt>
                <c:pt idx="845">
                  <c:v>2176.5074137543997</c:v>
                </c:pt>
                <c:pt idx="846">
                  <c:v>2176.5074137543997</c:v>
                </c:pt>
                <c:pt idx="847">
                  <c:v>2176.5074137543997</c:v>
                </c:pt>
                <c:pt idx="848">
                  <c:v>2176.5074137543997</c:v>
                </c:pt>
                <c:pt idx="849">
                  <c:v>2176.5074137543997</c:v>
                </c:pt>
                <c:pt idx="850">
                  <c:v>2176.5074137543997</c:v>
                </c:pt>
                <c:pt idx="851">
                  <c:v>2176.5074137543997</c:v>
                </c:pt>
                <c:pt idx="852">
                  <c:v>2176.5074137543997</c:v>
                </c:pt>
                <c:pt idx="853">
                  <c:v>2176.5074137543997</c:v>
                </c:pt>
                <c:pt idx="854">
                  <c:v>2176.5074137543997</c:v>
                </c:pt>
                <c:pt idx="855">
                  <c:v>2176.5074137543997</c:v>
                </c:pt>
                <c:pt idx="856">
                  <c:v>2176.5074137543997</c:v>
                </c:pt>
                <c:pt idx="857">
                  <c:v>2176.5074137543997</c:v>
                </c:pt>
                <c:pt idx="858">
                  <c:v>2176.5074137543997</c:v>
                </c:pt>
                <c:pt idx="859">
                  <c:v>2176.5074137543997</c:v>
                </c:pt>
                <c:pt idx="860">
                  <c:v>2176.5074137543997</c:v>
                </c:pt>
                <c:pt idx="861">
                  <c:v>2176.5074137543997</c:v>
                </c:pt>
                <c:pt idx="862">
                  <c:v>2176.5074137543997</c:v>
                </c:pt>
                <c:pt idx="863">
                  <c:v>2176.5074137543997</c:v>
                </c:pt>
                <c:pt idx="864">
                  <c:v>2176.5074137543997</c:v>
                </c:pt>
                <c:pt idx="865">
                  <c:v>2176.5074137543997</c:v>
                </c:pt>
                <c:pt idx="866">
                  <c:v>2176.5074137543997</c:v>
                </c:pt>
                <c:pt idx="867">
                  <c:v>2176.5074137543997</c:v>
                </c:pt>
                <c:pt idx="868">
                  <c:v>2176.5074137543997</c:v>
                </c:pt>
                <c:pt idx="869">
                  <c:v>2176.5074137543997</c:v>
                </c:pt>
                <c:pt idx="870">
                  <c:v>2176.5074137543997</c:v>
                </c:pt>
                <c:pt idx="871">
                  <c:v>2176.5074137543997</c:v>
                </c:pt>
                <c:pt idx="872">
                  <c:v>2176.5074137543997</c:v>
                </c:pt>
                <c:pt idx="873">
                  <c:v>2176.5074137543997</c:v>
                </c:pt>
                <c:pt idx="874">
                  <c:v>2176.5074137543997</c:v>
                </c:pt>
                <c:pt idx="875">
                  <c:v>2176.5074137543997</c:v>
                </c:pt>
                <c:pt idx="876">
                  <c:v>2176.5074137543997</c:v>
                </c:pt>
                <c:pt idx="877">
                  <c:v>2176.5074137543997</c:v>
                </c:pt>
                <c:pt idx="878">
                  <c:v>2176.5074137543997</c:v>
                </c:pt>
                <c:pt idx="879">
                  <c:v>2176.5074137543997</c:v>
                </c:pt>
                <c:pt idx="880">
                  <c:v>2176.5074137543997</c:v>
                </c:pt>
                <c:pt idx="881">
                  <c:v>2176.5074137543997</c:v>
                </c:pt>
                <c:pt idx="882">
                  <c:v>2176.5074137543997</c:v>
                </c:pt>
                <c:pt idx="883">
                  <c:v>2176.5074137543997</c:v>
                </c:pt>
                <c:pt idx="884">
                  <c:v>2176.5074137543997</c:v>
                </c:pt>
                <c:pt idx="885">
                  <c:v>2176.5074137543997</c:v>
                </c:pt>
                <c:pt idx="886">
                  <c:v>2176.5074137543997</c:v>
                </c:pt>
                <c:pt idx="887">
                  <c:v>2176.5074137543997</c:v>
                </c:pt>
                <c:pt idx="888">
                  <c:v>2176.5074137543997</c:v>
                </c:pt>
                <c:pt idx="889">
                  <c:v>2176.5074137543997</c:v>
                </c:pt>
                <c:pt idx="890">
                  <c:v>2176.5074137543997</c:v>
                </c:pt>
                <c:pt idx="891">
                  <c:v>2176.5074137543997</c:v>
                </c:pt>
                <c:pt idx="892">
                  <c:v>2176.5074137543997</c:v>
                </c:pt>
                <c:pt idx="893">
                  <c:v>2176.5074137543997</c:v>
                </c:pt>
                <c:pt idx="894">
                  <c:v>2176.5074137543997</c:v>
                </c:pt>
                <c:pt idx="895">
                  <c:v>2176.5074137543997</c:v>
                </c:pt>
                <c:pt idx="896">
                  <c:v>2176.5074137543997</c:v>
                </c:pt>
                <c:pt idx="897">
                  <c:v>2176.5074137543997</c:v>
                </c:pt>
                <c:pt idx="898">
                  <c:v>2176.5074137543997</c:v>
                </c:pt>
                <c:pt idx="899">
                  <c:v>2176.5074137543997</c:v>
                </c:pt>
                <c:pt idx="900">
                  <c:v>2176.5074137543997</c:v>
                </c:pt>
                <c:pt idx="901">
                  <c:v>2176.5074137543997</c:v>
                </c:pt>
                <c:pt idx="902">
                  <c:v>2176.5074137543997</c:v>
                </c:pt>
                <c:pt idx="903">
                  <c:v>2176.5074137543997</c:v>
                </c:pt>
                <c:pt idx="904">
                  <c:v>2176.5074137543997</c:v>
                </c:pt>
                <c:pt idx="905">
                  <c:v>2176.5074137543997</c:v>
                </c:pt>
                <c:pt idx="906">
                  <c:v>2176.5074137543997</c:v>
                </c:pt>
                <c:pt idx="907">
                  <c:v>2176.5074137543997</c:v>
                </c:pt>
                <c:pt idx="908">
                  <c:v>2176.5074137543997</c:v>
                </c:pt>
                <c:pt idx="909">
                  <c:v>2176.5074137543997</c:v>
                </c:pt>
                <c:pt idx="910">
                  <c:v>2176.5074137543997</c:v>
                </c:pt>
                <c:pt idx="911">
                  <c:v>2176.5074137543997</c:v>
                </c:pt>
                <c:pt idx="912">
                  <c:v>2176.5074137543997</c:v>
                </c:pt>
                <c:pt idx="913">
                  <c:v>2176.5074137543997</c:v>
                </c:pt>
                <c:pt idx="914">
                  <c:v>2176.5074137543997</c:v>
                </c:pt>
                <c:pt idx="915">
                  <c:v>2176.5074137543997</c:v>
                </c:pt>
                <c:pt idx="916">
                  <c:v>2176.5074137543997</c:v>
                </c:pt>
                <c:pt idx="917">
                  <c:v>2176.5074137543997</c:v>
                </c:pt>
                <c:pt idx="918">
                  <c:v>2176.5074137543997</c:v>
                </c:pt>
                <c:pt idx="919">
                  <c:v>2176.5074137543997</c:v>
                </c:pt>
                <c:pt idx="920">
                  <c:v>2176.5074137543997</c:v>
                </c:pt>
                <c:pt idx="921">
                  <c:v>2176.5074137543997</c:v>
                </c:pt>
                <c:pt idx="922">
                  <c:v>2176.5074137543997</c:v>
                </c:pt>
                <c:pt idx="923">
                  <c:v>2176.5074137543997</c:v>
                </c:pt>
                <c:pt idx="924">
                  <c:v>2176.5074137543997</c:v>
                </c:pt>
                <c:pt idx="925">
                  <c:v>2176.5074137543997</c:v>
                </c:pt>
                <c:pt idx="926">
                  <c:v>2176.5074137543997</c:v>
                </c:pt>
                <c:pt idx="927">
                  <c:v>2176.5074137543997</c:v>
                </c:pt>
                <c:pt idx="928">
                  <c:v>2176.5074137543997</c:v>
                </c:pt>
                <c:pt idx="929">
                  <c:v>2176.5074137543997</c:v>
                </c:pt>
                <c:pt idx="930">
                  <c:v>2176.5074137543997</c:v>
                </c:pt>
                <c:pt idx="931">
                  <c:v>2176.5074137543997</c:v>
                </c:pt>
                <c:pt idx="932">
                  <c:v>2176.5074137543997</c:v>
                </c:pt>
                <c:pt idx="933">
                  <c:v>2176.5074137543997</c:v>
                </c:pt>
                <c:pt idx="934">
                  <c:v>2176.5074137543997</c:v>
                </c:pt>
                <c:pt idx="935">
                  <c:v>2176.5074137543997</c:v>
                </c:pt>
                <c:pt idx="936">
                  <c:v>2176.5074137543997</c:v>
                </c:pt>
                <c:pt idx="937">
                  <c:v>2176.5074137543997</c:v>
                </c:pt>
                <c:pt idx="938">
                  <c:v>2176.5074137543997</c:v>
                </c:pt>
                <c:pt idx="939">
                  <c:v>2176.5074137543997</c:v>
                </c:pt>
                <c:pt idx="940">
                  <c:v>2176.5074137543997</c:v>
                </c:pt>
                <c:pt idx="941">
                  <c:v>2176.5074137543997</c:v>
                </c:pt>
                <c:pt idx="942">
                  <c:v>2176.5074137543997</c:v>
                </c:pt>
                <c:pt idx="943">
                  <c:v>2176.5074137543997</c:v>
                </c:pt>
                <c:pt idx="944">
                  <c:v>1985.3714936877991</c:v>
                </c:pt>
                <c:pt idx="945">
                  <c:v>1985.3714936877991</c:v>
                </c:pt>
                <c:pt idx="946">
                  <c:v>1985.3714936877991</c:v>
                </c:pt>
                <c:pt idx="947">
                  <c:v>1985.3714936877991</c:v>
                </c:pt>
                <c:pt idx="948">
                  <c:v>1985.3714936877991</c:v>
                </c:pt>
                <c:pt idx="949">
                  <c:v>1985.3714936877991</c:v>
                </c:pt>
                <c:pt idx="950">
                  <c:v>1985.3714936877991</c:v>
                </c:pt>
                <c:pt idx="951">
                  <c:v>1985.3714936877991</c:v>
                </c:pt>
                <c:pt idx="952">
                  <c:v>1985.3714936877991</c:v>
                </c:pt>
                <c:pt idx="953">
                  <c:v>1985.3714936877991</c:v>
                </c:pt>
                <c:pt idx="954">
                  <c:v>1985.3714936877991</c:v>
                </c:pt>
                <c:pt idx="955">
                  <c:v>1985.3714936877991</c:v>
                </c:pt>
                <c:pt idx="956">
                  <c:v>1985.3714936877991</c:v>
                </c:pt>
                <c:pt idx="957">
                  <c:v>1985.3714936877991</c:v>
                </c:pt>
                <c:pt idx="958">
                  <c:v>1985.3714936877991</c:v>
                </c:pt>
                <c:pt idx="959">
                  <c:v>1985.3714936877991</c:v>
                </c:pt>
                <c:pt idx="960">
                  <c:v>1985.3714936877991</c:v>
                </c:pt>
                <c:pt idx="961">
                  <c:v>1985.3714936877991</c:v>
                </c:pt>
                <c:pt idx="962">
                  <c:v>1985.3714936877991</c:v>
                </c:pt>
                <c:pt idx="963">
                  <c:v>1985.3714936877991</c:v>
                </c:pt>
                <c:pt idx="964">
                  <c:v>1985.3714936877991</c:v>
                </c:pt>
                <c:pt idx="965">
                  <c:v>1985.3714936877991</c:v>
                </c:pt>
                <c:pt idx="966">
                  <c:v>1985.3714936877991</c:v>
                </c:pt>
                <c:pt idx="967">
                  <c:v>1985.3714936877991</c:v>
                </c:pt>
                <c:pt idx="968">
                  <c:v>1985.3714936877991</c:v>
                </c:pt>
                <c:pt idx="969">
                  <c:v>1985.3714936877991</c:v>
                </c:pt>
                <c:pt idx="970">
                  <c:v>1985.3714936877991</c:v>
                </c:pt>
                <c:pt idx="971">
                  <c:v>1985.3714936877991</c:v>
                </c:pt>
                <c:pt idx="972">
                  <c:v>1985.3714936877991</c:v>
                </c:pt>
                <c:pt idx="973">
                  <c:v>1985.3714936877991</c:v>
                </c:pt>
                <c:pt idx="974">
                  <c:v>1985.3714936877991</c:v>
                </c:pt>
                <c:pt idx="975">
                  <c:v>1985.3714936877991</c:v>
                </c:pt>
                <c:pt idx="976">
                  <c:v>1985.3714936877991</c:v>
                </c:pt>
                <c:pt idx="977">
                  <c:v>1985.3714936877991</c:v>
                </c:pt>
                <c:pt idx="978">
                  <c:v>1985.3714936877991</c:v>
                </c:pt>
                <c:pt idx="979">
                  <c:v>1985.3714936877991</c:v>
                </c:pt>
                <c:pt idx="980">
                  <c:v>1985.3714936877991</c:v>
                </c:pt>
                <c:pt idx="981">
                  <c:v>1985.3714936877991</c:v>
                </c:pt>
                <c:pt idx="982">
                  <c:v>1985.3714936877991</c:v>
                </c:pt>
                <c:pt idx="983">
                  <c:v>1985.3714936877991</c:v>
                </c:pt>
                <c:pt idx="984">
                  <c:v>1985.3714936877991</c:v>
                </c:pt>
                <c:pt idx="985">
                  <c:v>1985.3714936877991</c:v>
                </c:pt>
                <c:pt idx="986">
                  <c:v>1985.3714936877991</c:v>
                </c:pt>
                <c:pt idx="987">
                  <c:v>1985.3714936877991</c:v>
                </c:pt>
                <c:pt idx="988">
                  <c:v>1985.3714936877991</c:v>
                </c:pt>
                <c:pt idx="989">
                  <c:v>1985.3714936877991</c:v>
                </c:pt>
                <c:pt idx="990">
                  <c:v>1985.3714936877991</c:v>
                </c:pt>
                <c:pt idx="991">
                  <c:v>1985.3714936877991</c:v>
                </c:pt>
                <c:pt idx="992">
                  <c:v>1985.3714936877991</c:v>
                </c:pt>
                <c:pt idx="993">
                  <c:v>1985.3714936877991</c:v>
                </c:pt>
                <c:pt idx="994">
                  <c:v>1985.3714936877991</c:v>
                </c:pt>
                <c:pt idx="995">
                  <c:v>1985.3714936877991</c:v>
                </c:pt>
                <c:pt idx="996">
                  <c:v>1985.3714936877991</c:v>
                </c:pt>
                <c:pt idx="997">
                  <c:v>1985.3714936877991</c:v>
                </c:pt>
                <c:pt idx="998">
                  <c:v>1985.3714936877991</c:v>
                </c:pt>
                <c:pt idx="999">
                  <c:v>1985.3714936877991</c:v>
                </c:pt>
                <c:pt idx="1000">
                  <c:v>1985.3714936877991</c:v>
                </c:pt>
                <c:pt idx="1001">
                  <c:v>1985.3714936877991</c:v>
                </c:pt>
                <c:pt idx="1002">
                  <c:v>1985.3714936877991</c:v>
                </c:pt>
                <c:pt idx="1003">
                  <c:v>1985.3714936877991</c:v>
                </c:pt>
                <c:pt idx="1004">
                  <c:v>1985.3714936877991</c:v>
                </c:pt>
                <c:pt idx="1005">
                  <c:v>1985.3714936877991</c:v>
                </c:pt>
                <c:pt idx="1006">
                  <c:v>1985.3714936877991</c:v>
                </c:pt>
                <c:pt idx="1007">
                  <c:v>1985.3714936877991</c:v>
                </c:pt>
                <c:pt idx="1008">
                  <c:v>1985.3714936877991</c:v>
                </c:pt>
                <c:pt idx="1009">
                  <c:v>1985.3714936877991</c:v>
                </c:pt>
                <c:pt idx="1010">
                  <c:v>1985.3714936877991</c:v>
                </c:pt>
                <c:pt idx="1011">
                  <c:v>1985.3714936877991</c:v>
                </c:pt>
                <c:pt idx="1012">
                  <c:v>1985.3714936877991</c:v>
                </c:pt>
                <c:pt idx="1013">
                  <c:v>1985.3714936877991</c:v>
                </c:pt>
                <c:pt idx="1014">
                  <c:v>1985.3714936877991</c:v>
                </c:pt>
                <c:pt idx="1015">
                  <c:v>1985.3714936877991</c:v>
                </c:pt>
                <c:pt idx="1016">
                  <c:v>1985.3714936877991</c:v>
                </c:pt>
                <c:pt idx="1017">
                  <c:v>1985.3714936877991</c:v>
                </c:pt>
                <c:pt idx="1018">
                  <c:v>1985.3714936877991</c:v>
                </c:pt>
                <c:pt idx="1019">
                  <c:v>1985.3714936877991</c:v>
                </c:pt>
                <c:pt idx="1020">
                  <c:v>1985.3714936877991</c:v>
                </c:pt>
                <c:pt idx="1021">
                  <c:v>1985.3714936877991</c:v>
                </c:pt>
                <c:pt idx="1022">
                  <c:v>1985.3714936877991</c:v>
                </c:pt>
                <c:pt idx="1023">
                  <c:v>1985.3714936877991</c:v>
                </c:pt>
                <c:pt idx="1024">
                  <c:v>1985.3714936877991</c:v>
                </c:pt>
                <c:pt idx="1025">
                  <c:v>1985.3714936877991</c:v>
                </c:pt>
                <c:pt idx="1026">
                  <c:v>1985.3714936877991</c:v>
                </c:pt>
                <c:pt idx="1027">
                  <c:v>1985.3714936877991</c:v>
                </c:pt>
                <c:pt idx="1028">
                  <c:v>1985.3714936877991</c:v>
                </c:pt>
                <c:pt idx="1029">
                  <c:v>1985.3714936877991</c:v>
                </c:pt>
                <c:pt idx="1030">
                  <c:v>1985.3714936877991</c:v>
                </c:pt>
                <c:pt idx="1031">
                  <c:v>1985.3714936877991</c:v>
                </c:pt>
                <c:pt idx="1032">
                  <c:v>1985.3714936877991</c:v>
                </c:pt>
                <c:pt idx="1033">
                  <c:v>1985.3714936877991</c:v>
                </c:pt>
                <c:pt idx="1034">
                  <c:v>1985.3714936877991</c:v>
                </c:pt>
                <c:pt idx="1035">
                  <c:v>1985.3714936877991</c:v>
                </c:pt>
                <c:pt idx="1036">
                  <c:v>1985.3714936877991</c:v>
                </c:pt>
                <c:pt idx="1037">
                  <c:v>1985.3714936877991</c:v>
                </c:pt>
                <c:pt idx="1038">
                  <c:v>1985.3714936877991</c:v>
                </c:pt>
                <c:pt idx="1039">
                  <c:v>1985.3714936877991</c:v>
                </c:pt>
                <c:pt idx="1040">
                  <c:v>1985.3714936877991</c:v>
                </c:pt>
                <c:pt idx="1041">
                  <c:v>1985.3714936877991</c:v>
                </c:pt>
                <c:pt idx="1042">
                  <c:v>1985.3714936877991</c:v>
                </c:pt>
                <c:pt idx="1043">
                  <c:v>1985.3714936877991</c:v>
                </c:pt>
                <c:pt idx="1044">
                  <c:v>1985.3714936877991</c:v>
                </c:pt>
                <c:pt idx="1045">
                  <c:v>1985.3714936877991</c:v>
                </c:pt>
                <c:pt idx="1046">
                  <c:v>1985.3714936877991</c:v>
                </c:pt>
                <c:pt idx="1047">
                  <c:v>1985.3714936877991</c:v>
                </c:pt>
                <c:pt idx="1048">
                  <c:v>1985.3714936877991</c:v>
                </c:pt>
                <c:pt idx="1049">
                  <c:v>1985.3714936877991</c:v>
                </c:pt>
                <c:pt idx="1050">
                  <c:v>1985.3714936877991</c:v>
                </c:pt>
                <c:pt idx="1051">
                  <c:v>1985.3714936877991</c:v>
                </c:pt>
                <c:pt idx="1052">
                  <c:v>1985.3714936877991</c:v>
                </c:pt>
                <c:pt idx="1053">
                  <c:v>1985.3714936877991</c:v>
                </c:pt>
                <c:pt idx="1054">
                  <c:v>1985.3714936877991</c:v>
                </c:pt>
                <c:pt idx="1055">
                  <c:v>1985.3714936877991</c:v>
                </c:pt>
                <c:pt idx="1056">
                  <c:v>1985.3714936877991</c:v>
                </c:pt>
                <c:pt idx="1057">
                  <c:v>1985.3714936877991</c:v>
                </c:pt>
                <c:pt idx="1058">
                  <c:v>1985.3714936877991</c:v>
                </c:pt>
                <c:pt idx="1059">
                  <c:v>1985.3714936877991</c:v>
                </c:pt>
                <c:pt idx="1060">
                  <c:v>1985.3714936877991</c:v>
                </c:pt>
                <c:pt idx="1061">
                  <c:v>1985.3714936877991</c:v>
                </c:pt>
                <c:pt idx="1062">
                  <c:v>1985.3714936877991</c:v>
                </c:pt>
                <c:pt idx="1063">
                  <c:v>1985.3714936877991</c:v>
                </c:pt>
                <c:pt idx="1064">
                  <c:v>1985.3714936877991</c:v>
                </c:pt>
                <c:pt idx="1065">
                  <c:v>1985.3714936877991</c:v>
                </c:pt>
                <c:pt idx="1066">
                  <c:v>1985.3714936877991</c:v>
                </c:pt>
                <c:pt idx="1067">
                  <c:v>1985.3714936877991</c:v>
                </c:pt>
                <c:pt idx="1068">
                  <c:v>1985.3714936877991</c:v>
                </c:pt>
                <c:pt idx="1069">
                  <c:v>1985.3714936877991</c:v>
                </c:pt>
                <c:pt idx="1070">
                  <c:v>1985.3714936877991</c:v>
                </c:pt>
                <c:pt idx="1071">
                  <c:v>1985.3714936877991</c:v>
                </c:pt>
                <c:pt idx="1072">
                  <c:v>1985.3714936877991</c:v>
                </c:pt>
                <c:pt idx="1073">
                  <c:v>1985.3714936877991</c:v>
                </c:pt>
                <c:pt idx="1074">
                  <c:v>1985.3714936877991</c:v>
                </c:pt>
                <c:pt idx="1075">
                  <c:v>1985.3714936877991</c:v>
                </c:pt>
                <c:pt idx="1076">
                  <c:v>1985.3714936877991</c:v>
                </c:pt>
                <c:pt idx="1077">
                  <c:v>1985.3714936877991</c:v>
                </c:pt>
                <c:pt idx="1078">
                  <c:v>1985.3714936877991</c:v>
                </c:pt>
                <c:pt idx="1079">
                  <c:v>1985.3714936877991</c:v>
                </c:pt>
                <c:pt idx="1080">
                  <c:v>1985.3714936877991</c:v>
                </c:pt>
                <c:pt idx="1081">
                  <c:v>1985.3714936877991</c:v>
                </c:pt>
                <c:pt idx="1082">
                  <c:v>1985.3714936877991</c:v>
                </c:pt>
                <c:pt idx="1083">
                  <c:v>1985.3714936877991</c:v>
                </c:pt>
                <c:pt idx="1084">
                  <c:v>1985.3714936877991</c:v>
                </c:pt>
                <c:pt idx="1085">
                  <c:v>1985.3714936877991</c:v>
                </c:pt>
                <c:pt idx="1086">
                  <c:v>1985.3714936877991</c:v>
                </c:pt>
                <c:pt idx="1087">
                  <c:v>1985.3714936877991</c:v>
                </c:pt>
                <c:pt idx="1088">
                  <c:v>1985.3714936877991</c:v>
                </c:pt>
                <c:pt idx="1089">
                  <c:v>1985.3714936877991</c:v>
                </c:pt>
                <c:pt idx="1090">
                  <c:v>1985.3714936877991</c:v>
                </c:pt>
                <c:pt idx="1091">
                  <c:v>1985.3714936877991</c:v>
                </c:pt>
                <c:pt idx="1092">
                  <c:v>1985.3714936877991</c:v>
                </c:pt>
                <c:pt idx="1093">
                  <c:v>1985.3714936877991</c:v>
                </c:pt>
                <c:pt idx="1094">
                  <c:v>1985.3714936877991</c:v>
                </c:pt>
                <c:pt idx="1095">
                  <c:v>1985.3714936877991</c:v>
                </c:pt>
                <c:pt idx="1096">
                  <c:v>1985.3714936877991</c:v>
                </c:pt>
                <c:pt idx="1097">
                  <c:v>1985.3714936877991</c:v>
                </c:pt>
                <c:pt idx="1098">
                  <c:v>1985.3714936877991</c:v>
                </c:pt>
                <c:pt idx="1099">
                  <c:v>1985.3714936877991</c:v>
                </c:pt>
                <c:pt idx="1100">
                  <c:v>1985.3714936877991</c:v>
                </c:pt>
                <c:pt idx="1101">
                  <c:v>1985.3714936877991</c:v>
                </c:pt>
                <c:pt idx="1102">
                  <c:v>1985.3714936877991</c:v>
                </c:pt>
                <c:pt idx="1103">
                  <c:v>1985.3714936877991</c:v>
                </c:pt>
                <c:pt idx="1104">
                  <c:v>1985.3714936877991</c:v>
                </c:pt>
                <c:pt idx="1105">
                  <c:v>1985.3714936877991</c:v>
                </c:pt>
                <c:pt idx="1106">
                  <c:v>1985.3714936877991</c:v>
                </c:pt>
                <c:pt idx="1107">
                  <c:v>1985.3714936877991</c:v>
                </c:pt>
                <c:pt idx="1108">
                  <c:v>1985.3714936877991</c:v>
                </c:pt>
                <c:pt idx="1109">
                  <c:v>1985.3714936877991</c:v>
                </c:pt>
                <c:pt idx="1110">
                  <c:v>1985.3714936877991</c:v>
                </c:pt>
                <c:pt idx="1111">
                  <c:v>1985.3714936877991</c:v>
                </c:pt>
                <c:pt idx="1112">
                  <c:v>1985.3714936877991</c:v>
                </c:pt>
                <c:pt idx="1113">
                  <c:v>1985.3714936877991</c:v>
                </c:pt>
                <c:pt idx="1114">
                  <c:v>1985.3714936877991</c:v>
                </c:pt>
                <c:pt idx="1115">
                  <c:v>1985.3714936877991</c:v>
                </c:pt>
                <c:pt idx="1116">
                  <c:v>1985.3714936877991</c:v>
                </c:pt>
                <c:pt idx="1117">
                  <c:v>1985.3714936877991</c:v>
                </c:pt>
                <c:pt idx="1118">
                  <c:v>1985.3714936877991</c:v>
                </c:pt>
                <c:pt idx="1119">
                  <c:v>1985.3714936877991</c:v>
                </c:pt>
                <c:pt idx="1120">
                  <c:v>1985.3714936877991</c:v>
                </c:pt>
                <c:pt idx="1121">
                  <c:v>1985.3714936877991</c:v>
                </c:pt>
                <c:pt idx="1122">
                  <c:v>1985.3714936877991</c:v>
                </c:pt>
                <c:pt idx="1123">
                  <c:v>1985.3714936877991</c:v>
                </c:pt>
                <c:pt idx="1124">
                  <c:v>1985.3714936877991</c:v>
                </c:pt>
                <c:pt idx="1125">
                  <c:v>1985.3714936877991</c:v>
                </c:pt>
                <c:pt idx="1126">
                  <c:v>1985.3714936877991</c:v>
                </c:pt>
                <c:pt idx="1127">
                  <c:v>1985.3714936877991</c:v>
                </c:pt>
                <c:pt idx="1128">
                  <c:v>1985.3714936877991</c:v>
                </c:pt>
                <c:pt idx="1129">
                  <c:v>1985.3714936877991</c:v>
                </c:pt>
                <c:pt idx="1130">
                  <c:v>1985.3714936877991</c:v>
                </c:pt>
                <c:pt idx="1131">
                  <c:v>1985.3714936877991</c:v>
                </c:pt>
                <c:pt idx="1132">
                  <c:v>1985.3714936877991</c:v>
                </c:pt>
                <c:pt idx="1133">
                  <c:v>1985.3714936877991</c:v>
                </c:pt>
                <c:pt idx="1134">
                  <c:v>1985.3714936877991</c:v>
                </c:pt>
                <c:pt idx="1135">
                  <c:v>1985.3714936877991</c:v>
                </c:pt>
                <c:pt idx="1136">
                  <c:v>1985.3714936877991</c:v>
                </c:pt>
                <c:pt idx="1137">
                  <c:v>1985.3714936877991</c:v>
                </c:pt>
                <c:pt idx="1138">
                  <c:v>1985.3714936877991</c:v>
                </c:pt>
                <c:pt idx="1139">
                  <c:v>1985.3714936877991</c:v>
                </c:pt>
                <c:pt idx="1140">
                  <c:v>1985.3714936877991</c:v>
                </c:pt>
                <c:pt idx="1141">
                  <c:v>1985.3714936877991</c:v>
                </c:pt>
                <c:pt idx="1142">
                  <c:v>1985.3714936877991</c:v>
                </c:pt>
                <c:pt idx="1143">
                  <c:v>1985.3714936877991</c:v>
                </c:pt>
                <c:pt idx="1144">
                  <c:v>1985.3714936877991</c:v>
                </c:pt>
                <c:pt idx="1145">
                  <c:v>1985.3714936877991</c:v>
                </c:pt>
                <c:pt idx="1146">
                  <c:v>1985.3714936877991</c:v>
                </c:pt>
                <c:pt idx="1147">
                  <c:v>1985.3714936877991</c:v>
                </c:pt>
                <c:pt idx="1148">
                  <c:v>1985.3714936877991</c:v>
                </c:pt>
                <c:pt idx="1149">
                  <c:v>1985.3714936877991</c:v>
                </c:pt>
                <c:pt idx="1150">
                  <c:v>1985.3714936877991</c:v>
                </c:pt>
                <c:pt idx="1151">
                  <c:v>1985.3714936877991</c:v>
                </c:pt>
                <c:pt idx="1152">
                  <c:v>1985.3714936877991</c:v>
                </c:pt>
                <c:pt idx="1153">
                  <c:v>1985.3714936877991</c:v>
                </c:pt>
                <c:pt idx="1154">
                  <c:v>1985.3714936877991</c:v>
                </c:pt>
                <c:pt idx="1155">
                  <c:v>1985.3714936877991</c:v>
                </c:pt>
                <c:pt idx="1156">
                  <c:v>1985.3714936877991</c:v>
                </c:pt>
                <c:pt idx="1157">
                  <c:v>1985.3714936877991</c:v>
                </c:pt>
                <c:pt idx="1158">
                  <c:v>1985.3714936877991</c:v>
                </c:pt>
                <c:pt idx="1159">
                  <c:v>1985.3714936877991</c:v>
                </c:pt>
                <c:pt idx="1160">
                  <c:v>1985.3714936877991</c:v>
                </c:pt>
                <c:pt idx="1161">
                  <c:v>1985.3714936877991</c:v>
                </c:pt>
                <c:pt idx="1162">
                  <c:v>1985.3714936877991</c:v>
                </c:pt>
                <c:pt idx="1163">
                  <c:v>1985.3714936877991</c:v>
                </c:pt>
                <c:pt idx="1164">
                  <c:v>1985.3714936877991</c:v>
                </c:pt>
                <c:pt idx="1165">
                  <c:v>1985.3714936877991</c:v>
                </c:pt>
                <c:pt idx="1166">
                  <c:v>1985.3714936877991</c:v>
                </c:pt>
                <c:pt idx="1167">
                  <c:v>1985.3714936877991</c:v>
                </c:pt>
                <c:pt idx="1168">
                  <c:v>1985.3714936877991</c:v>
                </c:pt>
                <c:pt idx="1169">
                  <c:v>1985.3714936877991</c:v>
                </c:pt>
                <c:pt idx="1170">
                  <c:v>1985.3714936877991</c:v>
                </c:pt>
                <c:pt idx="1171">
                  <c:v>1985.3714936877991</c:v>
                </c:pt>
                <c:pt idx="1172">
                  <c:v>1985.3714936877991</c:v>
                </c:pt>
                <c:pt idx="1173">
                  <c:v>1985.3714936877991</c:v>
                </c:pt>
                <c:pt idx="1174">
                  <c:v>1985.3714936877991</c:v>
                </c:pt>
                <c:pt idx="1175">
                  <c:v>1985.3714936877991</c:v>
                </c:pt>
                <c:pt idx="1176">
                  <c:v>1985.3714936877991</c:v>
                </c:pt>
                <c:pt idx="1177">
                  <c:v>1985.3714936877991</c:v>
                </c:pt>
                <c:pt idx="1178">
                  <c:v>1985.3714936877991</c:v>
                </c:pt>
                <c:pt idx="1179">
                  <c:v>1985.3714936877991</c:v>
                </c:pt>
                <c:pt idx="1180">
                  <c:v>1985.3714936877991</c:v>
                </c:pt>
                <c:pt idx="1181">
                  <c:v>1985.3714936877991</c:v>
                </c:pt>
                <c:pt idx="1182">
                  <c:v>1985.3714936877991</c:v>
                </c:pt>
                <c:pt idx="1183">
                  <c:v>1985.3714936877991</c:v>
                </c:pt>
                <c:pt idx="1184">
                  <c:v>1985.3714936877991</c:v>
                </c:pt>
                <c:pt idx="1185">
                  <c:v>1985.3714936877991</c:v>
                </c:pt>
                <c:pt idx="1186">
                  <c:v>1985.3714936877991</c:v>
                </c:pt>
                <c:pt idx="1187">
                  <c:v>1985.3714936877991</c:v>
                </c:pt>
                <c:pt idx="1188">
                  <c:v>1985.3714936877991</c:v>
                </c:pt>
                <c:pt idx="1189">
                  <c:v>1985.3714936877991</c:v>
                </c:pt>
                <c:pt idx="1190">
                  <c:v>1985.3714936877991</c:v>
                </c:pt>
                <c:pt idx="1191">
                  <c:v>1985.3714936877991</c:v>
                </c:pt>
                <c:pt idx="1192">
                  <c:v>1985.3714936877991</c:v>
                </c:pt>
                <c:pt idx="1193">
                  <c:v>1985.3714936877991</c:v>
                </c:pt>
                <c:pt idx="1194">
                  <c:v>1985.3714936877991</c:v>
                </c:pt>
                <c:pt idx="1195">
                  <c:v>1985.3714936877991</c:v>
                </c:pt>
                <c:pt idx="1196">
                  <c:v>1985.3714936877991</c:v>
                </c:pt>
                <c:pt idx="1197">
                  <c:v>1985.3714936877991</c:v>
                </c:pt>
                <c:pt idx="1198">
                  <c:v>1985.3714936877991</c:v>
                </c:pt>
                <c:pt idx="1199">
                  <c:v>1985.3714936877991</c:v>
                </c:pt>
                <c:pt idx="1200">
                  <c:v>1985.3714936877991</c:v>
                </c:pt>
                <c:pt idx="1201">
                  <c:v>1985.3714936877991</c:v>
                </c:pt>
                <c:pt idx="1202">
                  <c:v>1985.3714936877991</c:v>
                </c:pt>
                <c:pt idx="1203">
                  <c:v>1985.3714936877991</c:v>
                </c:pt>
                <c:pt idx="1204">
                  <c:v>1985.3714936877991</c:v>
                </c:pt>
                <c:pt idx="1205">
                  <c:v>1985.3714936877991</c:v>
                </c:pt>
                <c:pt idx="1206">
                  <c:v>1985.3714936877991</c:v>
                </c:pt>
                <c:pt idx="1207">
                  <c:v>1985.3714936877991</c:v>
                </c:pt>
                <c:pt idx="1208">
                  <c:v>1985.3714936877991</c:v>
                </c:pt>
                <c:pt idx="1209">
                  <c:v>1985.3714936877991</c:v>
                </c:pt>
                <c:pt idx="1210">
                  <c:v>1985.3714936877991</c:v>
                </c:pt>
                <c:pt idx="1211">
                  <c:v>1985.3714936877991</c:v>
                </c:pt>
                <c:pt idx="1212">
                  <c:v>1985.3714936877991</c:v>
                </c:pt>
                <c:pt idx="1213">
                  <c:v>1985.3714936877991</c:v>
                </c:pt>
                <c:pt idx="1214">
                  <c:v>1985.3714936877991</c:v>
                </c:pt>
                <c:pt idx="1215">
                  <c:v>1985.3714936877991</c:v>
                </c:pt>
                <c:pt idx="1216">
                  <c:v>1985.3714936877991</c:v>
                </c:pt>
                <c:pt idx="1217">
                  <c:v>1985.3714936877991</c:v>
                </c:pt>
                <c:pt idx="1218">
                  <c:v>1985.3714936877991</c:v>
                </c:pt>
                <c:pt idx="1219">
                  <c:v>1985.3714936877991</c:v>
                </c:pt>
                <c:pt idx="1220">
                  <c:v>1985.3714936877991</c:v>
                </c:pt>
                <c:pt idx="1221">
                  <c:v>1985.3714936877991</c:v>
                </c:pt>
                <c:pt idx="1222">
                  <c:v>1985.3714936877991</c:v>
                </c:pt>
                <c:pt idx="1223">
                  <c:v>1985.3714936877991</c:v>
                </c:pt>
                <c:pt idx="1224">
                  <c:v>1985.3714936877991</c:v>
                </c:pt>
                <c:pt idx="1225">
                  <c:v>1985.3714936877991</c:v>
                </c:pt>
                <c:pt idx="1226">
                  <c:v>1985.3714936877991</c:v>
                </c:pt>
                <c:pt idx="1227">
                  <c:v>1985.3714936877991</c:v>
                </c:pt>
                <c:pt idx="1228">
                  <c:v>1985.3714936877991</c:v>
                </c:pt>
                <c:pt idx="1229">
                  <c:v>1985.3714936877991</c:v>
                </c:pt>
                <c:pt idx="1230">
                  <c:v>1985.3714936877991</c:v>
                </c:pt>
                <c:pt idx="1231">
                  <c:v>1985.3714936877991</c:v>
                </c:pt>
                <c:pt idx="1232">
                  <c:v>1985.3714936877991</c:v>
                </c:pt>
                <c:pt idx="1233">
                  <c:v>1985.3714936877991</c:v>
                </c:pt>
                <c:pt idx="1234">
                  <c:v>1985.3714936877991</c:v>
                </c:pt>
                <c:pt idx="1235">
                  <c:v>1985.3714936877991</c:v>
                </c:pt>
                <c:pt idx="1236">
                  <c:v>1985.3714936877991</c:v>
                </c:pt>
                <c:pt idx="1237">
                  <c:v>1985.3714936877991</c:v>
                </c:pt>
                <c:pt idx="1238">
                  <c:v>1985.3714936877991</c:v>
                </c:pt>
                <c:pt idx="1239">
                  <c:v>1985.3714936877991</c:v>
                </c:pt>
                <c:pt idx="1240">
                  <c:v>1985.3714936877991</c:v>
                </c:pt>
                <c:pt idx="1241">
                  <c:v>1985.3714936877991</c:v>
                </c:pt>
                <c:pt idx="1242">
                  <c:v>1985.3714936877991</c:v>
                </c:pt>
                <c:pt idx="1243">
                  <c:v>1985.3714936877991</c:v>
                </c:pt>
                <c:pt idx="1244">
                  <c:v>1985.3714936877991</c:v>
                </c:pt>
                <c:pt idx="1245">
                  <c:v>1985.3714936877991</c:v>
                </c:pt>
                <c:pt idx="1246">
                  <c:v>1985.3714936877991</c:v>
                </c:pt>
                <c:pt idx="1247">
                  <c:v>1985.3714936877991</c:v>
                </c:pt>
                <c:pt idx="1248">
                  <c:v>1985.3714936877991</c:v>
                </c:pt>
                <c:pt idx="1249">
                  <c:v>1985.3714936877991</c:v>
                </c:pt>
                <c:pt idx="1250">
                  <c:v>1985.3714936877991</c:v>
                </c:pt>
                <c:pt idx="1251">
                  <c:v>1985.3714936877991</c:v>
                </c:pt>
                <c:pt idx="1252">
                  <c:v>1985.3714936877991</c:v>
                </c:pt>
                <c:pt idx="1253">
                  <c:v>1985.3714936877991</c:v>
                </c:pt>
                <c:pt idx="1254">
                  <c:v>1985.3714936877991</c:v>
                </c:pt>
                <c:pt idx="1255">
                  <c:v>1985.3714936877991</c:v>
                </c:pt>
                <c:pt idx="1256">
                  <c:v>1985.3714936877991</c:v>
                </c:pt>
                <c:pt idx="1257">
                  <c:v>1985.3714936877991</c:v>
                </c:pt>
                <c:pt idx="1258">
                  <c:v>1985.3714936877991</c:v>
                </c:pt>
                <c:pt idx="1259">
                  <c:v>1985.3714936877991</c:v>
                </c:pt>
                <c:pt idx="1260">
                  <c:v>1985.3714936877991</c:v>
                </c:pt>
                <c:pt idx="1261">
                  <c:v>1985.3714936877991</c:v>
                </c:pt>
                <c:pt idx="1262">
                  <c:v>1985.3714936877991</c:v>
                </c:pt>
                <c:pt idx="1263">
                  <c:v>1985.3714936877991</c:v>
                </c:pt>
                <c:pt idx="1264">
                  <c:v>1985.3714936877991</c:v>
                </c:pt>
                <c:pt idx="1265">
                  <c:v>1985.3714936877991</c:v>
                </c:pt>
                <c:pt idx="1266">
                  <c:v>1985.3714936877991</c:v>
                </c:pt>
                <c:pt idx="1267">
                  <c:v>1985.3714936877991</c:v>
                </c:pt>
                <c:pt idx="1268">
                  <c:v>1985.3714936877991</c:v>
                </c:pt>
                <c:pt idx="1269">
                  <c:v>1985.3714936877991</c:v>
                </c:pt>
                <c:pt idx="1270">
                  <c:v>1985.3714936877991</c:v>
                </c:pt>
                <c:pt idx="1271">
                  <c:v>1985.3714936877991</c:v>
                </c:pt>
                <c:pt idx="1272">
                  <c:v>1985.3714936877991</c:v>
                </c:pt>
                <c:pt idx="1273">
                  <c:v>1985.3714936877991</c:v>
                </c:pt>
                <c:pt idx="1274">
                  <c:v>1985.3714936877991</c:v>
                </c:pt>
                <c:pt idx="1275">
                  <c:v>1985.3714936877991</c:v>
                </c:pt>
                <c:pt idx="1276">
                  <c:v>1985.3714936877991</c:v>
                </c:pt>
                <c:pt idx="1277">
                  <c:v>1985.3714936877991</c:v>
                </c:pt>
                <c:pt idx="1278">
                  <c:v>1985.3714936877991</c:v>
                </c:pt>
                <c:pt idx="1279">
                  <c:v>1985.3714936877991</c:v>
                </c:pt>
                <c:pt idx="1280">
                  <c:v>1985.3714936877991</c:v>
                </c:pt>
                <c:pt idx="1281">
                  <c:v>1985.3714936877991</c:v>
                </c:pt>
                <c:pt idx="1282">
                  <c:v>1985.3714936877991</c:v>
                </c:pt>
                <c:pt idx="1283">
                  <c:v>1985.3714936877991</c:v>
                </c:pt>
                <c:pt idx="1284">
                  <c:v>1985.3714936877991</c:v>
                </c:pt>
                <c:pt idx="1285">
                  <c:v>1985.3714936877991</c:v>
                </c:pt>
                <c:pt idx="1286">
                  <c:v>1985.3714936877991</c:v>
                </c:pt>
                <c:pt idx="1287">
                  <c:v>1985.3714936877991</c:v>
                </c:pt>
                <c:pt idx="1288">
                  <c:v>1985.3714936877991</c:v>
                </c:pt>
                <c:pt idx="1289">
                  <c:v>1985.3714936877991</c:v>
                </c:pt>
                <c:pt idx="1290">
                  <c:v>1985.3714936877991</c:v>
                </c:pt>
                <c:pt idx="1291">
                  <c:v>1985.3714936877991</c:v>
                </c:pt>
                <c:pt idx="1292">
                  <c:v>1985.3714936877991</c:v>
                </c:pt>
                <c:pt idx="1293">
                  <c:v>1985.3714936877991</c:v>
                </c:pt>
                <c:pt idx="1294">
                  <c:v>1985.3714936877991</c:v>
                </c:pt>
                <c:pt idx="1295">
                  <c:v>1985.3714936877991</c:v>
                </c:pt>
                <c:pt idx="1296">
                  <c:v>1985.3714936877991</c:v>
                </c:pt>
                <c:pt idx="1297">
                  <c:v>1985.3714936877991</c:v>
                </c:pt>
                <c:pt idx="1298">
                  <c:v>1985.3714936877991</c:v>
                </c:pt>
                <c:pt idx="1299">
                  <c:v>1985.3714936877991</c:v>
                </c:pt>
                <c:pt idx="1300">
                  <c:v>1985.3714936877991</c:v>
                </c:pt>
                <c:pt idx="1301">
                  <c:v>1985.3714936877991</c:v>
                </c:pt>
                <c:pt idx="1302">
                  <c:v>1985.3714936877991</c:v>
                </c:pt>
                <c:pt idx="1303">
                  <c:v>1985.3714936877991</c:v>
                </c:pt>
                <c:pt idx="1304">
                  <c:v>1985.3714936877991</c:v>
                </c:pt>
                <c:pt idx="1305">
                  <c:v>1985.3714936877991</c:v>
                </c:pt>
                <c:pt idx="1306">
                  <c:v>1985.3714936877991</c:v>
                </c:pt>
                <c:pt idx="1307">
                  <c:v>1985.3714936877991</c:v>
                </c:pt>
                <c:pt idx="1308">
                  <c:v>1985.3714936877991</c:v>
                </c:pt>
                <c:pt idx="1309">
                  <c:v>1821.7290289347989</c:v>
                </c:pt>
                <c:pt idx="1310">
                  <c:v>1821.7290289347989</c:v>
                </c:pt>
                <c:pt idx="1311">
                  <c:v>1821.7290289347989</c:v>
                </c:pt>
                <c:pt idx="1312">
                  <c:v>1821.7290289347989</c:v>
                </c:pt>
                <c:pt idx="1313">
                  <c:v>1821.7290289347989</c:v>
                </c:pt>
                <c:pt idx="1314">
                  <c:v>1821.7290289347989</c:v>
                </c:pt>
                <c:pt idx="1315">
                  <c:v>1821.7290289347989</c:v>
                </c:pt>
                <c:pt idx="1316">
                  <c:v>1821.7290289347989</c:v>
                </c:pt>
                <c:pt idx="1317">
                  <c:v>1821.7290289347989</c:v>
                </c:pt>
                <c:pt idx="1318">
                  <c:v>1821.7290289347989</c:v>
                </c:pt>
                <c:pt idx="1319">
                  <c:v>1821.7290289347989</c:v>
                </c:pt>
                <c:pt idx="1320">
                  <c:v>1821.7290289347989</c:v>
                </c:pt>
                <c:pt idx="1321">
                  <c:v>1821.7290289347989</c:v>
                </c:pt>
                <c:pt idx="1322">
                  <c:v>1821.7290289347989</c:v>
                </c:pt>
                <c:pt idx="1323">
                  <c:v>1821.7290289347989</c:v>
                </c:pt>
                <c:pt idx="1324">
                  <c:v>1821.7290289347989</c:v>
                </c:pt>
                <c:pt idx="1325">
                  <c:v>1821.7290289347989</c:v>
                </c:pt>
                <c:pt idx="1326">
                  <c:v>1821.7290289347989</c:v>
                </c:pt>
                <c:pt idx="1327">
                  <c:v>1821.7290289347989</c:v>
                </c:pt>
                <c:pt idx="1328">
                  <c:v>1821.7290289347989</c:v>
                </c:pt>
                <c:pt idx="1329">
                  <c:v>1821.7290289347989</c:v>
                </c:pt>
                <c:pt idx="1330">
                  <c:v>1821.7290289347989</c:v>
                </c:pt>
                <c:pt idx="1331">
                  <c:v>1821.7290289347989</c:v>
                </c:pt>
                <c:pt idx="1332">
                  <c:v>1821.7290289347989</c:v>
                </c:pt>
                <c:pt idx="1333">
                  <c:v>1821.7290289347989</c:v>
                </c:pt>
                <c:pt idx="1334">
                  <c:v>1821.7290289347989</c:v>
                </c:pt>
                <c:pt idx="1335">
                  <c:v>1821.7290289347989</c:v>
                </c:pt>
                <c:pt idx="1336">
                  <c:v>1821.7290289347989</c:v>
                </c:pt>
                <c:pt idx="1337">
                  <c:v>1821.7290289347989</c:v>
                </c:pt>
                <c:pt idx="1338">
                  <c:v>1821.7290289347989</c:v>
                </c:pt>
                <c:pt idx="1339">
                  <c:v>1821.7290289347989</c:v>
                </c:pt>
                <c:pt idx="1340">
                  <c:v>1821.7290289347989</c:v>
                </c:pt>
                <c:pt idx="1341">
                  <c:v>1821.7290289347989</c:v>
                </c:pt>
                <c:pt idx="1342">
                  <c:v>1821.7290289347989</c:v>
                </c:pt>
                <c:pt idx="1343">
                  <c:v>1821.7290289347989</c:v>
                </c:pt>
                <c:pt idx="1344">
                  <c:v>1821.7290289347989</c:v>
                </c:pt>
                <c:pt idx="1345">
                  <c:v>1821.7290289347989</c:v>
                </c:pt>
                <c:pt idx="1346">
                  <c:v>1821.7290289347989</c:v>
                </c:pt>
                <c:pt idx="1347">
                  <c:v>1821.7290289347989</c:v>
                </c:pt>
                <c:pt idx="1348">
                  <c:v>1821.7290289347989</c:v>
                </c:pt>
                <c:pt idx="1349">
                  <c:v>1821.7290289347989</c:v>
                </c:pt>
                <c:pt idx="1350">
                  <c:v>1821.7290289347989</c:v>
                </c:pt>
                <c:pt idx="1351">
                  <c:v>1821.7290289347989</c:v>
                </c:pt>
                <c:pt idx="1352">
                  <c:v>1821.7290289347989</c:v>
                </c:pt>
                <c:pt idx="1353">
                  <c:v>1821.7290289347989</c:v>
                </c:pt>
                <c:pt idx="1354">
                  <c:v>1821.7290289347989</c:v>
                </c:pt>
                <c:pt idx="1355">
                  <c:v>1821.7290289347989</c:v>
                </c:pt>
                <c:pt idx="1356">
                  <c:v>1821.7290289347989</c:v>
                </c:pt>
                <c:pt idx="1357">
                  <c:v>1821.7290289347989</c:v>
                </c:pt>
                <c:pt idx="1358">
                  <c:v>1821.7290289347989</c:v>
                </c:pt>
                <c:pt idx="1359">
                  <c:v>1821.7290289347989</c:v>
                </c:pt>
                <c:pt idx="1360">
                  <c:v>1821.7290289347989</c:v>
                </c:pt>
                <c:pt idx="1361">
                  <c:v>1821.7290289347989</c:v>
                </c:pt>
                <c:pt idx="1362">
                  <c:v>1821.7290289347989</c:v>
                </c:pt>
                <c:pt idx="1363">
                  <c:v>1821.7290289347989</c:v>
                </c:pt>
                <c:pt idx="1364">
                  <c:v>1821.7290289347989</c:v>
                </c:pt>
                <c:pt idx="1365">
                  <c:v>1821.7290289347989</c:v>
                </c:pt>
                <c:pt idx="1366">
                  <c:v>1821.7290289347989</c:v>
                </c:pt>
                <c:pt idx="1367">
                  <c:v>1821.7290289347989</c:v>
                </c:pt>
                <c:pt idx="1368">
                  <c:v>1821.7290289347989</c:v>
                </c:pt>
                <c:pt idx="1369">
                  <c:v>1821.7290289347989</c:v>
                </c:pt>
                <c:pt idx="1370">
                  <c:v>1821.7290289347989</c:v>
                </c:pt>
                <c:pt idx="1371">
                  <c:v>1821.7290289347989</c:v>
                </c:pt>
                <c:pt idx="1372">
                  <c:v>1821.7290289347989</c:v>
                </c:pt>
                <c:pt idx="1373">
                  <c:v>1821.7290289347989</c:v>
                </c:pt>
                <c:pt idx="1374">
                  <c:v>1821.7290289347989</c:v>
                </c:pt>
                <c:pt idx="1375">
                  <c:v>1821.7290289347989</c:v>
                </c:pt>
                <c:pt idx="1376">
                  <c:v>1821.7290289347989</c:v>
                </c:pt>
                <c:pt idx="1377">
                  <c:v>1821.7290289347989</c:v>
                </c:pt>
                <c:pt idx="1378">
                  <c:v>1821.7290289347989</c:v>
                </c:pt>
                <c:pt idx="1379">
                  <c:v>1821.7290289347989</c:v>
                </c:pt>
                <c:pt idx="1380">
                  <c:v>1821.7290289347989</c:v>
                </c:pt>
                <c:pt idx="1381">
                  <c:v>1821.7290289347989</c:v>
                </c:pt>
                <c:pt idx="1382">
                  <c:v>1821.7290289347989</c:v>
                </c:pt>
                <c:pt idx="1383">
                  <c:v>1821.7290289347989</c:v>
                </c:pt>
                <c:pt idx="1384">
                  <c:v>1821.7290289347989</c:v>
                </c:pt>
                <c:pt idx="1385">
                  <c:v>1821.7290289347989</c:v>
                </c:pt>
                <c:pt idx="1386">
                  <c:v>1821.7290289347989</c:v>
                </c:pt>
                <c:pt idx="1387">
                  <c:v>1821.7290289347989</c:v>
                </c:pt>
                <c:pt idx="1388">
                  <c:v>1821.7290289347989</c:v>
                </c:pt>
                <c:pt idx="1389">
                  <c:v>1821.7290289347989</c:v>
                </c:pt>
                <c:pt idx="1390">
                  <c:v>1821.7290289347989</c:v>
                </c:pt>
                <c:pt idx="1391">
                  <c:v>1821.7290289347989</c:v>
                </c:pt>
                <c:pt idx="1392">
                  <c:v>1821.7290289347989</c:v>
                </c:pt>
                <c:pt idx="1393">
                  <c:v>1821.7290289347989</c:v>
                </c:pt>
                <c:pt idx="1394">
                  <c:v>1821.7290289347989</c:v>
                </c:pt>
                <c:pt idx="1395">
                  <c:v>1821.7290289347989</c:v>
                </c:pt>
                <c:pt idx="1396">
                  <c:v>1821.7290289347989</c:v>
                </c:pt>
                <c:pt idx="1397">
                  <c:v>1821.7290289347989</c:v>
                </c:pt>
                <c:pt idx="1398">
                  <c:v>1821.7290289347989</c:v>
                </c:pt>
                <c:pt idx="1399">
                  <c:v>1821.7290289347989</c:v>
                </c:pt>
                <c:pt idx="1400">
                  <c:v>1821.7290289347989</c:v>
                </c:pt>
                <c:pt idx="1401">
                  <c:v>1821.7290289347989</c:v>
                </c:pt>
                <c:pt idx="1402">
                  <c:v>1821.7290289347989</c:v>
                </c:pt>
                <c:pt idx="1403">
                  <c:v>1821.7290289347989</c:v>
                </c:pt>
                <c:pt idx="1404">
                  <c:v>1821.7290289347989</c:v>
                </c:pt>
                <c:pt idx="1405">
                  <c:v>1821.7290289347989</c:v>
                </c:pt>
                <c:pt idx="1406">
                  <c:v>1821.7290289347989</c:v>
                </c:pt>
                <c:pt idx="1407">
                  <c:v>1821.7290289347989</c:v>
                </c:pt>
                <c:pt idx="1408">
                  <c:v>1821.7290289347989</c:v>
                </c:pt>
                <c:pt idx="1409">
                  <c:v>1821.7290289347989</c:v>
                </c:pt>
                <c:pt idx="1410">
                  <c:v>1821.7290289347989</c:v>
                </c:pt>
                <c:pt idx="1411">
                  <c:v>1821.7290289347989</c:v>
                </c:pt>
                <c:pt idx="1412">
                  <c:v>1821.7290289347989</c:v>
                </c:pt>
                <c:pt idx="1413">
                  <c:v>1821.7290289347989</c:v>
                </c:pt>
                <c:pt idx="1414">
                  <c:v>1821.7290289347989</c:v>
                </c:pt>
                <c:pt idx="1415">
                  <c:v>1821.7290289347989</c:v>
                </c:pt>
                <c:pt idx="1416">
                  <c:v>1821.7290289347989</c:v>
                </c:pt>
                <c:pt idx="1417">
                  <c:v>1821.7290289347989</c:v>
                </c:pt>
                <c:pt idx="1418">
                  <c:v>1821.7290289347989</c:v>
                </c:pt>
                <c:pt idx="1419">
                  <c:v>1821.7290289347989</c:v>
                </c:pt>
                <c:pt idx="1420">
                  <c:v>1821.7290289347989</c:v>
                </c:pt>
                <c:pt idx="1421">
                  <c:v>1821.7290289347989</c:v>
                </c:pt>
                <c:pt idx="1422">
                  <c:v>1821.7290289347989</c:v>
                </c:pt>
                <c:pt idx="1423">
                  <c:v>1821.7290289347989</c:v>
                </c:pt>
                <c:pt idx="1424">
                  <c:v>1821.7290289347989</c:v>
                </c:pt>
                <c:pt idx="1425">
                  <c:v>1821.7290289347989</c:v>
                </c:pt>
                <c:pt idx="1426">
                  <c:v>1821.7290289347989</c:v>
                </c:pt>
                <c:pt idx="1427">
                  <c:v>1821.7290289347989</c:v>
                </c:pt>
                <c:pt idx="1428">
                  <c:v>1821.7290289347989</c:v>
                </c:pt>
                <c:pt idx="1429">
                  <c:v>1821.7290289347989</c:v>
                </c:pt>
                <c:pt idx="1430">
                  <c:v>1821.7290289347989</c:v>
                </c:pt>
                <c:pt idx="1431">
                  <c:v>1821.7290289347989</c:v>
                </c:pt>
                <c:pt idx="1432">
                  <c:v>1821.7290289347989</c:v>
                </c:pt>
                <c:pt idx="1433">
                  <c:v>1821.7290289347989</c:v>
                </c:pt>
                <c:pt idx="1434">
                  <c:v>1821.7290289347989</c:v>
                </c:pt>
                <c:pt idx="1435">
                  <c:v>1821.7290289347989</c:v>
                </c:pt>
                <c:pt idx="1436">
                  <c:v>1821.7290289347989</c:v>
                </c:pt>
                <c:pt idx="1437">
                  <c:v>1821.7290289347989</c:v>
                </c:pt>
                <c:pt idx="1438">
                  <c:v>1821.7290289347989</c:v>
                </c:pt>
                <c:pt idx="1439">
                  <c:v>1821.7290289347989</c:v>
                </c:pt>
                <c:pt idx="1440">
                  <c:v>1821.7290289347989</c:v>
                </c:pt>
                <c:pt idx="1441">
                  <c:v>1821.7290289347989</c:v>
                </c:pt>
                <c:pt idx="1442">
                  <c:v>1821.7290289347989</c:v>
                </c:pt>
                <c:pt idx="1443">
                  <c:v>1821.7290289347989</c:v>
                </c:pt>
                <c:pt idx="1444">
                  <c:v>1821.7290289347989</c:v>
                </c:pt>
                <c:pt idx="1445">
                  <c:v>1821.7290289347989</c:v>
                </c:pt>
                <c:pt idx="1446">
                  <c:v>1821.7290289347989</c:v>
                </c:pt>
                <c:pt idx="1447">
                  <c:v>1821.7290289347989</c:v>
                </c:pt>
                <c:pt idx="1448">
                  <c:v>1821.7290289347989</c:v>
                </c:pt>
                <c:pt idx="1449">
                  <c:v>1821.7290289347989</c:v>
                </c:pt>
                <c:pt idx="1450">
                  <c:v>1821.7290289347989</c:v>
                </c:pt>
                <c:pt idx="1451">
                  <c:v>1821.7290289347989</c:v>
                </c:pt>
                <c:pt idx="1452">
                  <c:v>1821.7290289347989</c:v>
                </c:pt>
                <c:pt idx="1453">
                  <c:v>1821.7290289347989</c:v>
                </c:pt>
                <c:pt idx="1454">
                  <c:v>1821.7290289347989</c:v>
                </c:pt>
                <c:pt idx="1455">
                  <c:v>1821.7290289347989</c:v>
                </c:pt>
                <c:pt idx="1456">
                  <c:v>1821.7290289347989</c:v>
                </c:pt>
                <c:pt idx="1457">
                  <c:v>1821.7290289347989</c:v>
                </c:pt>
                <c:pt idx="1458">
                  <c:v>1821.7290289347989</c:v>
                </c:pt>
                <c:pt idx="1459">
                  <c:v>1821.7290289347989</c:v>
                </c:pt>
                <c:pt idx="1460">
                  <c:v>1821.7290289347989</c:v>
                </c:pt>
                <c:pt idx="1461">
                  <c:v>1821.7290289347989</c:v>
                </c:pt>
                <c:pt idx="1462">
                  <c:v>1821.7290289347989</c:v>
                </c:pt>
                <c:pt idx="1463">
                  <c:v>1821.7290289347989</c:v>
                </c:pt>
                <c:pt idx="1464">
                  <c:v>1821.7290289347989</c:v>
                </c:pt>
                <c:pt idx="1465">
                  <c:v>1821.7290289347989</c:v>
                </c:pt>
                <c:pt idx="1466">
                  <c:v>1821.7290289347989</c:v>
                </c:pt>
                <c:pt idx="1467">
                  <c:v>1821.7290289347989</c:v>
                </c:pt>
                <c:pt idx="1468">
                  <c:v>1821.7290289347989</c:v>
                </c:pt>
                <c:pt idx="1469">
                  <c:v>1821.7290289347989</c:v>
                </c:pt>
                <c:pt idx="1470">
                  <c:v>1821.7290289347989</c:v>
                </c:pt>
                <c:pt idx="1471">
                  <c:v>1821.7290289347989</c:v>
                </c:pt>
                <c:pt idx="1472">
                  <c:v>1821.7290289347989</c:v>
                </c:pt>
                <c:pt idx="1473">
                  <c:v>1821.7290289347989</c:v>
                </c:pt>
                <c:pt idx="1474">
                  <c:v>1821.7290289347989</c:v>
                </c:pt>
                <c:pt idx="1475">
                  <c:v>1821.7290289347989</c:v>
                </c:pt>
                <c:pt idx="1476">
                  <c:v>1821.7290289347989</c:v>
                </c:pt>
                <c:pt idx="1477">
                  <c:v>1821.7290289347989</c:v>
                </c:pt>
                <c:pt idx="1478">
                  <c:v>1821.7290289347989</c:v>
                </c:pt>
                <c:pt idx="1479">
                  <c:v>1821.7290289347989</c:v>
                </c:pt>
                <c:pt idx="1480">
                  <c:v>1821.7290289347989</c:v>
                </c:pt>
                <c:pt idx="1481">
                  <c:v>1821.7290289347989</c:v>
                </c:pt>
                <c:pt idx="1482">
                  <c:v>1821.7290289347989</c:v>
                </c:pt>
                <c:pt idx="1483">
                  <c:v>1821.7290289347989</c:v>
                </c:pt>
                <c:pt idx="1484">
                  <c:v>1821.7290289347989</c:v>
                </c:pt>
                <c:pt idx="1485">
                  <c:v>1821.7290289347989</c:v>
                </c:pt>
                <c:pt idx="1486">
                  <c:v>1821.7290289347989</c:v>
                </c:pt>
                <c:pt idx="1487">
                  <c:v>1821.7290289347989</c:v>
                </c:pt>
                <c:pt idx="1488">
                  <c:v>1821.7290289347989</c:v>
                </c:pt>
                <c:pt idx="1489">
                  <c:v>1821.7290289347989</c:v>
                </c:pt>
                <c:pt idx="1490">
                  <c:v>1821.7290289347989</c:v>
                </c:pt>
                <c:pt idx="1491">
                  <c:v>1821.7290289347989</c:v>
                </c:pt>
                <c:pt idx="1492">
                  <c:v>1821.7290289347989</c:v>
                </c:pt>
                <c:pt idx="1493">
                  <c:v>1821.7290289347989</c:v>
                </c:pt>
                <c:pt idx="1494">
                  <c:v>1821.7290289347989</c:v>
                </c:pt>
                <c:pt idx="1495">
                  <c:v>1821.7290289347989</c:v>
                </c:pt>
                <c:pt idx="1496">
                  <c:v>1821.7290289347989</c:v>
                </c:pt>
                <c:pt idx="1497">
                  <c:v>1821.7290289347989</c:v>
                </c:pt>
                <c:pt idx="1498">
                  <c:v>1821.7290289347989</c:v>
                </c:pt>
                <c:pt idx="1499">
                  <c:v>1821.7290289347989</c:v>
                </c:pt>
                <c:pt idx="1500">
                  <c:v>1821.7290289347989</c:v>
                </c:pt>
                <c:pt idx="1501">
                  <c:v>1821.7290289347989</c:v>
                </c:pt>
                <c:pt idx="1502">
                  <c:v>1821.7290289347989</c:v>
                </c:pt>
                <c:pt idx="1503">
                  <c:v>1821.7290289347989</c:v>
                </c:pt>
                <c:pt idx="1504">
                  <c:v>1821.7290289347989</c:v>
                </c:pt>
                <c:pt idx="1505">
                  <c:v>1821.7290289347989</c:v>
                </c:pt>
                <c:pt idx="1506">
                  <c:v>1821.7290289347989</c:v>
                </c:pt>
                <c:pt idx="1507">
                  <c:v>1821.7290289347989</c:v>
                </c:pt>
                <c:pt idx="1508">
                  <c:v>1821.7290289347989</c:v>
                </c:pt>
                <c:pt idx="1509">
                  <c:v>1821.7290289347989</c:v>
                </c:pt>
                <c:pt idx="1510">
                  <c:v>1821.7290289347989</c:v>
                </c:pt>
                <c:pt idx="1511">
                  <c:v>1821.7290289347989</c:v>
                </c:pt>
                <c:pt idx="1512">
                  <c:v>1821.7290289347989</c:v>
                </c:pt>
                <c:pt idx="1513">
                  <c:v>1821.7290289347989</c:v>
                </c:pt>
                <c:pt idx="1514">
                  <c:v>1821.7290289347989</c:v>
                </c:pt>
                <c:pt idx="1515">
                  <c:v>1821.7290289347989</c:v>
                </c:pt>
                <c:pt idx="1516">
                  <c:v>1821.7290289347989</c:v>
                </c:pt>
                <c:pt idx="1517">
                  <c:v>1821.7290289347989</c:v>
                </c:pt>
                <c:pt idx="1518">
                  <c:v>1821.7290289347989</c:v>
                </c:pt>
                <c:pt idx="1519">
                  <c:v>1821.7290289347989</c:v>
                </c:pt>
                <c:pt idx="1520">
                  <c:v>1821.7290289347989</c:v>
                </c:pt>
                <c:pt idx="1521">
                  <c:v>1821.7290289347989</c:v>
                </c:pt>
                <c:pt idx="1522">
                  <c:v>1821.7290289347989</c:v>
                </c:pt>
                <c:pt idx="1523">
                  <c:v>1821.7290289347989</c:v>
                </c:pt>
                <c:pt idx="1524">
                  <c:v>1821.7290289347989</c:v>
                </c:pt>
                <c:pt idx="1525">
                  <c:v>1821.7290289347989</c:v>
                </c:pt>
                <c:pt idx="1526">
                  <c:v>1821.7290289347989</c:v>
                </c:pt>
                <c:pt idx="1527">
                  <c:v>1821.7290289347989</c:v>
                </c:pt>
                <c:pt idx="1528">
                  <c:v>1821.7290289347989</c:v>
                </c:pt>
                <c:pt idx="1529">
                  <c:v>1821.7290289347989</c:v>
                </c:pt>
                <c:pt idx="1530">
                  <c:v>1821.7290289347989</c:v>
                </c:pt>
                <c:pt idx="1531">
                  <c:v>1821.7290289347989</c:v>
                </c:pt>
                <c:pt idx="1532">
                  <c:v>1821.7290289347989</c:v>
                </c:pt>
                <c:pt idx="1533">
                  <c:v>1821.7290289347989</c:v>
                </c:pt>
                <c:pt idx="1534">
                  <c:v>1821.7290289347989</c:v>
                </c:pt>
                <c:pt idx="1535">
                  <c:v>1821.7290289347989</c:v>
                </c:pt>
                <c:pt idx="1536">
                  <c:v>1821.7290289347989</c:v>
                </c:pt>
                <c:pt idx="1537">
                  <c:v>1821.7290289347989</c:v>
                </c:pt>
                <c:pt idx="1538">
                  <c:v>1821.7290289347989</c:v>
                </c:pt>
                <c:pt idx="1539">
                  <c:v>1821.7290289347989</c:v>
                </c:pt>
                <c:pt idx="1540">
                  <c:v>1821.7290289347989</c:v>
                </c:pt>
                <c:pt idx="1541">
                  <c:v>1821.7290289347989</c:v>
                </c:pt>
                <c:pt idx="1542">
                  <c:v>1821.7290289347989</c:v>
                </c:pt>
                <c:pt idx="1543">
                  <c:v>1821.7290289347989</c:v>
                </c:pt>
                <c:pt idx="1544">
                  <c:v>1821.7290289347989</c:v>
                </c:pt>
                <c:pt idx="1545">
                  <c:v>1821.7290289347989</c:v>
                </c:pt>
                <c:pt idx="1546">
                  <c:v>1821.7290289347989</c:v>
                </c:pt>
                <c:pt idx="1547">
                  <c:v>1821.7290289347989</c:v>
                </c:pt>
                <c:pt idx="1548">
                  <c:v>1821.7290289347989</c:v>
                </c:pt>
                <c:pt idx="1549">
                  <c:v>1821.7290289347989</c:v>
                </c:pt>
                <c:pt idx="1550">
                  <c:v>1821.7290289347989</c:v>
                </c:pt>
                <c:pt idx="1551">
                  <c:v>1821.7290289347989</c:v>
                </c:pt>
                <c:pt idx="1552">
                  <c:v>1821.7290289347989</c:v>
                </c:pt>
                <c:pt idx="1553">
                  <c:v>1821.7290289347989</c:v>
                </c:pt>
                <c:pt idx="1554">
                  <c:v>1821.7290289347989</c:v>
                </c:pt>
                <c:pt idx="1555">
                  <c:v>1821.7290289347989</c:v>
                </c:pt>
                <c:pt idx="1556">
                  <c:v>1821.7290289347989</c:v>
                </c:pt>
                <c:pt idx="1557">
                  <c:v>1821.7290289347989</c:v>
                </c:pt>
                <c:pt idx="1558">
                  <c:v>1821.7290289347989</c:v>
                </c:pt>
                <c:pt idx="1559">
                  <c:v>1821.7290289347989</c:v>
                </c:pt>
                <c:pt idx="1560">
                  <c:v>1821.7290289347989</c:v>
                </c:pt>
                <c:pt idx="1561">
                  <c:v>1821.7290289347989</c:v>
                </c:pt>
                <c:pt idx="1562">
                  <c:v>1821.7290289347989</c:v>
                </c:pt>
                <c:pt idx="1563">
                  <c:v>1821.7290289347989</c:v>
                </c:pt>
                <c:pt idx="1564">
                  <c:v>1821.7290289347989</c:v>
                </c:pt>
                <c:pt idx="1565">
                  <c:v>1821.7290289347989</c:v>
                </c:pt>
                <c:pt idx="1566">
                  <c:v>1821.7290289347989</c:v>
                </c:pt>
                <c:pt idx="1567">
                  <c:v>1821.7290289347989</c:v>
                </c:pt>
                <c:pt idx="1568">
                  <c:v>1821.7290289347989</c:v>
                </c:pt>
                <c:pt idx="1569">
                  <c:v>1821.7290289347989</c:v>
                </c:pt>
                <c:pt idx="1570">
                  <c:v>1821.7290289347989</c:v>
                </c:pt>
                <c:pt idx="1571">
                  <c:v>1821.7290289347989</c:v>
                </c:pt>
                <c:pt idx="1572">
                  <c:v>1821.7290289347989</c:v>
                </c:pt>
                <c:pt idx="1573">
                  <c:v>1821.7290289347989</c:v>
                </c:pt>
                <c:pt idx="1574">
                  <c:v>1821.7290289347989</c:v>
                </c:pt>
                <c:pt idx="1575">
                  <c:v>1821.7290289347989</c:v>
                </c:pt>
                <c:pt idx="1576">
                  <c:v>1821.7290289347989</c:v>
                </c:pt>
                <c:pt idx="1577">
                  <c:v>1821.7290289347989</c:v>
                </c:pt>
                <c:pt idx="1578">
                  <c:v>1821.7290289347989</c:v>
                </c:pt>
                <c:pt idx="1579">
                  <c:v>1821.7290289347989</c:v>
                </c:pt>
                <c:pt idx="1580">
                  <c:v>1821.7290289347989</c:v>
                </c:pt>
                <c:pt idx="1581">
                  <c:v>1821.7290289347989</c:v>
                </c:pt>
                <c:pt idx="1582">
                  <c:v>1821.7290289347989</c:v>
                </c:pt>
                <c:pt idx="1583">
                  <c:v>1821.7290289347989</c:v>
                </c:pt>
                <c:pt idx="1584">
                  <c:v>1821.7290289347989</c:v>
                </c:pt>
                <c:pt idx="1585">
                  <c:v>1821.7290289347989</c:v>
                </c:pt>
                <c:pt idx="1586">
                  <c:v>1821.7290289347989</c:v>
                </c:pt>
                <c:pt idx="1587">
                  <c:v>1821.7290289347989</c:v>
                </c:pt>
                <c:pt idx="1588">
                  <c:v>1821.7290289347989</c:v>
                </c:pt>
                <c:pt idx="1589">
                  <c:v>1821.7290289347989</c:v>
                </c:pt>
                <c:pt idx="1590">
                  <c:v>1821.7290289347989</c:v>
                </c:pt>
                <c:pt idx="1591">
                  <c:v>1821.7290289347989</c:v>
                </c:pt>
                <c:pt idx="1592">
                  <c:v>1821.7290289347989</c:v>
                </c:pt>
                <c:pt idx="1593">
                  <c:v>1821.7290289347989</c:v>
                </c:pt>
                <c:pt idx="1594">
                  <c:v>1821.7290289347989</c:v>
                </c:pt>
                <c:pt idx="1595">
                  <c:v>1821.7290289347989</c:v>
                </c:pt>
                <c:pt idx="1596">
                  <c:v>1821.7290289347989</c:v>
                </c:pt>
                <c:pt idx="1597">
                  <c:v>1821.7290289347989</c:v>
                </c:pt>
                <c:pt idx="1598">
                  <c:v>1821.7290289347989</c:v>
                </c:pt>
                <c:pt idx="1599">
                  <c:v>1821.7290289347989</c:v>
                </c:pt>
                <c:pt idx="1600">
                  <c:v>1821.7290289347989</c:v>
                </c:pt>
                <c:pt idx="1601">
                  <c:v>1821.7290289347989</c:v>
                </c:pt>
                <c:pt idx="1602">
                  <c:v>1821.7290289347989</c:v>
                </c:pt>
                <c:pt idx="1603">
                  <c:v>1821.7290289347989</c:v>
                </c:pt>
                <c:pt idx="1604">
                  <c:v>1821.7290289347989</c:v>
                </c:pt>
                <c:pt idx="1605">
                  <c:v>1821.7290289347989</c:v>
                </c:pt>
                <c:pt idx="1606">
                  <c:v>1821.7290289347989</c:v>
                </c:pt>
                <c:pt idx="1607">
                  <c:v>1821.7290289347989</c:v>
                </c:pt>
                <c:pt idx="1608">
                  <c:v>1821.7290289347989</c:v>
                </c:pt>
                <c:pt idx="1609">
                  <c:v>1821.7290289347989</c:v>
                </c:pt>
                <c:pt idx="1610">
                  <c:v>1821.7290289347989</c:v>
                </c:pt>
                <c:pt idx="1611">
                  <c:v>1821.7290289347989</c:v>
                </c:pt>
                <c:pt idx="1612">
                  <c:v>1821.7290289347989</c:v>
                </c:pt>
                <c:pt idx="1613">
                  <c:v>1821.7290289347989</c:v>
                </c:pt>
                <c:pt idx="1614">
                  <c:v>1821.7290289347989</c:v>
                </c:pt>
                <c:pt idx="1615">
                  <c:v>1821.7290289347989</c:v>
                </c:pt>
                <c:pt idx="1616">
                  <c:v>1821.7290289347989</c:v>
                </c:pt>
                <c:pt idx="1617">
                  <c:v>1821.7290289347989</c:v>
                </c:pt>
                <c:pt idx="1618">
                  <c:v>1821.7290289347989</c:v>
                </c:pt>
                <c:pt idx="1619">
                  <c:v>1821.7290289347989</c:v>
                </c:pt>
                <c:pt idx="1620">
                  <c:v>1821.7290289347989</c:v>
                </c:pt>
                <c:pt idx="1621">
                  <c:v>1821.7290289347989</c:v>
                </c:pt>
                <c:pt idx="1622">
                  <c:v>1821.7290289347989</c:v>
                </c:pt>
                <c:pt idx="1623">
                  <c:v>1821.7290289347989</c:v>
                </c:pt>
                <c:pt idx="1624">
                  <c:v>1821.7290289347989</c:v>
                </c:pt>
                <c:pt idx="1625">
                  <c:v>1821.7290289347989</c:v>
                </c:pt>
                <c:pt idx="1626">
                  <c:v>1821.7290289347989</c:v>
                </c:pt>
                <c:pt idx="1627">
                  <c:v>1821.7290289347989</c:v>
                </c:pt>
                <c:pt idx="1628">
                  <c:v>1821.7290289347989</c:v>
                </c:pt>
                <c:pt idx="1629">
                  <c:v>1821.7290289347989</c:v>
                </c:pt>
                <c:pt idx="1630">
                  <c:v>1821.7290289347989</c:v>
                </c:pt>
                <c:pt idx="1631">
                  <c:v>1821.7290289347989</c:v>
                </c:pt>
                <c:pt idx="1632">
                  <c:v>1821.7290289347989</c:v>
                </c:pt>
                <c:pt idx="1633">
                  <c:v>1821.7290289347989</c:v>
                </c:pt>
                <c:pt idx="1634">
                  <c:v>1821.7290289347989</c:v>
                </c:pt>
                <c:pt idx="1635">
                  <c:v>1821.7290289347989</c:v>
                </c:pt>
                <c:pt idx="1636">
                  <c:v>1821.7290289347989</c:v>
                </c:pt>
                <c:pt idx="1637">
                  <c:v>1821.7290289347989</c:v>
                </c:pt>
                <c:pt idx="1638">
                  <c:v>1821.7290289347989</c:v>
                </c:pt>
                <c:pt idx="1639">
                  <c:v>1821.7290289347989</c:v>
                </c:pt>
                <c:pt idx="1640">
                  <c:v>1821.7290289347989</c:v>
                </c:pt>
                <c:pt idx="1641">
                  <c:v>1821.7290289347989</c:v>
                </c:pt>
                <c:pt idx="1642">
                  <c:v>1821.7290289347989</c:v>
                </c:pt>
                <c:pt idx="1643">
                  <c:v>1821.7290289347989</c:v>
                </c:pt>
                <c:pt idx="1644">
                  <c:v>1821.7290289347989</c:v>
                </c:pt>
                <c:pt idx="1645">
                  <c:v>1821.7290289347989</c:v>
                </c:pt>
                <c:pt idx="1646">
                  <c:v>1821.7290289347989</c:v>
                </c:pt>
                <c:pt idx="1647">
                  <c:v>1821.7290289347989</c:v>
                </c:pt>
                <c:pt idx="1648">
                  <c:v>1821.7290289347989</c:v>
                </c:pt>
                <c:pt idx="1649">
                  <c:v>1821.7290289347989</c:v>
                </c:pt>
                <c:pt idx="1650">
                  <c:v>1821.7290289347989</c:v>
                </c:pt>
                <c:pt idx="1651">
                  <c:v>1821.7290289347989</c:v>
                </c:pt>
                <c:pt idx="1652">
                  <c:v>1821.7290289347989</c:v>
                </c:pt>
                <c:pt idx="1653">
                  <c:v>1821.7290289347989</c:v>
                </c:pt>
                <c:pt idx="1654">
                  <c:v>1821.7290289347989</c:v>
                </c:pt>
                <c:pt idx="1655">
                  <c:v>1821.7290289347989</c:v>
                </c:pt>
                <c:pt idx="1656">
                  <c:v>1821.7290289347989</c:v>
                </c:pt>
                <c:pt idx="1657">
                  <c:v>1821.7290289347989</c:v>
                </c:pt>
                <c:pt idx="1658">
                  <c:v>1821.7290289347989</c:v>
                </c:pt>
                <c:pt idx="1659">
                  <c:v>1821.7290289347989</c:v>
                </c:pt>
                <c:pt idx="1660">
                  <c:v>1821.7290289347989</c:v>
                </c:pt>
                <c:pt idx="1661">
                  <c:v>1821.7290289347989</c:v>
                </c:pt>
                <c:pt idx="1662">
                  <c:v>1821.7290289347989</c:v>
                </c:pt>
                <c:pt idx="1663">
                  <c:v>1821.7290289347989</c:v>
                </c:pt>
                <c:pt idx="1664">
                  <c:v>1821.7290289347989</c:v>
                </c:pt>
                <c:pt idx="1665">
                  <c:v>1821.7290289347989</c:v>
                </c:pt>
                <c:pt idx="1666">
                  <c:v>1821.7290289347989</c:v>
                </c:pt>
                <c:pt idx="1667">
                  <c:v>1821.7290289347989</c:v>
                </c:pt>
                <c:pt idx="1668">
                  <c:v>1821.7290289347989</c:v>
                </c:pt>
                <c:pt idx="1669">
                  <c:v>1821.7290289347989</c:v>
                </c:pt>
                <c:pt idx="1670">
                  <c:v>1821.7290289347989</c:v>
                </c:pt>
                <c:pt idx="1671">
                  <c:v>1821.7290289347989</c:v>
                </c:pt>
                <c:pt idx="1672">
                  <c:v>1821.7290289347989</c:v>
                </c:pt>
                <c:pt idx="1673">
                  <c:v>1821.7290289347989</c:v>
                </c:pt>
                <c:pt idx="1674">
                  <c:v>1821.7290289347989</c:v>
                </c:pt>
              </c:numCache>
            </c:numRef>
          </c:val>
          <c:smooth val="0"/>
          <c:extLst>
            <c:ext xmlns:c16="http://schemas.microsoft.com/office/drawing/2014/chart" uri="{C3380CC4-5D6E-409C-BE32-E72D297353CC}">
              <c16:uniqueId val="{00000005-03FE-4373-B0A1-A11C7CC2FD3A}"/>
            </c:ext>
          </c:extLst>
        </c:ser>
        <c:ser>
          <c:idx val="6"/>
          <c:order val="6"/>
          <c:tx>
            <c:strRef>
              <c:f>'5.4'!$I$5</c:f>
              <c:strCache>
                <c:ptCount val="1"/>
                <c:pt idx="0">
                  <c:v>Max. southern production, SWQP, deep, and shallow storage, and anticipated supply</c:v>
                </c:pt>
              </c:strCache>
            </c:strRef>
          </c:tx>
          <c:spPr>
            <a:ln w="28575" cap="rnd">
              <a:solidFill>
                <a:srgbClr val="D1AAF7"/>
              </a:solidFill>
              <a:prstDash val="sysDash"/>
              <a:round/>
            </a:ln>
            <a:effectLst/>
          </c:spPr>
          <c:marker>
            <c:symbol val="none"/>
          </c:marker>
          <c:cat>
            <c:numRef>
              <c:f>'5.4'!$B$6:$B$1680</c:f>
              <c:numCache>
                <c:formatCode>m/d/yyyy</c:formatCode>
                <c:ptCount val="1675"/>
                <c:pt idx="0">
                  <c:v>45444</c:v>
                </c:pt>
                <c:pt idx="1">
                  <c:v>45445</c:v>
                </c:pt>
                <c:pt idx="2">
                  <c:v>45446</c:v>
                </c:pt>
                <c:pt idx="3">
                  <c:v>45447</c:v>
                </c:pt>
                <c:pt idx="4">
                  <c:v>45448</c:v>
                </c:pt>
                <c:pt idx="5">
                  <c:v>45449</c:v>
                </c:pt>
                <c:pt idx="6">
                  <c:v>45450</c:v>
                </c:pt>
                <c:pt idx="7">
                  <c:v>45451</c:v>
                </c:pt>
                <c:pt idx="8">
                  <c:v>45452</c:v>
                </c:pt>
                <c:pt idx="9">
                  <c:v>45453</c:v>
                </c:pt>
                <c:pt idx="10">
                  <c:v>45454</c:v>
                </c:pt>
                <c:pt idx="11">
                  <c:v>45455</c:v>
                </c:pt>
                <c:pt idx="12">
                  <c:v>45456</c:v>
                </c:pt>
                <c:pt idx="13">
                  <c:v>45457</c:v>
                </c:pt>
                <c:pt idx="14">
                  <c:v>45458</c:v>
                </c:pt>
                <c:pt idx="15">
                  <c:v>45459</c:v>
                </c:pt>
                <c:pt idx="16">
                  <c:v>45460</c:v>
                </c:pt>
                <c:pt idx="17">
                  <c:v>45461</c:v>
                </c:pt>
                <c:pt idx="18">
                  <c:v>45462</c:v>
                </c:pt>
                <c:pt idx="19">
                  <c:v>45463</c:v>
                </c:pt>
                <c:pt idx="20">
                  <c:v>45464</c:v>
                </c:pt>
                <c:pt idx="21">
                  <c:v>45465</c:v>
                </c:pt>
                <c:pt idx="22">
                  <c:v>45466</c:v>
                </c:pt>
                <c:pt idx="23">
                  <c:v>45467</c:v>
                </c:pt>
                <c:pt idx="24">
                  <c:v>45468</c:v>
                </c:pt>
                <c:pt idx="25">
                  <c:v>45469</c:v>
                </c:pt>
                <c:pt idx="26">
                  <c:v>45470</c:v>
                </c:pt>
                <c:pt idx="27">
                  <c:v>45471</c:v>
                </c:pt>
                <c:pt idx="28">
                  <c:v>45472</c:v>
                </c:pt>
                <c:pt idx="29">
                  <c:v>45473</c:v>
                </c:pt>
                <c:pt idx="30">
                  <c:v>45474</c:v>
                </c:pt>
                <c:pt idx="31">
                  <c:v>45475</c:v>
                </c:pt>
                <c:pt idx="32">
                  <c:v>45476</c:v>
                </c:pt>
                <c:pt idx="33">
                  <c:v>45477</c:v>
                </c:pt>
                <c:pt idx="34">
                  <c:v>45478</c:v>
                </c:pt>
                <c:pt idx="35">
                  <c:v>45479</c:v>
                </c:pt>
                <c:pt idx="36">
                  <c:v>45480</c:v>
                </c:pt>
                <c:pt idx="37">
                  <c:v>45481</c:v>
                </c:pt>
                <c:pt idx="38">
                  <c:v>45482</c:v>
                </c:pt>
                <c:pt idx="39">
                  <c:v>45483</c:v>
                </c:pt>
                <c:pt idx="40">
                  <c:v>45484</c:v>
                </c:pt>
                <c:pt idx="41">
                  <c:v>45485</c:v>
                </c:pt>
                <c:pt idx="42">
                  <c:v>45486</c:v>
                </c:pt>
                <c:pt idx="43">
                  <c:v>45487</c:v>
                </c:pt>
                <c:pt idx="44">
                  <c:v>45488</c:v>
                </c:pt>
                <c:pt idx="45">
                  <c:v>45489</c:v>
                </c:pt>
                <c:pt idx="46">
                  <c:v>45490</c:v>
                </c:pt>
                <c:pt idx="47">
                  <c:v>45491</c:v>
                </c:pt>
                <c:pt idx="48">
                  <c:v>45492</c:v>
                </c:pt>
                <c:pt idx="49">
                  <c:v>45493</c:v>
                </c:pt>
                <c:pt idx="50">
                  <c:v>45494</c:v>
                </c:pt>
                <c:pt idx="51">
                  <c:v>45495</c:v>
                </c:pt>
                <c:pt idx="52">
                  <c:v>45496</c:v>
                </c:pt>
                <c:pt idx="53">
                  <c:v>45497</c:v>
                </c:pt>
                <c:pt idx="54">
                  <c:v>45498</c:v>
                </c:pt>
                <c:pt idx="55">
                  <c:v>45499</c:v>
                </c:pt>
                <c:pt idx="56">
                  <c:v>45500</c:v>
                </c:pt>
                <c:pt idx="57">
                  <c:v>45501</c:v>
                </c:pt>
                <c:pt idx="58">
                  <c:v>45502</c:v>
                </c:pt>
                <c:pt idx="59">
                  <c:v>45503</c:v>
                </c:pt>
                <c:pt idx="60">
                  <c:v>45504</c:v>
                </c:pt>
                <c:pt idx="61">
                  <c:v>45505</c:v>
                </c:pt>
                <c:pt idx="62">
                  <c:v>45506</c:v>
                </c:pt>
                <c:pt idx="63">
                  <c:v>45507</c:v>
                </c:pt>
                <c:pt idx="64">
                  <c:v>45508</c:v>
                </c:pt>
                <c:pt idx="65">
                  <c:v>45509</c:v>
                </c:pt>
                <c:pt idx="66">
                  <c:v>45510</c:v>
                </c:pt>
                <c:pt idx="67">
                  <c:v>45511</c:v>
                </c:pt>
                <c:pt idx="68">
                  <c:v>45512</c:v>
                </c:pt>
                <c:pt idx="69">
                  <c:v>45513</c:v>
                </c:pt>
                <c:pt idx="70">
                  <c:v>45514</c:v>
                </c:pt>
                <c:pt idx="71">
                  <c:v>45515</c:v>
                </c:pt>
                <c:pt idx="72">
                  <c:v>45516</c:v>
                </c:pt>
                <c:pt idx="73">
                  <c:v>45517</c:v>
                </c:pt>
                <c:pt idx="74">
                  <c:v>45518</c:v>
                </c:pt>
                <c:pt idx="75">
                  <c:v>45519</c:v>
                </c:pt>
                <c:pt idx="76">
                  <c:v>45520</c:v>
                </c:pt>
                <c:pt idx="77">
                  <c:v>45521</c:v>
                </c:pt>
                <c:pt idx="78">
                  <c:v>45522</c:v>
                </c:pt>
                <c:pt idx="79">
                  <c:v>45523</c:v>
                </c:pt>
                <c:pt idx="80">
                  <c:v>45524</c:v>
                </c:pt>
                <c:pt idx="81">
                  <c:v>45525</c:v>
                </c:pt>
                <c:pt idx="82">
                  <c:v>45526</c:v>
                </c:pt>
                <c:pt idx="83">
                  <c:v>45527</c:v>
                </c:pt>
                <c:pt idx="84">
                  <c:v>45528</c:v>
                </c:pt>
                <c:pt idx="85">
                  <c:v>45529</c:v>
                </c:pt>
                <c:pt idx="86">
                  <c:v>45530</c:v>
                </c:pt>
                <c:pt idx="87">
                  <c:v>45531</c:v>
                </c:pt>
                <c:pt idx="88">
                  <c:v>45532</c:v>
                </c:pt>
                <c:pt idx="89">
                  <c:v>45533</c:v>
                </c:pt>
                <c:pt idx="90">
                  <c:v>45534</c:v>
                </c:pt>
                <c:pt idx="91">
                  <c:v>45535</c:v>
                </c:pt>
                <c:pt idx="92">
                  <c:v>45536</c:v>
                </c:pt>
                <c:pt idx="93">
                  <c:v>45537</c:v>
                </c:pt>
                <c:pt idx="94">
                  <c:v>45538</c:v>
                </c:pt>
                <c:pt idx="95">
                  <c:v>45539</c:v>
                </c:pt>
                <c:pt idx="96">
                  <c:v>45540</c:v>
                </c:pt>
                <c:pt idx="97">
                  <c:v>45541</c:v>
                </c:pt>
                <c:pt idx="98">
                  <c:v>45542</c:v>
                </c:pt>
                <c:pt idx="99">
                  <c:v>45543</c:v>
                </c:pt>
                <c:pt idx="100">
                  <c:v>45544</c:v>
                </c:pt>
                <c:pt idx="101">
                  <c:v>45545</c:v>
                </c:pt>
                <c:pt idx="102">
                  <c:v>45546</c:v>
                </c:pt>
                <c:pt idx="103">
                  <c:v>45547</c:v>
                </c:pt>
                <c:pt idx="104">
                  <c:v>45548</c:v>
                </c:pt>
                <c:pt idx="105">
                  <c:v>45549</c:v>
                </c:pt>
                <c:pt idx="106">
                  <c:v>45550</c:v>
                </c:pt>
                <c:pt idx="107">
                  <c:v>45551</c:v>
                </c:pt>
                <c:pt idx="108">
                  <c:v>45552</c:v>
                </c:pt>
                <c:pt idx="109">
                  <c:v>45553</c:v>
                </c:pt>
                <c:pt idx="110">
                  <c:v>45554</c:v>
                </c:pt>
                <c:pt idx="111">
                  <c:v>45555</c:v>
                </c:pt>
                <c:pt idx="112">
                  <c:v>45556</c:v>
                </c:pt>
                <c:pt idx="113">
                  <c:v>45557</c:v>
                </c:pt>
                <c:pt idx="114">
                  <c:v>45558</c:v>
                </c:pt>
                <c:pt idx="115">
                  <c:v>45559</c:v>
                </c:pt>
                <c:pt idx="116">
                  <c:v>45560</c:v>
                </c:pt>
                <c:pt idx="117">
                  <c:v>45561</c:v>
                </c:pt>
                <c:pt idx="118">
                  <c:v>45562</c:v>
                </c:pt>
                <c:pt idx="119">
                  <c:v>45563</c:v>
                </c:pt>
                <c:pt idx="120">
                  <c:v>45564</c:v>
                </c:pt>
                <c:pt idx="121">
                  <c:v>45565</c:v>
                </c:pt>
                <c:pt idx="122">
                  <c:v>45566</c:v>
                </c:pt>
                <c:pt idx="123">
                  <c:v>45567</c:v>
                </c:pt>
                <c:pt idx="124">
                  <c:v>45568</c:v>
                </c:pt>
                <c:pt idx="125">
                  <c:v>45569</c:v>
                </c:pt>
                <c:pt idx="126">
                  <c:v>45570</c:v>
                </c:pt>
                <c:pt idx="127">
                  <c:v>45571</c:v>
                </c:pt>
                <c:pt idx="128">
                  <c:v>45572</c:v>
                </c:pt>
                <c:pt idx="129">
                  <c:v>45573</c:v>
                </c:pt>
                <c:pt idx="130">
                  <c:v>45574</c:v>
                </c:pt>
                <c:pt idx="131">
                  <c:v>45575</c:v>
                </c:pt>
                <c:pt idx="132">
                  <c:v>45576</c:v>
                </c:pt>
                <c:pt idx="133">
                  <c:v>45577</c:v>
                </c:pt>
                <c:pt idx="134">
                  <c:v>45578</c:v>
                </c:pt>
                <c:pt idx="135">
                  <c:v>45579</c:v>
                </c:pt>
                <c:pt idx="136">
                  <c:v>45580</c:v>
                </c:pt>
                <c:pt idx="137">
                  <c:v>45581</c:v>
                </c:pt>
                <c:pt idx="138">
                  <c:v>45582</c:v>
                </c:pt>
                <c:pt idx="139">
                  <c:v>45583</c:v>
                </c:pt>
                <c:pt idx="140">
                  <c:v>45584</c:v>
                </c:pt>
                <c:pt idx="141">
                  <c:v>45585</c:v>
                </c:pt>
                <c:pt idx="142">
                  <c:v>45586</c:v>
                </c:pt>
                <c:pt idx="143">
                  <c:v>45587</c:v>
                </c:pt>
                <c:pt idx="144">
                  <c:v>45588</c:v>
                </c:pt>
                <c:pt idx="145">
                  <c:v>45589</c:v>
                </c:pt>
                <c:pt idx="146">
                  <c:v>45590</c:v>
                </c:pt>
                <c:pt idx="147">
                  <c:v>45591</c:v>
                </c:pt>
                <c:pt idx="148">
                  <c:v>45592</c:v>
                </c:pt>
                <c:pt idx="149">
                  <c:v>45593</c:v>
                </c:pt>
                <c:pt idx="150">
                  <c:v>45594</c:v>
                </c:pt>
                <c:pt idx="151">
                  <c:v>45595</c:v>
                </c:pt>
                <c:pt idx="152">
                  <c:v>45596</c:v>
                </c:pt>
                <c:pt idx="153">
                  <c:v>45597</c:v>
                </c:pt>
                <c:pt idx="154">
                  <c:v>45598</c:v>
                </c:pt>
                <c:pt idx="155">
                  <c:v>45599</c:v>
                </c:pt>
                <c:pt idx="156">
                  <c:v>45600</c:v>
                </c:pt>
                <c:pt idx="157">
                  <c:v>45601</c:v>
                </c:pt>
                <c:pt idx="158">
                  <c:v>45602</c:v>
                </c:pt>
                <c:pt idx="159">
                  <c:v>45603</c:v>
                </c:pt>
                <c:pt idx="160">
                  <c:v>45604</c:v>
                </c:pt>
                <c:pt idx="161">
                  <c:v>45605</c:v>
                </c:pt>
                <c:pt idx="162">
                  <c:v>45606</c:v>
                </c:pt>
                <c:pt idx="163">
                  <c:v>45607</c:v>
                </c:pt>
                <c:pt idx="164">
                  <c:v>45608</c:v>
                </c:pt>
                <c:pt idx="165">
                  <c:v>45609</c:v>
                </c:pt>
                <c:pt idx="166">
                  <c:v>45610</c:v>
                </c:pt>
                <c:pt idx="167">
                  <c:v>45611</c:v>
                </c:pt>
                <c:pt idx="168">
                  <c:v>45612</c:v>
                </c:pt>
                <c:pt idx="169">
                  <c:v>45613</c:v>
                </c:pt>
                <c:pt idx="170">
                  <c:v>45614</c:v>
                </c:pt>
                <c:pt idx="171">
                  <c:v>45615</c:v>
                </c:pt>
                <c:pt idx="172">
                  <c:v>45616</c:v>
                </c:pt>
                <c:pt idx="173">
                  <c:v>45617</c:v>
                </c:pt>
                <c:pt idx="174">
                  <c:v>45618</c:v>
                </c:pt>
                <c:pt idx="175">
                  <c:v>45619</c:v>
                </c:pt>
                <c:pt idx="176">
                  <c:v>45620</c:v>
                </c:pt>
                <c:pt idx="177">
                  <c:v>45621</c:v>
                </c:pt>
                <c:pt idx="178">
                  <c:v>45622</c:v>
                </c:pt>
                <c:pt idx="179">
                  <c:v>45623</c:v>
                </c:pt>
                <c:pt idx="180">
                  <c:v>45624</c:v>
                </c:pt>
                <c:pt idx="181">
                  <c:v>45625</c:v>
                </c:pt>
                <c:pt idx="182">
                  <c:v>45626</c:v>
                </c:pt>
                <c:pt idx="183">
                  <c:v>45627</c:v>
                </c:pt>
                <c:pt idx="184">
                  <c:v>45628</c:v>
                </c:pt>
                <c:pt idx="185">
                  <c:v>45629</c:v>
                </c:pt>
                <c:pt idx="186">
                  <c:v>45630</c:v>
                </c:pt>
                <c:pt idx="187">
                  <c:v>45631</c:v>
                </c:pt>
                <c:pt idx="188">
                  <c:v>45632</c:v>
                </c:pt>
                <c:pt idx="189">
                  <c:v>45633</c:v>
                </c:pt>
                <c:pt idx="190">
                  <c:v>45634</c:v>
                </c:pt>
                <c:pt idx="191">
                  <c:v>45635</c:v>
                </c:pt>
                <c:pt idx="192">
                  <c:v>45636</c:v>
                </c:pt>
                <c:pt idx="193">
                  <c:v>45637</c:v>
                </c:pt>
                <c:pt idx="194">
                  <c:v>45638</c:v>
                </c:pt>
                <c:pt idx="195">
                  <c:v>45639</c:v>
                </c:pt>
                <c:pt idx="196">
                  <c:v>45640</c:v>
                </c:pt>
                <c:pt idx="197">
                  <c:v>45641</c:v>
                </c:pt>
                <c:pt idx="198">
                  <c:v>45642</c:v>
                </c:pt>
                <c:pt idx="199">
                  <c:v>45643</c:v>
                </c:pt>
                <c:pt idx="200">
                  <c:v>45644</c:v>
                </c:pt>
                <c:pt idx="201">
                  <c:v>45645</c:v>
                </c:pt>
                <c:pt idx="202">
                  <c:v>45646</c:v>
                </c:pt>
                <c:pt idx="203">
                  <c:v>45647</c:v>
                </c:pt>
                <c:pt idx="204">
                  <c:v>45648</c:v>
                </c:pt>
                <c:pt idx="205">
                  <c:v>45649</c:v>
                </c:pt>
                <c:pt idx="206">
                  <c:v>45650</c:v>
                </c:pt>
                <c:pt idx="207">
                  <c:v>45651</c:v>
                </c:pt>
                <c:pt idx="208">
                  <c:v>45652</c:v>
                </c:pt>
                <c:pt idx="209">
                  <c:v>45653</c:v>
                </c:pt>
                <c:pt idx="210">
                  <c:v>45654</c:v>
                </c:pt>
                <c:pt idx="211">
                  <c:v>45655</c:v>
                </c:pt>
                <c:pt idx="212">
                  <c:v>45656</c:v>
                </c:pt>
                <c:pt idx="213">
                  <c:v>45657</c:v>
                </c:pt>
                <c:pt idx="214">
                  <c:v>45658</c:v>
                </c:pt>
                <c:pt idx="215">
                  <c:v>45659</c:v>
                </c:pt>
                <c:pt idx="216">
                  <c:v>45660</c:v>
                </c:pt>
                <c:pt idx="217">
                  <c:v>45661</c:v>
                </c:pt>
                <c:pt idx="218">
                  <c:v>45662</c:v>
                </c:pt>
                <c:pt idx="219">
                  <c:v>45663</c:v>
                </c:pt>
                <c:pt idx="220">
                  <c:v>45664</c:v>
                </c:pt>
                <c:pt idx="221">
                  <c:v>45665</c:v>
                </c:pt>
                <c:pt idx="222">
                  <c:v>45666</c:v>
                </c:pt>
                <c:pt idx="223">
                  <c:v>45667</c:v>
                </c:pt>
                <c:pt idx="224">
                  <c:v>45668</c:v>
                </c:pt>
                <c:pt idx="225">
                  <c:v>45669</c:v>
                </c:pt>
                <c:pt idx="226">
                  <c:v>45670</c:v>
                </c:pt>
                <c:pt idx="227">
                  <c:v>45671</c:v>
                </c:pt>
                <c:pt idx="228">
                  <c:v>45672</c:v>
                </c:pt>
                <c:pt idx="229">
                  <c:v>45673</c:v>
                </c:pt>
                <c:pt idx="230">
                  <c:v>45674</c:v>
                </c:pt>
                <c:pt idx="231">
                  <c:v>45675</c:v>
                </c:pt>
                <c:pt idx="232">
                  <c:v>45676</c:v>
                </c:pt>
                <c:pt idx="233">
                  <c:v>45677</c:v>
                </c:pt>
                <c:pt idx="234">
                  <c:v>45678</c:v>
                </c:pt>
                <c:pt idx="235">
                  <c:v>45679</c:v>
                </c:pt>
                <c:pt idx="236">
                  <c:v>45680</c:v>
                </c:pt>
                <c:pt idx="237">
                  <c:v>45681</c:v>
                </c:pt>
                <c:pt idx="238">
                  <c:v>45682</c:v>
                </c:pt>
                <c:pt idx="239">
                  <c:v>45683</c:v>
                </c:pt>
                <c:pt idx="240">
                  <c:v>45684</c:v>
                </c:pt>
                <c:pt idx="241">
                  <c:v>45685</c:v>
                </c:pt>
                <c:pt idx="242">
                  <c:v>45686</c:v>
                </c:pt>
                <c:pt idx="243">
                  <c:v>45687</c:v>
                </c:pt>
                <c:pt idx="244">
                  <c:v>45688</c:v>
                </c:pt>
                <c:pt idx="245">
                  <c:v>45689</c:v>
                </c:pt>
                <c:pt idx="246">
                  <c:v>45690</c:v>
                </c:pt>
                <c:pt idx="247">
                  <c:v>45691</c:v>
                </c:pt>
                <c:pt idx="248">
                  <c:v>45692</c:v>
                </c:pt>
                <c:pt idx="249">
                  <c:v>45693</c:v>
                </c:pt>
                <c:pt idx="250">
                  <c:v>45694</c:v>
                </c:pt>
                <c:pt idx="251">
                  <c:v>45695</c:v>
                </c:pt>
                <c:pt idx="252">
                  <c:v>45696</c:v>
                </c:pt>
                <c:pt idx="253">
                  <c:v>45697</c:v>
                </c:pt>
                <c:pt idx="254">
                  <c:v>45698</c:v>
                </c:pt>
                <c:pt idx="255">
                  <c:v>45699</c:v>
                </c:pt>
                <c:pt idx="256">
                  <c:v>45700</c:v>
                </c:pt>
                <c:pt idx="257">
                  <c:v>45701</c:v>
                </c:pt>
                <c:pt idx="258">
                  <c:v>45702</c:v>
                </c:pt>
                <c:pt idx="259">
                  <c:v>45703</c:v>
                </c:pt>
                <c:pt idx="260">
                  <c:v>45704</c:v>
                </c:pt>
                <c:pt idx="261">
                  <c:v>45705</c:v>
                </c:pt>
                <c:pt idx="262">
                  <c:v>45706</c:v>
                </c:pt>
                <c:pt idx="263">
                  <c:v>45707</c:v>
                </c:pt>
                <c:pt idx="264">
                  <c:v>45708</c:v>
                </c:pt>
                <c:pt idx="265">
                  <c:v>45709</c:v>
                </c:pt>
                <c:pt idx="266">
                  <c:v>45710</c:v>
                </c:pt>
                <c:pt idx="267">
                  <c:v>45711</c:v>
                </c:pt>
                <c:pt idx="268">
                  <c:v>45712</c:v>
                </c:pt>
                <c:pt idx="269">
                  <c:v>45713</c:v>
                </c:pt>
                <c:pt idx="270">
                  <c:v>45714</c:v>
                </c:pt>
                <c:pt idx="271">
                  <c:v>45715</c:v>
                </c:pt>
                <c:pt idx="272">
                  <c:v>45716</c:v>
                </c:pt>
                <c:pt idx="273">
                  <c:v>45717</c:v>
                </c:pt>
                <c:pt idx="274">
                  <c:v>45718</c:v>
                </c:pt>
                <c:pt idx="275">
                  <c:v>45719</c:v>
                </c:pt>
                <c:pt idx="276">
                  <c:v>45720</c:v>
                </c:pt>
                <c:pt idx="277">
                  <c:v>45721</c:v>
                </c:pt>
                <c:pt idx="278">
                  <c:v>45722</c:v>
                </c:pt>
                <c:pt idx="279">
                  <c:v>45723</c:v>
                </c:pt>
                <c:pt idx="280">
                  <c:v>45724</c:v>
                </c:pt>
                <c:pt idx="281">
                  <c:v>45725</c:v>
                </c:pt>
                <c:pt idx="282">
                  <c:v>45726</c:v>
                </c:pt>
                <c:pt idx="283">
                  <c:v>45727</c:v>
                </c:pt>
                <c:pt idx="284">
                  <c:v>45728</c:v>
                </c:pt>
                <c:pt idx="285">
                  <c:v>45729</c:v>
                </c:pt>
                <c:pt idx="286">
                  <c:v>45730</c:v>
                </c:pt>
                <c:pt idx="287">
                  <c:v>45731</c:v>
                </c:pt>
                <c:pt idx="288">
                  <c:v>45732</c:v>
                </c:pt>
                <c:pt idx="289">
                  <c:v>45733</c:v>
                </c:pt>
                <c:pt idx="290">
                  <c:v>45734</c:v>
                </c:pt>
                <c:pt idx="291">
                  <c:v>45735</c:v>
                </c:pt>
                <c:pt idx="292">
                  <c:v>45736</c:v>
                </c:pt>
                <c:pt idx="293">
                  <c:v>45737</c:v>
                </c:pt>
                <c:pt idx="294">
                  <c:v>45738</c:v>
                </c:pt>
                <c:pt idx="295">
                  <c:v>45739</c:v>
                </c:pt>
                <c:pt idx="296">
                  <c:v>45740</c:v>
                </c:pt>
                <c:pt idx="297">
                  <c:v>45741</c:v>
                </c:pt>
                <c:pt idx="298">
                  <c:v>45742</c:v>
                </c:pt>
                <c:pt idx="299">
                  <c:v>45743</c:v>
                </c:pt>
                <c:pt idx="300">
                  <c:v>45744</c:v>
                </c:pt>
                <c:pt idx="301">
                  <c:v>45745</c:v>
                </c:pt>
                <c:pt idx="302">
                  <c:v>45746</c:v>
                </c:pt>
                <c:pt idx="303">
                  <c:v>45747</c:v>
                </c:pt>
                <c:pt idx="304">
                  <c:v>45748</c:v>
                </c:pt>
                <c:pt idx="305">
                  <c:v>45749</c:v>
                </c:pt>
                <c:pt idx="306">
                  <c:v>45750</c:v>
                </c:pt>
                <c:pt idx="307">
                  <c:v>45751</c:v>
                </c:pt>
                <c:pt idx="308">
                  <c:v>45752</c:v>
                </c:pt>
                <c:pt idx="309">
                  <c:v>45753</c:v>
                </c:pt>
                <c:pt idx="310">
                  <c:v>45754</c:v>
                </c:pt>
                <c:pt idx="311">
                  <c:v>45755</c:v>
                </c:pt>
                <c:pt idx="312">
                  <c:v>45756</c:v>
                </c:pt>
                <c:pt idx="313">
                  <c:v>45757</c:v>
                </c:pt>
                <c:pt idx="314">
                  <c:v>45758</c:v>
                </c:pt>
                <c:pt idx="315">
                  <c:v>45759</c:v>
                </c:pt>
                <c:pt idx="316">
                  <c:v>45760</c:v>
                </c:pt>
                <c:pt idx="317">
                  <c:v>45761</c:v>
                </c:pt>
                <c:pt idx="318">
                  <c:v>45762</c:v>
                </c:pt>
                <c:pt idx="319">
                  <c:v>45763</c:v>
                </c:pt>
                <c:pt idx="320">
                  <c:v>45764</c:v>
                </c:pt>
                <c:pt idx="321">
                  <c:v>45765</c:v>
                </c:pt>
                <c:pt idx="322">
                  <c:v>45766</c:v>
                </c:pt>
                <c:pt idx="323">
                  <c:v>45767</c:v>
                </c:pt>
                <c:pt idx="324">
                  <c:v>45768</c:v>
                </c:pt>
                <c:pt idx="325">
                  <c:v>45769</c:v>
                </c:pt>
                <c:pt idx="326">
                  <c:v>45770</c:v>
                </c:pt>
                <c:pt idx="327">
                  <c:v>45771</c:v>
                </c:pt>
                <c:pt idx="328">
                  <c:v>45772</c:v>
                </c:pt>
                <c:pt idx="329">
                  <c:v>45773</c:v>
                </c:pt>
                <c:pt idx="330">
                  <c:v>45774</c:v>
                </c:pt>
                <c:pt idx="331">
                  <c:v>45775</c:v>
                </c:pt>
                <c:pt idx="332">
                  <c:v>45776</c:v>
                </c:pt>
                <c:pt idx="333">
                  <c:v>45777</c:v>
                </c:pt>
                <c:pt idx="334">
                  <c:v>45778</c:v>
                </c:pt>
                <c:pt idx="335">
                  <c:v>45779</c:v>
                </c:pt>
                <c:pt idx="336">
                  <c:v>45780</c:v>
                </c:pt>
                <c:pt idx="337">
                  <c:v>45781</c:v>
                </c:pt>
                <c:pt idx="338">
                  <c:v>45782</c:v>
                </c:pt>
                <c:pt idx="339">
                  <c:v>45783</c:v>
                </c:pt>
                <c:pt idx="340">
                  <c:v>45784</c:v>
                </c:pt>
                <c:pt idx="341">
                  <c:v>45785</c:v>
                </c:pt>
                <c:pt idx="342">
                  <c:v>45786</c:v>
                </c:pt>
                <c:pt idx="343">
                  <c:v>45787</c:v>
                </c:pt>
                <c:pt idx="344">
                  <c:v>45788</c:v>
                </c:pt>
                <c:pt idx="345">
                  <c:v>45789</c:v>
                </c:pt>
                <c:pt idx="346">
                  <c:v>45790</c:v>
                </c:pt>
                <c:pt idx="347">
                  <c:v>45791</c:v>
                </c:pt>
                <c:pt idx="348">
                  <c:v>45792</c:v>
                </c:pt>
                <c:pt idx="349">
                  <c:v>45793</c:v>
                </c:pt>
                <c:pt idx="350">
                  <c:v>45794</c:v>
                </c:pt>
                <c:pt idx="351">
                  <c:v>45795</c:v>
                </c:pt>
                <c:pt idx="352">
                  <c:v>45796</c:v>
                </c:pt>
                <c:pt idx="353">
                  <c:v>45797</c:v>
                </c:pt>
                <c:pt idx="354">
                  <c:v>45798</c:v>
                </c:pt>
                <c:pt idx="355">
                  <c:v>45799</c:v>
                </c:pt>
                <c:pt idx="356">
                  <c:v>45800</c:v>
                </c:pt>
                <c:pt idx="357">
                  <c:v>45801</c:v>
                </c:pt>
                <c:pt idx="358">
                  <c:v>45802</c:v>
                </c:pt>
                <c:pt idx="359">
                  <c:v>45803</c:v>
                </c:pt>
                <c:pt idx="360">
                  <c:v>45804</c:v>
                </c:pt>
                <c:pt idx="361">
                  <c:v>45805</c:v>
                </c:pt>
                <c:pt idx="362">
                  <c:v>45806</c:v>
                </c:pt>
                <c:pt idx="363">
                  <c:v>45807</c:v>
                </c:pt>
                <c:pt idx="364">
                  <c:v>45808</c:v>
                </c:pt>
                <c:pt idx="365">
                  <c:v>45809</c:v>
                </c:pt>
                <c:pt idx="366">
                  <c:v>45810</c:v>
                </c:pt>
                <c:pt idx="367">
                  <c:v>45811</c:v>
                </c:pt>
                <c:pt idx="368">
                  <c:v>45812</c:v>
                </c:pt>
                <c:pt idx="369">
                  <c:v>45813</c:v>
                </c:pt>
                <c:pt idx="370">
                  <c:v>45814</c:v>
                </c:pt>
                <c:pt idx="371">
                  <c:v>45815</c:v>
                </c:pt>
                <c:pt idx="372">
                  <c:v>45816</c:v>
                </c:pt>
                <c:pt idx="373">
                  <c:v>45817</c:v>
                </c:pt>
                <c:pt idx="374">
                  <c:v>45818</c:v>
                </c:pt>
                <c:pt idx="375">
                  <c:v>45819</c:v>
                </c:pt>
                <c:pt idx="376">
                  <c:v>45820</c:v>
                </c:pt>
                <c:pt idx="377">
                  <c:v>45821</c:v>
                </c:pt>
                <c:pt idx="378">
                  <c:v>45822</c:v>
                </c:pt>
                <c:pt idx="379">
                  <c:v>45823</c:v>
                </c:pt>
                <c:pt idx="380">
                  <c:v>45824</c:v>
                </c:pt>
                <c:pt idx="381">
                  <c:v>45825</c:v>
                </c:pt>
                <c:pt idx="382">
                  <c:v>45826</c:v>
                </c:pt>
                <c:pt idx="383">
                  <c:v>45827</c:v>
                </c:pt>
                <c:pt idx="384">
                  <c:v>45828</c:v>
                </c:pt>
                <c:pt idx="385">
                  <c:v>45829</c:v>
                </c:pt>
                <c:pt idx="386">
                  <c:v>45830</c:v>
                </c:pt>
                <c:pt idx="387">
                  <c:v>45831</c:v>
                </c:pt>
                <c:pt idx="388">
                  <c:v>45832</c:v>
                </c:pt>
                <c:pt idx="389">
                  <c:v>45833</c:v>
                </c:pt>
                <c:pt idx="390">
                  <c:v>45834</c:v>
                </c:pt>
                <c:pt idx="391">
                  <c:v>45835</c:v>
                </c:pt>
                <c:pt idx="392">
                  <c:v>45836</c:v>
                </c:pt>
                <c:pt idx="393">
                  <c:v>45837</c:v>
                </c:pt>
                <c:pt idx="394">
                  <c:v>45838</c:v>
                </c:pt>
                <c:pt idx="395">
                  <c:v>45839</c:v>
                </c:pt>
                <c:pt idx="396">
                  <c:v>45840</c:v>
                </c:pt>
                <c:pt idx="397">
                  <c:v>45841</c:v>
                </c:pt>
                <c:pt idx="398">
                  <c:v>45842</c:v>
                </c:pt>
                <c:pt idx="399">
                  <c:v>45843</c:v>
                </c:pt>
                <c:pt idx="400">
                  <c:v>45844</c:v>
                </c:pt>
                <c:pt idx="401">
                  <c:v>45845</c:v>
                </c:pt>
                <c:pt idx="402">
                  <c:v>45846</c:v>
                </c:pt>
                <c:pt idx="403">
                  <c:v>45847</c:v>
                </c:pt>
                <c:pt idx="404">
                  <c:v>45848</c:v>
                </c:pt>
                <c:pt idx="405">
                  <c:v>45849</c:v>
                </c:pt>
                <c:pt idx="406">
                  <c:v>45850</c:v>
                </c:pt>
                <c:pt idx="407">
                  <c:v>45851</c:v>
                </c:pt>
                <c:pt idx="408">
                  <c:v>45852</c:v>
                </c:pt>
                <c:pt idx="409">
                  <c:v>45853</c:v>
                </c:pt>
                <c:pt idx="410">
                  <c:v>45854</c:v>
                </c:pt>
                <c:pt idx="411">
                  <c:v>45855</c:v>
                </c:pt>
                <c:pt idx="412">
                  <c:v>45856</c:v>
                </c:pt>
                <c:pt idx="413">
                  <c:v>45857</c:v>
                </c:pt>
                <c:pt idx="414">
                  <c:v>45858</c:v>
                </c:pt>
                <c:pt idx="415">
                  <c:v>45859</c:v>
                </c:pt>
                <c:pt idx="416">
                  <c:v>45860</c:v>
                </c:pt>
                <c:pt idx="417">
                  <c:v>45861</c:v>
                </c:pt>
                <c:pt idx="418">
                  <c:v>45862</c:v>
                </c:pt>
                <c:pt idx="419">
                  <c:v>45863</c:v>
                </c:pt>
                <c:pt idx="420">
                  <c:v>45864</c:v>
                </c:pt>
                <c:pt idx="421">
                  <c:v>45865</c:v>
                </c:pt>
                <c:pt idx="422">
                  <c:v>45866</c:v>
                </c:pt>
                <c:pt idx="423">
                  <c:v>45867</c:v>
                </c:pt>
                <c:pt idx="424">
                  <c:v>45868</c:v>
                </c:pt>
                <c:pt idx="425">
                  <c:v>45869</c:v>
                </c:pt>
                <c:pt idx="426">
                  <c:v>45870</c:v>
                </c:pt>
                <c:pt idx="427">
                  <c:v>45871</c:v>
                </c:pt>
                <c:pt idx="428">
                  <c:v>45872</c:v>
                </c:pt>
                <c:pt idx="429">
                  <c:v>45873</c:v>
                </c:pt>
                <c:pt idx="430">
                  <c:v>45874</c:v>
                </c:pt>
                <c:pt idx="431">
                  <c:v>45875</c:v>
                </c:pt>
                <c:pt idx="432">
                  <c:v>45876</c:v>
                </c:pt>
                <c:pt idx="433">
                  <c:v>45877</c:v>
                </c:pt>
                <c:pt idx="434">
                  <c:v>45878</c:v>
                </c:pt>
                <c:pt idx="435">
                  <c:v>45879</c:v>
                </c:pt>
                <c:pt idx="436">
                  <c:v>45880</c:v>
                </c:pt>
                <c:pt idx="437">
                  <c:v>45881</c:v>
                </c:pt>
                <c:pt idx="438">
                  <c:v>45882</c:v>
                </c:pt>
                <c:pt idx="439">
                  <c:v>45883</c:v>
                </c:pt>
                <c:pt idx="440">
                  <c:v>45884</c:v>
                </c:pt>
                <c:pt idx="441">
                  <c:v>45885</c:v>
                </c:pt>
                <c:pt idx="442">
                  <c:v>45886</c:v>
                </c:pt>
                <c:pt idx="443">
                  <c:v>45887</c:v>
                </c:pt>
                <c:pt idx="444">
                  <c:v>45888</c:v>
                </c:pt>
                <c:pt idx="445">
                  <c:v>45889</c:v>
                </c:pt>
                <c:pt idx="446">
                  <c:v>45890</c:v>
                </c:pt>
                <c:pt idx="447">
                  <c:v>45891</c:v>
                </c:pt>
                <c:pt idx="448">
                  <c:v>45892</c:v>
                </c:pt>
                <c:pt idx="449">
                  <c:v>45893</c:v>
                </c:pt>
                <c:pt idx="450">
                  <c:v>45894</c:v>
                </c:pt>
                <c:pt idx="451">
                  <c:v>45895</c:v>
                </c:pt>
                <c:pt idx="452">
                  <c:v>45896</c:v>
                </c:pt>
                <c:pt idx="453">
                  <c:v>45897</c:v>
                </c:pt>
                <c:pt idx="454">
                  <c:v>45898</c:v>
                </c:pt>
                <c:pt idx="455">
                  <c:v>45899</c:v>
                </c:pt>
                <c:pt idx="456">
                  <c:v>45900</c:v>
                </c:pt>
                <c:pt idx="457">
                  <c:v>45901</c:v>
                </c:pt>
                <c:pt idx="458">
                  <c:v>45902</c:v>
                </c:pt>
                <c:pt idx="459">
                  <c:v>45903</c:v>
                </c:pt>
                <c:pt idx="460">
                  <c:v>45904</c:v>
                </c:pt>
                <c:pt idx="461">
                  <c:v>45905</c:v>
                </c:pt>
                <c:pt idx="462">
                  <c:v>45906</c:v>
                </c:pt>
                <c:pt idx="463">
                  <c:v>45907</c:v>
                </c:pt>
                <c:pt idx="464">
                  <c:v>45908</c:v>
                </c:pt>
                <c:pt idx="465">
                  <c:v>45909</c:v>
                </c:pt>
                <c:pt idx="466">
                  <c:v>45910</c:v>
                </c:pt>
                <c:pt idx="467">
                  <c:v>45911</c:v>
                </c:pt>
                <c:pt idx="468">
                  <c:v>45912</c:v>
                </c:pt>
                <c:pt idx="469">
                  <c:v>45913</c:v>
                </c:pt>
                <c:pt idx="470">
                  <c:v>45914</c:v>
                </c:pt>
                <c:pt idx="471">
                  <c:v>45915</c:v>
                </c:pt>
                <c:pt idx="472">
                  <c:v>45916</c:v>
                </c:pt>
                <c:pt idx="473">
                  <c:v>45917</c:v>
                </c:pt>
                <c:pt idx="474">
                  <c:v>45918</c:v>
                </c:pt>
                <c:pt idx="475">
                  <c:v>45919</c:v>
                </c:pt>
                <c:pt idx="476">
                  <c:v>45920</c:v>
                </c:pt>
                <c:pt idx="477">
                  <c:v>45921</c:v>
                </c:pt>
                <c:pt idx="478">
                  <c:v>45922</c:v>
                </c:pt>
                <c:pt idx="479">
                  <c:v>45923</c:v>
                </c:pt>
                <c:pt idx="480">
                  <c:v>45924</c:v>
                </c:pt>
                <c:pt idx="481">
                  <c:v>45925</c:v>
                </c:pt>
                <c:pt idx="482">
                  <c:v>45926</c:v>
                </c:pt>
                <c:pt idx="483">
                  <c:v>45927</c:v>
                </c:pt>
                <c:pt idx="484">
                  <c:v>45928</c:v>
                </c:pt>
                <c:pt idx="485">
                  <c:v>45929</c:v>
                </c:pt>
                <c:pt idx="486">
                  <c:v>45930</c:v>
                </c:pt>
                <c:pt idx="487">
                  <c:v>45931</c:v>
                </c:pt>
                <c:pt idx="488">
                  <c:v>45932</c:v>
                </c:pt>
                <c:pt idx="489">
                  <c:v>45933</c:v>
                </c:pt>
                <c:pt idx="490">
                  <c:v>45934</c:v>
                </c:pt>
                <c:pt idx="491">
                  <c:v>45935</c:v>
                </c:pt>
                <c:pt idx="492">
                  <c:v>45936</c:v>
                </c:pt>
                <c:pt idx="493">
                  <c:v>45937</c:v>
                </c:pt>
                <c:pt idx="494">
                  <c:v>45938</c:v>
                </c:pt>
                <c:pt idx="495">
                  <c:v>45939</c:v>
                </c:pt>
                <c:pt idx="496">
                  <c:v>45940</c:v>
                </c:pt>
                <c:pt idx="497">
                  <c:v>45941</c:v>
                </c:pt>
                <c:pt idx="498">
                  <c:v>45942</c:v>
                </c:pt>
                <c:pt idx="499">
                  <c:v>45943</c:v>
                </c:pt>
                <c:pt idx="500">
                  <c:v>45944</c:v>
                </c:pt>
                <c:pt idx="501">
                  <c:v>45945</c:v>
                </c:pt>
                <c:pt idx="502">
                  <c:v>45946</c:v>
                </c:pt>
                <c:pt idx="503">
                  <c:v>45947</c:v>
                </c:pt>
                <c:pt idx="504">
                  <c:v>45948</c:v>
                </c:pt>
                <c:pt idx="505">
                  <c:v>45949</c:v>
                </c:pt>
                <c:pt idx="506">
                  <c:v>45950</c:v>
                </c:pt>
                <c:pt idx="507">
                  <c:v>45951</c:v>
                </c:pt>
                <c:pt idx="508">
                  <c:v>45952</c:v>
                </c:pt>
                <c:pt idx="509">
                  <c:v>45953</c:v>
                </c:pt>
                <c:pt idx="510">
                  <c:v>45954</c:v>
                </c:pt>
                <c:pt idx="511">
                  <c:v>45955</c:v>
                </c:pt>
                <c:pt idx="512">
                  <c:v>45956</c:v>
                </c:pt>
                <c:pt idx="513">
                  <c:v>45957</c:v>
                </c:pt>
                <c:pt idx="514">
                  <c:v>45958</c:v>
                </c:pt>
                <c:pt idx="515">
                  <c:v>45959</c:v>
                </c:pt>
                <c:pt idx="516">
                  <c:v>45960</c:v>
                </c:pt>
                <c:pt idx="517">
                  <c:v>45961</c:v>
                </c:pt>
                <c:pt idx="518">
                  <c:v>45962</c:v>
                </c:pt>
                <c:pt idx="519">
                  <c:v>45963</c:v>
                </c:pt>
                <c:pt idx="520">
                  <c:v>45964</c:v>
                </c:pt>
                <c:pt idx="521">
                  <c:v>45965</c:v>
                </c:pt>
                <c:pt idx="522">
                  <c:v>45966</c:v>
                </c:pt>
                <c:pt idx="523">
                  <c:v>45967</c:v>
                </c:pt>
                <c:pt idx="524">
                  <c:v>45968</c:v>
                </c:pt>
                <c:pt idx="525">
                  <c:v>45969</c:v>
                </c:pt>
                <c:pt idx="526">
                  <c:v>45970</c:v>
                </c:pt>
                <c:pt idx="527">
                  <c:v>45971</c:v>
                </c:pt>
                <c:pt idx="528">
                  <c:v>45972</c:v>
                </c:pt>
                <c:pt idx="529">
                  <c:v>45973</c:v>
                </c:pt>
                <c:pt idx="530">
                  <c:v>45974</c:v>
                </c:pt>
                <c:pt idx="531">
                  <c:v>45975</c:v>
                </c:pt>
                <c:pt idx="532">
                  <c:v>45976</c:v>
                </c:pt>
                <c:pt idx="533">
                  <c:v>45977</c:v>
                </c:pt>
                <c:pt idx="534">
                  <c:v>45978</c:v>
                </c:pt>
                <c:pt idx="535">
                  <c:v>45979</c:v>
                </c:pt>
                <c:pt idx="536">
                  <c:v>45980</c:v>
                </c:pt>
                <c:pt idx="537">
                  <c:v>45981</c:v>
                </c:pt>
                <c:pt idx="538">
                  <c:v>45982</c:v>
                </c:pt>
                <c:pt idx="539">
                  <c:v>45983</c:v>
                </c:pt>
                <c:pt idx="540">
                  <c:v>45984</c:v>
                </c:pt>
                <c:pt idx="541">
                  <c:v>45985</c:v>
                </c:pt>
                <c:pt idx="542">
                  <c:v>45986</c:v>
                </c:pt>
                <c:pt idx="543">
                  <c:v>45987</c:v>
                </c:pt>
                <c:pt idx="544">
                  <c:v>45988</c:v>
                </c:pt>
                <c:pt idx="545">
                  <c:v>45989</c:v>
                </c:pt>
                <c:pt idx="546">
                  <c:v>45990</c:v>
                </c:pt>
                <c:pt idx="547">
                  <c:v>45991</c:v>
                </c:pt>
                <c:pt idx="548">
                  <c:v>45992</c:v>
                </c:pt>
                <c:pt idx="549">
                  <c:v>45993</c:v>
                </c:pt>
                <c:pt idx="550">
                  <c:v>45994</c:v>
                </c:pt>
                <c:pt idx="551">
                  <c:v>45995</c:v>
                </c:pt>
                <c:pt idx="552">
                  <c:v>45996</c:v>
                </c:pt>
                <c:pt idx="553">
                  <c:v>45997</c:v>
                </c:pt>
                <c:pt idx="554">
                  <c:v>45998</c:v>
                </c:pt>
                <c:pt idx="555">
                  <c:v>45999</c:v>
                </c:pt>
                <c:pt idx="556">
                  <c:v>46000</c:v>
                </c:pt>
                <c:pt idx="557">
                  <c:v>46001</c:v>
                </c:pt>
                <c:pt idx="558">
                  <c:v>46002</c:v>
                </c:pt>
                <c:pt idx="559">
                  <c:v>46003</c:v>
                </c:pt>
                <c:pt idx="560">
                  <c:v>46004</c:v>
                </c:pt>
                <c:pt idx="561">
                  <c:v>46005</c:v>
                </c:pt>
                <c:pt idx="562">
                  <c:v>46006</c:v>
                </c:pt>
                <c:pt idx="563">
                  <c:v>46007</c:v>
                </c:pt>
                <c:pt idx="564">
                  <c:v>46008</c:v>
                </c:pt>
                <c:pt idx="565">
                  <c:v>46009</c:v>
                </c:pt>
                <c:pt idx="566">
                  <c:v>46010</c:v>
                </c:pt>
                <c:pt idx="567">
                  <c:v>46011</c:v>
                </c:pt>
                <c:pt idx="568">
                  <c:v>46012</c:v>
                </c:pt>
                <c:pt idx="569">
                  <c:v>46013</c:v>
                </c:pt>
                <c:pt idx="570">
                  <c:v>46014</c:v>
                </c:pt>
                <c:pt idx="571">
                  <c:v>46015</c:v>
                </c:pt>
                <c:pt idx="572">
                  <c:v>46016</c:v>
                </c:pt>
                <c:pt idx="573">
                  <c:v>46017</c:v>
                </c:pt>
                <c:pt idx="574">
                  <c:v>46018</c:v>
                </c:pt>
                <c:pt idx="575">
                  <c:v>46019</c:v>
                </c:pt>
                <c:pt idx="576">
                  <c:v>46020</c:v>
                </c:pt>
                <c:pt idx="577">
                  <c:v>46021</c:v>
                </c:pt>
                <c:pt idx="578">
                  <c:v>46022</c:v>
                </c:pt>
                <c:pt idx="579">
                  <c:v>46023</c:v>
                </c:pt>
                <c:pt idx="580">
                  <c:v>46024</c:v>
                </c:pt>
                <c:pt idx="581">
                  <c:v>46025</c:v>
                </c:pt>
                <c:pt idx="582">
                  <c:v>46026</c:v>
                </c:pt>
                <c:pt idx="583">
                  <c:v>46027</c:v>
                </c:pt>
                <c:pt idx="584">
                  <c:v>46028</c:v>
                </c:pt>
                <c:pt idx="585">
                  <c:v>46029</c:v>
                </c:pt>
                <c:pt idx="586">
                  <c:v>46030</c:v>
                </c:pt>
                <c:pt idx="587">
                  <c:v>46031</c:v>
                </c:pt>
                <c:pt idx="588">
                  <c:v>46032</c:v>
                </c:pt>
                <c:pt idx="589">
                  <c:v>46033</c:v>
                </c:pt>
                <c:pt idx="590">
                  <c:v>46034</c:v>
                </c:pt>
                <c:pt idx="591">
                  <c:v>46035</c:v>
                </c:pt>
                <c:pt idx="592">
                  <c:v>46036</c:v>
                </c:pt>
                <c:pt idx="593">
                  <c:v>46037</c:v>
                </c:pt>
                <c:pt idx="594">
                  <c:v>46038</c:v>
                </c:pt>
                <c:pt idx="595">
                  <c:v>46039</c:v>
                </c:pt>
                <c:pt idx="596">
                  <c:v>46040</c:v>
                </c:pt>
                <c:pt idx="597">
                  <c:v>46041</c:v>
                </c:pt>
                <c:pt idx="598">
                  <c:v>46042</c:v>
                </c:pt>
                <c:pt idx="599">
                  <c:v>46043</c:v>
                </c:pt>
                <c:pt idx="600">
                  <c:v>46044</c:v>
                </c:pt>
                <c:pt idx="601">
                  <c:v>46045</c:v>
                </c:pt>
                <c:pt idx="602">
                  <c:v>46046</c:v>
                </c:pt>
                <c:pt idx="603">
                  <c:v>46047</c:v>
                </c:pt>
                <c:pt idx="604">
                  <c:v>46048</c:v>
                </c:pt>
                <c:pt idx="605">
                  <c:v>46049</c:v>
                </c:pt>
                <c:pt idx="606">
                  <c:v>46050</c:v>
                </c:pt>
                <c:pt idx="607">
                  <c:v>46051</c:v>
                </c:pt>
                <c:pt idx="608">
                  <c:v>46052</c:v>
                </c:pt>
                <c:pt idx="609">
                  <c:v>46053</c:v>
                </c:pt>
                <c:pt idx="610">
                  <c:v>46054</c:v>
                </c:pt>
                <c:pt idx="611">
                  <c:v>46055</c:v>
                </c:pt>
                <c:pt idx="612">
                  <c:v>46056</c:v>
                </c:pt>
                <c:pt idx="613">
                  <c:v>46057</c:v>
                </c:pt>
                <c:pt idx="614">
                  <c:v>46058</c:v>
                </c:pt>
                <c:pt idx="615">
                  <c:v>46059</c:v>
                </c:pt>
                <c:pt idx="616">
                  <c:v>46060</c:v>
                </c:pt>
                <c:pt idx="617">
                  <c:v>46061</c:v>
                </c:pt>
                <c:pt idx="618">
                  <c:v>46062</c:v>
                </c:pt>
                <c:pt idx="619">
                  <c:v>46063</c:v>
                </c:pt>
                <c:pt idx="620">
                  <c:v>46064</c:v>
                </c:pt>
                <c:pt idx="621">
                  <c:v>46065</c:v>
                </c:pt>
                <c:pt idx="622">
                  <c:v>46066</c:v>
                </c:pt>
                <c:pt idx="623">
                  <c:v>46067</c:v>
                </c:pt>
                <c:pt idx="624">
                  <c:v>46068</c:v>
                </c:pt>
                <c:pt idx="625">
                  <c:v>46069</c:v>
                </c:pt>
                <c:pt idx="626">
                  <c:v>46070</c:v>
                </c:pt>
                <c:pt idx="627">
                  <c:v>46071</c:v>
                </c:pt>
                <c:pt idx="628">
                  <c:v>46072</c:v>
                </c:pt>
                <c:pt idx="629">
                  <c:v>46073</c:v>
                </c:pt>
                <c:pt idx="630">
                  <c:v>46074</c:v>
                </c:pt>
                <c:pt idx="631">
                  <c:v>46075</c:v>
                </c:pt>
                <c:pt idx="632">
                  <c:v>46076</c:v>
                </c:pt>
                <c:pt idx="633">
                  <c:v>46077</c:v>
                </c:pt>
                <c:pt idx="634">
                  <c:v>46078</c:v>
                </c:pt>
                <c:pt idx="635">
                  <c:v>46079</c:v>
                </c:pt>
                <c:pt idx="636">
                  <c:v>46080</c:v>
                </c:pt>
                <c:pt idx="637">
                  <c:v>46081</c:v>
                </c:pt>
                <c:pt idx="638">
                  <c:v>46082</c:v>
                </c:pt>
                <c:pt idx="639">
                  <c:v>46083</c:v>
                </c:pt>
                <c:pt idx="640">
                  <c:v>46084</c:v>
                </c:pt>
                <c:pt idx="641">
                  <c:v>46085</c:v>
                </c:pt>
                <c:pt idx="642">
                  <c:v>46086</c:v>
                </c:pt>
                <c:pt idx="643">
                  <c:v>46087</c:v>
                </c:pt>
                <c:pt idx="644">
                  <c:v>46088</c:v>
                </c:pt>
                <c:pt idx="645">
                  <c:v>46089</c:v>
                </c:pt>
                <c:pt idx="646">
                  <c:v>46090</c:v>
                </c:pt>
                <c:pt idx="647">
                  <c:v>46091</c:v>
                </c:pt>
                <c:pt idx="648">
                  <c:v>46092</c:v>
                </c:pt>
                <c:pt idx="649">
                  <c:v>46093</c:v>
                </c:pt>
                <c:pt idx="650">
                  <c:v>46094</c:v>
                </c:pt>
                <c:pt idx="651">
                  <c:v>46095</c:v>
                </c:pt>
                <c:pt idx="652">
                  <c:v>46096</c:v>
                </c:pt>
                <c:pt idx="653">
                  <c:v>46097</c:v>
                </c:pt>
                <c:pt idx="654">
                  <c:v>46098</c:v>
                </c:pt>
                <c:pt idx="655">
                  <c:v>46099</c:v>
                </c:pt>
                <c:pt idx="656">
                  <c:v>46100</c:v>
                </c:pt>
                <c:pt idx="657">
                  <c:v>46101</c:v>
                </c:pt>
                <c:pt idx="658">
                  <c:v>46102</c:v>
                </c:pt>
                <c:pt idx="659">
                  <c:v>46103</c:v>
                </c:pt>
                <c:pt idx="660">
                  <c:v>46104</c:v>
                </c:pt>
                <c:pt idx="661">
                  <c:v>46105</c:v>
                </c:pt>
                <c:pt idx="662">
                  <c:v>46106</c:v>
                </c:pt>
                <c:pt idx="663">
                  <c:v>46107</c:v>
                </c:pt>
                <c:pt idx="664">
                  <c:v>46108</c:v>
                </c:pt>
                <c:pt idx="665">
                  <c:v>46109</c:v>
                </c:pt>
                <c:pt idx="666">
                  <c:v>46110</c:v>
                </c:pt>
                <c:pt idx="667">
                  <c:v>46111</c:v>
                </c:pt>
                <c:pt idx="668">
                  <c:v>46112</c:v>
                </c:pt>
                <c:pt idx="669">
                  <c:v>46113</c:v>
                </c:pt>
                <c:pt idx="670">
                  <c:v>46114</c:v>
                </c:pt>
                <c:pt idx="671">
                  <c:v>46115</c:v>
                </c:pt>
                <c:pt idx="672">
                  <c:v>46116</c:v>
                </c:pt>
                <c:pt idx="673">
                  <c:v>46117</c:v>
                </c:pt>
                <c:pt idx="674">
                  <c:v>46118</c:v>
                </c:pt>
                <c:pt idx="675">
                  <c:v>46119</c:v>
                </c:pt>
                <c:pt idx="676">
                  <c:v>46120</c:v>
                </c:pt>
                <c:pt idx="677">
                  <c:v>46121</c:v>
                </c:pt>
                <c:pt idx="678">
                  <c:v>46122</c:v>
                </c:pt>
                <c:pt idx="679">
                  <c:v>46123</c:v>
                </c:pt>
                <c:pt idx="680">
                  <c:v>46124</c:v>
                </c:pt>
                <c:pt idx="681">
                  <c:v>46125</c:v>
                </c:pt>
                <c:pt idx="682">
                  <c:v>46126</c:v>
                </c:pt>
                <c:pt idx="683">
                  <c:v>46127</c:v>
                </c:pt>
                <c:pt idx="684">
                  <c:v>46128</c:v>
                </c:pt>
                <c:pt idx="685">
                  <c:v>46129</c:v>
                </c:pt>
                <c:pt idx="686">
                  <c:v>46130</c:v>
                </c:pt>
                <c:pt idx="687">
                  <c:v>46131</c:v>
                </c:pt>
                <c:pt idx="688">
                  <c:v>46132</c:v>
                </c:pt>
                <c:pt idx="689">
                  <c:v>46133</c:v>
                </c:pt>
                <c:pt idx="690">
                  <c:v>46134</c:v>
                </c:pt>
                <c:pt idx="691">
                  <c:v>46135</c:v>
                </c:pt>
                <c:pt idx="692">
                  <c:v>46136</c:v>
                </c:pt>
                <c:pt idx="693">
                  <c:v>46137</c:v>
                </c:pt>
                <c:pt idx="694">
                  <c:v>46138</c:v>
                </c:pt>
                <c:pt idx="695">
                  <c:v>46139</c:v>
                </c:pt>
                <c:pt idx="696">
                  <c:v>46140</c:v>
                </c:pt>
                <c:pt idx="697">
                  <c:v>46141</c:v>
                </c:pt>
                <c:pt idx="698">
                  <c:v>46142</c:v>
                </c:pt>
                <c:pt idx="699">
                  <c:v>46143</c:v>
                </c:pt>
                <c:pt idx="700">
                  <c:v>46144</c:v>
                </c:pt>
                <c:pt idx="701">
                  <c:v>46145</c:v>
                </c:pt>
                <c:pt idx="702">
                  <c:v>46146</c:v>
                </c:pt>
                <c:pt idx="703">
                  <c:v>46147</c:v>
                </c:pt>
                <c:pt idx="704">
                  <c:v>46148</c:v>
                </c:pt>
                <c:pt idx="705">
                  <c:v>46149</c:v>
                </c:pt>
                <c:pt idx="706">
                  <c:v>46150</c:v>
                </c:pt>
                <c:pt idx="707">
                  <c:v>46151</c:v>
                </c:pt>
                <c:pt idx="708">
                  <c:v>46152</c:v>
                </c:pt>
                <c:pt idx="709">
                  <c:v>46153</c:v>
                </c:pt>
                <c:pt idx="710">
                  <c:v>46154</c:v>
                </c:pt>
                <c:pt idx="711">
                  <c:v>46155</c:v>
                </c:pt>
                <c:pt idx="712">
                  <c:v>46156</c:v>
                </c:pt>
                <c:pt idx="713">
                  <c:v>46157</c:v>
                </c:pt>
                <c:pt idx="714">
                  <c:v>46158</c:v>
                </c:pt>
                <c:pt idx="715">
                  <c:v>46159</c:v>
                </c:pt>
                <c:pt idx="716">
                  <c:v>46160</c:v>
                </c:pt>
                <c:pt idx="717">
                  <c:v>46161</c:v>
                </c:pt>
                <c:pt idx="718">
                  <c:v>46162</c:v>
                </c:pt>
                <c:pt idx="719">
                  <c:v>46163</c:v>
                </c:pt>
                <c:pt idx="720">
                  <c:v>46164</c:v>
                </c:pt>
                <c:pt idx="721">
                  <c:v>46165</c:v>
                </c:pt>
                <c:pt idx="722">
                  <c:v>46166</c:v>
                </c:pt>
                <c:pt idx="723">
                  <c:v>46167</c:v>
                </c:pt>
                <c:pt idx="724">
                  <c:v>46168</c:v>
                </c:pt>
                <c:pt idx="725">
                  <c:v>46169</c:v>
                </c:pt>
                <c:pt idx="726">
                  <c:v>46170</c:v>
                </c:pt>
                <c:pt idx="727">
                  <c:v>46171</c:v>
                </c:pt>
                <c:pt idx="728">
                  <c:v>46172</c:v>
                </c:pt>
                <c:pt idx="729">
                  <c:v>46173</c:v>
                </c:pt>
                <c:pt idx="730">
                  <c:v>46174</c:v>
                </c:pt>
                <c:pt idx="731">
                  <c:v>46175</c:v>
                </c:pt>
                <c:pt idx="732">
                  <c:v>46176</c:v>
                </c:pt>
                <c:pt idx="733">
                  <c:v>46177</c:v>
                </c:pt>
                <c:pt idx="734">
                  <c:v>46178</c:v>
                </c:pt>
                <c:pt idx="735">
                  <c:v>46179</c:v>
                </c:pt>
                <c:pt idx="736">
                  <c:v>46180</c:v>
                </c:pt>
                <c:pt idx="737">
                  <c:v>46181</c:v>
                </c:pt>
                <c:pt idx="738">
                  <c:v>46182</c:v>
                </c:pt>
                <c:pt idx="739">
                  <c:v>46183</c:v>
                </c:pt>
                <c:pt idx="740">
                  <c:v>46184</c:v>
                </c:pt>
                <c:pt idx="741">
                  <c:v>46185</c:v>
                </c:pt>
                <c:pt idx="742">
                  <c:v>46186</c:v>
                </c:pt>
                <c:pt idx="743">
                  <c:v>46187</c:v>
                </c:pt>
                <c:pt idx="744">
                  <c:v>46188</c:v>
                </c:pt>
                <c:pt idx="745">
                  <c:v>46189</c:v>
                </c:pt>
                <c:pt idx="746">
                  <c:v>46190</c:v>
                </c:pt>
                <c:pt idx="747">
                  <c:v>46191</c:v>
                </c:pt>
                <c:pt idx="748">
                  <c:v>46192</c:v>
                </c:pt>
                <c:pt idx="749">
                  <c:v>46193</c:v>
                </c:pt>
                <c:pt idx="750">
                  <c:v>46194</c:v>
                </c:pt>
                <c:pt idx="751">
                  <c:v>46195</c:v>
                </c:pt>
                <c:pt idx="752">
                  <c:v>46196</c:v>
                </c:pt>
                <c:pt idx="753">
                  <c:v>46197</c:v>
                </c:pt>
                <c:pt idx="754">
                  <c:v>46198</c:v>
                </c:pt>
                <c:pt idx="755">
                  <c:v>46199</c:v>
                </c:pt>
                <c:pt idx="756">
                  <c:v>46200</c:v>
                </c:pt>
                <c:pt idx="757">
                  <c:v>46201</c:v>
                </c:pt>
                <c:pt idx="758">
                  <c:v>46202</c:v>
                </c:pt>
                <c:pt idx="759">
                  <c:v>46203</c:v>
                </c:pt>
                <c:pt idx="760">
                  <c:v>46204</c:v>
                </c:pt>
                <c:pt idx="761">
                  <c:v>46205</c:v>
                </c:pt>
                <c:pt idx="762">
                  <c:v>46206</c:v>
                </c:pt>
                <c:pt idx="763">
                  <c:v>46207</c:v>
                </c:pt>
                <c:pt idx="764">
                  <c:v>46208</c:v>
                </c:pt>
                <c:pt idx="765">
                  <c:v>46209</c:v>
                </c:pt>
                <c:pt idx="766">
                  <c:v>46210</c:v>
                </c:pt>
                <c:pt idx="767">
                  <c:v>46211</c:v>
                </c:pt>
                <c:pt idx="768">
                  <c:v>46212</c:v>
                </c:pt>
                <c:pt idx="769">
                  <c:v>46213</c:v>
                </c:pt>
                <c:pt idx="770">
                  <c:v>46214</c:v>
                </c:pt>
                <c:pt idx="771">
                  <c:v>46215</c:v>
                </c:pt>
                <c:pt idx="772">
                  <c:v>46216</c:v>
                </c:pt>
                <c:pt idx="773">
                  <c:v>46217</c:v>
                </c:pt>
                <c:pt idx="774">
                  <c:v>46218</c:v>
                </c:pt>
                <c:pt idx="775">
                  <c:v>46219</c:v>
                </c:pt>
                <c:pt idx="776">
                  <c:v>46220</c:v>
                </c:pt>
                <c:pt idx="777">
                  <c:v>46221</c:v>
                </c:pt>
                <c:pt idx="778">
                  <c:v>46222</c:v>
                </c:pt>
                <c:pt idx="779">
                  <c:v>46223</c:v>
                </c:pt>
                <c:pt idx="780">
                  <c:v>46224</c:v>
                </c:pt>
                <c:pt idx="781">
                  <c:v>46225</c:v>
                </c:pt>
                <c:pt idx="782">
                  <c:v>46226</c:v>
                </c:pt>
                <c:pt idx="783">
                  <c:v>46227</c:v>
                </c:pt>
                <c:pt idx="784">
                  <c:v>46228</c:v>
                </c:pt>
                <c:pt idx="785">
                  <c:v>46229</c:v>
                </c:pt>
                <c:pt idx="786">
                  <c:v>46230</c:v>
                </c:pt>
                <c:pt idx="787">
                  <c:v>46231</c:v>
                </c:pt>
                <c:pt idx="788">
                  <c:v>46232</c:v>
                </c:pt>
                <c:pt idx="789">
                  <c:v>46233</c:v>
                </c:pt>
                <c:pt idx="790">
                  <c:v>46234</c:v>
                </c:pt>
                <c:pt idx="791">
                  <c:v>46235</c:v>
                </c:pt>
                <c:pt idx="792">
                  <c:v>46236</c:v>
                </c:pt>
                <c:pt idx="793">
                  <c:v>46237</c:v>
                </c:pt>
                <c:pt idx="794">
                  <c:v>46238</c:v>
                </c:pt>
                <c:pt idx="795">
                  <c:v>46239</c:v>
                </c:pt>
                <c:pt idx="796">
                  <c:v>46240</c:v>
                </c:pt>
                <c:pt idx="797">
                  <c:v>46241</c:v>
                </c:pt>
                <c:pt idx="798">
                  <c:v>46242</c:v>
                </c:pt>
                <c:pt idx="799">
                  <c:v>46243</c:v>
                </c:pt>
                <c:pt idx="800">
                  <c:v>46244</c:v>
                </c:pt>
                <c:pt idx="801">
                  <c:v>46245</c:v>
                </c:pt>
                <c:pt idx="802">
                  <c:v>46246</c:v>
                </c:pt>
                <c:pt idx="803">
                  <c:v>46247</c:v>
                </c:pt>
                <c:pt idx="804">
                  <c:v>46248</c:v>
                </c:pt>
                <c:pt idx="805">
                  <c:v>46249</c:v>
                </c:pt>
                <c:pt idx="806">
                  <c:v>46250</c:v>
                </c:pt>
                <c:pt idx="807">
                  <c:v>46251</c:v>
                </c:pt>
                <c:pt idx="808">
                  <c:v>46252</c:v>
                </c:pt>
                <c:pt idx="809">
                  <c:v>46253</c:v>
                </c:pt>
                <c:pt idx="810">
                  <c:v>46254</c:v>
                </c:pt>
                <c:pt idx="811">
                  <c:v>46255</c:v>
                </c:pt>
                <c:pt idx="812">
                  <c:v>46256</c:v>
                </c:pt>
                <c:pt idx="813">
                  <c:v>46257</c:v>
                </c:pt>
                <c:pt idx="814">
                  <c:v>46258</c:v>
                </c:pt>
                <c:pt idx="815">
                  <c:v>46259</c:v>
                </c:pt>
                <c:pt idx="816">
                  <c:v>46260</c:v>
                </c:pt>
                <c:pt idx="817">
                  <c:v>46261</c:v>
                </c:pt>
                <c:pt idx="818">
                  <c:v>46262</c:v>
                </c:pt>
                <c:pt idx="819">
                  <c:v>46263</c:v>
                </c:pt>
                <c:pt idx="820">
                  <c:v>46264</c:v>
                </c:pt>
                <c:pt idx="821">
                  <c:v>46265</c:v>
                </c:pt>
                <c:pt idx="822">
                  <c:v>46266</c:v>
                </c:pt>
                <c:pt idx="823">
                  <c:v>46267</c:v>
                </c:pt>
                <c:pt idx="824">
                  <c:v>46268</c:v>
                </c:pt>
                <c:pt idx="825">
                  <c:v>46269</c:v>
                </c:pt>
                <c:pt idx="826">
                  <c:v>46270</c:v>
                </c:pt>
                <c:pt idx="827">
                  <c:v>46271</c:v>
                </c:pt>
                <c:pt idx="828">
                  <c:v>46272</c:v>
                </c:pt>
                <c:pt idx="829">
                  <c:v>46273</c:v>
                </c:pt>
                <c:pt idx="830">
                  <c:v>46274</c:v>
                </c:pt>
                <c:pt idx="831">
                  <c:v>46275</c:v>
                </c:pt>
                <c:pt idx="832">
                  <c:v>46276</c:v>
                </c:pt>
                <c:pt idx="833">
                  <c:v>46277</c:v>
                </c:pt>
                <c:pt idx="834">
                  <c:v>46278</c:v>
                </c:pt>
                <c:pt idx="835">
                  <c:v>46279</c:v>
                </c:pt>
                <c:pt idx="836">
                  <c:v>46280</c:v>
                </c:pt>
                <c:pt idx="837">
                  <c:v>46281</c:v>
                </c:pt>
                <c:pt idx="838">
                  <c:v>46282</c:v>
                </c:pt>
                <c:pt idx="839">
                  <c:v>46283</c:v>
                </c:pt>
                <c:pt idx="840">
                  <c:v>46284</c:v>
                </c:pt>
                <c:pt idx="841">
                  <c:v>46285</c:v>
                </c:pt>
                <c:pt idx="842">
                  <c:v>46286</c:v>
                </c:pt>
                <c:pt idx="843">
                  <c:v>46287</c:v>
                </c:pt>
                <c:pt idx="844">
                  <c:v>46288</c:v>
                </c:pt>
                <c:pt idx="845">
                  <c:v>46289</c:v>
                </c:pt>
                <c:pt idx="846">
                  <c:v>46290</c:v>
                </c:pt>
                <c:pt idx="847">
                  <c:v>46291</c:v>
                </c:pt>
                <c:pt idx="848">
                  <c:v>46292</c:v>
                </c:pt>
                <c:pt idx="849">
                  <c:v>46293</c:v>
                </c:pt>
                <c:pt idx="850">
                  <c:v>46294</c:v>
                </c:pt>
                <c:pt idx="851">
                  <c:v>46295</c:v>
                </c:pt>
                <c:pt idx="852">
                  <c:v>46296</c:v>
                </c:pt>
                <c:pt idx="853">
                  <c:v>46297</c:v>
                </c:pt>
                <c:pt idx="854">
                  <c:v>46298</c:v>
                </c:pt>
                <c:pt idx="855">
                  <c:v>46299</c:v>
                </c:pt>
                <c:pt idx="856">
                  <c:v>46300</c:v>
                </c:pt>
                <c:pt idx="857">
                  <c:v>46301</c:v>
                </c:pt>
                <c:pt idx="858">
                  <c:v>46302</c:v>
                </c:pt>
                <c:pt idx="859">
                  <c:v>46303</c:v>
                </c:pt>
                <c:pt idx="860">
                  <c:v>46304</c:v>
                </c:pt>
                <c:pt idx="861">
                  <c:v>46305</c:v>
                </c:pt>
                <c:pt idx="862">
                  <c:v>46306</c:v>
                </c:pt>
                <c:pt idx="863">
                  <c:v>46307</c:v>
                </c:pt>
                <c:pt idx="864">
                  <c:v>46308</c:v>
                </c:pt>
                <c:pt idx="865">
                  <c:v>46309</c:v>
                </c:pt>
                <c:pt idx="866">
                  <c:v>46310</c:v>
                </c:pt>
                <c:pt idx="867">
                  <c:v>46311</c:v>
                </c:pt>
                <c:pt idx="868">
                  <c:v>46312</c:v>
                </c:pt>
                <c:pt idx="869">
                  <c:v>46313</c:v>
                </c:pt>
                <c:pt idx="870">
                  <c:v>46314</c:v>
                </c:pt>
                <c:pt idx="871">
                  <c:v>46315</c:v>
                </c:pt>
                <c:pt idx="872">
                  <c:v>46316</c:v>
                </c:pt>
                <c:pt idx="873">
                  <c:v>46317</c:v>
                </c:pt>
                <c:pt idx="874">
                  <c:v>46318</c:v>
                </c:pt>
                <c:pt idx="875">
                  <c:v>46319</c:v>
                </c:pt>
                <c:pt idx="876">
                  <c:v>46320</c:v>
                </c:pt>
                <c:pt idx="877">
                  <c:v>46321</c:v>
                </c:pt>
                <c:pt idx="878">
                  <c:v>46322</c:v>
                </c:pt>
                <c:pt idx="879">
                  <c:v>46323</c:v>
                </c:pt>
                <c:pt idx="880">
                  <c:v>46324</c:v>
                </c:pt>
                <c:pt idx="881">
                  <c:v>46325</c:v>
                </c:pt>
                <c:pt idx="882">
                  <c:v>46326</c:v>
                </c:pt>
                <c:pt idx="883">
                  <c:v>46327</c:v>
                </c:pt>
                <c:pt idx="884">
                  <c:v>46328</c:v>
                </c:pt>
                <c:pt idx="885">
                  <c:v>46329</c:v>
                </c:pt>
                <c:pt idx="886">
                  <c:v>46330</c:v>
                </c:pt>
                <c:pt idx="887">
                  <c:v>46331</c:v>
                </c:pt>
                <c:pt idx="888">
                  <c:v>46332</c:v>
                </c:pt>
                <c:pt idx="889">
                  <c:v>46333</c:v>
                </c:pt>
                <c:pt idx="890">
                  <c:v>46334</c:v>
                </c:pt>
                <c:pt idx="891">
                  <c:v>46335</c:v>
                </c:pt>
                <c:pt idx="892">
                  <c:v>46336</c:v>
                </c:pt>
                <c:pt idx="893">
                  <c:v>46337</c:v>
                </c:pt>
                <c:pt idx="894">
                  <c:v>46338</c:v>
                </c:pt>
                <c:pt idx="895">
                  <c:v>46339</c:v>
                </c:pt>
                <c:pt idx="896">
                  <c:v>46340</c:v>
                </c:pt>
                <c:pt idx="897">
                  <c:v>46341</c:v>
                </c:pt>
                <c:pt idx="898">
                  <c:v>46342</c:v>
                </c:pt>
                <c:pt idx="899">
                  <c:v>46343</c:v>
                </c:pt>
                <c:pt idx="900">
                  <c:v>46344</c:v>
                </c:pt>
                <c:pt idx="901">
                  <c:v>46345</c:v>
                </c:pt>
                <c:pt idx="902">
                  <c:v>46346</c:v>
                </c:pt>
                <c:pt idx="903">
                  <c:v>46347</c:v>
                </c:pt>
                <c:pt idx="904">
                  <c:v>46348</c:v>
                </c:pt>
                <c:pt idx="905">
                  <c:v>46349</c:v>
                </c:pt>
                <c:pt idx="906">
                  <c:v>46350</c:v>
                </c:pt>
                <c:pt idx="907">
                  <c:v>46351</c:v>
                </c:pt>
                <c:pt idx="908">
                  <c:v>46352</c:v>
                </c:pt>
                <c:pt idx="909">
                  <c:v>46353</c:v>
                </c:pt>
                <c:pt idx="910">
                  <c:v>46354</c:v>
                </c:pt>
                <c:pt idx="911">
                  <c:v>46355</c:v>
                </c:pt>
                <c:pt idx="912">
                  <c:v>46356</c:v>
                </c:pt>
                <c:pt idx="913">
                  <c:v>46357</c:v>
                </c:pt>
                <c:pt idx="914">
                  <c:v>46358</c:v>
                </c:pt>
                <c:pt idx="915">
                  <c:v>46359</c:v>
                </c:pt>
                <c:pt idx="916">
                  <c:v>46360</c:v>
                </c:pt>
                <c:pt idx="917">
                  <c:v>46361</c:v>
                </c:pt>
                <c:pt idx="918">
                  <c:v>46362</c:v>
                </c:pt>
                <c:pt idx="919">
                  <c:v>46363</c:v>
                </c:pt>
                <c:pt idx="920">
                  <c:v>46364</c:v>
                </c:pt>
                <c:pt idx="921">
                  <c:v>46365</c:v>
                </c:pt>
                <c:pt idx="922">
                  <c:v>46366</c:v>
                </c:pt>
                <c:pt idx="923">
                  <c:v>46367</c:v>
                </c:pt>
                <c:pt idx="924">
                  <c:v>46368</c:v>
                </c:pt>
                <c:pt idx="925">
                  <c:v>46369</c:v>
                </c:pt>
                <c:pt idx="926">
                  <c:v>46370</c:v>
                </c:pt>
                <c:pt idx="927">
                  <c:v>46371</c:v>
                </c:pt>
                <c:pt idx="928">
                  <c:v>46372</c:v>
                </c:pt>
                <c:pt idx="929">
                  <c:v>46373</c:v>
                </c:pt>
                <c:pt idx="930">
                  <c:v>46374</c:v>
                </c:pt>
                <c:pt idx="931">
                  <c:v>46375</c:v>
                </c:pt>
                <c:pt idx="932">
                  <c:v>46376</c:v>
                </c:pt>
                <c:pt idx="933">
                  <c:v>46377</c:v>
                </c:pt>
                <c:pt idx="934">
                  <c:v>46378</c:v>
                </c:pt>
                <c:pt idx="935">
                  <c:v>46379</c:v>
                </c:pt>
                <c:pt idx="936">
                  <c:v>46380</c:v>
                </c:pt>
                <c:pt idx="937">
                  <c:v>46381</c:v>
                </c:pt>
                <c:pt idx="938">
                  <c:v>46382</c:v>
                </c:pt>
                <c:pt idx="939">
                  <c:v>46383</c:v>
                </c:pt>
                <c:pt idx="940">
                  <c:v>46384</c:v>
                </c:pt>
                <c:pt idx="941">
                  <c:v>46385</c:v>
                </c:pt>
                <c:pt idx="942">
                  <c:v>46386</c:v>
                </c:pt>
                <c:pt idx="943">
                  <c:v>46387</c:v>
                </c:pt>
                <c:pt idx="944">
                  <c:v>46388</c:v>
                </c:pt>
                <c:pt idx="945">
                  <c:v>46389</c:v>
                </c:pt>
                <c:pt idx="946">
                  <c:v>46390</c:v>
                </c:pt>
                <c:pt idx="947">
                  <c:v>46391</c:v>
                </c:pt>
                <c:pt idx="948">
                  <c:v>46392</c:v>
                </c:pt>
                <c:pt idx="949">
                  <c:v>46393</c:v>
                </c:pt>
                <c:pt idx="950">
                  <c:v>46394</c:v>
                </c:pt>
                <c:pt idx="951">
                  <c:v>46395</c:v>
                </c:pt>
                <c:pt idx="952">
                  <c:v>46396</c:v>
                </c:pt>
                <c:pt idx="953">
                  <c:v>46397</c:v>
                </c:pt>
                <c:pt idx="954">
                  <c:v>46398</c:v>
                </c:pt>
                <c:pt idx="955">
                  <c:v>46399</c:v>
                </c:pt>
                <c:pt idx="956">
                  <c:v>46400</c:v>
                </c:pt>
                <c:pt idx="957">
                  <c:v>46401</c:v>
                </c:pt>
                <c:pt idx="958">
                  <c:v>46402</c:v>
                </c:pt>
                <c:pt idx="959">
                  <c:v>46403</c:v>
                </c:pt>
                <c:pt idx="960">
                  <c:v>46404</c:v>
                </c:pt>
                <c:pt idx="961">
                  <c:v>46405</c:v>
                </c:pt>
                <c:pt idx="962">
                  <c:v>46406</c:v>
                </c:pt>
                <c:pt idx="963">
                  <c:v>46407</c:v>
                </c:pt>
                <c:pt idx="964">
                  <c:v>46408</c:v>
                </c:pt>
                <c:pt idx="965">
                  <c:v>46409</c:v>
                </c:pt>
                <c:pt idx="966">
                  <c:v>46410</c:v>
                </c:pt>
                <c:pt idx="967">
                  <c:v>46411</c:v>
                </c:pt>
                <c:pt idx="968">
                  <c:v>46412</c:v>
                </c:pt>
                <c:pt idx="969">
                  <c:v>46413</c:v>
                </c:pt>
                <c:pt idx="970">
                  <c:v>46414</c:v>
                </c:pt>
                <c:pt idx="971">
                  <c:v>46415</c:v>
                </c:pt>
                <c:pt idx="972">
                  <c:v>46416</c:v>
                </c:pt>
                <c:pt idx="973">
                  <c:v>46417</c:v>
                </c:pt>
                <c:pt idx="974">
                  <c:v>46418</c:v>
                </c:pt>
                <c:pt idx="975">
                  <c:v>46419</c:v>
                </c:pt>
                <c:pt idx="976">
                  <c:v>46420</c:v>
                </c:pt>
                <c:pt idx="977">
                  <c:v>46421</c:v>
                </c:pt>
                <c:pt idx="978">
                  <c:v>46422</c:v>
                </c:pt>
                <c:pt idx="979">
                  <c:v>46423</c:v>
                </c:pt>
                <c:pt idx="980">
                  <c:v>46424</c:v>
                </c:pt>
                <c:pt idx="981">
                  <c:v>46425</c:v>
                </c:pt>
                <c:pt idx="982">
                  <c:v>46426</c:v>
                </c:pt>
                <c:pt idx="983">
                  <c:v>46427</c:v>
                </c:pt>
                <c:pt idx="984">
                  <c:v>46428</c:v>
                </c:pt>
                <c:pt idx="985">
                  <c:v>46429</c:v>
                </c:pt>
                <c:pt idx="986">
                  <c:v>46430</c:v>
                </c:pt>
                <c:pt idx="987">
                  <c:v>46431</c:v>
                </c:pt>
                <c:pt idx="988">
                  <c:v>46432</c:v>
                </c:pt>
                <c:pt idx="989">
                  <c:v>46433</c:v>
                </c:pt>
                <c:pt idx="990">
                  <c:v>46434</c:v>
                </c:pt>
                <c:pt idx="991">
                  <c:v>46435</c:v>
                </c:pt>
                <c:pt idx="992">
                  <c:v>46436</c:v>
                </c:pt>
                <c:pt idx="993">
                  <c:v>46437</c:v>
                </c:pt>
                <c:pt idx="994">
                  <c:v>46438</c:v>
                </c:pt>
                <c:pt idx="995">
                  <c:v>46439</c:v>
                </c:pt>
                <c:pt idx="996">
                  <c:v>46440</c:v>
                </c:pt>
                <c:pt idx="997">
                  <c:v>46441</c:v>
                </c:pt>
                <c:pt idx="998">
                  <c:v>46442</c:v>
                </c:pt>
                <c:pt idx="999">
                  <c:v>46443</c:v>
                </c:pt>
                <c:pt idx="1000">
                  <c:v>46444</c:v>
                </c:pt>
                <c:pt idx="1001">
                  <c:v>46445</c:v>
                </c:pt>
                <c:pt idx="1002">
                  <c:v>46446</c:v>
                </c:pt>
                <c:pt idx="1003">
                  <c:v>46447</c:v>
                </c:pt>
                <c:pt idx="1004">
                  <c:v>46448</c:v>
                </c:pt>
                <c:pt idx="1005">
                  <c:v>46449</c:v>
                </c:pt>
                <c:pt idx="1006">
                  <c:v>46450</c:v>
                </c:pt>
                <c:pt idx="1007">
                  <c:v>46451</c:v>
                </c:pt>
                <c:pt idx="1008">
                  <c:v>46452</c:v>
                </c:pt>
                <c:pt idx="1009">
                  <c:v>46453</c:v>
                </c:pt>
                <c:pt idx="1010">
                  <c:v>46454</c:v>
                </c:pt>
                <c:pt idx="1011">
                  <c:v>46455</c:v>
                </c:pt>
                <c:pt idx="1012">
                  <c:v>46456</c:v>
                </c:pt>
                <c:pt idx="1013">
                  <c:v>46457</c:v>
                </c:pt>
                <c:pt idx="1014">
                  <c:v>46458</c:v>
                </c:pt>
                <c:pt idx="1015">
                  <c:v>46459</c:v>
                </c:pt>
                <c:pt idx="1016">
                  <c:v>46460</c:v>
                </c:pt>
                <c:pt idx="1017">
                  <c:v>46461</c:v>
                </c:pt>
                <c:pt idx="1018">
                  <c:v>46462</c:v>
                </c:pt>
                <c:pt idx="1019">
                  <c:v>46463</c:v>
                </c:pt>
                <c:pt idx="1020">
                  <c:v>46464</c:v>
                </c:pt>
                <c:pt idx="1021">
                  <c:v>46465</c:v>
                </c:pt>
                <c:pt idx="1022">
                  <c:v>46466</c:v>
                </c:pt>
                <c:pt idx="1023">
                  <c:v>46467</c:v>
                </c:pt>
                <c:pt idx="1024">
                  <c:v>46468</c:v>
                </c:pt>
                <c:pt idx="1025">
                  <c:v>46469</c:v>
                </c:pt>
                <c:pt idx="1026">
                  <c:v>46470</c:v>
                </c:pt>
                <c:pt idx="1027">
                  <c:v>46471</c:v>
                </c:pt>
                <c:pt idx="1028">
                  <c:v>46472</c:v>
                </c:pt>
                <c:pt idx="1029">
                  <c:v>46473</c:v>
                </c:pt>
                <c:pt idx="1030">
                  <c:v>46474</c:v>
                </c:pt>
                <c:pt idx="1031">
                  <c:v>46475</c:v>
                </c:pt>
                <c:pt idx="1032">
                  <c:v>46476</c:v>
                </c:pt>
                <c:pt idx="1033">
                  <c:v>46477</c:v>
                </c:pt>
                <c:pt idx="1034">
                  <c:v>46478</c:v>
                </c:pt>
                <c:pt idx="1035">
                  <c:v>46479</c:v>
                </c:pt>
                <c:pt idx="1036">
                  <c:v>46480</c:v>
                </c:pt>
                <c:pt idx="1037">
                  <c:v>46481</c:v>
                </c:pt>
                <c:pt idx="1038">
                  <c:v>46482</c:v>
                </c:pt>
                <c:pt idx="1039">
                  <c:v>46483</c:v>
                </c:pt>
                <c:pt idx="1040">
                  <c:v>46484</c:v>
                </c:pt>
                <c:pt idx="1041">
                  <c:v>46485</c:v>
                </c:pt>
                <c:pt idx="1042">
                  <c:v>46486</c:v>
                </c:pt>
                <c:pt idx="1043">
                  <c:v>46487</c:v>
                </c:pt>
                <c:pt idx="1044">
                  <c:v>46488</c:v>
                </c:pt>
                <c:pt idx="1045">
                  <c:v>46489</c:v>
                </c:pt>
                <c:pt idx="1046">
                  <c:v>46490</c:v>
                </c:pt>
                <c:pt idx="1047">
                  <c:v>46491</c:v>
                </c:pt>
                <c:pt idx="1048">
                  <c:v>46492</c:v>
                </c:pt>
                <c:pt idx="1049">
                  <c:v>46493</c:v>
                </c:pt>
                <c:pt idx="1050">
                  <c:v>46494</c:v>
                </c:pt>
                <c:pt idx="1051">
                  <c:v>46495</c:v>
                </c:pt>
                <c:pt idx="1052">
                  <c:v>46496</c:v>
                </c:pt>
                <c:pt idx="1053">
                  <c:v>46497</c:v>
                </c:pt>
                <c:pt idx="1054">
                  <c:v>46498</c:v>
                </c:pt>
                <c:pt idx="1055">
                  <c:v>46499</c:v>
                </c:pt>
                <c:pt idx="1056">
                  <c:v>46500</c:v>
                </c:pt>
                <c:pt idx="1057">
                  <c:v>46501</c:v>
                </c:pt>
                <c:pt idx="1058">
                  <c:v>46502</c:v>
                </c:pt>
                <c:pt idx="1059">
                  <c:v>46503</c:v>
                </c:pt>
                <c:pt idx="1060">
                  <c:v>46504</c:v>
                </c:pt>
                <c:pt idx="1061">
                  <c:v>46505</c:v>
                </c:pt>
                <c:pt idx="1062">
                  <c:v>46506</c:v>
                </c:pt>
                <c:pt idx="1063">
                  <c:v>46507</c:v>
                </c:pt>
                <c:pt idx="1064">
                  <c:v>46508</c:v>
                </c:pt>
                <c:pt idx="1065">
                  <c:v>46509</c:v>
                </c:pt>
                <c:pt idx="1066">
                  <c:v>46510</c:v>
                </c:pt>
                <c:pt idx="1067">
                  <c:v>46511</c:v>
                </c:pt>
                <c:pt idx="1068">
                  <c:v>46512</c:v>
                </c:pt>
                <c:pt idx="1069">
                  <c:v>46513</c:v>
                </c:pt>
                <c:pt idx="1070">
                  <c:v>46514</c:v>
                </c:pt>
                <c:pt idx="1071">
                  <c:v>46515</c:v>
                </c:pt>
                <c:pt idx="1072">
                  <c:v>46516</c:v>
                </c:pt>
                <c:pt idx="1073">
                  <c:v>46517</c:v>
                </c:pt>
                <c:pt idx="1074">
                  <c:v>46518</c:v>
                </c:pt>
                <c:pt idx="1075">
                  <c:v>46519</c:v>
                </c:pt>
                <c:pt idx="1076">
                  <c:v>46520</c:v>
                </c:pt>
                <c:pt idx="1077">
                  <c:v>46521</c:v>
                </c:pt>
                <c:pt idx="1078">
                  <c:v>46522</c:v>
                </c:pt>
                <c:pt idx="1079">
                  <c:v>46523</c:v>
                </c:pt>
                <c:pt idx="1080">
                  <c:v>46524</c:v>
                </c:pt>
                <c:pt idx="1081">
                  <c:v>46525</c:v>
                </c:pt>
                <c:pt idx="1082">
                  <c:v>46526</c:v>
                </c:pt>
                <c:pt idx="1083">
                  <c:v>46527</c:v>
                </c:pt>
                <c:pt idx="1084">
                  <c:v>46528</c:v>
                </c:pt>
                <c:pt idx="1085">
                  <c:v>46529</c:v>
                </c:pt>
                <c:pt idx="1086">
                  <c:v>46530</c:v>
                </c:pt>
                <c:pt idx="1087">
                  <c:v>46531</c:v>
                </c:pt>
                <c:pt idx="1088">
                  <c:v>46532</c:v>
                </c:pt>
                <c:pt idx="1089">
                  <c:v>46533</c:v>
                </c:pt>
                <c:pt idx="1090">
                  <c:v>46534</c:v>
                </c:pt>
                <c:pt idx="1091">
                  <c:v>46535</c:v>
                </c:pt>
                <c:pt idx="1092">
                  <c:v>46536</c:v>
                </c:pt>
                <c:pt idx="1093">
                  <c:v>46537</c:v>
                </c:pt>
                <c:pt idx="1094">
                  <c:v>46538</c:v>
                </c:pt>
                <c:pt idx="1095">
                  <c:v>46539</c:v>
                </c:pt>
                <c:pt idx="1096">
                  <c:v>46540</c:v>
                </c:pt>
                <c:pt idx="1097">
                  <c:v>46541</c:v>
                </c:pt>
                <c:pt idx="1098">
                  <c:v>46542</c:v>
                </c:pt>
                <c:pt idx="1099">
                  <c:v>46543</c:v>
                </c:pt>
                <c:pt idx="1100">
                  <c:v>46544</c:v>
                </c:pt>
                <c:pt idx="1101">
                  <c:v>46545</c:v>
                </c:pt>
                <c:pt idx="1102">
                  <c:v>46546</c:v>
                </c:pt>
                <c:pt idx="1103">
                  <c:v>46547</c:v>
                </c:pt>
                <c:pt idx="1104">
                  <c:v>46548</c:v>
                </c:pt>
                <c:pt idx="1105">
                  <c:v>46549</c:v>
                </c:pt>
                <c:pt idx="1106">
                  <c:v>46550</c:v>
                </c:pt>
                <c:pt idx="1107">
                  <c:v>46551</c:v>
                </c:pt>
                <c:pt idx="1108">
                  <c:v>46552</c:v>
                </c:pt>
                <c:pt idx="1109">
                  <c:v>46553</c:v>
                </c:pt>
                <c:pt idx="1110">
                  <c:v>46554</c:v>
                </c:pt>
                <c:pt idx="1111">
                  <c:v>46555</c:v>
                </c:pt>
                <c:pt idx="1112">
                  <c:v>46556</c:v>
                </c:pt>
                <c:pt idx="1113">
                  <c:v>46557</c:v>
                </c:pt>
                <c:pt idx="1114">
                  <c:v>46558</c:v>
                </c:pt>
                <c:pt idx="1115">
                  <c:v>46559</c:v>
                </c:pt>
                <c:pt idx="1116">
                  <c:v>46560</c:v>
                </c:pt>
                <c:pt idx="1117">
                  <c:v>46561</c:v>
                </c:pt>
                <c:pt idx="1118">
                  <c:v>46562</c:v>
                </c:pt>
                <c:pt idx="1119">
                  <c:v>46563</c:v>
                </c:pt>
                <c:pt idx="1120">
                  <c:v>46564</c:v>
                </c:pt>
                <c:pt idx="1121">
                  <c:v>46565</c:v>
                </c:pt>
                <c:pt idx="1122">
                  <c:v>46566</c:v>
                </c:pt>
                <c:pt idx="1123">
                  <c:v>46567</c:v>
                </c:pt>
                <c:pt idx="1124">
                  <c:v>46568</c:v>
                </c:pt>
                <c:pt idx="1125">
                  <c:v>46569</c:v>
                </c:pt>
                <c:pt idx="1126">
                  <c:v>46570</c:v>
                </c:pt>
                <c:pt idx="1127">
                  <c:v>46571</c:v>
                </c:pt>
                <c:pt idx="1128">
                  <c:v>46572</c:v>
                </c:pt>
                <c:pt idx="1129">
                  <c:v>46573</c:v>
                </c:pt>
                <c:pt idx="1130">
                  <c:v>46574</c:v>
                </c:pt>
                <c:pt idx="1131">
                  <c:v>46575</c:v>
                </c:pt>
                <c:pt idx="1132">
                  <c:v>46576</c:v>
                </c:pt>
                <c:pt idx="1133">
                  <c:v>46577</c:v>
                </c:pt>
                <c:pt idx="1134">
                  <c:v>46578</c:v>
                </c:pt>
                <c:pt idx="1135">
                  <c:v>46579</c:v>
                </c:pt>
                <c:pt idx="1136">
                  <c:v>46580</c:v>
                </c:pt>
                <c:pt idx="1137">
                  <c:v>46581</c:v>
                </c:pt>
                <c:pt idx="1138">
                  <c:v>46582</c:v>
                </c:pt>
                <c:pt idx="1139">
                  <c:v>46583</c:v>
                </c:pt>
                <c:pt idx="1140">
                  <c:v>46584</c:v>
                </c:pt>
                <c:pt idx="1141">
                  <c:v>46585</c:v>
                </c:pt>
                <c:pt idx="1142">
                  <c:v>46586</c:v>
                </c:pt>
                <c:pt idx="1143">
                  <c:v>46587</c:v>
                </c:pt>
                <c:pt idx="1144">
                  <c:v>46588</c:v>
                </c:pt>
                <c:pt idx="1145">
                  <c:v>46589</c:v>
                </c:pt>
                <c:pt idx="1146">
                  <c:v>46590</c:v>
                </c:pt>
                <c:pt idx="1147">
                  <c:v>46591</c:v>
                </c:pt>
                <c:pt idx="1148">
                  <c:v>46592</c:v>
                </c:pt>
                <c:pt idx="1149">
                  <c:v>46593</c:v>
                </c:pt>
                <c:pt idx="1150">
                  <c:v>46594</c:v>
                </c:pt>
                <c:pt idx="1151">
                  <c:v>46595</c:v>
                </c:pt>
                <c:pt idx="1152">
                  <c:v>46596</c:v>
                </c:pt>
                <c:pt idx="1153">
                  <c:v>46597</c:v>
                </c:pt>
                <c:pt idx="1154">
                  <c:v>46598</c:v>
                </c:pt>
                <c:pt idx="1155">
                  <c:v>46599</c:v>
                </c:pt>
                <c:pt idx="1156">
                  <c:v>46600</c:v>
                </c:pt>
                <c:pt idx="1157">
                  <c:v>46601</c:v>
                </c:pt>
                <c:pt idx="1158">
                  <c:v>46602</c:v>
                </c:pt>
                <c:pt idx="1159">
                  <c:v>46603</c:v>
                </c:pt>
                <c:pt idx="1160">
                  <c:v>46604</c:v>
                </c:pt>
                <c:pt idx="1161">
                  <c:v>46605</c:v>
                </c:pt>
                <c:pt idx="1162">
                  <c:v>46606</c:v>
                </c:pt>
                <c:pt idx="1163">
                  <c:v>46607</c:v>
                </c:pt>
                <c:pt idx="1164">
                  <c:v>46608</c:v>
                </c:pt>
                <c:pt idx="1165">
                  <c:v>46609</c:v>
                </c:pt>
                <c:pt idx="1166">
                  <c:v>46610</c:v>
                </c:pt>
                <c:pt idx="1167">
                  <c:v>46611</c:v>
                </c:pt>
                <c:pt idx="1168">
                  <c:v>46612</c:v>
                </c:pt>
                <c:pt idx="1169">
                  <c:v>46613</c:v>
                </c:pt>
                <c:pt idx="1170">
                  <c:v>46614</c:v>
                </c:pt>
                <c:pt idx="1171">
                  <c:v>46615</c:v>
                </c:pt>
                <c:pt idx="1172">
                  <c:v>46616</c:v>
                </c:pt>
                <c:pt idx="1173">
                  <c:v>46617</c:v>
                </c:pt>
                <c:pt idx="1174">
                  <c:v>46618</c:v>
                </c:pt>
                <c:pt idx="1175">
                  <c:v>46619</c:v>
                </c:pt>
                <c:pt idx="1176">
                  <c:v>46620</c:v>
                </c:pt>
                <c:pt idx="1177">
                  <c:v>46621</c:v>
                </c:pt>
                <c:pt idx="1178">
                  <c:v>46622</c:v>
                </c:pt>
                <c:pt idx="1179">
                  <c:v>46623</c:v>
                </c:pt>
                <c:pt idx="1180">
                  <c:v>46624</c:v>
                </c:pt>
                <c:pt idx="1181">
                  <c:v>46625</c:v>
                </c:pt>
                <c:pt idx="1182">
                  <c:v>46626</c:v>
                </c:pt>
                <c:pt idx="1183">
                  <c:v>46627</c:v>
                </c:pt>
                <c:pt idx="1184">
                  <c:v>46628</c:v>
                </c:pt>
                <c:pt idx="1185">
                  <c:v>46629</c:v>
                </c:pt>
                <c:pt idx="1186">
                  <c:v>46630</c:v>
                </c:pt>
                <c:pt idx="1187">
                  <c:v>46631</c:v>
                </c:pt>
                <c:pt idx="1188">
                  <c:v>46632</c:v>
                </c:pt>
                <c:pt idx="1189">
                  <c:v>46633</c:v>
                </c:pt>
                <c:pt idx="1190">
                  <c:v>46634</c:v>
                </c:pt>
                <c:pt idx="1191">
                  <c:v>46635</c:v>
                </c:pt>
                <c:pt idx="1192">
                  <c:v>46636</c:v>
                </c:pt>
                <c:pt idx="1193">
                  <c:v>46637</c:v>
                </c:pt>
                <c:pt idx="1194">
                  <c:v>46638</c:v>
                </c:pt>
                <c:pt idx="1195">
                  <c:v>46639</c:v>
                </c:pt>
                <c:pt idx="1196">
                  <c:v>46640</c:v>
                </c:pt>
                <c:pt idx="1197">
                  <c:v>46641</c:v>
                </c:pt>
                <c:pt idx="1198">
                  <c:v>46642</c:v>
                </c:pt>
                <c:pt idx="1199">
                  <c:v>46643</c:v>
                </c:pt>
                <c:pt idx="1200">
                  <c:v>46644</c:v>
                </c:pt>
                <c:pt idx="1201">
                  <c:v>46645</c:v>
                </c:pt>
                <c:pt idx="1202">
                  <c:v>46646</c:v>
                </c:pt>
                <c:pt idx="1203">
                  <c:v>46647</c:v>
                </c:pt>
                <c:pt idx="1204">
                  <c:v>46648</c:v>
                </c:pt>
                <c:pt idx="1205">
                  <c:v>46649</c:v>
                </c:pt>
                <c:pt idx="1206">
                  <c:v>46650</c:v>
                </c:pt>
                <c:pt idx="1207">
                  <c:v>46651</c:v>
                </c:pt>
                <c:pt idx="1208">
                  <c:v>46652</c:v>
                </c:pt>
                <c:pt idx="1209">
                  <c:v>46653</c:v>
                </c:pt>
                <c:pt idx="1210">
                  <c:v>46654</c:v>
                </c:pt>
                <c:pt idx="1211">
                  <c:v>46655</c:v>
                </c:pt>
                <c:pt idx="1212">
                  <c:v>46656</c:v>
                </c:pt>
                <c:pt idx="1213">
                  <c:v>46657</c:v>
                </c:pt>
                <c:pt idx="1214">
                  <c:v>46658</c:v>
                </c:pt>
                <c:pt idx="1215">
                  <c:v>46659</c:v>
                </c:pt>
                <c:pt idx="1216">
                  <c:v>46660</c:v>
                </c:pt>
                <c:pt idx="1217">
                  <c:v>46661</c:v>
                </c:pt>
                <c:pt idx="1218">
                  <c:v>46662</c:v>
                </c:pt>
                <c:pt idx="1219">
                  <c:v>46663</c:v>
                </c:pt>
                <c:pt idx="1220">
                  <c:v>46664</c:v>
                </c:pt>
                <c:pt idx="1221">
                  <c:v>46665</c:v>
                </c:pt>
                <c:pt idx="1222">
                  <c:v>46666</c:v>
                </c:pt>
                <c:pt idx="1223">
                  <c:v>46667</c:v>
                </c:pt>
                <c:pt idx="1224">
                  <c:v>46668</c:v>
                </c:pt>
                <c:pt idx="1225">
                  <c:v>46669</c:v>
                </c:pt>
                <c:pt idx="1226">
                  <c:v>46670</c:v>
                </c:pt>
                <c:pt idx="1227">
                  <c:v>46671</c:v>
                </c:pt>
                <c:pt idx="1228">
                  <c:v>46672</c:v>
                </c:pt>
                <c:pt idx="1229">
                  <c:v>46673</c:v>
                </c:pt>
                <c:pt idx="1230">
                  <c:v>46674</c:v>
                </c:pt>
                <c:pt idx="1231">
                  <c:v>46675</c:v>
                </c:pt>
                <c:pt idx="1232">
                  <c:v>46676</c:v>
                </c:pt>
                <c:pt idx="1233">
                  <c:v>46677</c:v>
                </c:pt>
                <c:pt idx="1234">
                  <c:v>46678</c:v>
                </c:pt>
                <c:pt idx="1235">
                  <c:v>46679</c:v>
                </c:pt>
                <c:pt idx="1236">
                  <c:v>46680</c:v>
                </c:pt>
                <c:pt idx="1237">
                  <c:v>46681</c:v>
                </c:pt>
                <c:pt idx="1238">
                  <c:v>46682</c:v>
                </c:pt>
                <c:pt idx="1239">
                  <c:v>46683</c:v>
                </c:pt>
                <c:pt idx="1240">
                  <c:v>46684</c:v>
                </c:pt>
                <c:pt idx="1241">
                  <c:v>46685</c:v>
                </c:pt>
                <c:pt idx="1242">
                  <c:v>46686</c:v>
                </c:pt>
                <c:pt idx="1243">
                  <c:v>46687</c:v>
                </c:pt>
                <c:pt idx="1244">
                  <c:v>46688</c:v>
                </c:pt>
                <c:pt idx="1245">
                  <c:v>46689</c:v>
                </c:pt>
                <c:pt idx="1246">
                  <c:v>46690</c:v>
                </c:pt>
                <c:pt idx="1247">
                  <c:v>46691</c:v>
                </c:pt>
                <c:pt idx="1248">
                  <c:v>46692</c:v>
                </c:pt>
                <c:pt idx="1249">
                  <c:v>46693</c:v>
                </c:pt>
                <c:pt idx="1250">
                  <c:v>46694</c:v>
                </c:pt>
                <c:pt idx="1251">
                  <c:v>46695</c:v>
                </c:pt>
                <c:pt idx="1252">
                  <c:v>46696</c:v>
                </c:pt>
                <c:pt idx="1253">
                  <c:v>46697</c:v>
                </c:pt>
                <c:pt idx="1254">
                  <c:v>46698</c:v>
                </c:pt>
                <c:pt idx="1255">
                  <c:v>46699</c:v>
                </c:pt>
                <c:pt idx="1256">
                  <c:v>46700</c:v>
                </c:pt>
                <c:pt idx="1257">
                  <c:v>46701</c:v>
                </c:pt>
                <c:pt idx="1258">
                  <c:v>46702</c:v>
                </c:pt>
                <c:pt idx="1259">
                  <c:v>46703</c:v>
                </c:pt>
                <c:pt idx="1260">
                  <c:v>46704</c:v>
                </c:pt>
                <c:pt idx="1261">
                  <c:v>46705</c:v>
                </c:pt>
                <c:pt idx="1262">
                  <c:v>46706</c:v>
                </c:pt>
                <c:pt idx="1263">
                  <c:v>46707</c:v>
                </c:pt>
                <c:pt idx="1264">
                  <c:v>46708</c:v>
                </c:pt>
                <c:pt idx="1265">
                  <c:v>46709</c:v>
                </c:pt>
                <c:pt idx="1266">
                  <c:v>46710</c:v>
                </c:pt>
                <c:pt idx="1267">
                  <c:v>46711</c:v>
                </c:pt>
                <c:pt idx="1268">
                  <c:v>46712</c:v>
                </c:pt>
                <c:pt idx="1269">
                  <c:v>46713</c:v>
                </c:pt>
                <c:pt idx="1270">
                  <c:v>46714</c:v>
                </c:pt>
                <c:pt idx="1271">
                  <c:v>46715</c:v>
                </c:pt>
                <c:pt idx="1272">
                  <c:v>46716</c:v>
                </c:pt>
                <c:pt idx="1273">
                  <c:v>46717</c:v>
                </c:pt>
                <c:pt idx="1274">
                  <c:v>46718</c:v>
                </c:pt>
                <c:pt idx="1275">
                  <c:v>46719</c:v>
                </c:pt>
                <c:pt idx="1276">
                  <c:v>46720</c:v>
                </c:pt>
                <c:pt idx="1277">
                  <c:v>46721</c:v>
                </c:pt>
                <c:pt idx="1278">
                  <c:v>46722</c:v>
                </c:pt>
                <c:pt idx="1279">
                  <c:v>46723</c:v>
                </c:pt>
                <c:pt idx="1280">
                  <c:v>46724</c:v>
                </c:pt>
                <c:pt idx="1281">
                  <c:v>46725</c:v>
                </c:pt>
                <c:pt idx="1282">
                  <c:v>46726</c:v>
                </c:pt>
                <c:pt idx="1283">
                  <c:v>46727</c:v>
                </c:pt>
                <c:pt idx="1284">
                  <c:v>46728</c:v>
                </c:pt>
                <c:pt idx="1285">
                  <c:v>46729</c:v>
                </c:pt>
                <c:pt idx="1286">
                  <c:v>46730</c:v>
                </c:pt>
                <c:pt idx="1287">
                  <c:v>46731</c:v>
                </c:pt>
                <c:pt idx="1288">
                  <c:v>46732</c:v>
                </c:pt>
                <c:pt idx="1289">
                  <c:v>46733</c:v>
                </c:pt>
                <c:pt idx="1290">
                  <c:v>46734</c:v>
                </c:pt>
                <c:pt idx="1291">
                  <c:v>46735</c:v>
                </c:pt>
                <c:pt idx="1292">
                  <c:v>46736</c:v>
                </c:pt>
                <c:pt idx="1293">
                  <c:v>46737</c:v>
                </c:pt>
                <c:pt idx="1294">
                  <c:v>46738</c:v>
                </c:pt>
                <c:pt idx="1295">
                  <c:v>46739</c:v>
                </c:pt>
                <c:pt idx="1296">
                  <c:v>46740</c:v>
                </c:pt>
                <c:pt idx="1297">
                  <c:v>46741</c:v>
                </c:pt>
                <c:pt idx="1298">
                  <c:v>46742</c:v>
                </c:pt>
                <c:pt idx="1299">
                  <c:v>46743</c:v>
                </c:pt>
                <c:pt idx="1300">
                  <c:v>46744</c:v>
                </c:pt>
                <c:pt idx="1301">
                  <c:v>46745</c:v>
                </c:pt>
                <c:pt idx="1302">
                  <c:v>46746</c:v>
                </c:pt>
                <c:pt idx="1303">
                  <c:v>46747</c:v>
                </c:pt>
                <c:pt idx="1304">
                  <c:v>46748</c:v>
                </c:pt>
                <c:pt idx="1305">
                  <c:v>46749</c:v>
                </c:pt>
                <c:pt idx="1306">
                  <c:v>46750</c:v>
                </c:pt>
                <c:pt idx="1307">
                  <c:v>46751</c:v>
                </c:pt>
                <c:pt idx="1308">
                  <c:v>46752</c:v>
                </c:pt>
                <c:pt idx="1309">
                  <c:v>46753</c:v>
                </c:pt>
                <c:pt idx="1310">
                  <c:v>46754</c:v>
                </c:pt>
                <c:pt idx="1311">
                  <c:v>46755</c:v>
                </c:pt>
                <c:pt idx="1312">
                  <c:v>46756</c:v>
                </c:pt>
                <c:pt idx="1313">
                  <c:v>46757</c:v>
                </c:pt>
                <c:pt idx="1314">
                  <c:v>46758</c:v>
                </c:pt>
                <c:pt idx="1315">
                  <c:v>46759</c:v>
                </c:pt>
                <c:pt idx="1316">
                  <c:v>46760</c:v>
                </c:pt>
                <c:pt idx="1317">
                  <c:v>46761</c:v>
                </c:pt>
                <c:pt idx="1318">
                  <c:v>46762</c:v>
                </c:pt>
                <c:pt idx="1319">
                  <c:v>46763</c:v>
                </c:pt>
                <c:pt idx="1320">
                  <c:v>46764</c:v>
                </c:pt>
                <c:pt idx="1321">
                  <c:v>46765</c:v>
                </c:pt>
                <c:pt idx="1322">
                  <c:v>46766</c:v>
                </c:pt>
                <c:pt idx="1323">
                  <c:v>46767</c:v>
                </c:pt>
                <c:pt idx="1324">
                  <c:v>46768</c:v>
                </c:pt>
                <c:pt idx="1325">
                  <c:v>46769</c:v>
                </c:pt>
                <c:pt idx="1326">
                  <c:v>46770</c:v>
                </c:pt>
                <c:pt idx="1327">
                  <c:v>46771</c:v>
                </c:pt>
                <c:pt idx="1328">
                  <c:v>46772</c:v>
                </c:pt>
                <c:pt idx="1329">
                  <c:v>46773</c:v>
                </c:pt>
                <c:pt idx="1330">
                  <c:v>46774</c:v>
                </c:pt>
                <c:pt idx="1331">
                  <c:v>46775</c:v>
                </c:pt>
                <c:pt idx="1332">
                  <c:v>46776</c:v>
                </c:pt>
                <c:pt idx="1333">
                  <c:v>46777</c:v>
                </c:pt>
                <c:pt idx="1334">
                  <c:v>46778</c:v>
                </c:pt>
                <c:pt idx="1335">
                  <c:v>46779</c:v>
                </c:pt>
                <c:pt idx="1336">
                  <c:v>46780</c:v>
                </c:pt>
                <c:pt idx="1337">
                  <c:v>46781</c:v>
                </c:pt>
                <c:pt idx="1338">
                  <c:v>46782</c:v>
                </c:pt>
                <c:pt idx="1339">
                  <c:v>46783</c:v>
                </c:pt>
                <c:pt idx="1340">
                  <c:v>46784</c:v>
                </c:pt>
                <c:pt idx="1341">
                  <c:v>46785</c:v>
                </c:pt>
                <c:pt idx="1342">
                  <c:v>46786</c:v>
                </c:pt>
                <c:pt idx="1343">
                  <c:v>46787</c:v>
                </c:pt>
                <c:pt idx="1344">
                  <c:v>46788</c:v>
                </c:pt>
                <c:pt idx="1345">
                  <c:v>46789</c:v>
                </c:pt>
                <c:pt idx="1346">
                  <c:v>46790</c:v>
                </c:pt>
                <c:pt idx="1347">
                  <c:v>46791</c:v>
                </c:pt>
                <c:pt idx="1348">
                  <c:v>46792</c:v>
                </c:pt>
                <c:pt idx="1349">
                  <c:v>46793</c:v>
                </c:pt>
                <c:pt idx="1350">
                  <c:v>46794</c:v>
                </c:pt>
                <c:pt idx="1351">
                  <c:v>46795</c:v>
                </c:pt>
                <c:pt idx="1352">
                  <c:v>46796</c:v>
                </c:pt>
                <c:pt idx="1353">
                  <c:v>46797</c:v>
                </c:pt>
                <c:pt idx="1354">
                  <c:v>46798</c:v>
                </c:pt>
                <c:pt idx="1355">
                  <c:v>46799</c:v>
                </c:pt>
                <c:pt idx="1356">
                  <c:v>46800</c:v>
                </c:pt>
                <c:pt idx="1357">
                  <c:v>46801</c:v>
                </c:pt>
                <c:pt idx="1358">
                  <c:v>46802</c:v>
                </c:pt>
                <c:pt idx="1359">
                  <c:v>46803</c:v>
                </c:pt>
                <c:pt idx="1360">
                  <c:v>46804</c:v>
                </c:pt>
                <c:pt idx="1361">
                  <c:v>46805</c:v>
                </c:pt>
                <c:pt idx="1362">
                  <c:v>46806</c:v>
                </c:pt>
                <c:pt idx="1363">
                  <c:v>46807</c:v>
                </c:pt>
                <c:pt idx="1364">
                  <c:v>46808</c:v>
                </c:pt>
                <c:pt idx="1365">
                  <c:v>46809</c:v>
                </c:pt>
                <c:pt idx="1366">
                  <c:v>46810</c:v>
                </c:pt>
                <c:pt idx="1367">
                  <c:v>46811</c:v>
                </c:pt>
                <c:pt idx="1368">
                  <c:v>46812</c:v>
                </c:pt>
                <c:pt idx="1369">
                  <c:v>46813</c:v>
                </c:pt>
                <c:pt idx="1370">
                  <c:v>46814</c:v>
                </c:pt>
                <c:pt idx="1371">
                  <c:v>46815</c:v>
                </c:pt>
                <c:pt idx="1372">
                  <c:v>46816</c:v>
                </c:pt>
                <c:pt idx="1373">
                  <c:v>46817</c:v>
                </c:pt>
                <c:pt idx="1374">
                  <c:v>46818</c:v>
                </c:pt>
                <c:pt idx="1375">
                  <c:v>46819</c:v>
                </c:pt>
                <c:pt idx="1376">
                  <c:v>46820</c:v>
                </c:pt>
                <c:pt idx="1377">
                  <c:v>46821</c:v>
                </c:pt>
                <c:pt idx="1378">
                  <c:v>46822</c:v>
                </c:pt>
                <c:pt idx="1379">
                  <c:v>46823</c:v>
                </c:pt>
                <c:pt idx="1380">
                  <c:v>46824</c:v>
                </c:pt>
                <c:pt idx="1381">
                  <c:v>46825</c:v>
                </c:pt>
                <c:pt idx="1382">
                  <c:v>46826</c:v>
                </c:pt>
                <c:pt idx="1383">
                  <c:v>46827</c:v>
                </c:pt>
                <c:pt idx="1384">
                  <c:v>46828</c:v>
                </c:pt>
                <c:pt idx="1385">
                  <c:v>46829</c:v>
                </c:pt>
                <c:pt idx="1386">
                  <c:v>46830</c:v>
                </c:pt>
                <c:pt idx="1387">
                  <c:v>46831</c:v>
                </c:pt>
                <c:pt idx="1388">
                  <c:v>46832</c:v>
                </c:pt>
                <c:pt idx="1389">
                  <c:v>46833</c:v>
                </c:pt>
                <c:pt idx="1390">
                  <c:v>46834</c:v>
                </c:pt>
                <c:pt idx="1391">
                  <c:v>46835</c:v>
                </c:pt>
                <c:pt idx="1392">
                  <c:v>46836</c:v>
                </c:pt>
                <c:pt idx="1393">
                  <c:v>46837</c:v>
                </c:pt>
                <c:pt idx="1394">
                  <c:v>46838</c:v>
                </c:pt>
                <c:pt idx="1395">
                  <c:v>46839</c:v>
                </c:pt>
                <c:pt idx="1396">
                  <c:v>46840</c:v>
                </c:pt>
                <c:pt idx="1397">
                  <c:v>46841</c:v>
                </c:pt>
                <c:pt idx="1398">
                  <c:v>46842</c:v>
                </c:pt>
                <c:pt idx="1399">
                  <c:v>46843</c:v>
                </c:pt>
                <c:pt idx="1400">
                  <c:v>46844</c:v>
                </c:pt>
                <c:pt idx="1401">
                  <c:v>46845</c:v>
                </c:pt>
                <c:pt idx="1402">
                  <c:v>46846</c:v>
                </c:pt>
                <c:pt idx="1403">
                  <c:v>46847</c:v>
                </c:pt>
                <c:pt idx="1404">
                  <c:v>46848</c:v>
                </c:pt>
                <c:pt idx="1405">
                  <c:v>46849</c:v>
                </c:pt>
                <c:pt idx="1406">
                  <c:v>46850</c:v>
                </c:pt>
                <c:pt idx="1407">
                  <c:v>46851</c:v>
                </c:pt>
                <c:pt idx="1408">
                  <c:v>46852</c:v>
                </c:pt>
                <c:pt idx="1409">
                  <c:v>46853</c:v>
                </c:pt>
                <c:pt idx="1410">
                  <c:v>46854</c:v>
                </c:pt>
                <c:pt idx="1411">
                  <c:v>46855</c:v>
                </c:pt>
                <c:pt idx="1412">
                  <c:v>46856</c:v>
                </c:pt>
                <c:pt idx="1413">
                  <c:v>46857</c:v>
                </c:pt>
                <c:pt idx="1414">
                  <c:v>46858</c:v>
                </c:pt>
                <c:pt idx="1415">
                  <c:v>46859</c:v>
                </c:pt>
                <c:pt idx="1416">
                  <c:v>46860</c:v>
                </c:pt>
                <c:pt idx="1417">
                  <c:v>46861</c:v>
                </c:pt>
                <c:pt idx="1418">
                  <c:v>46862</c:v>
                </c:pt>
                <c:pt idx="1419">
                  <c:v>46863</c:v>
                </c:pt>
                <c:pt idx="1420">
                  <c:v>46864</c:v>
                </c:pt>
                <c:pt idx="1421">
                  <c:v>46865</c:v>
                </c:pt>
                <c:pt idx="1422">
                  <c:v>46866</c:v>
                </c:pt>
                <c:pt idx="1423">
                  <c:v>46867</c:v>
                </c:pt>
                <c:pt idx="1424">
                  <c:v>46868</c:v>
                </c:pt>
                <c:pt idx="1425">
                  <c:v>46869</c:v>
                </c:pt>
                <c:pt idx="1426">
                  <c:v>46870</c:v>
                </c:pt>
                <c:pt idx="1427">
                  <c:v>46871</c:v>
                </c:pt>
                <c:pt idx="1428">
                  <c:v>46872</c:v>
                </c:pt>
                <c:pt idx="1429">
                  <c:v>46873</c:v>
                </c:pt>
                <c:pt idx="1430">
                  <c:v>46874</c:v>
                </c:pt>
                <c:pt idx="1431">
                  <c:v>46875</c:v>
                </c:pt>
                <c:pt idx="1432">
                  <c:v>46876</c:v>
                </c:pt>
                <c:pt idx="1433">
                  <c:v>46877</c:v>
                </c:pt>
                <c:pt idx="1434">
                  <c:v>46878</c:v>
                </c:pt>
                <c:pt idx="1435">
                  <c:v>46879</c:v>
                </c:pt>
                <c:pt idx="1436">
                  <c:v>46880</c:v>
                </c:pt>
                <c:pt idx="1437">
                  <c:v>46881</c:v>
                </c:pt>
                <c:pt idx="1438">
                  <c:v>46882</c:v>
                </c:pt>
                <c:pt idx="1439">
                  <c:v>46883</c:v>
                </c:pt>
                <c:pt idx="1440">
                  <c:v>46884</c:v>
                </c:pt>
                <c:pt idx="1441">
                  <c:v>46885</c:v>
                </c:pt>
                <c:pt idx="1442">
                  <c:v>46886</c:v>
                </c:pt>
                <c:pt idx="1443">
                  <c:v>46887</c:v>
                </c:pt>
                <c:pt idx="1444">
                  <c:v>46888</c:v>
                </c:pt>
                <c:pt idx="1445">
                  <c:v>46889</c:v>
                </c:pt>
                <c:pt idx="1446">
                  <c:v>46890</c:v>
                </c:pt>
                <c:pt idx="1447">
                  <c:v>46891</c:v>
                </c:pt>
                <c:pt idx="1448">
                  <c:v>46892</c:v>
                </c:pt>
                <c:pt idx="1449">
                  <c:v>46893</c:v>
                </c:pt>
                <c:pt idx="1450">
                  <c:v>46894</c:v>
                </c:pt>
                <c:pt idx="1451">
                  <c:v>46895</c:v>
                </c:pt>
                <c:pt idx="1452">
                  <c:v>46896</c:v>
                </c:pt>
                <c:pt idx="1453">
                  <c:v>46897</c:v>
                </c:pt>
                <c:pt idx="1454">
                  <c:v>46898</c:v>
                </c:pt>
                <c:pt idx="1455">
                  <c:v>46899</c:v>
                </c:pt>
                <c:pt idx="1456">
                  <c:v>46900</c:v>
                </c:pt>
                <c:pt idx="1457">
                  <c:v>46901</c:v>
                </c:pt>
                <c:pt idx="1458">
                  <c:v>46902</c:v>
                </c:pt>
                <c:pt idx="1459">
                  <c:v>46903</c:v>
                </c:pt>
                <c:pt idx="1460">
                  <c:v>46904</c:v>
                </c:pt>
                <c:pt idx="1461">
                  <c:v>46905</c:v>
                </c:pt>
                <c:pt idx="1462">
                  <c:v>46906</c:v>
                </c:pt>
                <c:pt idx="1463">
                  <c:v>46907</c:v>
                </c:pt>
                <c:pt idx="1464">
                  <c:v>46908</c:v>
                </c:pt>
                <c:pt idx="1465">
                  <c:v>46909</c:v>
                </c:pt>
                <c:pt idx="1466">
                  <c:v>46910</c:v>
                </c:pt>
                <c:pt idx="1467">
                  <c:v>46911</c:v>
                </c:pt>
                <c:pt idx="1468">
                  <c:v>46912</c:v>
                </c:pt>
                <c:pt idx="1469">
                  <c:v>46913</c:v>
                </c:pt>
                <c:pt idx="1470">
                  <c:v>46914</c:v>
                </c:pt>
                <c:pt idx="1471">
                  <c:v>46915</c:v>
                </c:pt>
                <c:pt idx="1472">
                  <c:v>46916</c:v>
                </c:pt>
                <c:pt idx="1473">
                  <c:v>46917</c:v>
                </c:pt>
                <c:pt idx="1474">
                  <c:v>46918</c:v>
                </c:pt>
                <c:pt idx="1475">
                  <c:v>46919</c:v>
                </c:pt>
                <c:pt idx="1476">
                  <c:v>46920</c:v>
                </c:pt>
                <c:pt idx="1477">
                  <c:v>46921</c:v>
                </c:pt>
                <c:pt idx="1478">
                  <c:v>46922</c:v>
                </c:pt>
                <c:pt idx="1479">
                  <c:v>46923</c:v>
                </c:pt>
                <c:pt idx="1480">
                  <c:v>46924</c:v>
                </c:pt>
                <c:pt idx="1481">
                  <c:v>46925</c:v>
                </c:pt>
                <c:pt idx="1482">
                  <c:v>46926</c:v>
                </c:pt>
                <c:pt idx="1483">
                  <c:v>46927</c:v>
                </c:pt>
                <c:pt idx="1484">
                  <c:v>46928</c:v>
                </c:pt>
                <c:pt idx="1485">
                  <c:v>46929</c:v>
                </c:pt>
                <c:pt idx="1486">
                  <c:v>46930</c:v>
                </c:pt>
                <c:pt idx="1487">
                  <c:v>46931</c:v>
                </c:pt>
                <c:pt idx="1488">
                  <c:v>46932</c:v>
                </c:pt>
                <c:pt idx="1489">
                  <c:v>46933</c:v>
                </c:pt>
                <c:pt idx="1490">
                  <c:v>46934</c:v>
                </c:pt>
                <c:pt idx="1491">
                  <c:v>46935</c:v>
                </c:pt>
                <c:pt idx="1492">
                  <c:v>46936</c:v>
                </c:pt>
                <c:pt idx="1493">
                  <c:v>46937</c:v>
                </c:pt>
                <c:pt idx="1494">
                  <c:v>46938</c:v>
                </c:pt>
                <c:pt idx="1495">
                  <c:v>46939</c:v>
                </c:pt>
                <c:pt idx="1496">
                  <c:v>46940</c:v>
                </c:pt>
                <c:pt idx="1497">
                  <c:v>46941</c:v>
                </c:pt>
                <c:pt idx="1498">
                  <c:v>46942</c:v>
                </c:pt>
                <c:pt idx="1499">
                  <c:v>46943</c:v>
                </c:pt>
                <c:pt idx="1500">
                  <c:v>46944</c:v>
                </c:pt>
                <c:pt idx="1501">
                  <c:v>46945</c:v>
                </c:pt>
                <c:pt idx="1502">
                  <c:v>46946</c:v>
                </c:pt>
                <c:pt idx="1503">
                  <c:v>46947</c:v>
                </c:pt>
                <c:pt idx="1504">
                  <c:v>46948</c:v>
                </c:pt>
                <c:pt idx="1505">
                  <c:v>46949</c:v>
                </c:pt>
                <c:pt idx="1506">
                  <c:v>46950</c:v>
                </c:pt>
                <c:pt idx="1507">
                  <c:v>46951</c:v>
                </c:pt>
                <c:pt idx="1508">
                  <c:v>46952</c:v>
                </c:pt>
                <c:pt idx="1509">
                  <c:v>46953</c:v>
                </c:pt>
                <c:pt idx="1510">
                  <c:v>46954</c:v>
                </c:pt>
                <c:pt idx="1511">
                  <c:v>46955</c:v>
                </c:pt>
                <c:pt idx="1512">
                  <c:v>46956</c:v>
                </c:pt>
                <c:pt idx="1513">
                  <c:v>46957</c:v>
                </c:pt>
                <c:pt idx="1514">
                  <c:v>46958</c:v>
                </c:pt>
                <c:pt idx="1515">
                  <c:v>46959</c:v>
                </c:pt>
                <c:pt idx="1516">
                  <c:v>46960</c:v>
                </c:pt>
                <c:pt idx="1517">
                  <c:v>46961</c:v>
                </c:pt>
                <c:pt idx="1518">
                  <c:v>46962</c:v>
                </c:pt>
                <c:pt idx="1519">
                  <c:v>46963</c:v>
                </c:pt>
                <c:pt idx="1520">
                  <c:v>46964</c:v>
                </c:pt>
                <c:pt idx="1521">
                  <c:v>46965</c:v>
                </c:pt>
                <c:pt idx="1522">
                  <c:v>46966</c:v>
                </c:pt>
                <c:pt idx="1523">
                  <c:v>46967</c:v>
                </c:pt>
                <c:pt idx="1524">
                  <c:v>46968</c:v>
                </c:pt>
                <c:pt idx="1525">
                  <c:v>46969</c:v>
                </c:pt>
                <c:pt idx="1526">
                  <c:v>46970</c:v>
                </c:pt>
                <c:pt idx="1527">
                  <c:v>46971</c:v>
                </c:pt>
                <c:pt idx="1528">
                  <c:v>46972</c:v>
                </c:pt>
                <c:pt idx="1529">
                  <c:v>46973</c:v>
                </c:pt>
                <c:pt idx="1530">
                  <c:v>46974</c:v>
                </c:pt>
                <c:pt idx="1531">
                  <c:v>46975</c:v>
                </c:pt>
                <c:pt idx="1532">
                  <c:v>46976</c:v>
                </c:pt>
                <c:pt idx="1533">
                  <c:v>46977</c:v>
                </c:pt>
                <c:pt idx="1534">
                  <c:v>46978</c:v>
                </c:pt>
                <c:pt idx="1535">
                  <c:v>46979</c:v>
                </c:pt>
                <c:pt idx="1536">
                  <c:v>46980</c:v>
                </c:pt>
                <c:pt idx="1537">
                  <c:v>46981</c:v>
                </c:pt>
                <c:pt idx="1538">
                  <c:v>46982</c:v>
                </c:pt>
                <c:pt idx="1539">
                  <c:v>46983</c:v>
                </c:pt>
                <c:pt idx="1540">
                  <c:v>46984</c:v>
                </c:pt>
                <c:pt idx="1541">
                  <c:v>46985</c:v>
                </c:pt>
                <c:pt idx="1542">
                  <c:v>46986</c:v>
                </c:pt>
                <c:pt idx="1543">
                  <c:v>46987</c:v>
                </c:pt>
                <c:pt idx="1544">
                  <c:v>46988</c:v>
                </c:pt>
                <c:pt idx="1545">
                  <c:v>46989</c:v>
                </c:pt>
                <c:pt idx="1546">
                  <c:v>46990</c:v>
                </c:pt>
                <c:pt idx="1547">
                  <c:v>46991</c:v>
                </c:pt>
                <c:pt idx="1548">
                  <c:v>46992</c:v>
                </c:pt>
                <c:pt idx="1549">
                  <c:v>46993</c:v>
                </c:pt>
                <c:pt idx="1550">
                  <c:v>46994</c:v>
                </c:pt>
                <c:pt idx="1551">
                  <c:v>46995</c:v>
                </c:pt>
                <c:pt idx="1552">
                  <c:v>46996</c:v>
                </c:pt>
                <c:pt idx="1553">
                  <c:v>46997</c:v>
                </c:pt>
                <c:pt idx="1554">
                  <c:v>46998</c:v>
                </c:pt>
                <c:pt idx="1555">
                  <c:v>46999</c:v>
                </c:pt>
                <c:pt idx="1556">
                  <c:v>47000</c:v>
                </c:pt>
                <c:pt idx="1557">
                  <c:v>47001</c:v>
                </c:pt>
                <c:pt idx="1558">
                  <c:v>47002</c:v>
                </c:pt>
                <c:pt idx="1559">
                  <c:v>47003</c:v>
                </c:pt>
                <c:pt idx="1560">
                  <c:v>47004</c:v>
                </c:pt>
                <c:pt idx="1561">
                  <c:v>47005</c:v>
                </c:pt>
                <c:pt idx="1562">
                  <c:v>47006</c:v>
                </c:pt>
                <c:pt idx="1563">
                  <c:v>47007</c:v>
                </c:pt>
                <c:pt idx="1564">
                  <c:v>47008</c:v>
                </c:pt>
                <c:pt idx="1565">
                  <c:v>47009</c:v>
                </c:pt>
                <c:pt idx="1566">
                  <c:v>47010</c:v>
                </c:pt>
                <c:pt idx="1567">
                  <c:v>47011</c:v>
                </c:pt>
                <c:pt idx="1568">
                  <c:v>47012</c:v>
                </c:pt>
                <c:pt idx="1569">
                  <c:v>47013</c:v>
                </c:pt>
                <c:pt idx="1570">
                  <c:v>47014</c:v>
                </c:pt>
                <c:pt idx="1571">
                  <c:v>47015</c:v>
                </c:pt>
                <c:pt idx="1572">
                  <c:v>47016</c:v>
                </c:pt>
                <c:pt idx="1573">
                  <c:v>47017</c:v>
                </c:pt>
                <c:pt idx="1574">
                  <c:v>47018</c:v>
                </c:pt>
                <c:pt idx="1575">
                  <c:v>47019</c:v>
                </c:pt>
                <c:pt idx="1576">
                  <c:v>47020</c:v>
                </c:pt>
                <c:pt idx="1577">
                  <c:v>47021</c:v>
                </c:pt>
                <c:pt idx="1578">
                  <c:v>47022</c:v>
                </c:pt>
                <c:pt idx="1579">
                  <c:v>47023</c:v>
                </c:pt>
                <c:pt idx="1580">
                  <c:v>47024</c:v>
                </c:pt>
                <c:pt idx="1581">
                  <c:v>47025</c:v>
                </c:pt>
                <c:pt idx="1582">
                  <c:v>47026</c:v>
                </c:pt>
                <c:pt idx="1583">
                  <c:v>47027</c:v>
                </c:pt>
                <c:pt idx="1584">
                  <c:v>47028</c:v>
                </c:pt>
                <c:pt idx="1585">
                  <c:v>47029</c:v>
                </c:pt>
                <c:pt idx="1586">
                  <c:v>47030</c:v>
                </c:pt>
                <c:pt idx="1587">
                  <c:v>47031</c:v>
                </c:pt>
                <c:pt idx="1588">
                  <c:v>47032</c:v>
                </c:pt>
                <c:pt idx="1589">
                  <c:v>47033</c:v>
                </c:pt>
                <c:pt idx="1590">
                  <c:v>47034</c:v>
                </c:pt>
                <c:pt idx="1591">
                  <c:v>47035</c:v>
                </c:pt>
                <c:pt idx="1592">
                  <c:v>47036</c:v>
                </c:pt>
                <c:pt idx="1593">
                  <c:v>47037</c:v>
                </c:pt>
                <c:pt idx="1594">
                  <c:v>47038</c:v>
                </c:pt>
                <c:pt idx="1595">
                  <c:v>47039</c:v>
                </c:pt>
                <c:pt idx="1596">
                  <c:v>47040</c:v>
                </c:pt>
                <c:pt idx="1597">
                  <c:v>47041</c:v>
                </c:pt>
                <c:pt idx="1598">
                  <c:v>47042</c:v>
                </c:pt>
                <c:pt idx="1599">
                  <c:v>47043</c:v>
                </c:pt>
                <c:pt idx="1600">
                  <c:v>47044</c:v>
                </c:pt>
                <c:pt idx="1601">
                  <c:v>47045</c:v>
                </c:pt>
                <c:pt idx="1602">
                  <c:v>47046</c:v>
                </c:pt>
                <c:pt idx="1603">
                  <c:v>47047</c:v>
                </c:pt>
                <c:pt idx="1604">
                  <c:v>47048</c:v>
                </c:pt>
                <c:pt idx="1605">
                  <c:v>47049</c:v>
                </c:pt>
                <c:pt idx="1606">
                  <c:v>47050</c:v>
                </c:pt>
                <c:pt idx="1607">
                  <c:v>47051</c:v>
                </c:pt>
                <c:pt idx="1608">
                  <c:v>47052</c:v>
                </c:pt>
                <c:pt idx="1609">
                  <c:v>47053</c:v>
                </c:pt>
                <c:pt idx="1610">
                  <c:v>47054</c:v>
                </c:pt>
                <c:pt idx="1611">
                  <c:v>47055</c:v>
                </c:pt>
                <c:pt idx="1612">
                  <c:v>47056</c:v>
                </c:pt>
                <c:pt idx="1613">
                  <c:v>47057</c:v>
                </c:pt>
                <c:pt idx="1614">
                  <c:v>47058</c:v>
                </c:pt>
                <c:pt idx="1615">
                  <c:v>47059</c:v>
                </c:pt>
                <c:pt idx="1616">
                  <c:v>47060</c:v>
                </c:pt>
                <c:pt idx="1617">
                  <c:v>47061</c:v>
                </c:pt>
                <c:pt idx="1618">
                  <c:v>47062</c:v>
                </c:pt>
                <c:pt idx="1619">
                  <c:v>47063</c:v>
                </c:pt>
                <c:pt idx="1620">
                  <c:v>47064</c:v>
                </c:pt>
                <c:pt idx="1621">
                  <c:v>47065</c:v>
                </c:pt>
                <c:pt idx="1622">
                  <c:v>47066</c:v>
                </c:pt>
                <c:pt idx="1623">
                  <c:v>47067</c:v>
                </c:pt>
                <c:pt idx="1624">
                  <c:v>47068</c:v>
                </c:pt>
                <c:pt idx="1625">
                  <c:v>47069</c:v>
                </c:pt>
                <c:pt idx="1626">
                  <c:v>47070</c:v>
                </c:pt>
                <c:pt idx="1627">
                  <c:v>47071</c:v>
                </c:pt>
                <c:pt idx="1628">
                  <c:v>47072</c:v>
                </c:pt>
                <c:pt idx="1629">
                  <c:v>47073</c:v>
                </c:pt>
                <c:pt idx="1630">
                  <c:v>47074</c:v>
                </c:pt>
                <c:pt idx="1631">
                  <c:v>47075</c:v>
                </c:pt>
                <c:pt idx="1632">
                  <c:v>47076</c:v>
                </c:pt>
                <c:pt idx="1633">
                  <c:v>47077</c:v>
                </c:pt>
                <c:pt idx="1634">
                  <c:v>47078</c:v>
                </c:pt>
                <c:pt idx="1635">
                  <c:v>47079</c:v>
                </c:pt>
                <c:pt idx="1636">
                  <c:v>47080</c:v>
                </c:pt>
                <c:pt idx="1637">
                  <c:v>47081</c:v>
                </c:pt>
                <c:pt idx="1638">
                  <c:v>47082</c:v>
                </c:pt>
                <c:pt idx="1639">
                  <c:v>47083</c:v>
                </c:pt>
                <c:pt idx="1640">
                  <c:v>47084</c:v>
                </c:pt>
                <c:pt idx="1641">
                  <c:v>47085</c:v>
                </c:pt>
                <c:pt idx="1642">
                  <c:v>47086</c:v>
                </c:pt>
                <c:pt idx="1643">
                  <c:v>47087</c:v>
                </c:pt>
                <c:pt idx="1644">
                  <c:v>47088</c:v>
                </c:pt>
                <c:pt idx="1645">
                  <c:v>47089</c:v>
                </c:pt>
                <c:pt idx="1646">
                  <c:v>47090</c:v>
                </c:pt>
                <c:pt idx="1647">
                  <c:v>47091</c:v>
                </c:pt>
                <c:pt idx="1648">
                  <c:v>47092</c:v>
                </c:pt>
                <c:pt idx="1649">
                  <c:v>47093</c:v>
                </c:pt>
                <c:pt idx="1650">
                  <c:v>47094</c:v>
                </c:pt>
                <c:pt idx="1651">
                  <c:v>47095</c:v>
                </c:pt>
                <c:pt idx="1652">
                  <c:v>47096</c:v>
                </c:pt>
                <c:pt idx="1653">
                  <c:v>47097</c:v>
                </c:pt>
                <c:pt idx="1654">
                  <c:v>47098</c:v>
                </c:pt>
                <c:pt idx="1655">
                  <c:v>47099</c:v>
                </c:pt>
                <c:pt idx="1656">
                  <c:v>47100</c:v>
                </c:pt>
                <c:pt idx="1657">
                  <c:v>47101</c:v>
                </c:pt>
                <c:pt idx="1658">
                  <c:v>47102</c:v>
                </c:pt>
                <c:pt idx="1659">
                  <c:v>47103</c:v>
                </c:pt>
                <c:pt idx="1660">
                  <c:v>47104</c:v>
                </c:pt>
                <c:pt idx="1661">
                  <c:v>47105</c:v>
                </c:pt>
                <c:pt idx="1662">
                  <c:v>47106</c:v>
                </c:pt>
                <c:pt idx="1663">
                  <c:v>47107</c:v>
                </c:pt>
                <c:pt idx="1664">
                  <c:v>47108</c:v>
                </c:pt>
                <c:pt idx="1665">
                  <c:v>47109</c:v>
                </c:pt>
                <c:pt idx="1666">
                  <c:v>47110</c:v>
                </c:pt>
                <c:pt idx="1667">
                  <c:v>47111</c:v>
                </c:pt>
                <c:pt idx="1668">
                  <c:v>47112</c:v>
                </c:pt>
                <c:pt idx="1669">
                  <c:v>47113</c:v>
                </c:pt>
                <c:pt idx="1670">
                  <c:v>47114</c:v>
                </c:pt>
                <c:pt idx="1671">
                  <c:v>47115</c:v>
                </c:pt>
                <c:pt idx="1672">
                  <c:v>47116</c:v>
                </c:pt>
                <c:pt idx="1673">
                  <c:v>47117</c:v>
                </c:pt>
                <c:pt idx="1674">
                  <c:v>47118</c:v>
                </c:pt>
              </c:numCache>
            </c:numRef>
          </c:cat>
          <c:val>
            <c:numRef>
              <c:f>'5.4'!$I$6:$I$1680</c:f>
              <c:numCache>
                <c:formatCode>0</c:formatCode>
                <c:ptCount val="1675"/>
                <c:pt idx="0">
                  <c:v>2485.8705519255</c:v>
                </c:pt>
                <c:pt idx="1">
                  <c:v>2485.8705519255</c:v>
                </c:pt>
                <c:pt idx="2">
                  <c:v>2485.8705519255</c:v>
                </c:pt>
                <c:pt idx="3">
                  <c:v>2485.8705519255</c:v>
                </c:pt>
                <c:pt idx="4">
                  <c:v>2485.8705519255</c:v>
                </c:pt>
                <c:pt idx="5">
                  <c:v>2485.8705519255</c:v>
                </c:pt>
                <c:pt idx="6">
                  <c:v>2485.8705519255</c:v>
                </c:pt>
                <c:pt idx="7">
                  <c:v>2485.8705519255</c:v>
                </c:pt>
                <c:pt idx="8">
                  <c:v>2485.8705519255</c:v>
                </c:pt>
                <c:pt idx="9">
                  <c:v>2485.8705519255</c:v>
                </c:pt>
                <c:pt idx="10">
                  <c:v>2485.8705519255</c:v>
                </c:pt>
                <c:pt idx="11">
                  <c:v>2485.8705519255</c:v>
                </c:pt>
                <c:pt idx="12">
                  <c:v>2485.8705519255</c:v>
                </c:pt>
                <c:pt idx="13">
                  <c:v>2485.8705519255</c:v>
                </c:pt>
                <c:pt idx="14">
                  <c:v>2485.8705519255</c:v>
                </c:pt>
                <c:pt idx="15">
                  <c:v>2485.8705519255</c:v>
                </c:pt>
                <c:pt idx="16">
                  <c:v>2485.8705519255</c:v>
                </c:pt>
                <c:pt idx="17">
                  <c:v>2485.8705519255</c:v>
                </c:pt>
                <c:pt idx="18">
                  <c:v>2485.8705519255</c:v>
                </c:pt>
                <c:pt idx="19">
                  <c:v>2485.8705519255</c:v>
                </c:pt>
                <c:pt idx="20">
                  <c:v>2485.8705519255</c:v>
                </c:pt>
                <c:pt idx="21">
                  <c:v>2485.8705519255</c:v>
                </c:pt>
                <c:pt idx="22">
                  <c:v>2485.8705519255</c:v>
                </c:pt>
                <c:pt idx="23">
                  <c:v>2485.8705519255</c:v>
                </c:pt>
                <c:pt idx="24">
                  <c:v>2485.8705519255</c:v>
                </c:pt>
                <c:pt idx="25">
                  <c:v>2485.8705519255</c:v>
                </c:pt>
                <c:pt idx="26">
                  <c:v>2485.8705519255</c:v>
                </c:pt>
                <c:pt idx="27">
                  <c:v>2485.8705519255</c:v>
                </c:pt>
                <c:pt idx="28">
                  <c:v>2485.8705519255</c:v>
                </c:pt>
                <c:pt idx="29">
                  <c:v>2485.8705519255</c:v>
                </c:pt>
                <c:pt idx="30">
                  <c:v>2417.8576654356998</c:v>
                </c:pt>
                <c:pt idx="31">
                  <c:v>2417.8576654356998</c:v>
                </c:pt>
                <c:pt idx="32">
                  <c:v>2417.8576654356998</c:v>
                </c:pt>
                <c:pt idx="33">
                  <c:v>2417.8576654356998</c:v>
                </c:pt>
                <c:pt idx="34">
                  <c:v>2417.8576654356998</c:v>
                </c:pt>
                <c:pt idx="35">
                  <c:v>2417.8576654356998</c:v>
                </c:pt>
                <c:pt idx="36">
                  <c:v>2417.8576654356998</c:v>
                </c:pt>
                <c:pt idx="37">
                  <c:v>2417.8576654356998</c:v>
                </c:pt>
                <c:pt idx="38">
                  <c:v>2417.8576654356998</c:v>
                </c:pt>
                <c:pt idx="39">
                  <c:v>2417.8576654356998</c:v>
                </c:pt>
                <c:pt idx="40">
                  <c:v>2417.8576654356998</c:v>
                </c:pt>
                <c:pt idx="41">
                  <c:v>2417.8576654356998</c:v>
                </c:pt>
                <c:pt idx="42">
                  <c:v>2417.8576654356998</c:v>
                </c:pt>
                <c:pt idx="43">
                  <c:v>2417.8576654356998</c:v>
                </c:pt>
                <c:pt idx="44">
                  <c:v>2417.8576654356998</c:v>
                </c:pt>
                <c:pt idx="45">
                  <c:v>2417.8576654356998</c:v>
                </c:pt>
                <c:pt idx="46">
                  <c:v>2417.8576654356998</c:v>
                </c:pt>
                <c:pt idx="47">
                  <c:v>2417.8576654356998</c:v>
                </c:pt>
                <c:pt idx="48">
                  <c:v>2417.8576654356998</c:v>
                </c:pt>
                <c:pt idx="49">
                  <c:v>2417.8576654356998</c:v>
                </c:pt>
                <c:pt idx="50">
                  <c:v>2417.8576654356998</c:v>
                </c:pt>
                <c:pt idx="51">
                  <c:v>2417.8576654356998</c:v>
                </c:pt>
                <c:pt idx="52">
                  <c:v>2417.8576654356998</c:v>
                </c:pt>
                <c:pt idx="53">
                  <c:v>2417.8576654356998</c:v>
                </c:pt>
                <c:pt idx="54">
                  <c:v>2417.8576654356998</c:v>
                </c:pt>
                <c:pt idx="55">
                  <c:v>2417.8576654356998</c:v>
                </c:pt>
                <c:pt idx="56">
                  <c:v>2417.8576654356998</c:v>
                </c:pt>
                <c:pt idx="57">
                  <c:v>2417.8576654356998</c:v>
                </c:pt>
                <c:pt idx="58">
                  <c:v>2417.8576654356998</c:v>
                </c:pt>
                <c:pt idx="59">
                  <c:v>2417.8576654356998</c:v>
                </c:pt>
                <c:pt idx="60">
                  <c:v>2417.8576654356998</c:v>
                </c:pt>
                <c:pt idx="61">
                  <c:v>2417.8576654356998</c:v>
                </c:pt>
                <c:pt idx="62">
                  <c:v>2417.8576654356998</c:v>
                </c:pt>
                <c:pt idx="63">
                  <c:v>2417.8576654356998</c:v>
                </c:pt>
                <c:pt idx="64">
                  <c:v>2417.8576654356998</c:v>
                </c:pt>
                <c:pt idx="65">
                  <c:v>2417.8576654356998</c:v>
                </c:pt>
                <c:pt idx="66">
                  <c:v>2417.8576654356998</c:v>
                </c:pt>
                <c:pt idx="67">
                  <c:v>2417.8576654356998</c:v>
                </c:pt>
                <c:pt idx="68">
                  <c:v>2417.8576654356998</c:v>
                </c:pt>
                <c:pt idx="69">
                  <c:v>2417.8576654356998</c:v>
                </c:pt>
                <c:pt idx="70">
                  <c:v>2417.8576654356998</c:v>
                </c:pt>
                <c:pt idx="71">
                  <c:v>2417.8576654356998</c:v>
                </c:pt>
                <c:pt idx="72">
                  <c:v>2417.8576654356998</c:v>
                </c:pt>
                <c:pt idx="73">
                  <c:v>2417.8576654356998</c:v>
                </c:pt>
                <c:pt idx="74">
                  <c:v>2417.8576654356998</c:v>
                </c:pt>
                <c:pt idx="75">
                  <c:v>2417.8576654356998</c:v>
                </c:pt>
                <c:pt idx="76">
                  <c:v>2417.8576654356998</c:v>
                </c:pt>
                <c:pt idx="77">
                  <c:v>2417.8576654356998</c:v>
                </c:pt>
                <c:pt idx="78">
                  <c:v>2417.8576654356998</c:v>
                </c:pt>
                <c:pt idx="79">
                  <c:v>2417.8576654356998</c:v>
                </c:pt>
                <c:pt idx="80">
                  <c:v>2417.8576654356998</c:v>
                </c:pt>
                <c:pt idx="81">
                  <c:v>2417.8576654356998</c:v>
                </c:pt>
                <c:pt idx="82">
                  <c:v>2417.8576654356998</c:v>
                </c:pt>
                <c:pt idx="83">
                  <c:v>2417.8576654356998</c:v>
                </c:pt>
                <c:pt idx="84">
                  <c:v>2417.8576654356998</c:v>
                </c:pt>
                <c:pt idx="85">
                  <c:v>2417.8576654356998</c:v>
                </c:pt>
                <c:pt idx="86">
                  <c:v>2417.8576654356998</c:v>
                </c:pt>
                <c:pt idx="87">
                  <c:v>2417.8576654356998</c:v>
                </c:pt>
                <c:pt idx="88">
                  <c:v>2417.8576654356998</c:v>
                </c:pt>
                <c:pt idx="89">
                  <c:v>2417.8576654356998</c:v>
                </c:pt>
                <c:pt idx="90">
                  <c:v>2417.8576654356998</c:v>
                </c:pt>
                <c:pt idx="91">
                  <c:v>2417.8576654356998</c:v>
                </c:pt>
                <c:pt idx="92">
                  <c:v>2417.8576654356998</c:v>
                </c:pt>
                <c:pt idx="93">
                  <c:v>2417.8576654356998</c:v>
                </c:pt>
                <c:pt idx="94">
                  <c:v>2417.8576654356998</c:v>
                </c:pt>
                <c:pt idx="95">
                  <c:v>2417.8576654356998</c:v>
                </c:pt>
                <c:pt idx="96">
                  <c:v>2417.8576654356998</c:v>
                </c:pt>
                <c:pt idx="97">
                  <c:v>2417.8576654356998</c:v>
                </c:pt>
                <c:pt idx="98">
                  <c:v>2417.8576654356998</c:v>
                </c:pt>
                <c:pt idx="99">
                  <c:v>2417.8576654356998</c:v>
                </c:pt>
                <c:pt idx="100">
                  <c:v>2417.8576654356998</c:v>
                </c:pt>
                <c:pt idx="101">
                  <c:v>2417.8576654356998</c:v>
                </c:pt>
                <c:pt idx="102">
                  <c:v>2417.8576654356998</c:v>
                </c:pt>
                <c:pt idx="103">
                  <c:v>2417.8576654356998</c:v>
                </c:pt>
                <c:pt idx="104">
                  <c:v>2417.8576654356998</c:v>
                </c:pt>
                <c:pt idx="105">
                  <c:v>2417.8576654356998</c:v>
                </c:pt>
                <c:pt idx="106">
                  <c:v>2417.8576654356998</c:v>
                </c:pt>
                <c:pt idx="107">
                  <c:v>2417.8576654356998</c:v>
                </c:pt>
                <c:pt idx="108">
                  <c:v>2417.8576654356998</c:v>
                </c:pt>
                <c:pt idx="109">
                  <c:v>2417.8576654356998</c:v>
                </c:pt>
                <c:pt idx="110">
                  <c:v>2417.8576654356998</c:v>
                </c:pt>
                <c:pt idx="111">
                  <c:v>2417.8576654356998</c:v>
                </c:pt>
                <c:pt idx="112">
                  <c:v>2417.8576654356998</c:v>
                </c:pt>
                <c:pt idx="113">
                  <c:v>2417.8576654356998</c:v>
                </c:pt>
                <c:pt idx="114">
                  <c:v>2417.8576654356998</c:v>
                </c:pt>
                <c:pt idx="115">
                  <c:v>2417.8576654356998</c:v>
                </c:pt>
                <c:pt idx="116">
                  <c:v>2417.8576654356998</c:v>
                </c:pt>
                <c:pt idx="117">
                  <c:v>2417.8576654356998</c:v>
                </c:pt>
                <c:pt idx="118">
                  <c:v>2417.8576654356998</c:v>
                </c:pt>
                <c:pt idx="119">
                  <c:v>2417.8576654356998</c:v>
                </c:pt>
                <c:pt idx="120">
                  <c:v>2417.8576654356998</c:v>
                </c:pt>
                <c:pt idx="121">
                  <c:v>2417.8576654356998</c:v>
                </c:pt>
                <c:pt idx="122">
                  <c:v>2417.8576654356998</c:v>
                </c:pt>
                <c:pt idx="123">
                  <c:v>2417.8576654356998</c:v>
                </c:pt>
                <c:pt idx="124">
                  <c:v>2417.8576654356998</c:v>
                </c:pt>
                <c:pt idx="125">
                  <c:v>2417.8576654356998</c:v>
                </c:pt>
                <c:pt idx="126">
                  <c:v>2417.8576654356998</c:v>
                </c:pt>
                <c:pt idx="127">
                  <c:v>2417.8576654356998</c:v>
                </c:pt>
                <c:pt idx="128">
                  <c:v>2417.8576654356998</c:v>
                </c:pt>
                <c:pt idx="129">
                  <c:v>2417.8576654356998</c:v>
                </c:pt>
                <c:pt idx="130">
                  <c:v>2417.8576654356998</c:v>
                </c:pt>
                <c:pt idx="131">
                  <c:v>2417.8576654356998</c:v>
                </c:pt>
                <c:pt idx="132">
                  <c:v>2417.8576654356998</c:v>
                </c:pt>
                <c:pt idx="133">
                  <c:v>2417.8576654356998</c:v>
                </c:pt>
                <c:pt idx="134">
                  <c:v>2417.8576654356998</c:v>
                </c:pt>
                <c:pt idx="135">
                  <c:v>2417.8576654356998</c:v>
                </c:pt>
                <c:pt idx="136">
                  <c:v>2417.8576654356998</c:v>
                </c:pt>
                <c:pt idx="137">
                  <c:v>2417.8576654356998</c:v>
                </c:pt>
                <c:pt idx="138">
                  <c:v>2417.8576654356998</c:v>
                </c:pt>
                <c:pt idx="139">
                  <c:v>2417.8576654356998</c:v>
                </c:pt>
                <c:pt idx="140">
                  <c:v>2417.8576654356998</c:v>
                </c:pt>
                <c:pt idx="141">
                  <c:v>2417.8576654356998</c:v>
                </c:pt>
                <c:pt idx="142">
                  <c:v>2417.8576654356998</c:v>
                </c:pt>
                <c:pt idx="143">
                  <c:v>2417.8576654356998</c:v>
                </c:pt>
                <c:pt idx="144">
                  <c:v>2417.8576654356998</c:v>
                </c:pt>
                <c:pt idx="145">
                  <c:v>2417.8576654356998</c:v>
                </c:pt>
                <c:pt idx="146">
                  <c:v>2417.8576654356998</c:v>
                </c:pt>
                <c:pt idx="147">
                  <c:v>2417.8576654356998</c:v>
                </c:pt>
                <c:pt idx="148">
                  <c:v>2417.8576654356998</c:v>
                </c:pt>
                <c:pt idx="149">
                  <c:v>2417.8576654356998</c:v>
                </c:pt>
                <c:pt idx="150">
                  <c:v>2417.8576654356998</c:v>
                </c:pt>
                <c:pt idx="151">
                  <c:v>2417.8576654356998</c:v>
                </c:pt>
                <c:pt idx="152">
                  <c:v>2417.8576654356998</c:v>
                </c:pt>
                <c:pt idx="153">
                  <c:v>2417.8576654356998</c:v>
                </c:pt>
                <c:pt idx="154">
                  <c:v>2417.8576654356998</c:v>
                </c:pt>
                <c:pt idx="155">
                  <c:v>2417.8576654356998</c:v>
                </c:pt>
                <c:pt idx="156">
                  <c:v>2417.8576654356998</c:v>
                </c:pt>
                <c:pt idx="157">
                  <c:v>2417.8576654356998</c:v>
                </c:pt>
                <c:pt idx="158">
                  <c:v>2417.8576654356998</c:v>
                </c:pt>
                <c:pt idx="159">
                  <c:v>2417.8576654356998</c:v>
                </c:pt>
                <c:pt idx="160">
                  <c:v>2417.8576654356998</c:v>
                </c:pt>
                <c:pt idx="161">
                  <c:v>2417.8576654356998</c:v>
                </c:pt>
                <c:pt idx="162">
                  <c:v>2417.8576654356998</c:v>
                </c:pt>
                <c:pt idx="163">
                  <c:v>2417.8576654356998</c:v>
                </c:pt>
                <c:pt idx="164">
                  <c:v>2417.8576654356998</c:v>
                </c:pt>
                <c:pt idx="165">
                  <c:v>2417.8576654356998</c:v>
                </c:pt>
                <c:pt idx="166">
                  <c:v>2417.8576654356998</c:v>
                </c:pt>
                <c:pt idx="167">
                  <c:v>2417.8576654356998</c:v>
                </c:pt>
                <c:pt idx="168">
                  <c:v>2417.8576654356998</c:v>
                </c:pt>
                <c:pt idx="169">
                  <c:v>2417.8576654356998</c:v>
                </c:pt>
                <c:pt idx="170">
                  <c:v>2417.8576654356998</c:v>
                </c:pt>
                <c:pt idx="171">
                  <c:v>2417.8576654356998</c:v>
                </c:pt>
                <c:pt idx="172">
                  <c:v>2417.8576654356998</c:v>
                </c:pt>
                <c:pt idx="173">
                  <c:v>2417.8576654356998</c:v>
                </c:pt>
                <c:pt idx="174">
                  <c:v>2417.8576654356998</c:v>
                </c:pt>
                <c:pt idx="175">
                  <c:v>2417.8576654356998</c:v>
                </c:pt>
                <c:pt idx="176">
                  <c:v>2417.8576654356998</c:v>
                </c:pt>
                <c:pt idx="177">
                  <c:v>2417.8576654356998</c:v>
                </c:pt>
                <c:pt idx="178">
                  <c:v>2417.8576654356998</c:v>
                </c:pt>
                <c:pt idx="179">
                  <c:v>2417.8576654356998</c:v>
                </c:pt>
                <c:pt idx="180">
                  <c:v>2417.8576654356998</c:v>
                </c:pt>
                <c:pt idx="181">
                  <c:v>2417.8576654356998</c:v>
                </c:pt>
                <c:pt idx="182">
                  <c:v>2417.8576654356998</c:v>
                </c:pt>
                <c:pt idx="183">
                  <c:v>2417.8576654356998</c:v>
                </c:pt>
                <c:pt idx="184">
                  <c:v>2417.8576654356998</c:v>
                </c:pt>
                <c:pt idx="185">
                  <c:v>2417.8576654356998</c:v>
                </c:pt>
                <c:pt idx="186">
                  <c:v>2417.8576654356998</c:v>
                </c:pt>
                <c:pt idx="187">
                  <c:v>2417.8576654356998</c:v>
                </c:pt>
                <c:pt idx="188">
                  <c:v>2417.8576654356998</c:v>
                </c:pt>
                <c:pt idx="189">
                  <c:v>2417.8576654356998</c:v>
                </c:pt>
                <c:pt idx="190">
                  <c:v>2417.8576654356998</c:v>
                </c:pt>
                <c:pt idx="191">
                  <c:v>2417.8576654356998</c:v>
                </c:pt>
                <c:pt idx="192">
                  <c:v>2417.8576654356998</c:v>
                </c:pt>
                <c:pt idx="193">
                  <c:v>2417.8576654356998</c:v>
                </c:pt>
                <c:pt idx="194">
                  <c:v>2417.8576654356998</c:v>
                </c:pt>
                <c:pt idx="195">
                  <c:v>2417.8576654356998</c:v>
                </c:pt>
                <c:pt idx="196">
                  <c:v>2417.8576654356998</c:v>
                </c:pt>
                <c:pt idx="197">
                  <c:v>2417.8576654356998</c:v>
                </c:pt>
                <c:pt idx="198">
                  <c:v>2417.8576654356998</c:v>
                </c:pt>
                <c:pt idx="199">
                  <c:v>2417.8576654356998</c:v>
                </c:pt>
                <c:pt idx="200">
                  <c:v>2417.8576654356998</c:v>
                </c:pt>
                <c:pt idx="201">
                  <c:v>2417.8576654356998</c:v>
                </c:pt>
                <c:pt idx="202">
                  <c:v>2417.8576654356998</c:v>
                </c:pt>
                <c:pt idx="203">
                  <c:v>2417.8576654356998</c:v>
                </c:pt>
                <c:pt idx="204">
                  <c:v>2417.8576654356998</c:v>
                </c:pt>
                <c:pt idx="205">
                  <c:v>2417.8576654356998</c:v>
                </c:pt>
                <c:pt idx="206">
                  <c:v>2417.8576654356998</c:v>
                </c:pt>
                <c:pt idx="207">
                  <c:v>2417.8576654356998</c:v>
                </c:pt>
                <c:pt idx="208">
                  <c:v>2417.8576654356998</c:v>
                </c:pt>
                <c:pt idx="209">
                  <c:v>2417.8576654356998</c:v>
                </c:pt>
                <c:pt idx="210">
                  <c:v>2417.8576654356998</c:v>
                </c:pt>
                <c:pt idx="211">
                  <c:v>2417.8576654356998</c:v>
                </c:pt>
                <c:pt idx="212">
                  <c:v>2417.8576654356998</c:v>
                </c:pt>
                <c:pt idx="213">
                  <c:v>2417.8576654356998</c:v>
                </c:pt>
                <c:pt idx="214">
                  <c:v>2429.1517520297998</c:v>
                </c:pt>
                <c:pt idx="215">
                  <c:v>2429.1517520297998</c:v>
                </c:pt>
                <c:pt idx="216">
                  <c:v>2429.1517520297998</c:v>
                </c:pt>
                <c:pt idx="217">
                  <c:v>2429.1517520297998</c:v>
                </c:pt>
                <c:pt idx="218">
                  <c:v>2429.1517520297998</c:v>
                </c:pt>
                <c:pt idx="219">
                  <c:v>2429.1517520297998</c:v>
                </c:pt>
                <c:pt idx="220">
                  <c:v>2429.1517520297998</c:v>
                </c:pt>
                <c:pt idx="221">
                  <c:v>2429.1517520297998</c:v>
                </c:pt>
                <c:pt idx="222">
                  <c:v>2429.1517520297998</c:v>
                </c:pt>
                <c:pt idx="223">
                  <c:v>2429.1517520297998</c:v>
                </c:pt>
                <c:pt idx="224">
                  <c:v>2429.1517520297998</c:v>
                </c:pt>
                <c:pt idx="225">
                  <c:v>2429.1517520297998</c:v>
                </c:pt>
                <c:pt idx="226">
                  <c:v>2429.1517520297998</c:v>
                </c:pt>
                <c:pt idx="227">
                  <c:v>2429.1517520297998</c:v>
                </c:pt>
                <c:pt idx="228">
                  <c:v>2429.1517520297998</c:v>
                </c:pt>
                <c:pt idx="229">
                  <c:v>2429.1517520297998</c:v>
                </c:pt>
                <c:pt idx="230">
                  <c:v>2429.1517520297998</c:v>
                </c:pt>
                <c:pt idx="231">
                  <c:v>2429.1517520297998</c:v>
                </c:pt>
                <c:pt idx="232">
                  <c:v>2429.1517520297998</c:v>
                </c:pt>
                <c:pt idx="233">
                  <c:v>2429.1517520297998</c:v>
                </c:pt>
                <c:pt idx="234">
                  <c:v>2429.1517520297998</c:v>
                </c:pt>
                <c:pt idx="235">
                  <c:v>2429.1517520297998</c:v>
                </c:pt>
                <c:pt idx="236">
                  <c:v>2429.1517520297998</c:v>
                </c:pt>
                <c:pt idx="237">
                  <c:v>2429.1517520297998</c:v>
                </c:pt>
                <c:pt idx="238">
                  <c:v>2429.1517520297998</c:v>
                </c:pt>
                <c:pt idx="239">
                  <c:v>2429.1517520297998</c:v>
                </c:pt>
                <c:pt idx="240">
                  <c:v>2429.1517520297998</c:v>
                </c:pt>
                <c:pt idx="241">
                  <c:v>2429.1517520297998</c:v>
                </c:pt>
                <c:pt idx="242">
                  <c:v>2429.1517520297998</c:v>
                </c:pt>
                <c:pt idx="243">
                  <c:v>2429.1517520297998</c:v>
                </c:pt>
                <c:pt idx="244">
                  <c:v>2429.1517520297998</c:v>
                </c:pt>
                <c:pt idx="245">
                  <c:v>2429.1517520297998</c:v>
                </c:pt>
                <c:pt idx="246">
                  <c:v>2429.1517520297998</c:v>
                </c:pt>
                <c:pt idx="247">
                  <c:v>2429.1517520297998</c:v>
                </c:pt>
                <c:pt idx="248">
                  <c:v>2429.1517520297998</c:v>
                </c:pt>
                <c:pt idx="249">
                  <c:v>2429.1517520297998</c:v>
                </c:pt>
                <c:pt idx="250">
                  <c:v>2429.1517520297998</c:v>
                </c:pt>
                <c:pt idx="251">
                  <c:v>2429.1517520297998</c:v>
                </c:pt>
                <c:pt idx="252">
                  <c:v>2429.1517520297998</c:v>
                </c:pt>
                <c:pt idx="253">
                  <c:v>2429.1517520297998</c:v>
                </c:pt>
                <c:pt idx="254">
                  <c:v>2429.1517520297998</c:v>
                </c:pt>
                <c:pt idx="255">
                  <c:v>2429.1517520297998</c:v>
                </c:pt>
                <c:pt idx="256">
                  <c:v>2429.1517520297998</c:v>
                </c:pt>
                <c:pt idx="257">
                  <c:v>2429.1517520297998</c:v>
                </c:pt>
                <c:pt idx="258">
                  <c:v>2429.1517520297998</c:v>
                </c:pt>
                <c:pt idx="259">
                  <c:v>2429.1517520297998</c:v>
                </c:pt>
                <c:pt idx="260">
                  <c:v>2429.1517520297998</c:v>
                </c:pt>
                <c:pt idx="261">
                  <c:v>2429.1517520297998</c:v>
                </c:pt>
                <c:pt idx="262">
                  <c:v>2429.1517520297998</c:v>
                </c:pt>
                <c:pt idx="263">
                  <c:v>2429.1517520297998</c:v>
                </c:pt>
                <c:pt idx="264">
                  <c:v>2429.1517520297998</c:v>
                </c:pt>
                <c:pt idx="265">
                  <c:v>2429.1517520297998</c:v>
                </c:pt>
                <c:pt idx="266">
                  <c:v>2429.1517520297998</c:v>
                </c:pt>
                <c:pt idx="267">
                  <c:v>2429.1517520297998</c:v>
                </c:pt>
                <c:pt idx="268">
                  <c:v>2429.1517520297998</c:v>
                </c:pt>
                <c:pt idx="269">
                  <c:v>2429.1517520297998</c:v>
                </c:pt>
                <c:pt idx="270">
                  <c:v>2429.1517520297998</c:v>
                </c:pt>
                <c:pt idx="271">
                  <c:v>2429.1517520297998</c:v>
                </c:pt>
                <c:pt idx="272">
                  <c:v>2429.1517520297998</c:v>
                </c:pt>
                <c:pt idx="273">
                  <c:v>2429.1517520297998</c:v>
                </c:pt>
                <c:pt idx="274">
                  <c:v>2429.1517520297998</c:v>
                </c:pt>
                <c:pt idx="275">
                  <c:v>2429.1517520297998</c:v>
                </c:pt>
                <c:pt idx="276">
                  <c:v>2429.1517520297998</c:v>
                </c:pt>
                <c:pt idx="277">
                  <c:v>2429.1517520297998</c:v>
                </c:pt>
                <c:pt idx="278">
                  <c:v>2429.1517520297998</c:v>
                </c:pt>
                <c:pt idx="279">
                  <c:v>2429.1517520297998</c:v>
                </c:pt>
                <c:pt idx="280">
                  <c:v>2429.1517520297998</c:v>
                </c:pt>
                <c:pt idx="281">
                  <c:v>2429.1517520297998</c:v>
                </c:pt>
                <c:pt idx="282">
                  <c:v>2429.1517520297998</c:v>
                </c:pt>
                <c:pt idx="283">
                  <c:v>2429.1517520297998</c:v>
                </c:pt>
                <c:pt idx="284">
                  <c:v>2429.1517520297998</c:v>
                </c:pt>
                <c:pt idx="285">
                  <c:v>2429.1517520297998</c:v>
                </c:pt>
                <c:pt idx="286">
                  <c:v>2429.1517520297998</c:v>
                </c:pt>
                <c:pt idx="287">
                  <c:v>2429.1517520297998</c:v>
                </c:pt>
                <c:pt idx="288">
                  <c:v>2429.1517520297998</c:v>
                </c:pt>
                <c:pt idx="289">
                  <c:v>2429.1517520297998</c:v>
                </c:pt>
                <c:pt idx="290">
                  <c:v>2429.1517520297998</c:v>
                </c:pt>
                <c:pt idx="291">
                  <c:v>2429.1517520297998</c:v>
                </c:pt>
                <c:pt idx="292">
                  <c:v>2429.1517520297998</c:v>
                </c:pt>
                <c:pt idx="293">
                  <c:v>2429.1517520297998</c:v>
                </c:pt>
                <c:pt idx="294">
                  <c:v>2429.1517520297998</c:v>
                </c:pt>
                <c:pt idx="295">
                  <c:v>2429.1517520297998</c:v>
                </c:pt>
                <c:pt idx="296">
                  <c:v>2429.1517520297998</c:v>
                </c:pt>
                <c:pt idx="297">
                  <c:v>2429.1517520297998</c:v>
                </c:pt>
                <c:pt idx="298">
                  <c:v>2429.1517520297998</c:v>
                </c:pt>
                <c:pt idx="299">
                  <c:v>2429.1517520297998</c:v>
                </c:pt>
                <c:pt idx="300">
                  <c:v>2429.1517520297998</c:v>
                </c:pt>
                <c:pt idx="301">
                  <c:v>2429.1517520297998</c:v>
                </c:pt>
                <c:pt idx="302">
                  <c:v>2429.1517520297998</c:v>
                </c:pt>
                <c:pt idx="303">
                  <c:v>2429.1517520297998</c:v>
                </c:pt>
                <c:pt idx="304">
                  <c:v>2429.1517520297998</c:v>
                </c:pt>
                <c:pt idx="305">
                  <c:v>2429.1517520297998</c:v>
                </c:pt>
                <c:pt idx="306">
                  <c:v>2429.1517520297998</c:v>
                </c:pt>
                <c:pt idx="307">
                  <c:v>2429.1517520297998</c:v>
                </c:pt>
                <c:pt idx="308">
                  <c:v>2429.1517520297998</c:v>
                </c:pt>
                <c:pt idx="309">
                  <c:v>2429.1517520297998</c:v>
                </c:pt>
                <c:pt idx="310">
                  <c:v>2429.1517520297998</c:v>
                </c:pt>
                <c:pt idx="311">
                  <c:v>2429.1517520297998</c:v>
                </c:pt>
                <c:pt idx="312">
                  <c:v>2429.1517520297998</c:v>
                </c:pt>
                <c:pt idx="313">
                  <c:v>2429.1517520297998</c:v>
                </c:pt>
                <c:pt idx="314">
                  <c:v>2429.1517520297998</c:v>
                </c:pt>
                <c:pt idx="315">
                  <c:v>2429.1517520297998</c:v>
                </c:pt>
                <c:pt idx="316">
                  <c:v>2429.1517520297998</c:v>
                </c:pt>
                <c:pt idx="317">
                  <c:v>2429.1517520297998</c:v>
                </c:pt>
                <c:pt idx="318">
                  <c:v>2429.1517520297998</c:v>
                </c:pt>
                <c:pt idx="319">
                  <c:v>2429.1517520297998</c:v>
                </c:pt>
                <c:pt idx="320">
                  <c:v>2429.1517520297998</c:v>
                </c:pt>
                <c:pt idx="321">
                  <c:v>2429.1517520297998</c:v>
                </c:pt>
                <c:pt idx="322">
                  <c:v>2429.1517520297998</c:v>
                </c:pt>
                <c:pt idx="323">
                  <c:v>2429.1517520297998</c:v>
                </c:pt>
                <c:pt idx="324">
                  <c:v>2429.1517520297998</c:v>
                </c:pt>
                <c:pt idx="325">
                  <c:v>2429.1517520297998</c:v>
                </c:pt>
                <c:pt idx="326">
                  <c:v>2429.1517520297998</c:v>
                </c:pt>
                <c:pt idx="327">
                  <c:v>2429.1517520297998</c:v>
                </c:pt>
                <c:pt idx="328">
                  <c:v>2429.1517520297998</c:v>
                </c:pt>
                <c:pt idx="329">
                  <c:v>2429.1517520297998</c:v>
                </c:pt>
                <c:pt idx="330">
                  <c:v>2429.1517520297998</c:v>
                </c:pt>
                <c:pt idx="331">
                  <c:v>2429.1517520297998</c:v>
                </c:pt>
                <c:pt idx="332">
                  <c:v>2429.1517520297998</c:v>
                </c:pt>
                <c:pt idx="333">
                  <c:v>2429.1517520297998</c:v>
                </c:pt>
                <c:pt idx="334">
                  <c:v>2429.1517520297998</c:v>
                </c:pt>
                <c:pt idx="335">
                  <c:v>2429.1517520297998</c:v>
                </c:pt>
                <c:pt idx="336">
                  <c:v>2429.1517520297998</c:v>
                </c:pt>
                <c:pt idx="337">
                  <c:v>2429.1517520297998</c:v>
                </c:pt>
                <c:pt idx="338">
                  <c:v>2429.1517520297998</c:v>
                </c:pt>
                <c:pt idx="339">
                  <c:v>2429.1517520297998</c:v>
                </c:pt>
                <c:pt idx="340">
                  <c:v>2429.1517520297998</c:v>
                </c:pt>
                <c:pt idx="341">
                  <c:v>2429.1517520297998</c:v>
                </c:pt>
                <c:pt idx="342">
                  <c:v>2429.1517520297998</c:v>
                </c:pt>
                <c:pt idx="343">
                  <c:v>2429.1517520297998</c:v>
                </c:pt>
                <c:pt idx="344">
                  <c:v>2429.1517520297998</c:v>
                </c:pt>
                <c:pt idx="345">
                  <c:v>2429.1517520297998</c:v>
                </c:pt>
                <c:pt idx="346">
                  <c:v>2429.1517520297998</c:v>
                </c:pt>
                <c:pt idx="347">
                  <c:v>2429.1517520297998</c:v>
                </c:pt>
                <c:pt idx="348">
                  <c:v>2429.1517520297998</c:v>
                </c:pt>
                <c:pt idx="349">
                  <c:v>2429.1517520297998</c:v>
                </c:pt>
                <c:pt idx="350">
                  <c:v>2429.1517520297998</c:v>
                </c:pt>
                <c:pt idx="351">
                  <c:v>2429.1517520297998</c:v>
                </c:pt>
                <c:pt idx="352">
                  <c:v>2429.1517520297998</c:v>
                </c:pt>
                <c:pt idx="353">
                  <c:v>2429.1517520297998</c:v>
                </c:pt>
                <c:pt idx="354">
                  <c:v>2429.1517520297998</c:v>
                </c:pt>
                <c:pt idx="355">
                  <c:v>2429.1517520297998</c:v>
                </c:pt>
                <c:pt idx="356">
                  <c:v>2429.1517520297998</c:v>
                </c:pt>
                <c:pt idx="357">
                  <c:v>2429.1517520297998</c:v>
                </c:pt>
                <c:pt idx="358">
                  <c:v>2429.1517520297998</c:v>
                </c:pt>
                <c:pt idx="359">
                  <c:v>2429.1517520297998</c:v>
                </c:pt>
                <c:pt idx="360">
                  <c:v>2429.1517520297998</c:v>
                </c:pt>
                <c:pt idx="361">
                  <c:v>2429.1517520297998</c:v>
                </c:pt>
                <c:pt idx="362">
                  <c:v>2429.1517520297998</c:v>
                </c:pt>
                <c:pt idx="363">
                  <c:v>2429.1517520297998</c:v>
                </c:pt>
                <c:pt idx="364">
                  <c:v>2429.1517520297998</c:v>
                </c:pt>
                <c:pt idx="365">
                  <c:v>2429.1517520297998</c:v>
                </c:pt>
                <c:pt idx="366">
                  <c:v>2429.1517520297998</c:v>
                </c:pt>
                <c:pt idx="367">
                  <c:v>2429.1517520297998</c:v>
                </c:pt>
                <c:pt idx="368">
                  <c:v>2429.1517520297998</c:v>
                </c:pt>
                <c:pt idx="369">
                  <c:v>2429.1517520297998</c:v>
                </c:pt>
                <c:pt idx="370">
                  <c:v>2429.1517520297998</c:v>
                </c:pt>
                <c:pt idx="371">
                  <c:v>2429.1517520297998</c:v>
                </c:pt>
                <c:pt idx="372">
                  <c:v>2429.1517520297998</c:v>
                </c:pt>
                <c:pt idx="373">
                  <c:v>2429.1517520297998</c:v>
                </c:pt>
                <c:pt idx="374">
                  <c:v>2429.1517520297998</c:v>
                </c:pt>
                <c:pt idx="375">
                  <c:v>2429.1517520297998</c:v>
                </c:pt>
                <c:pt idx="376">
                  <c:v>2429.1517520297998</c:v>
                </c:pt>
                <c:pt idx="377">
                  <c:v>2429.1517520297998</c:v>
                </c:pt>
                <c:pt idx="378">
                  <c:v>2429.1517520297998</c:v>
                </c:pt>
                <c:pt idx="379">
                  <c:v>2429.1517520297998</c:v>
                </c:pt>
                <c:pt idx="380">
                  <c:v>2429.1517520297998</c:v>
                </c:pt>
                <c:pt idx="381">
                  <c:v>2429.1517520297998</c:v>
                </c:pt>
                <c:pt idx="382">
                  <c:v>2429.1517520297998</c:v>
                </c:pt>
                <c:pt idx="383">
                  <c:v>2429.1517520297998</c:v>
                </c:pt>
                <c:pt idx="384">
                  <c:v>2429.1517520297998</c:v>
                </c:pt>
                <c:pt idx="385">
                  <c:v>2429.1517520297998</c:v>
                </c:pt>
                <c:pt idx="386">
                  <c:v>2429.1517520297998</c:v>
                </c:pt>
                <c:pt idx="387">
                  <c:v>2429.1517520297998</c:v>
                </c:pt>
                <c:pt idx="388">
                  <c:v>2429.1517520297998</c:v>
                </c:pt>
                <c:pt idx="389">
                  <c:v>2429.1517520297998</c:v>
                </c:pt>
                <c:pt idx="390">
                  <c:v>2429.1517520297998</c:v>
                </c:pt>
                <c:pt idx="391">
                  <c:v>2429.1517520297998</c:v>
                </c:pt>
                <c:pt idx="392">
                  <c:v>2429.1517520297998</c:v>
                </c:pt>
                <c:pt idx="393">
                  <c:v>2429.1517520297998</c:v>
                </c:pt>
                <c:pt idx="394">
                  <c:v>2429.1517520297998</c:v>
                </c:pt>
                <c:pt idx="395">
                  <c:v>2429.1517520297998</c:v>
                </c:pt>
                <c:pt idx="396">
                  <c:v>2429.1517520297998</c:v>
                </c:pt>
                <c:pt idx="397">
                  <c:v>2429.1517520297998</c:v>
                </c:pt>
                <c:pt idx="398">
                  <c:v>2429.1517520297998</c:v>
                </c:pt>
                <c:pt idx="399">
                  <c:v>2429.1517520297998</c:v>
                </c:pt>
                <c:pt idx="400">
                  <c:v>2429.1517520297998</c:v>
                </c:pt>
                <c:pt idx="401">
                  <c:v>2429.1517520297998</c:v>
                </c:pt>
                <c:pt idx="402">
                  <c:v>2429.1517520297998</c:v>
                </c:pt>
                <c:pt idx="403">
                  <c:v>2429.1517520297998</c:v>
                </c:pt>
                <c:pt idx="404">
                  <c:v>2429.1517520297998</c:v>
                </c:pt>
                <c:pt idx="405">
                  <c:v>2429.1517520297998</c:v>
                </c:pt>
                <c:pt idx="406">
                  <c:v>2429.1517520297998</c:v>
                </c:pt>
                <c:pt idx="407">
                  <c:v>2429.1517520297998</c:v>
                </c:pt>
                <c:pt idx="408">
                  <c:v>2429.1517520297998</c:v>
                </c:pt>
                <c:pt idx="409">
                  <c:v>2429.1517520297998</c:v>
                </c:pt>
                <c:pt idx="410">
                  <c:v>2429.1517520297998</c:v>
                </c:pt>
                <c:pt idx="411">
                  <c:v>2429.1517520297998</c:v>
                </c:pt>
                <c:pt idx="412">
                  <c:v>2429.1517520297998</c:v>
                </c:pt>
                <c:pt idx="413">
                  <c:v>2429.1517520297998</c:v>
                </c:pt>
                <c:pt idx="414">
                  <c:v>2429.1517520297998</c:v>
                </c:pt>
                <c:pt idx="415">
                  <c:v>2429.1517520297998</c:v>
                </c:pt>
                <c:pt idx="416">
                  <c:v>2429.1517520297998</c:v>
                </c:pt>
                <c:pt idx="417">
                  <c:v>2429.1517520297998</c:v>
                </c:pt>
                <c:pt idx="418">
                  <c:v>2429.1517520297998</c:v>
                </c:pt>
                <c:pt idx="419">
                  <c:v>2429.1517520297998</c:v>
                </c:pt>
                <c:pt idx="420">
                  <c:v>2429.1517520297998</c:v>
                </c:pt>
                <c:pt idx="421">
                  <c:v>2429.1517520297998</c:v>
                </c:pt>
                <c:pt idx="422">
                  <c:v>2429.1517520297998</c:v>
                </c:pt>
                <c:pt idx="423">
                  <c:v>2429.1517520297998</c:v>
                </c:pt>
                <c:pt idx="424">
                  <c:v>2429.1517520297998</c:v>
                </c:pt>
                <c:pt idx="425">
                  <c:v>2429.1517520297998</c:v>
                </c:pt>
                <c:pt idx="426">
                  <c:v>2429.1517520297998</c:v>
                </c:pt>
                <c:pt idx="427">
                  <c:v>2429.1517520297998</c:v>
                </c:pt>
                <c:pt idx="428">
                  <c:v>2429.1517520297998</c:v>
                </c:pt>
                <c:pt idx="429">
                  <c:v>2429.1517520297998</c:v>
                </c:pt>
                <c:pt idx="430">
                  <c:v>2429.1517520297998</c:v>
                </c:pt>
                <c:pt idx="431">
                  <c:v>2429.1517520297998</c:v>
                </c:pt>
                <c:pt idx="432">
                  <c:v>2429.1517520297998</c:v>
                </c:pt>
                <c:pt idx="433">
                  <c:v>2429.1517520297998</c:v>
                </c:pt>
                <c:pt idx="434">
                  <c:v>2429.1517520297998</c:v>
                </c:pt>
                <c:pt idx="435">
                  <c:v>2429.1517520297998</c:v>
                </c:pt>
                <c:pt idx="436">
                  <c:v>2429.1517520297998</c:v>
                </c:pt>
                <c:pt idx="437">
                  <c:v>2429.1517520297998</c:v>
                </c:pt>
                <c:pt idx="438">
                  <c:v>2429.1517520297998</c:v>
                </c:pt>
                <c:pt idx="439">
                  <c:v>2429.1517520297998</c:v>
                </c:pt>
                <c:pt idx="440">
                  <c:v>2429.1517520297998</c:v>
                </c:pt>
                <c:pt idx="441">
                  <c:v>2429.1517520297998</c:v>
                </c:pt>
                <c:pt idx="442">
                  <c:v>2429.1517520297998</c:v>
                </c:pt>
                <c:pt idx="443">
                  <c:v>2429.1517520297998</c:v>
                </c:pt>
                <c:pt idx="444">
                  <c:v>2429.1517520297998</c:v>
                </c:pt>
                <c:pt idx="445">
                  <c:v>2429.1517520297998</c:v>
                </c:pt>
                <c:pt idx="446">
                  <c:v>2429.1517520297998</c:v>
                </c:pt>
                <c:pt idx="447">
                  <c:v>2429.1517520297998</c:v>
                </c:pt>
                <c:pt idx="448">
                  <c:v>2429.1517520297998</c:v>
                </c:pt>
                <c:pt idx="449">
                  <c:v>2429.1517520297998</c:v>
                </c:pt>
                <c:pt idx="450">
                  <c:v>2429.1517520297998</c:v>
                </c:pt>
                <c:pt idx="451">
                  <c:v>2429.1517520297998</c:v>
                </c:pt>
                <c:pt idx="452">
                  <c:v>2429.1517520297998</c:v>
                </c:pt>
                <c:pt idx="453">
                  <c:v>2429.1517520297998</c:v>
                </c:pt>
                <c:pt idx="454">
                  <c:v>2429.1517520297998</c:v>
                </c:pt>
                <c:pt idx="455">
                  <c:v>2429.1517520297998</c:v>
                </c:pt>
                <c:pt idx="456">
                  <c:v>2429.1517520297998</c:v>
                </c:pt>
                <c:pt idx="457">
                  <c:v>2429.1517520297998</c:v>
                </c:pt>
                <c:pt idx="458">
                  <c:v>2429.1517520297998</c:v>
                </c:pt>
                <c:pt idx="459">
                  <c:v>2429.1517520297998</c:v>
                </c:pt>
                <c:pt idx="460">
                  <c:v>2429.1517520297998</c:v>
                </c:pt>
                <c:pt idx="461">
                  <c:v>2429.1517520297998</c:v>
                </c:pt>
                <c:pt idx="462">
                  <c:v>2429.1517520297998</c:v>
                </c:pt>
                <c:pt idx="463">
                  <c:v>2429.1517520297998</c:v>
                </c:pt>
                <c:pt idx="464">
                  <c:v>2429.1517520297998</c:v>
                </c:pt>
                <c:pt idx="465">
                  <c:v>2429.1517520297998</c:v>
                </c:pt>
                <c:pt idx="466">
                  <c:v>2429.1517520297998</c:v>
                </c:pt>
                <c:pt idx="467">
                  <c:v>2429.1517520297998</c:v>
                </c:pt>
                <c:pt idx="468">
                  <c:v>2429.1517520297998</c:v>
                </c:pt>
                <c:pt idx="469">
                  <c:v>2429.1517520297998</c:v>
                </c:pt>
                <c:pt idx="470">
                  <c:v>2429.1517520297998</c:v>
                </c:pt>
                <c:pt idx="471">
                  <c:v>2429.1517520297998</c:v>
                </c:pt>
                <c:pt idx="472">
                  <c:v>2429.1517520297998</c:v>
                </c:pt>
                <c:pt idx="473">
                  <c:v>2429.1517520297998</c:v>
                </c:pt>
                <c:pt idx="474">
                  <c:v>2429.1517520297998</c:v>
                </c:pt>
                <c:pt idx="475">
                  <c:v>2429.1517520297998</c:v>
                </c:pt>
                <c:pt idx="476">
                  <c:v>2429.1517520297998</c:v>
                </c:pt>
                <c:pt idx="477">
                  <c:v>2429.1517520297998</c:v>
                </c:pt>
                <c:pt idx="478">
                  <c:v>2429.1517520297998</c:v>
                </c:pt>
                <c:pt idx="479">
                  <c:v>2429.1517520297998</c:v>
                </c:pt>
                <c:pt idx="480">
                  <c:v>2429.1517520297998</c:v>
                </c:pt>
                <c:pt idx="481">
                  <c:v>2429.1517520297998</c:v>
                </c:pt>
                <c:pt idx="482">
                  <c:v>2429.1517520297998</c:v>
                </c:pt>
                <c:pt idx="483">
                  <c:v>2429.1517520297998</c:v>
                </c:pt>
                <c:pt idx="484">
                  <c:v>2429.1517520297998</c:v>
                </c:pt>
                <c:pt idx="485">
                  <c:v>2429.1517520297998</c:v>
                </c:pt>
                <c:pt idx="486">
                  <c:v>2429.1517520297998</c:v>
                </c:pt>
                <c:pt idx="487">
                  <c:v>2429.1517520297998</c:v>
                </c:pt>
                <c:pt idx="488">
                  <c:v>2429.1517520297998</c:v>
                </c:pt>
                <c:pt idx="489">
                  <c:v>2429.1517520297998</c:v>
                </c:pt>
                <c:pt idx="490">
                  <c:v>2429.1517520297998</c:v>
                </c:pt>
                <c:pt idx="491">
                  <c:v>2429.1517520297998</c:v>
                </c:pt>
                <c:pt idx="492">
                  <c:v>2429.1517520297998</c:v>
                </c:pt>
                <c:pt idx="493">
                  <c:v>2429.1517520297998</c:v>
                </c:pt>
                <c:pt idx="494">
                  <c:v>2429.1517520297998</c:v>
                </c:pt>
                <c:pt idx="495">
                  <c:v>2429.1517520297998</c:v>
                </c:pt>
                <c:pt idx="496">
                  <c:v>2429.1517520297998</c:v>
                </c:pt>
                <c:pt idx="497">
                  <c:v>2429.1517520297998</c:v>
                </c:pt>
                <c:pt idx="498">
                  <c:v>2429.1517520297998</c:v>
                </c:pt>
                <c:pt idx="499">
                  <c:v>2429.1517520297998</c:v>
                </c:pt>
                <c:pt idx="500">
                  <c:v>2429.1517520297998</c:v>
                </c:pt>
                <c:pt idx="501">
                  <c:v>2429.1517520297998</c:v>
                </c:pt>
                <c:pt idx="502">
                  <c:v>2429.1517520297998</c:v>
                </c:pt>
                <c:pt idx="503">
                  <c:v>2429.1517520297998</c:v>
                </c:pt>
                <c:pt idx="504">
                  <c:v>2429.1517520297998</c:v>
                </c:pt>
                <c:pt idx="505">
                  <c:v>2429.1517520297998</c:v>
                </c:pt>
                <c:pt idx="506">
                  <c:v>2429.1517520297998</c:v>
                </c:pt>
                <c:pt idx="507">
                  <c:v>2429.1517520297998</c:v>
                </c:pt>
                <c:pt idx="508">
                  <c:v>2429.1517520297998</c:v>
                </c:pt>
                <c:pt idx="509">
                  <c:v>2429.1517520297998</c:v>
                </c:pt>
                <c:pt idx="510">
                  <c:v>2429.1517520297998</c:v>
                </c:pt>
                <c:pt idx="511">
                  <c:v>2429.1517520297998</c:v>
                </c:pt>
                <c:pt idx="512">
                  <c:v>2429.1517520297998</c:v>
                </c:pt>
                <c:pt idx="513">
                  <c:v>2429.1517520297998</c:v>
                </c:pt>
                <c:pt idx="514">
                  <c:v>2429.1517520297998</c:v>
                </c:pt>
                <c:pt idx="515">
                  <c:v>2429.1517520297998</c:v>
                </c:pt>
                <c:pt idx="516">
                  <c:v>2429.1517520297998</c:v>
                </c:pt>
                <c:pt idx="517">
                  <c:v>2429.1517520297998</c:v>
                </c:pt>
                <c:pt idx="518">
                  <c:v>2429.1517520297998</c:v>
                </c:pt>
                <c:pt idx="519">
                  <c:v>2429.1517520297998</c:v>
                </c:pt>
                <c:pt idx="520">
                  <c:v>2429.1517520297998</c:v>
                </c:pt>
                <c:pt idx="521">
                  <c:v>2429.1517520297998</c:v>
                </c:pt>
                <c:pt idx="522">
                  <c:v>2429.1517520297998</c:v>
                </c:pt>
                <c:pt idx="523">
                  <c:v>2429.1517520297998</c:v>
                </c:pt>
                <c:pt idx="524">
                  <c:v>2429.1517520297998</c:v>
                </c:pt>
                <c:pt idx="525">
                  <c:v>2429.1517520297998</c:v>
                </c:pt>
                <c:pt idx="526">
                  <c:v>2429.1517520297998</c:v>
                </c:pt>
                <c:pt idx="527">
                  <c:v>2429.1517520297998</c:v>
                </c:pt>
                <c:pt idx="528">
                  <c:v>2429.1517520297998</c:v>
                </c:pt>
                <c:pt idx="529">
                  <c:v>2429.1517520297998</c:v>
                </c:pt>
                <c:pt idx="530">
                  <c:v>2429.1517520297998</c:v>
                </c:pt>
                <c:pt idx="531">
                  <c:v>2429.1517520297998</c:v>
                </c:pt>
                <c:pt idx="532">
                  <c:v>2429.1517520297998</c:v>
                </c:pt>
                <c:pt idx="533">
                  <c:v>2429.1517520297998</c:v>
                </c:pt>
                <c:pt idx="534">
                  <c:v>2429.1517520297998</c:v>
                </c:pt>
                <c:pt idx="535">
                  <c:v>2429.1517520297998</c:v>
                </c:pt>
                <c:pt idx="536">
                  <c:v>2429.1517520297998</c:v>
                </c:pt>
                <c:pt idx="537">
                  <c:v>2429.1517520297998</c:v>
                </c:pt>
                <c:pt idx="538">
                  <c:v>2429.1517520297998</c:v>
                </c:pt>
                <c:pt idx="539">
                  <c:v>2429.1517520297998</c:v>
                </c:pt>
                <c:pt idx="540">
                  <c:v>2429.1517520297998</c:v>
                </c:pt>
                <c:pt idx="541">
                  <c:v>2429.1517520297998</c:v>
                </c:pt>
                <c:pt idx="542">
                  <c:v>2429.1517520297998</c:v>
                </c:pt>
                <c:pt idx="543">
                  <c:v>2429.1517520297998</c:v>
                </c:pt>
                <c:pt idx="544">
                  <c:v>2429.1517520297998</c:v>
                </c:pt>
                <c:pt idx="545">
                  <c:v>2429.1517520297998</c:v>
                </c:pt>
                <c:pt idx="546">
                  <c:v>2429.1517520297998</c:v>
                </c:pt>
                <c:pt idx="547">
                  <c:v>2429.1517520297998</c:v>
                </c:pt>
                <c:pt idx="548">
                  <c:v>2429.1517520297998</c:v>
                </c:pt>
                <c:pt idx="549">
                  <c:v>2429.1517520297998</c:v>
                </c:pt>
                <c:pt idx="550">
                  <c:v>2429.1517520297998</c:v>
                </c:pt>
                <c:pt idx="551">
                  <c:v>2429.1517520297998</c:v>
                </c:pt>
                <c:pt idx="552">
                  <c:v>2429.1517520297998</c:v>
                </c:pt>
                <c:pt idx="553">
                  <c:v>2429.1517520297998</c:v>
                </c:pt>
                <c:pt idx="554">
                  <c:v>2429.1517520297998</c:v>
                </c:pt>
                <c:pt idx="555">
                  <c:v>2429.1517520297998</c:v>
                </c:pt>
                <c:pt idx="556">
                  <c:v>2429.1517520297998</c:v>
                </c:pt>
                <c:pt idx="557">
                  <c:v>2429.1517520297998</c:v>
                </c:pt>
                <c:pt idx="558">
                  <c:v>2429.1517520297998</c:v>
                </c:pt>
                <c:pt idx="559">
                  <c:v>2429.1517520297998</c:v>
                </c:pt>
                <c:pt idx="560">
                  <c:v>2429.1517520297998</c:v>
                </c:pt>
                <c:pt idx="561">
                  <c:v>2429.1517520297998</c:v>
                </c:pt>
                <c:pt idx="562">
                  <c:v>2429.1517520297998</c:v>
                </c:pt>
                <c:pt idx="563">
                  <c:v>2429.1517520297998</c:v>
                </c:pt>
                <c:pt idx="564">
                  <c:v>2429.1517520297998</c:v>
                </c:pt>
                <c:pt idx="565">
                  <c:v>2429.1517520297998</c:v>
                </c:pt>
                <c:pt idx="566">
                  <c:v>2429.1517520297998</c:v>
                </c:pt>
                <c:pt idx="567">
                  <c:v>2429.1517520297998</c:v>
                </c:pt>
                <c:pt idx="568">
                  <c:v>2429.1517520297998</c:v>
                </c:pt>
                <c:pt idx="569">
                  <c:v>2429.1517520297998</c:v>
                </c:pt>
                <c:pt idx="570">
                  <c:v>2429.1517520297998</c:v>
                </c:pt>
                <c:pt idx="571">
                  <c:v>2429.1517520297998</c:v>
                </c:pt>
                <c:pt idx="572">
                  <c:v>2429.1517520297998</c:v>
                </c:pt>
                <c:pt idx="573">
                  <c:v>2429.1517520297998</c:v>
                </c:pt>
                <c:pt idx="574">
                  <c:v>2429.1517520297998</c:v>
                </c:pt>
                <c:pt idx="575">
                  <c:v>2429.1517520297998</c:v>
                </c:pt>
                <c:pt idx="576">
                  <c:v>2429.1517520297998</c:v>
                </c:pt>
                <c:pt idx="577">
                  <c:v>2429.1517520297998</c:v>
                </c:pt>
                <c:pt idx="578">
                  <c:v>2429.1517520297998</c:v>
                </c:pt>
                <c:pt idx="579">
                  <c:v>2301.7056608058997</c:v>
                </c:pt>
                <c:pt idx="580">
                  <c:v>2301.7056608058997</c:v>
                </c:pt>
                <c:pt idx="581">
                  <c:v>2301.7056608058997</c:v>
                </c:pt>
                <c:pt idx="582">
                  <c:v>2301.7056608058997</c:v>
                </c:pt>
                <c:pt idx="583">
                  <c:v>2301.7056608058997</c:v>
                </c:pt>
                <c:pt idx="584">
                  <c:v>2301.7056608058997</c:v>
                </c:pt>
                <c:pt idx="585">
                  <c:v>2301.7056608058997</c:v>
                </c:pt>
                <c:pt idx="586">
                  <c:v>2301.7056608058997</c:v>
                </c:pt>
                <c:pt idx="587">
                  <c:v>2301.7056608058997</c:v>
                </c:pt>
                <c:pt idx="588">
                  <c:v>2301.7056608058997</c:v>
                </c:pt>
                <c:pt idx="589">
                  <c:v>2301.7056608058997</c:v>
                </c:pt>
                <c:pt idx="590">
                  <c:v>2301.7056608058997</c:v>
                </c:pt>
                <c:pt idx="591">
                  <c:v>2301.7056608058997</c:v>
                </c:pt>
                <c:pt idx="592">
                  <c:v>2301.7056608058997</c:v>
                </c:pt>
                <c:pt idx="593">
                  <c:v>2301.7056608058997</c:v>
                </c:pt>
                <c:pt idx="594">
                  <c:v>2301.7056608058997</c:v>
                </c:pt>
                <c:pt idx="595">
                  <c:v>2301.7056608058997</c:v>
                </c:pt>
                <c:pt idx="596">
                  <c:v>2301.7056608058997</c:v>
                </c:pt>
                <c:pt idx="597">
                  <c:v>2301.7056608058997</c:v>
                </c:pt>
                <c:pt idx="598">
                  <c:v>2301.7056608058997</c:v>
                </c:pt>
                <c:pt idx="599">
                  <c:v>2301.7056608058997</c:v>
                </c:pt>
                <c:pt idx="600">
                  <c:v>2301.7056608058997</c:v>
                </c:pt>
                <c:pt idx="601">
                  <c:v>2301.7056608058997</c:v>
                </c:pt>
                <c:pt idx="602">
                  <c:v>2301.7056608058997</c:v>
                </c:pt>
                <c:pt idx="603">
                  <c:v>2301.7056608058997</c:v>
                </c:pt>
                <c:pt idx="604">
                  <c:v>2301.7056608058997</c:v>
                </c:pt>
                <c:pt idx="605">
                  <c:v>2301.7056608058997</c:v>
                </c:pt>
                <c:pt idx="606">
                  <c:v>2301.7056608058997</c:v>
                </c:pt>
                <c:pt idx="607">
                  <c:v>2301.7056608058997</c:v>
                </c:pt>
                <c:pt idx="608">
                  <c:v>2301.7056608058997</c:v>
                </c:pt>
                <c:pt idx="609">
                  <c:v>2301.7056608058997</c:v>
                </c:pt>
                <c:pt idx="610">
                  <c:v>2301.7056608058997</c:v>
                </c:pt>
                <c:pt idx="611">
                  <c:v>2301.7056608058997</c:v>
                </c:pt>
                <c:pt idx="612">
                  <c:v>2301.7056608058997</c:v>
                </c:pt>
                <c:pt idx="613">
                  <c:v>2301.7056608058997</c:v>
                </c:pt>
                <c:pt idx="614">
                  <c:v>2301.7056608058997</c:v>
                </c:pt>
                <c:pt idx="615">
                  <c:v>2301.7056608058997</c:v>
                </c:pt>
                <c:pt idx="616">
                  <c:v>2301.7056608058997</c:v>
                </c:pt>
                <c:pt idx="617">
                  <c:v>2301.7056608058997</c:v>
                </c:pt>
                <c:pt idx="618">
                  <c:v>2301.7056608058997</c:v>
                </c:pt>
                <c:pt idx="619">
                  <c:v>2301.7056608058997</c:v>
                </c:pt>
                <c:pt idx="620">
                  <c:v>2301.7056608058997</c:v>
                </c:pt>
                <c:pt idx="621">
                  <c:v>2301.7056608058997</c:v>
                </c:pt>
                <c:pt idx="622">
                  <c:v>2301.7056608058997</c:v>
                </c:pt>
                <c:pt idx="623">
                  <c:v>2301.7056608058997</c:v>
                </c:pt>
                <c:pt idx="624">
                  <c:v>2301.7056608058997</c:v>
                </c:pt>
                <c:pt idx="625">
                  <c:v>2301.7056608058997</c:v>
                </c:pt>
                <c:pt idx="626">
                  <c:v>2301.7056608058997</c:v>
                </c:pt>
                <c:pt idx="627">
                  <c:v>2301.7056608058997</c:v>
                </c:pt>
                <c:pt idx="628">
                  <c:v>2301.7056608058997</c:v>
                </c:pt>
                <c:pt idx="629">
                  <c:v>2301.7056608058997</c:v>
                </c:pt>
                <c:pt idx="630">
                  <c:v>2301.7056608058997</c:v>
                </c:pt>
                <c:pt idx="631">
                  <c:v>2301.7056608058997</c:v>
                </c:pt>
                <c:pt idx="632">
                  <c:v>2301.7056608058997</c:v>
                </c:pt>
                <c:pt idx="633">
                  <c:v>2301.7056608058997</c:v>
                </c:pt>
                <c:pt idx="634">
                  <c:v>2301.7056608058997</c:v>
                </c:pt>
                <c:pt idx="635">
                  <c:v>2301.7056608058997</c:v>
                </c:pt>
                <c:pt idx="636">
                  <c:v>2301.7056608058997</c:v>
                </c:pt>
                <c:pt idx="637">
                  <c:v>2301.7056608058997</c:v>
                </c:pt>
                <c:pt idx="638">
                  <c:v>2301.7056608058997</c:v>
                </c:pt>
                <c:pt idx="639">
                  <c:v>2301.7056608058997</c:v>
                </c:pt>
                <c:pt idx="640">
                  <c:v>2301.7056608058997</c:v>
                </c:pt>
                <c:pt idx="641">
                  <c:v>2301.7056608058997</c:v>
                </c:pt>
                <c:pt idx="642">
                  <c:v>2301.7056608058997</c:v>
                </c:pt>
                <c:pt idx="643">
                  <c:v>2301.7056608058997</c:v>
                </c:pt>
                <c:pt idx="644">
                  <c:v>2301.7056608058997</c:v>
                </c:pt>
                <c:pt idx="645">
                  <c:v>2301.7056608058997</c:v>
                </c:pt>
                <c:pt idx="646">
                  <c:v>2301.7056608058997</c:v>
                </c:pt>
                <c:pt idx="647">
                  <c:v>2301.7056608058997</c:v>
                </c:pt>
                <c:pt idx="648">
                  <c:v>2301.7056608058997</c:v>
                </c:pt>
                <c:pt idx="649">
                  <c:v>2301.7056608058997</c:v>
                </c:pt>
                <c:pt idx="650">
                  <c:v>2301.7056608058997</c:v>
                </c:pt>
                <c:pt idx="651">
                  <c:v>2301.7056608058997</c:v>
                </c:pt>
                <c:pt idx="652">
                  <c:v>2301.7056608058997</c:v>
                </c:pt>
                <c:pt idx="653">
                  <c:v>2301.7056608058997</c:v>
                </c:pt>
                <c:pt idx="654">
                  <c:v>2301.7056608058997</c:v>
                </c:pt>
                <c:pt idx="655">
                  <c:v>2301.7056608058997</c:v>
                </c:pt>
                <c:pt idx="656">
                  <c:v>2301.7056608058997</c:v>
                </c:pt>
                <c:pt idx="657">
                  <c:v>2301.7056608058997</c:v>
                </c:pt>
                <c:pt idx="658">
                  <c:v>2301.7056608058997</c:v>
                </c:pt>
                <c:pt idx="659">
                  <c:v>2301.7056608058997</c:v>
                </c:pt>
                <c:pt idx="660">
                  <c:v>2301.7056608058997</c:v>
                </c:pt>
                <c:pt idx="661">
                  <c:v>2301.7056608058997</c:v>
                </c:pt>
                <c:pt idx="662">
                  <c:v>2301.7056608058997</c:v>
                </c:pt>
                <c:pt idx="663">
                  <c:v>2301.7056608058997</c:v>
                </c:pt>
                <c:pt idx="664">
                  <c:v>2301.7056608058997</c:v>
                </c:pt>
                <c:pt idx="665">
                  <c:v>2301.7056608058997</c:v>
                </c:pt>
                <c:pt idx="666">
                  <c:v>2301.7056608058997</c:v>
                </c:pt>
                <c:pt idx="667">
                  <c:v>2301.7056608058997</c:v>
                </c:pt>
                <c:pt idx="668">
                  <c:v>2301.7056608058997</c:v>
                </c:pt>
                <c:pt idx="669">
                  <c:v>2301.7056608058997</c:v>
                </c:pt>
                <c:pt idx="670">
                  <c:v>2301.7056608058997</c:v>
                </c:pt>
                <c:pt idx="671">
                  <c:v>2301.7056608058997</c:v>
                </c:pt>
                <c:pt idx="672">
                  <c:v>2301.7056608058997</c:v>
                </c:pt>
                <c:pt idx="673">
                  <c:v>2301.7056608058997</c:v>
                </c:pt>
                <c:pt idx="674">
                  <c:v>2301.7056608058997</c:v>
                </c:pt>
                <c:pt idx="675">
                  <c:v>2301.7056608058997</c:v>
                </c:pt>
                <c:pt idx="676">
                  <c:v>2301.7056608058997</c:v>
                </c:pt>
                <c:pt idx="677">
                  <c:v>2301.7056608058997</c:v>
                </c:pt>
                <c:pt idx="678">
                  <c:v>2301.7056608058997</c:v>
                </c:pt>
                <c:pt idx="679">
                  <c:v>2301.7056608058997</c:v>
                </c:pt>
                <c:pt idx="680">
                  <c:v>2301.7056608058997</c:v>
                </c:pt>
                <c:pt idx="681">
                  <c:v>2301.7056608058997</c:v>
                </c:pt>
                <c:pt idx="682">
                  <c:v>2301.7056608058997</c:v>
                </c:pt>
                <c:pt idx="683">
                  <c:v>2301.7056608058997</c:v>
                </c:pt>
                <c:pt idx="684">
                  <c:v>2301.7056608058997</c:v>
                </c:pt>
                <c:pt idx="685">
                  <c:v>2301.7056608058997</c:v>
                </c:pt>
                <c:pt idx="686">
                  <c:v>2301.7056608058997</c:v>
                </c:pt>
                <c:pt idx="687">
                  <c:v>2301.7056608058997</c:v>
                </c:pt>
                <c:pt idx="688">
                  <c:v>2301.7056608058997</c:v>
                </c:pt>
                <c:pt idx="689">
                  <c:v>2301.7056608058997</c:v>
                </c:pt>
                <c:pt idx="690">
                  <c:v>2301.7056608058997</c:v>
                </c:pt>
                <c:pt idx="691">
                  <c:v>2301.7056608058997</c:v>
                </c:pt>
                <c:pt idx="692">
                  <c:v>2301.7056608058997</c:v>
                </c:pt>
                <c:pt idx="693">
                  <c:v>2301.7056608058997</c:v>
                </c:pt>
                <c:pt idx="694">
                  <c:v>2301.7056608058997</c:v>
                </c:pt>
                <c:pt idx="695">
                  <c:v>2301.7056608058997</c:v>
                </c:pt>
                <c:pt idx="696">
                  <c:v>2301.7056608058997</c:v>
                </c:pt>
                <c:pt idx="697">
                  <c:v>2301.7056608058997</c:v>
                </c:pt>
                <c:pt idx="698">
                  <c:v>2301.7056608058997</c:v>
                </c:pt>
                <c:pt idx="699">
                  <c:v>2301.7056608058997</c:v>
                </c:pt>
                <c:pt idx="700">
                  <c:v>2301.7056608058997</c:v>
                </c:pt>
                <c:pt idx="701">
                  <c:v>2301.7056608058997</c:v>
                </c:pt>
                <c:pt idx="702">
                  <c:v>2301.7056608058997</c:v>
                </c:pt>
                <c:pt idx="703">
                  <c:v>2301.7056608058997</c:v>
                </c:pt>
                <c:pt idx="704">
                  <c:v>2301.7056608058997</c:v>
                </c:pt>
                <c:pt idx="705">
                  <c:v>2301.7056608058997</c:v>
                </c:pt>
                <c:pt idx="706">
                  <c:v>2301.7056608058997</c:v>
                </c:pt>
                <c:pt idx="707">
                  <c:v>2301.7056608058997</c:v>
                </c:pt>
                <c:pt idx="708">
                  <c:v>2301.7056608058997</c:v>
                </c:pt>
                <c:pt idx="709">
                  <c:v>2301.7056608058997</c:v>
                </c:pt>
                <c:pt idx="710">
                  <c:v>2301.7056608058997</c:v>
                </c:pt>
                <c:pt idx="711">
                  <c:v>2301.7056608058997</c:v>
                </c:pt>
                <c:pt idx="712">
                  <c:v>2301.7056608058997</c:v>
                </c:pt>
                <c:pt idx="713">
                  <c:v>2301.7056608058997</c:v>
                </c:pt>
                <c:pt idx="714">
                  <c:v>2301.7056608058997</c:v>
                </c:pt>
                <c:pt idx="715">
                  <c:v>2301.7056608058997</c:v>
                </c:pt>
                <c:pt idx="716">
                  <c:v>2301.7056608058997</c:v>
                </c:pt>
                <c:pt idx="717">
                  <c:v>2301.7056608058997</c:v>
                </c:pt>
                <c:pt idx="718">
                  <c:v>2301.7056608058997</c:v>
                </c:pt>
                <c:pt idx="719">
                  <c:v>2301.7056608058997</c:v>
                </c:pt>
                <c:pt idx="720">
                  <c:v>2301.7056608058997</c:v>
                </c:pt>
                <c:pt idx="721">
                  <c:v>2301.7056608058997</c:v>
                </c:pt>
                <c:pt idx="722">
                  <c:v>2301.7056608058997</c:v>
                </c:pt>
                <c:pt idx="723">
                  <c:v>2301.7056608058997</c:v>
                </c:pt>
                <c:pt idx="724">
                  <c:v>2301.7056608058997</c:v>
                </c:pt>
                <c:pt idx="725">
                  <c:v>2301.7056608058997</c:v>
                </c:pt>
                <c:pt idx="726">
                  <c:v>2301.7056608058997</c:v>
                </c:pt>
                <c:pt idx="727">
                  <c:v>2301.7056608058997</c:v>
                </c:pt>
                <c:pt idx="728">
                  <c:v>2301.7056608058997</c:v>
                </c:pt>
                <c:pt idx="729">
                  <c:v>2301.7056608058997</c:v>
                </c:pt>
                <c:pt idx="730">
                  <c:v>2301.7056608058997</c:v>
                </c:pt>
                <c:pt idx="731">
                  <c:v>2301.7056608058997</c:v>
                </c:pt>
                <c:pt idx="732">
                  <c:v>2301.7056608058997</c:v>
                </c:pt>
                <c:pt idx="733">
                  <c:v>2301.7056608058997</c:v>
                </c:pt>
                <c:pt idx="734">
                  <c:v>2301.7056608058997</c:v>
                </c:pt>
                <c:pt idx="735">
                  <c:v>2301.7056608058997</c:v>
                </c:pt>
                <c:pt idx="736">
                  <c:v>2301.7056608058997</c:v>
                </c:pt>
                <c:pt idx="737">
                  <c:v>2301.7056608058997</c:v>
                </c:pt>
                <c:pt idx="738">
                  <c:v>2301.7056608058997</c:v>
                </c:pt>
                <c:pt idx="739">
                  <c:v>2301.7056608058997</c:v>
                </c:pt>
                <c:pt idx="740">
                  <c:v>2301.7056608058997</c:v>
                </c:pt>
                <c:pt idx="741">
                  <c:v>2301.7056608058997</c:v>
                </c:pt>
                <c:pt idx="742">
                  <c:v>2301.7056608058997</c:v>
                </c:pt>
                <c:pt idx="743">
                  <c:v>2301.7056608058997</c:v>
                </c:pt>
                <c:pt idx="744">
                  <c:v>2301.7056608058997</c:v>
                </c:pt>
                <c:pt idx="745">
                  <c:v>2301.7056608058997</c:v>
                </c:pt>
                <c:pt idx="746">
                  <c:v>2301.7056608058997</c:v>
                </c:pt>
                <c:pt idx="747">
                  <c:v>2301.7056608058997</c:v>
                </c:pt>
                <c:pt idx="748">
                  <c:v>2301.7056608058997</c:v>
                </c:pt>
                <c:pt idx="749">
                  <c:v>2301.7056608058997</c:v>
                </c:pt>
                <c:pt idx="750">
                  <c:v>2301.7056608058997</c:v>
                </c:pt>
                <c:pt idx="751">
                  <c:v>2301.7056608058997</c:v>
                </c:pt>
                <c:pt idx="752">
                  <c:v>2301.7056608058997</c:v>
                </c:pt>
                <c:pt idx="753">
                  <c:v>2301.7056608058997</c:v>
                </c:pt>
                <c:pt idx="754">
                  <c:v>2301.7056608058997</c:v>
                </c:pt>
                <c:pt idx="755">
                  <c:v>2301.7056608058997</c:v>
                </c:pt>
                <c:pt idx="756">
                  <c:v>2301.7056608058997</c:v>
                </c:pt>
                <c:pt idx="757">
                  <c:v>2301.7056608058997</c:v>
                </c:pt>
                <c:pt idx="758">
                  <c:v>2301.7056608058997</c:v>
                </c:pt>
                <c:pt idx="759">
                  <c:v>2301.7056608058997</c:v>
                </c:pt>
                <c:pt idx="760">
                  <c:v>2301.7056608058997</c:v>
                </c:pt>
                <c:pt idx="761">
                  <c:v>2301.7056608058997</c:v>
                </c:pt>
                <c:pt idx="762">
                  <c:v>2301.7056608058997</c:v>
                </c:pt>
                <c:pt idx="763">
                  <c:v>2301.7056608058997</c:v>
                </c:pt>
                <c:pt idx="764">
                  <c:v>2301.7056608058997</c:v>
                </c:pt>
                <c:pt idx="765">
                  <c:v>2301.7056608058997</c:v>
                </c:pt>
                <c:pt idx="766">
                  <c:v>2301.7056608058997</c:v>
                </c:pt>
                <c:pt idx="767">
                  <c:v>2301.7056608058997</c:v>
                </c:pt>
                <c:pt idx="768">
                  <c:v>2301.7056608058997</c:v>
                </c:pt>
                <c:pt idx="769">
                  <c:v>2301.7056608058997</c:v>
                </c:pt>
                <c:pt idx="770">
                  <c:v>2301.7056608058997</c:v>
                </c:pt>
                <c:pt idx="771">
                  <c:v>2301.7056608058997</c:v>
                </c:pt>
                <c:pt idx="772">
                  <c:v>2301.7056608058997</c:v>
                </c:pt>
                <c:pt idx="773">
                  <c:v>2301.7056608058997</c:v>
                </c:pt>
                <c:pt idx="774">
                  <c:v>2301.7056608058997</c:v>
                </c:pt>
                <c:pt idx="775">
                  <c:v>2301.7056608058997</c:v>
                </c:pt>
                <c:pt idx="776">
                  <c:v>2301.7056608058997</c:v>
                </c:pt>
                <c:pt idx="777">
                  <c:v>2301.7056608058997</c:v>
                </c:pt>
                <c:pt idx="778">
                  <c:v>2301.7056608058997</c:v>
                </c:pt>
                <c:pt idx="779">
                  <c:v>2301.7056608058997</c:v>
                </c:pt>
                <c:pt idx="780">
                  <c:v>2301.7056608058997</c:v>
                </c:pt>
                <c:pt idx="781">
                  <c:v>2301.7056608058997</c:v>
                </c:pt>
                <c:pt idx="782">
                  <c:v>2301.7056608058997</c:v>
                </c:pt>
                <c:pt idx="783">
                  <c:v>2301.7056608058997</c:v>
                </c:pt>
                <c:pt idx="784">
                  <c:v>2301.7056608058997</c:v>
                </c:pt>
                <c:pt idx="785">
                  <c:v>2301.7056608058997</c:v>
                </c:pt>
                <c:pt idx="786">
                  <c:v>2301.7056608058997</c:v>
                </c:pt>
                <c:pt idx="787">
                  <c:v>2301.7056608058997</c:v>
                </c:pt>
                <c:pt idx="788">
                  <c:v>2301.7056608058997</c:v>
                </c:pt>
                <c:pt idx="789">
                  <c:v>2301.7056608058997</c:v>
                </c:pt>
                <c:pt idx="790">
                  <c:v>2301.7056608058997</c:v>
                </c:pt>
                <c:pt idx="791">
                  <c:v>2301.7056608058997</c:v>
                </c:pt>
                <c:pt idx="792">
                  <c:v>2301.7056608058997</c:v>
                </c:pt>
                <c:pt idx="793">
                  <c:v>2301.7056608058997</c:v>
                </c:pt>
                <c:pt idx="794">
                  <c:v>2301.7056608058997</c:v>
                </c:pt>
                <c:pt idx="795">
                  <c:v>2301.7056608058997</c:v>
                </c:pt>
                <c:pt idx="796">
                  <c:v>2301.7056608058997</c:v>
                </c:pt>
                <c:pt idx="797">
                  <c:v>2301.7056608058997</c:v>
                </c:pt>
                <c:pt idx="798">
                  <c:v>2301.7056608058997</c:v>
                </c:pt>
                <c:pt idx="799">
                  <c:v>2301.7056608058997</c:v>
                </c:pt>
                <c:pt idx="800">
                  <c:v>2301.7056608058997</c:v>
                </c:pt>
                <c:pt idx="801">
                  <c:v>2301.7056608058997</c:v>
                </c:pt>
                <c:pt idx="802">
                  <c:v>2301.7056608058997</c:v>
                </c:pt>
                <c:pt idx="803">
                  <c:v>2301.7056608058997</c:v>
                </c:pt>
                <c:pt idx="804">
                  <c:v>2301.7056608058997</c:v>
                </c:pt>
                <c:pt idx="805">
                  <c:v>2301.7056608058997</c:v>
                </c:pt>
                <c:pt idx="806">
                  <c:v>2301.7056608058997</c:v>
                </c:pt>
                <c:pt idx="807">
                  <c:v>2301.7056608058997</c:v>
                </c:pt>
                <c:pt idx="808">
                  <c:v>2301.7056608058997</c:v>
                </c:pt>
                <c:pt idx="809">
                  <c:v>2301.7056608058997</c:v>
                </c:pt>
                <c:pt idx="810">
                  <c:v>2301.7056608058997</c:v>
                </c:pt>
                <c:pt idx="811">
                  <c:v>2301.7056608058997</c:v>
                </c:pt>
                <c:pt idx="812">
                  <c:v>2301.7056608058997</c:v>
                </c:pt>
                <c:pt idx="813">
                  <c:v>2301.7056608058997</c:v>
                </c:pt>
                <c:pt idx="814">
                  <c:v>2301.7056608058997</c:v>
                </c:pt>
                <c:pt idx="815">
                  <c:v>2301.7056608058997</c:v>
                </c:pt>
                <c:pt idx="816">
                  <c:v>2301.7056608058997</c:v>
                </c:pt>
                <c:pt idx="817">
                  <c:v>2301.7056608058997</c:v>
                </c:pt>
                <c:pt idx="818">
                  <c:v>2301.7056608058997</c:v>
                </c:pt>
                <c:pt idx="819">
                  <c:v>2301.7056608058997</c:v>
                </c:pt>
                <c:pt idx="820">
                  <c:v>2301.7056608058997</c:v>
                </c:pt>
                <c:pt idx="821">
                  <c:v>2301.7056608058997</c:v>
                </c:pt>
                <c:pt idx="822">
                  <c:v>2301.7056608058997</c:v>
                </c:pt>
                <c:pt idx="823">
                  <c:v>2301.7056608058997</c:v>
                </c:pt>
                <c:pt idx="824">
                  <c:v>2301.7056608058997</c:v>
                </c:pt>
                <c:pt idx="825">
                  <c:v>2301.7056608058997</c:v>
                </c:pt>
                <c:pt idx="826">
                  <c:v>2301.7056608058997</c:v>
                </c:pt>
                <c:pt idx="827">
                  <c:v>2301.7056608058997</c:v>
                </c:pt>
                <c:pt idx="828">
                  <c:v>2301.7056608058997</c:v>
                </c:pt>
                <c:pt idx="829">
                  <c:v>2301.7056608058997</c:v>
                </c:pt>
                <c:pt idx="830">
                  <c:v>2301.7056608058997</c:v>
                </c:pt>
                <c:pt idx="831">
                  <c:v>2301.7056608058997</c:v>
                </c:pt>
                <c:pt idx="832">
                  <c:v>2301.7056608058997</c:v>
                </c:pt>
                <c:pt idx="833">
                  <c:v>2301.7056608058997</c:v>
                </c:pt>
                <c:pt idx="834">
                  <c:v>2301.7056608058997</c:v>
                </c:pt>
                <c:pt idx="835">
                  <c:v>2301.7056608058997</c:v>
                </c:pt>
                <c:pt idx="836">
                  <c:v>2301.7056608058997</c:v>
                </c:pt>
                <c:pt idx="837">
                  <c:v>2301.7056608058997</c:v>
                </c:pt>
                <c:pt idx="838">
                  <c:v>2301.7056608058997</c:v>
                </c:pt>
                <c:pt idx="839">
                  <c:v>2301.7056608058997</c:v>
                </c:pt>
                <c:pt idx="840">
                  <c:v>2301.7056608058997</c:v>
                </c:pt>
                <c:pt idx="841">
                  <c:v>2301.7056608058997</c:v>
                </c:pt>
                <c:pt idx="842">
                  <c:v>2301.7056608058997</c:v>
                </c:pt>
                <c:pt idx="843">
                  <c:v>2301.7056608058997</c:v>
                </c:pt>
                <c:pt idx="844">
                  <c:v>2301.7056608058997</c:v>
                </c:pt>
                <c:pt idx="845">
                  <c:v>2301.7056608058997</c:v>
                </c:pt>
                <c:pt idx="846">
                  <c:v>2301.7056608058997</c:v>
                </c:pt>
                <c:pt idx="847">
                  <c:v>2301.7056608058997</c:v>
                </c:pt>
                <c:pt idx="848">
                  <c:v>2301.7056608058997</c:v>
                </c:pt>
                <c:pt idx="849">
                  <c:v>2301.7056608058997</c:v>
                </c:pt>
                <c:pt idx="850">
                  <c:v>2301.7056608058997</c:v>
                </c:pt>
                <c:pt idx="851">
                  <c:v>2301.7056608058997</c:v>
                </c:pt>
                <c:pt idx="852">
                  <c:v>2301.7056608058997</c:v>
                </c:pt>
                <c:pt idx="853">
                  <c:v>2301.7056608058997</c:v>
                </c:pt>
                <c:pt idx="854">
                  <c:v>2301.7056608058997</c:v>
                </c:pt>
                <c:pt idx="855">
                  <c:v>2301.7056608058997</c:v>
                </c:pt>
                <c:pt idx="856">
                  <c:v>2301.7056608058997</c:v>
                </c:pt>
                <c:pt idx="857">
                  <c:v>2301.7056608058997</c:v>
                </c:pt>
                <c:pt idx="858">
                  <c:v>2301.7056608058997</c:v>
                </c:pt>
                <c:pt idx="859">
                  <c:v>2301.7056608058997</c:v>
                </c:pt>
                <c:pt idx="860">
                  <c:v>2301.7056608058997</c:v>
                </c:pt>
                <c:pt idx="861">
                  <c:v>2301.7056608058997</c:v>
                </c:pt>
                <c:pt idx="862">
                  <c:v>2301.7056608058997</c:v>
                </c:pt>
                <c:pt idx="863">
                  <c:v>2301.7056608058997</c:v>
                </c:pt>
                <c:pt idx="864">
                  <c:v>2301.7056608058997</c:v>
                </c:pt>
                <c:pt idx="865">
                  <c:v>2301.7056608058997</c:v>
                </c:pt>
                <c:pt idx="866">
                  <c:v>2301.7056608058997</c:v>
                </c:pt>
                <c:pt idx="867">
                  <c:v>2301.7056608058997</c:v>
                </c:pt>
                <c:pt idx="868">
                  <c:v>2301.7056608058997</c:v>
                </c:pt>
                <c:pt idx="869">
                  <c:v>2301.7056608058997</c:v>
                </c:pt>
                <c:pt idx="870">
                  <c:v>2301.7056608058997</c:v>
                </c:pt>
                <c:pt idx="871">
                  <c:v>2301.7056608058997</c:v>
                </c:pt>
                <c:pt idx="872">
                  <c:v>2301.7056608058997</c:v>
                </c:pt>
                <c:pt idx="873">
                  <c:v>2301.7056608058997</c:v>
                </c:pt>
                <c:pt idx="874">
                  <c:v>2301.7056608058997</c:v>
                </c:pt>
                <c:pt idx="875">
                  <c:v>2301.7056608058997</c:v>
                </c:pt>
                <c:pt idx="876">
                  <c:v>2301.7056608058997</c:v>
                </c:pt>
                <c:pt idx="877">
                  <c:v>2301.7056608058997</c:v>
                </c:pt>
                <c:pt idx="878">
                  <c:v>2301.7056608058997</c:v>
                </c:pt>
                <c:pt idx="879">
                  <c:v>2301.7056608058997</c:v>
                </c:pt>
                <c:pt idx="880">
                  <c:v>2301.7056608058997</c:v>
                </c:pt>
                <c:pt idx="881">
                  <c:v>2301.7056608058997</c:v>
                </c:pt>
                <c:pt idx="882">
                  <c:v>2301.7056608058997</c:v>
                </c:pt>
                <c:pt idx="883">
                  <c:v>2301.7056608058997</c:v>
                </c:pt>
                <c:pt idx="884">
                  <c:v>2301.7056608058997</c:v>
                </c:pt>
                <c:pt idx="885">
                  <c:v>2301.7056608058997</c:v>
                </c:pt>
                <c:pt idx="886">
                  <c:v>2301.7056608058997</c:v>
                </c:pt>
                <c:pt idx="887">
                  <c:v>2301.7056608058997</c:v>
                </c:pt>
                <c:pt idx="888">
                  <c:v>2301.7056608058997</c:v>
                </c:pt>
                <c:pt idx="889">
                  <c:v>2301.7056608058997</c:v>
                </c:pt>
                <c:pt idx="890">
                  <c:v>2301.7056608058997</c:v>
                </c:pt>
                <c:pt idx="891">
                  <c:v>2301.7056608058997</c:v>
                </c:pt>
                <c:pt idx="892">
                  <c:v>2301.7056608058997</c:v>
                </c:pt>
                <c:pt idx="893">
                  <c:v>2301.7056608058997</c:v>
                </c:pt>
                <c:pt idx="894">
                  <c:v>2301.7056608058997</c:v>
                </c:pt>
                <c:pt idx="895">
                  <c:v>2301.7056608058997</c:v>
                </c:pt>
                <c:pt idx="896">
                  <c:v>2301.7056608058997</c:v>
                </c:pt>
                <c:pt idx="897">
                  <c:v>2301.7056608058997</c:v>
                </c:pt>
                <c:pt idx="898">
                  <c:v>2301.7056608058997</c:v>
                </c:pt>
                <c:pt idx="899">
                  <c:v>2301.7056608058997</c:v>
                </c:pt>
                <c:pt idx="900">
                  <c:v>2301.7056608058997</c:v>
                </c:pt>
                <c:pt idx="901">
                  <c:v>2301.7056608058997</c:v>
                </c:pt>
                <c:pt idx="902">
                  <c:v>2301.7056608058997</c:v>
                </c:pt>
                <c:pt idx="903">
                  <c:v>2301.7056608058997</c:v>
                </c:pt>
                <c:pt idx="904">
                  <c:v>2301.7056608058997</c:v>
                </c:pt>
                <c:pt idx="905">
                  <c:v>2301.7056608058997</c:v>
                </c:pt>
                <c:pt idx="906">
                  <c:v>2301.7056608058997</c:v>
                </c:pt>
                <c:pt idx="907">
                  <c:v>2301.7056608058997</c:v>
                </c:pt>
                <c:pt idx="908">
                  <c:v>2301.7056608058997</c:v>
                </c:pt>
                <c:pt idx="909">
                  <c:v>2301.7056608058997</c:v>
                </c:pt>
                <c:pt idx="910">
                  <c:v>2301.7056608058997</c:v>
                </c:pt>
                <c:pt idx="911">
                  <c:v>2301.7056608058997</c:v>
                </c:pt>
                <c:pt idx="912">
                  <c:v>2301.7056608058997</c:v>
                </c:pt>
                <c:pt idx="913">
                  <c:v>2301.7056608058997</c:v>
                </c:pt>
                <c:pt idx="914">
                  <c:v>2301.7056608058997</c:v>
                </c:pt>
                <c:pt idx="915">
                  <c:v>2301.7056608058997</c:v>
                </c:pt>
                <c:pt idx="916">
                  <c:v>2301.7056608058997</c:v>
                </c:pt>
                <c:pt idx="917">
                  <c:v>2301.7056608058997</c:v>
                </c:pt>
                <c:pt idx="918">
                  <c:v>2301.7056608058997</c:v>
                </c:pt>
                <c:pt idx="919">
                  <c:v>2301.7056608058997</c:v>
                </c:pt>
                <c:pt idx="920">
                  <c:v>2301.7056608058997</c:v>
                </c:pt>
                <c:pt idx="921">
                  <c:v>2301.7056608058997</c:v>
                </c:pt>
                <c:pt idx="922">
                  <c:v>2301.7056608058997</c:v>
                </c:pt>
                <c:pt idx="923">
                  <c:v>2301.7056608058997</c:v>
                </c:pt>
                <c:pt idx="924">
                  <c:v>2301.7056608058997</c:v>
                </c:pt>
                <c:pt idx="925">
                  <c:v>2301.7056608058997</c:v>
                </c:pt>
                <c:pt idx="926">
                  <c:v>2301.7056608058997</c:v>
                </c:pt>
                <c:pt idx="927">
                  <c:v>2301.7056608058997</c:v>
                </c:pt>
                <c:pt idx="928">
                  <c:v>2301.7056608058997</c:v>
                </c:pt>
                <c:pt idx="929">
                  <c:v>2301.7056608058997</c:v>
                </c:pt>
                <c:pt idx="930">
                  <c:v>2301.7056608058997</c:v>
                </c:pt>
                <c:pt idx="931">
                  <c:v>2301.7056608058997</c:v>
                </c:pt>
                <c:pt idx="932">
                  <c:v>2301.7056608058997</c:v>
                </c:pt>
                <c:pt idx="933">
                  <c:v>2301.7056608058997</c:v>
                </c:pt>
                <c:pt idx="934">
                  <c:v>2301.7056608058997</c:v>
                </c:pt>
                <c:pt idx="935">
                  <c:v>2301.7056608058997</c:v>
                </c:pt>
                <c:pt idx="936">
                  <c:v>2301.7056608058997</c:v>
                </c:pt>
                <c:pt idx="937">
                  <c:v>2301.7056608058997</c:v>
                </c:pt>
                <c:pt idx="938">
                  <c:v>2301.7056608058997</c:v>
                </c:pt>
                <c:pt idx="939">
                  <c:v>2301.7056608058997</c:v>
                </c:pt>
                <c:pt idx="940">
                  <c:v>2301.7056608058997</c:v>
                </c:pt>
                <c:pt idx="941">
                  <c:v>2301.7056608058997</c:v>
                </c:pt>
                <c:pt idx="942">
                  <c:v>2301.7056608058997</c:v>
                </c:pt>
                <c:pt idx="943">
                  <c:v>2301.7056608058997</c:v>
                </c:pt>
                <c:pt idx="944">
                  <c:v>2128.474433279499</c:v>
                </c:pt>
                <c:pt idx="945">
                  <c:v>2128.474433279499</c:v>
                </c:pt>
                <c:pt idx="946">
                  <c:v>2128.474433279499</c:v>
                </c:pt>
                <c:pt idx="947">
                  <c:v>2128.474433279499</c:v>
                </c:pt>
                <c:pt idx="948">
                  <c:v>2128.474433279499</c:v>
                </c:pt>
                <c:pt idx="949">
                  <c:v>2128.474433279499</c:v>
                </c:pt>
                <c:pt idx="950">
                  <c:v>2128.474433279499</c:v>
                </c:pt>
                <c:pt idx="951">
                  <c:v>2128.474433279499</c:v>
                </c:pt>
                <c:pt idx="952">
                  <c:v>2128.474433279499</c:v>
                </c:pt>
                <c:pt idx="953">
                  <c:v>2128.474433279499</c:v>
                </c:pt>
                <c:pt idx="954">
                  <c:v>2128.474433279499</c:v>
                </c:pt>
                <c:pt idx="955">
                  <c:v>2128.474433279499</c:v>
                </c:pt>
                <c:pt idx="956">
                  <c:v>2128.474433279499</c:v>
                </c:pt>
                <c:pt idx="957">
                  <c:v>2128.474433279499</c:v>
                </c:pt>
                <c:pt idx="958">
                  <c:v>2128.474433279499</c:v>
                </c:pt>
                <c:pt idx="959">
                  <c:v>2128.474433279499</c:v>
                </c:pt>
                <c:pt idx="960">
                  <c:v>2128.474433279499</c:v>
                </c:pt>
                <c:pt idx="961">
                  <c:v>2128.474433279499</c:v>
                </c:pt>
                <c:pt idx="962">
                  <c:v>2128.474433279499</c:v>
                </c:pt>
                <c:pt idx="963">
                  <c:v>2128.474433279499</c:v>
                </c:pt>
                <c:pt idx="964">
                  <c:v>2128.474433279499</c:v>
                </c:pt>
                <c:pt idx="965">
                  <c:v>2128.474433279499</c:v>
                </c:pt>
                <c:pt idx="966">
                  <c:v>2128.474433279499</c:v>
                </c:pt>
                <c:pt idx="967">
                  <c:v>2128.474433279499</c:v>
                </c:pt>
                <c:pt idx="968">
                  <c:v>2128.474433279499</c:v>
                </c:pt>
                <c:pt idx="969">
                  <c:v>2128.474433279499</c:v>
                </c:pt>
                <c:pt idx="970">
                  <c:v>2128.474433279499</c:v>
                </c:pt>
                <c:pt idx="971">
                  <c:v>2128.474433279499</c:v>
                </c:pt>
                <c:pt idx="972">
                  <c:v>2128.474433279499</c:v>
                </c:pt>
                <c:pt idx="973">
                  <c:v>2128.474433279499</c:v>
                </c:pt>
                <c:pt idx="974">
                  <c:v>2128.474433279499</c:v>
                </c:pt>
                <c:pt idx="975">
                  <c:v>2128.474433279499</c:v>
                </c:pt>
                <c:pt idx="976">
                  <c:v>2128.474433279499</c:v>
                </c:pt>
                <c:pt idx="977">
                  <c:v>2128.474433279499</c:v>
                </c:pt>
                <c:pt idx="978">
                  <c:v>2128.474433279499</c:v>
                </c:pt>
                <c:pt idx="979">
                  <c:v>2128.474433279499</c:v>
                </c:pt>
                <c:pt idx="980">
                  <c:v>2128.474433279499</c:v>
                </c:pt>
                <c:pt idx="981">
                  <c:v>2128.474433279499</c:v>
                </c:pt>
                <c:pt idx="982">
                  <c:v>2128.474433279499</c:v>
                </c:pt>
                <c:pt idx="983">
                  <c:v>2128.474433279499</c:v>
                </c:pt>
                <c:pt idx="984">
                  <c:v>2128.474433279499</c:v>
                </c:pt>
                <c:pt idx="985">
                  <c:v>2128.474433279499</c:v>
                </c:pt>
                <c:pt idx="986">
                  <c:v>2128.474433279499</c:v>
                </c:pt>
                <c:pt idx="987">
                  <c:v>2128.474433279499</c:v>
                </c:pt>
                <c:pt idx="988">
                  <c:v>2128.474433279499</c:v>
                </c:pt>
                <c:pt idx="989">
                  <c:v>2128.474433279499</c:v>
                </c:pt>
                <c:pt idx="990">
                  <c:v>2128.474433279499</c:v>
                </c:pt>
                <c:pt idx="991">
                  <c:v>2128.474433279499</c:v>
                </c:pt>
                <c:pt idx="992">
                  <c:v>2128.474433279499</c:v>
                </c:pt>
                <c:pt idx="993">
                  <c:v>2128.474433279499</c:v>
                </c:pt>
                <c:pt idx="994">
                  <c:v>2128.474433279499</c:v>
                </c:pt>
                <c:pt idx="995">
                  <c:v>2128.474433279499</c:v>
                </c:pt>
                <c:pt idx="996">
                  <c:v>2128.474433279499</c:v>
                </c:pt>
                <c:pt idx="997">
                  <c:v>2128.474433279499</c:v>
                </c:pt>
                <c:pt idx="998">
                  <c:v>2128.474433279499</c:v>
                </c:pt>
                <c:pt idx="999">
                  <c:v>2128.474433279499</c:v>
                </c:pt>
                <c:pt idx="1000">
                  <c:v>2128.474433279499</c:v>
                </c:pt>
                <c:pt idx="1001">
                  <c:v>2128.474433279499</c:v>
                </c:pt>
                <c:pt idx="1002">
                  <c:v>2128.474433279499</c:v>
                </c:pt>
                <c:pt idx="1003">
                  <c:v>2128.474433279499</c:v>
                </c:pt>
                <c:pt idx="1004">
                  <c:v>2128.474433279499</c:v>
                </c:pt>
                <c:pt idx="1005">
                  <c:v>2128.474433279499</c:v>
                </c:pt>
                <c:pt idx="1006">
                  <c:v>2128.474433279499</c:v>
                </c:pt>
                <c:pt idx="1007">
                  <c:v>2128.474433279499</c:v>
                </c:pt>
                <c:pt idx="1008">
                  <c:v>2128.474433279499</c:v>
                </c:pt>
                <c:pt idx="1009">
                  <c:v>2128.474433279499</c:v>
                </c:pt>
                <c:pt idx="1010">
                  <c:v>2128.474433279499</c:v>
                </c:pt>
                <c:pt idx="1011">
                  <c:v>2128.474433279499</c:v>
                </c:pt>
                <c:pt idx="1012">
                  <c:v>2128.474433279499</c:v>
                </c:pt>
                <c:pt idx="1013">
                  <c:v>2128.474433279499</c:v>
                </c:pt>
                <c:pt idx="1014">
                  <c:v>2128.474433279499</c:v>
                </c:pt>
                <c:pt idx="1015">
                  <c:v>2128.474433279499</c:v>
                </c:pt>
                <c:pt idx="1016">
                  <c:v>2128.474433279499</c:v>
                </c:pt>
                <c:pt idx="1017">
                  <c:v>2128.474433279499</c:v>
                </c:pt>
                <c:pt idx="1018">
                  <c:v>2128.474433279499</c:v>
                </c:pt>
                <c:pt idx="1019">
                  <c:v>2128.474433279499</c:v>
                </c:pt>
                <c:pt idx="1020">
                  <c:v>2128.474433279499</c:v>
                </c:pt>
                <c:pt idx="1021">
                  <c:v>2128.474433279499</c:v>
                </c:pt>
                <c:pt idx="1022">
                  <c:v>2128.474433279499</c:v>
                </c:pt>
                <c:pt idx="1023">
                  <c:v>2128.474433279499</c:v>
                </c:pt>
                <c:pt idx="1024">
                  <c:v>2128.474433279499</c:v>
                </c:pt>
                <c:pt idx="1025">
                  <c:v>2128.474433279499</c:v>
                </c:pt>
                <c:pt idx="1026">
                  <c:v>2128.474433279499</c:v>
                </c:pt>
                <c:pt idx="1027">
                  <c:v>2128.474433279499</c:v>
                </c:pt>
                <c:pt idx="1028">
                  <c:v>2128.474433279499</c:v>
                </c:pt>
                <c:pt idx="1029">
                  <c:v>2128.474433279499</c:v>
                </c:pt>
                <c:pt idx="1030">
                  <c:v>2128.474433279499</c:v>
                </c:pt>
                <c:pt idx="1031">
                  <c:v>2128.474433279499</c:v>
                </c:pt>
                <c:pt idx="1032">
                  <c:v>2128.474433279499</c:v>
                </c:pt>
                <c:pt idx="1033">
                  <c:v>2128.474433279499</c:v>
                </c:pt>
                <c:pt idx="1034">
                  <c:v>2128.474433279499</c:v>
                </c:pt>
                <c:pt idx="1035">
                  <c:v>2128.474433279499</c:v>
                </c:pt>
                <c:pt idx="1036">
                  <c:v>2128.474433279499</c:v>
                </c:pt>
                <c:pt idx="1037">
                  <c:v>2128.474433279499</c:v>
                </c:pt>
                <c:pt idx="1038">
                  <c:v>2128.474433279499</c:v>
                </c:pt>
                <c:pt idx="1039">
                  <c:v>2128.474433279499</c:v>
                </c:pt>
                <c:pt idx="1040">
                  <c:v>2128.474433279499</c:v>
                </c:pt>
                <c:pt idx="1041">
                  <c:v>2128.474433279499</c:v>
                </c:pt>
                <c:pt idx="1042">
                  <c:v>2128.474433279499</c:v>
                </c:pt>
                <c:pt idx="1043">
                  <c:v>2128.474433279499</c:v>
                </c:pt>
                <c:pt idx="1044">
                  <c:v>2128.474433279499</c:v>
                </c:pt>
                <c:pt idx="1045">
                  <c:v>2128.474433279499</c:v>
                </c:pt>
                <c:pt idx="1046">
                  <c:v>2128.474433279499</c:v>
                </c:pt>
                <c:pt idx="1047">
                  <c:v>2128.474433279499</c:v>
                </c:pt>
                <c:pt idx="1048">
                  <c:v>2128.474433279499</c:v>
                </c:pt>
                <c:pt idx="1049">
                  <c:v>2128.474433279499</c:v>
                </c:pt>
                <c:pt idx="1050">
                  <c:v>2128.474433279499</c:v>
                </c:pt>
                <c:pt idx="1051">
                  <c:v>2128.474433279499</c:v>
                </c:pt>
                <c:pt idx="1052">
                  <c:v>2128.474433279499</c:v>
                </c:pt>
                <c:pt idx="1053">
                  <c:v>2128.474433279499</c:v>
                </c:pt>
                <c:pt idx="1054">
                  <c:v>2128.474433279499</c:v>
                </c:pt>
                <c:pt idx="1055">
                  <c:v>2128.474433279499</c:v>
                </c:pt>
                <c:pt idx="1056">
                  <c:v>2128.474433279499</c:v>
                </c:pt>
                <c:pt idx="1057">
                  <c:v>2128.474433279499</c:v>
                </c:pt>
                <c:pt idx="1058">
                  <c:v>2128.474433279499</c:v>
                </c:pt>
                <c:pt idx="1059">
                  <c:v>2128.474433279499</c:v>
                </c:pt>
                <c:pt idx="1060">
                  <c:v>2128.474433279499</c:v>
                </c:pt>
                <c:pt idx="1061">
                  <c:v>2128.474433279499</c:v>
                </c:pt>
                <c:pt idx="1062">
                  <c:v>2128.474433279499</c:v>
                </c:pt>
                <c:pt idx="1063">
                  <c:v>2128.474433279499</c:v>
                </c:pt>
                <c:pt idx="1064">
                  <c:v>2128.474433279499</c:v>
                </c:pt>
                <c:pt idx="1065">
                  <c:v>2128.474433279499</c:v>
                </c:pt>
                <c:pt idx="1066">
                  <c:v>2128.474433279499</c:v>
                </c:pt>
                <c:pt idx="1067">
                  <c:v>2128.474433279499</c:v>
                </c:pt>
                <c:pt idx="1068">
                  <c:v>2128.474433279499</c:v>
                </c:pt>
                <c:pt idx="1069">
                  <c:v>2128.474433279499</c:v>
                </c:pt>
                <c:pt idx="1070">
                  <c:v>2128.474433279499</c:v>
                </c:pt>
                <c:pt idx="1071">
                  <c:v>2128.474433279499</c:v>
                </c:pt>
                <c:pt idx="1072">
                  <c:v>2128.474433279499</c:v>
                </c:pt>
                <c:pt idx="1073">
                  <c:v>2128.474433279499</c:v>
                </c:pt>
                <c:pt idx="1074">
                  <c:v>2128.474433279499</c:v>
                </c:pt>
                <c:pt idx="1075">
                  <c:v>2128.474433279499</c:v>
                </c:pt>
                <c:pt idx="1076">
                  <c:v>2128.474433279499</c:v>
                </c:pt>
                <c:pt idx="1077">
                  <c:v>2128.474433279499</c:v>
                </c:pt>
                <c:pt idx="1078">
                  <c:v>2128.474433279499</c:v>
                </c:pt>
                <c:pt idx="1079">
                  <c:v>2128.474433279499</c:v>
                </c:pt>
                <c:pt idx="1080">
                  <c:v>2128.474433279499</c:v>
                </c:pt>
                <c:pt idx="1081">
                  <c:v>2128.474433279499</c:v>
                </c:pt>
                <c:pt idx="1082">
                  <c:v>2128.474433279499</c:v>
                </c:pt>
                <c:pt idx="1083">
                  <c:v>2128.474433279499</c:v>
                </c:pt>
                <c:pt idx="1084">
                  <c:v>2128.474433279499</c:v>
                </c:pt>
                <c:pt idx="1085">
                  <c:v>2128.474433279499</c:v>
                </c:pt>
                <c:pt idx="1086">
                  <c:v>2128.474433279499</c:v>
                </c:pt>
                <c:pt idx="1087">
                  <c:v>2128.474433279499</c:v>
                </c:pt>
                <c:pt idx="1088">
                  <c:v>2128.474433279499</c:v>
                </c:pt>
                <c:pt idx="1089">
                  <c:v>2128.474433279499</c:v>
                </c:pt>
                <c:pt idx="1090">
                  <c:v>2128.474433279499</c:v>
                </c:pt>
                <c:pt idx="1091">
                  <c:v>2128.474433279499</c:v>
                </c:pt>
                <c:pt idx="1092">
                  <c:v>2128.474433279499</c:v>
                </c:pt>
                <c:pt idx="1093">
                  <c:v>2128.474433279499</c:v>
                </c:pt>
                <c:pt idx="1094">
                  <c:v>2128.474433279499</c:v>
                </c:pt>
                <c:pt idx="1095">
                  <c:v>2128.474433279499</c:v>
                </c:pt>
                <c:pt idx="1096">
                  <c:v>2128.474433279499</c:v>
                </c:pt>
                <c:pt idx="1097">
                  <c:v>2128.474433279499</c:v>
                </c:pt>
                <c:pt idx="1098">
                  <c:v>2128.474433279499</c:v>
                </c:pt>
                <c:pt idx="1099">
                  <c:v>2128.474433279499</c:v>
                </c:pt>
                <c:pt idx="1100">
                  <c:v>2128.474433279499</c:v>
                </c:pt>
                <c:pt idx="1101">
                  <c:v>2128.474433279499</c:v>
                </c:pt>
                <c:pt idx="1102">
                  <c:v>2128.474433279499</c:v>
                </c:pt>
                <c:pt idx="1103">
                  <c:v>2128.474433279499</c:v>
                </c:pt>
                <c:pt idx="1104">
                  <c:v>2128.474433279499</c:v>
                </c:pt>
                <c:pt idx="1105">
                  <c:v>2128.474433279499</c:v>
                </c:pt>
                <c:pt idx="1106">
                  <c:v>2128.474433279499</c:v>
                </c:pt>
                <c:pt idx="1107">
                  <c:v>2128.474433279499</c:v>
                </c:pt>
                <c:pt idx="1108">
                  <c:v>2128.474433279499</c:v>
                </c:pt>
                <c:pt idx="1109">
                  <c:v>2128.474433279499</c:v>
                </c:pt>
                <c:pt idx="1110">
                  <c:v>2128.474433279499</c:v>
                </c:pt>
                <c:pt idx="1111">
                  <c:v>2128.474433279499</c:v>
                </c:pt>
                <c:pt idx="1112">
                  <c:v>2128.474433279499</c:v>
                </c:pt>
                <c:pt idx="1113">
                  <c:v>2128.474433279499</c:v>
                </c:pt>
                <c:pt idx="1114">
                  <c:v>2128.474433279499</c:v>
                </c:pt>
                <c:pt idx="1115">
                  <c:v>2128.474433279499</c:v>
                </c:pt>
                <c:pt idx="1116">
                  <c:v>2128.474433279499</c:v>
                </c:pt>
                <c:pt idx="1117">
                  <c:v>2128.474433279499</c:v>
                </c:pt>
                <c:pt idx="1118">
                  <c:v>2128.474433279499</c:v>
                </c:pt>
                <c:pt idx="1119">
                  <c:v>2128.474433279499</c:v>
                </c:pt>
                <c:pt idx="1120">
                  <c:v>2128.474433279499</c:v>
                </c:pt>
                <c:pt idx="1121">
                  <c:v>2128.474433279499</c:v>
                </c:pt>
                <c:pt idx="1122">
                  <c:v>2128.474433279499</c:v>
                </c:pt>
                <c:pt idx="1123">
                  <c:v>2128.474433279499</c:v>
                </c:pt>
                <c:pt idx="1124">
                  <c:v>2128.474433279499</c:v>
                </c:pt>
                <c:pt idx="1125">
                  <c:v>2128.474433279499</c:v>
                </c:pt>
                <c:pt idx="1126">
                  <c:v>2128.474433279499</c:v>
                </c:pt>
                <c:pt idx="1127">
                  <c:v>2128.474433279499</c:v>
                </c:pt>
                <c:pt idx="1128">
                  <c:v>2128.474433279499</c:v>
                </c:pt>
                <c:pt idx="1129">
                  <c:v>2128.474433279499</c:v>
                </c:pt>
                <c:pt idx="1130">
                  <c:v>2128.474433279499</c:v>
                </c:pt>
                <c:pt idx="1131">
                  <c:v>2128.474433279499</c:v>
                </c:pt>
                <c:pt idx="1132">
                  <c:v>2128.474433279499</c:v>
                </c:pt>
                <c:pt idx="1133">
                  <c:v>2128.474433279499</c:v>
                </c:pt>
                <c:pt idx="1134">
                  <c:v>2128.474433279499</c:v>
                </c:pt>
                <c:pt idx="1135">
                  <c:v>2128.474433279499</c:v>
                </c:pt>
                <c:pt idx="1136">
                  <c:v>2128.474433279499</c:v>
                </c:pt>
                <c:pt idx="1137">
                  <c:v>2128.474433279499</c:v>
                </c:pt>
                <c:pt idx="1138">
                  <c:v>2128.474433279499</c:v>
                </c:pt>
                <c:pt idx="1139">
                  <c:v>2128.474433279499</c:v>
                </c:pt>
                <c:pt idx="1140">
                  <c:v>2128.474433279499</c:v>
                </c:pt>
                <c:pt idx="1141">
                  <c:v>2128.474433279499</c:v>
                </c:pt>
                <c:pt idx="1142">
                  <c:v>2128.474433279499</c:v>
                </c:pt>
                <c:pt idx="1143">
                  <c:v>2128.474433279499</c:v>
                </c:pt>
                <c:pt idx="1144">
                  <c:v>2128.474433279499</c:v>
                </c:pt>
                <c:pt idx="1145">
                  <c:v>2128.474433279499</c:v>
                </c:pt>
                <c:pt idx="1146">
                  <c:v>2128.474433279499</c:v>
                </c:pt>
                <c:pt idx="1147">
                  <c:v>2128.474433279499</c:v>
                </c:pt>
                <c:pt idx="1148">
                  <c:v>2128.474433279499</c:v>
                </c:pt>
                <c:pt idx="1149">
                  <c:v>2128.474433279499</c:v>
                </c:pt>
                <c:pt idx="1150">
                  <c:v>2128.474433279499</c:v>
                </c:pt>
                <c:pt idx="1151">
                  <c:v>2128.474433279499</c:v>
                </c:pt>
                <c:pt idx="1152">
                  <c:v>2128.474433279499</c:v>
                </c:pt>
                <c:pt idx="1153">
                  <c:v>2128.474433279499</c:v>
                </c:pt>
                <c:pt idx="1154">
                  <c:v>2128.474433279499</c:v>
                </c:pt>
                <c:pt idx="1155">
                  <c:v>2128.474433279499</c:v>
                </c:pt>
                <c:pt idx="1156">
                  <c:v>2128.474433279499</c:v>
                </c:pt>
                <c:pt idx="1157">
                  <c:v>2128.474433279499</c:v>
                </c:pt>
                <c:pt idx="1158">
                  <c:v>2128.474433279499</c:v>
                </c:pt>
                <c:pt idx="1159">
                  <c:v>2128.474433279499</c:v>
                </c:pt>
                <c:pt idx="1160">
                  <c:v>2128.474433279499</c:v>
                </c:pt>
                <c:pt idx="1161">
                  <c:v>2128.474433279499</c:v>
                </c:pt>
                <c:pt idx="1162">
                  <c:v>2128.474433279499</c:v>
                </c:pt>
                <c:pt idx="1163">
                  <c:v>2128.474433279499</c:v>
                </c:pt>
                <c:pt idx="1164">
                  <c:v>2128.474433279499</c:v>
                </c:pt>
                <c:pt idx="1165">
                  <c:v>2128.474433279499</c:v>
                </c:pt>
                <c:pt idx="1166">
                  <c:v>2128.474433279499</c:v>
                </c:pt>
                <c:pt idx="1167">
                  <c:v>2128.474433279499</c:v>
                </c:pt>
                <c:pt idx="1168">
                  <c:v>2128.474433279499</c:v>
                </c:pt>
                <c:pt idx="1169">
                  <c:v>2128.474433279499</c:v>
                </c:pt>
                <c:pt idx="1170">
                  <c:v>2128.474433279499</c:v>
                </c:pt>
                <c:pt idx="1171">
                  <c:v>2128.474433279499</c:v>
                </c:pt>
                <c:pt idx="1172">
                  <c:v>2128.474433279499</c:v>
                </c:pt>
                <c:pt idx="1173">
                  <c:v>2128.474433279499</c:v>
                </c:pt>
                <c:pt idx="1174">
                  <c:v>2128.474433279499</c:v>
                </c:pt>
                <c:pt idx="1175">
                  <c:v>2128.474433279499</c:v>
                </c:pt>
                <c:pt idx="1176">
                  <c:v>2128.474433279499</c:v>
                </c:pt>
                <c:pt idx="1177">
                  <c:v>2128.474433279499</c:v>
                </c:pt>
                <c:pt idx="1178">
                  <c:v>2128.474433279499</c:v>
                </c:pt>
                <c:pt idx="1179">
                  <c:v>2128.474433279499</c:v>
                </c:pt>
                <c:pt idx="1180">
                  <c:v>2128.474433279499</c:v>
                </c:pt>
                <c:pt idx="1181">
                  <c:v>2128.474433279499</c:v>
                </c:pt>
                <c:pt idx="1182">
                  <c:v>2128.474433279499</c:v>
                </c:pt>
                <c:pt idx="1183">
                  <c:v>2128.474433279499</c:v>
                </c:pt>
                <c:pt idx="1184">
                  <c:v>2128.474433279499</c:v>
                </c:pt>
                <c:pt idx="1185">
                  <c:v>2128.474433279499</c:v>
                </c:pt>
                <c:pt idx="1186">
                  <c:v>2128.474433279499</c:v>
                </c:pt>
                <c:pt idx="1187">
                  <c:v>2128.474433279499</c:v>
                </c:pt>
                <c:pt idx="1188">
                  <c:v>2128.474433279499</c:v>
                </c:pt>
                <c:pt idx="1189">
                  <c:v>2128.474433279499</c:v>
                </c:pt>
                <c:pt idx="1190">
                  <c:v>2128.474433279499</c:v>
                </c:pt>
                <c:pt idx="1191">
                  <c:v>2128.474433279499</c:v>
                </c:pt>
                <c:pt idx="1192">
                  <c:v>2128.474433279499</c:v>
                </c:pt>
                <c:pt idx="1193">
                  <c:v>2128.474433279499</c:v>
                </c:pt>
                <c:pt idx="1194">
                  <c:v>2128.474433279499</c:v>
                </c:pt>
                <c:pt idx="1195">
                  <c:v>2128.474433279499</c:v>
                </c:pt>
                <c:pt idx="1196">
                  <c:v>2128.474433279499</c:v>
                </c:pt>
                <c:pt idx="1197">
                  <c:v>2128.474433279499</c:v>
                </c:pt>
                <c:pt idx="1198">
                  <c:v>2128.474433279499</c:v>
                </c:pt>
                <c:pt idx="1199">
                  <c:v>2128.474433279499</c:v>
                </c:pt>
                <c:pt idx="1200">
                  <c:v>2128.474433279499</c:v>
                </c:pt>
                <c:pt idx="1201">
                  <c:v>2128.474433279499</c:v>
                </c:pt>
                <c:pt idx="1202">
                  <c:v>2128.474433279499</c:v>
                </c:pt>
                <c:pt idx="1203">
                  <c:v>2128.474433279499</c:v>
                </c:pt>
                <c:pt idx="1204">
                  <c:v>2128.474433279499</c:v>
                </c:pt>
                <c:pt idx="1205">
                  <c:v>2128.474433279499</c:v>
                </c:pt>
                <c:pt idx="1206">
                  <c:v>2128.474433279499</c:v>
                </c:pt>
                <c:pt idx="1207">
                  <c:v>2128.474433279499</c:v>
                </c:pt>
                <c:pt idx="1208">
                  <c:v>2128.474433279499</c:v>
                </c:pt>
                <c:pt idx="1209">
                  <c:v>2128.474433279499</c:v>
                </c:pt>
                <c:pt idx="1210">
                  <c:v>2128.474433279499</c:v>
                </c:pt>
                <c:pt idx="1211">
                  <c:v>2128.474433279499</c:v>
                </c:pt>
                <c:pt idx="1212">
                  <c:v>2128.474433279499</c:v>
                </c:pt>
                <c:pt idx="1213">
                  <c:v>2128.474433279499</c:v>
                </c:pt>
                <c:pt idx="1214">
                  <c:v>2128.474433279499</c:v>
                </c:pt>
                <c:pt idx="1215">
                  <c:v>2128.474433279499</c:v>
                </c:pt>
                <c:pt idx="1216">
                  <c:v>2128.474433279499</c:v>
                </c:pt>
                <c:pt idx="1217">
                  <c:v>2128.474433279499</c:v>
                </c:pt>
                <c:pt idx="1218">
                  <c:v>2128.474433279499</c:v>
                </c:pt>
                <c:pt idx="1219">
                  <c:v>2128.474433279499</c:v>
                </c:pt>
                <c:pt idx="1220">
                  <c:v>2128.474433279499</c:v>
                </c:pt>
                <c:pt idx="1221">
                  <c:v>2128.474433279499</c:v>
                </c:pt>
                <c:pt idx="1222">
                  <c:v>2128.474433279499</c:v>
                </c:pt>
                <c:pt idx="1223">
                  <c:v>2128.474433279499</c:v>
                </c:pt>
                <c:pt idx="1224">
                  <c:v>2128.474433279499</c:v>
                </c:pt>
                <c:pt idx="1225">
                  <c:v>2128.474433279499</c:v>
                </c:pt>
                <c:pt idx="1226">
                  <c:v>2128.474433279499</c:v>
                </c:pt>
                <c:pt idx="1227">
                  <c:v>2128.474433279499</c:v>
                </c:pt>
                <c:pt idx="1228">
                  <c:v>2128.474433279499</c:v>
                </c:pt>
                <c:pt idx="1229">
                  <c:v>2128.474433279499</c:v>
                </c:pt>
                <c:pt idx="1230">
                  <c:v>2128.474433279499</c:v>
                </c:pt>
                <c:pt idx="1231">
                  <c:v>2128.474433279499</c:v>
                </c:pt>
                <c:pt idx="1232">
                  <c:v>2128.474433279499</c:v>
                </c:pt>
                <c:pt idx="1233">
                  <c:v>2128.474433279499</c:v>
                </c:pt>
                <c:pt idx="1234">
                  <c:v>2128.474433279499</c:v>
                </c:pt>
                <c:pt idx="1235">
                  <c:v>2128.474433279499</c:v>
                </c:pt>
                <c:pt idx="1236">
                  <c:v>2128.474433279499</c:v>
                </c:pt>
                <c:pt idx="1237">
                  <c:v>2128.474433279499</c:v>
                </c:pt>
                <c:pt idx="1238">
                  <c:v>2128.474433279499</c:v>
                </c:pt>
                <c:pt idx="1239">
                  <c:v>2128.474433279499</c:v>
                </c:pt>
                <c:pt idx="1240">
                  <c:v>2128.474433279499</c:v>
                </c:pt>
                <c:pt idx="1241">
                  <c:v>2128.474433279499</c:v>
                </c:pt>
                <c:pt idx="1242">
                  <c:v>2128.474433279499</c:v>
                </c:pt>
                <c:pt idx="1243">
                  <c:v>2128.474433279499</c:v>
                </c:pt>
                <c:pt idx="1244">
                  <c:v>2128.474433279499</c:v>
                </c:pt>
                <c:pt idx="1245">
                  <c:v>2128.474433279499</c:v>
                </c:pt>
                <c:pt idx="1246">
                  <c:v>2128.474433279499</c:v>
                </c:pt>
                <c:pt idx="1247">
                  <c:v>2128.474433279499</c:v>
                </c:pt>
                <c:pt idx="1248">
                  <c:v>2128.474433279499</c:v>
                </c:pt>
                <c:pt idx="1249">
                  <c:v>2128.474433279499</c:v>
                </c:pt>
                <c:pt idx="1250">
                  <c:v>2128.474433279499</c:v>
                </c:pt>
                <c:pt idx="1251">
                  <c:v>2128.474433279499</c:v>
                </c:pt>
                <c:pt idx="1252">
                  <c:v>2128.474433279499</c:v>
                </c:pt>
                <c:pt idx="1253">
                  <c:v>2128.474433279499</c:v>
                </c:pt>
                <c:pt idx="1254">
                  <c:v>2128.474433279499</c:v>
                </c:pt>
                <c:pt idx="1255">
                  <c:v>2128.474433279499</c:v>
                </c:pt>
                <c:pt idx="1256">
                  <c:v>2128.474433279499</c:v>
                </c:pt>
                <c:pt idx="1257">
                  <c:v>2128.474433279499</c:v>
                </c:pt>
                <c:pt idx="1258">
                  <c:v>2128.474433279499</c:v>
                </c:pt>
                <c:pt idx="1259">
                  <c:v>2128.474433279499</c:v>
                </c:pt>
                <c:pt idx="1260">
                  <c:v>2128.474433279499</c:v>
                </c:pt>
                <c:pt idx="1261">
                  <c:v>2128.474433279499</c:v>
                </c:pt>
                <c:pt idx="1262">
                  <c:v>2128.474433279499</c:v>
                </c:pt>
                <c:pt idx="1263">
                  <c:v>2128.474433279499</c:v>
                </c:pt>
                <c:pt idx="1264">
                  <c:v>2128.474433279499</c:v>
                </c:pt>
                <c:pt idx="1265">
                  <c:v>2128.474433279499</c:v>
                </c:pt>
                <c:pt idx="1266">
                  <c:v>2128.474433279499</c:v>
                </c:pt>
                <c:pt idx="1267">
                  <c:v>2128.474433279499</c:v>
                </c:pt>
                <c:pt idx="1268">
                  <c:v>2128.474433279499</c:v>
                </c:pt>
                <c:pt idx="1269">
                  <c:v>2128.474433279499</c:v>
                </c:pt>
                <c:pt idx="1270">
                  <c:v>2128.474433279499</c:v>
                </c:pt>
                <c:pt idx="1271">
                  <c:v>2128.474433279499</c:v>
                </c:pt>
                <c:pt idx="1272">
                  <c:v>2128.474433279499</c:v>
                </c:pt>
                <c:pt idx="1273">
                  <c:v>2128.474433279499</c:v>
                </c:pt>
                <c:pt idx="1274">
                  <c:v>2128.474433279499</c:v>
                </c:pt>
                <c:pt idx="1275">
                  <c:v>2128.474433279499</c:v>
                </c:pt>
                <c:pt idx="1276">
                  <c:v>2128.474433279499</c:v>
                </c:pt>
                <c:pt idx="1277">
                  <c:v>2128.474433279499</c:v>
                </c:pt>
                <c:pt idx="1278">
                  <c:v>2128.474433279499</c:v>
                </c:pt>
                <c:pt idx="1279">
                  <c:v>2128.474433279499</c:v>
                </c:pt>
                <c:pt idx="1280">
                  <c:v>2128.474433279499</c:v>
                </c:pt>
                <c:pt idx="1281">
                  <c:v>2128.474433279499</c:v>
                </c:pt>
                <c:pt idx="1282">
                  <c:v>2128.474433279499</c:v>
                </c:pt>
                <c:pt idx="1283">
                  <c:v>2128.474433279499</c:v>
                </c:pt>
                <c:pt idx="1284">
                  <c:v>2128.474433279499</c:v>
                </c:pt>
                <c:pt idx="1285">
                  <c:v>2128.474433279499</c:v>
                </c:pt>
                <c:pt idx="1286">
                  <c:v>2128.474433279499</c:v>
                </c:pt>
                <c:pt idx="1287">
                  <c:v>2128.474433279499</c:v>
                </c:pt>
                <c:pt idx="1288">
                  <c:v>2128.474433279499</c:v>
                </c:pt>
                <c:pt idx="1289">
                  <c:v>2128.474433279499</c:v>
                </c:pt>
                <c:pt idx="1290">
                  <c:v>2128.474433279499</c:v>
                </c:pt>
                <c:pt idx="1291">
                  <c:v>2128.474433279499</c:v>
                </c:pt>
                <c:pt idx="1292">
                  <c:v>2128.474433279499</c:v>
                </c:pt>
                <c:pt idx="1293">
                  <c:v>2128.474433279499</c:v>
                </c:pt>
                <c:pt idx="1294">
                  <c:v>2128.474433279499</c:v>
                </c:pt>
                <c:pt idx="1295">
                  <c:v>2128.474433279499</c:v>
                </c:pt>
                <c:pt idx="1296">
                  <c:v>2128.474433279499</c:v>
                </c:pt>
                <c:pt idx="1297">
                  <c:v>2128.474433279499</c:v>
                </c:pt>
                <c:pt idx="1298">
                  <c:v>2128.474433279499</c:v>
                </c:pt>
                <c:pt idx="1299">
                  <c:v>2128.474433279499</c:v>
                </c:pt>
                <c:pt idx="1300">
                  <c:v>2128.474433279499</c:v>
                </c:pt>
                <c:pt idx="1301">
                  <c:v>2128.474433279499</c:v>
                </c:pt>
                <c:pt idx="1302">
                  <c:v>2128.474433279499</c:v>
                </c:pt>
                <c:pt idx="1303">
                  <c:v>2128.474433279499</c:v>
                </c:pt>
                <c:pt idx="1304">
                  <c:v>2128.474433279499</c:v>
                </c:pt>
                <c:pt idx="1305">
                  <c:v>2128.474433279499</c:v>
                </c:pt>
                <c:pt idx="1306">
                  <c:v>2128.474433279499</c:v>
                </c:pt>
                <c:pt idx="1307">
                  <c:v>2128.474433279499</c:v>
                </c:pt>
                <c:pt idx="1308">
                  <c:v>2128.474433279499</c:v>
                </c:pt>
                <c:pt idx="1309">
                  <c:v>1946.7083716841978</c:v>
                </c:pt>
                <c:pt idx="1310">
                  <c:v>1946.7083716841978</c:v>
                </c:pt>
                <c:pt idx="1311">
                  <c:v>1946.7083716841978</c:v>
                </c:pt>
                <c:pt idx="1312">
                  <c:v>1946.7083716841978</c:v>
                </c:pt>
                <c:pt idx="1313">
                  <c:v>1946.7083716841978</c:v>
                </c:pt>
                <c:pt idx="1314">
                  <c:v>1946.7083716841978</c:v>
                </c:pt>
                <c:pt idx="1315">
                  <c:v>1946.7083716841978</c:v>
                </c:pt>
                <c:pt idx="1316">
                  <c:v>1946.7083716841978</c:v>
                </c:pt>
                <c:pt idx="1317">
                  <c:v>1946.7083716841978</c:v>
                </c:pt>
                <c:pt idx="1318">
                  <c:v>1946.7083716841978</c:v>
                </c:pt>
                <c:pt idx="1319">
                  <c:v>1946.7083716841978</c:v>
                </c:pt>
                <c:pt idx="1320">
                  <c:v>1946.7083716841978</c:v>
                </c:pt>
                <c:pt idx="1321">
                  <c:v>1946.7083716841978</c:v>
                </c:pt>
                <c:pt idx="1322">
                  <c:v>1946.7083716841978</c:v>
                </c:pt>
                <c:pt idx="1323">
                  <c:v>1946.7083716841978</c:v>
                </c:pt>
                <c:pt idx="1324">
                  <c:v>1946.7083716841978</c:v>
                </c:pt>
                <c:pt idx="1325">
                  <c:v>1946.7083716841978</c:v>
                </c:pt>
                <c:pt idx="1326">
                  <c:v>1946.7083716841978</c:v>
                </c:pt>
                <c:pt idx="1327">
                  <c:v>1946.7083716841978</c:v>
                </c:pt>
                <c:pt idx="1328">
                  <c:v>1946.7083716841978</c:v>
                </c:pt>
                <c:pt idx="1329">
                  <c:v>1946.7083716841978</c:v>
                </c:pt>
                <c:pt idx="1330">
                  <c:v>1946.7083716841978</c:v>
                </c:pt>
                <c:pt idx="1331">
                  <c:v>1946.7083716841978</c:v>
                </c:pt>
                <c:pt idx="1332">
                  <c:v>1946.7083716841978</c:v>
                </c:pt>
                <c:pt idx="1333">
                  <c:v>1946.7083716841978</c:v>
                </c:pt>
                <c:pt idx="1334">
                  <c:v>1946.7083716841978</c:v>
                </c:pt>
                <c:pt idx="1335">
                  <c:v>1946.7083716841978</c:v>
                </c:pt>
                <c:pt idx="1336">
                  <c:v>1946.7083716841978</c:v>
                </c:pt>
                <c:pt idx="1337">
                  <c:v>1946.7083716841978</c:v>
                </c:pt>
                <c:pt idx="1338">
                  <c:v>1946.7083716841978</c:v>
                </c:pt>
                <c:pt idx="1339">
                  <c:v>1946.7083716841978</c:v>
                </c:pt>
                <c:pt idx="1340">
                  <c:v>1946.7083716841978</c:v>
                </c:pt>
                <c:pt idx="1341">
                  <c:v>1946.7083716841978</c:v>
                </c:pt>
                <c:pt idx="1342">
                  <c:v>1946.7083716841978</c:v>
                </c:pt>
                <c:pt idx="1343">
                  <c:v>1946.7083716841978</c:v>
                </c:pt>
                <c:pt idx="1344">
                  <c:v>1946.7083716841978</c:v>
                </c:pt>
                <c:pt idx="1345">
                  <c:v>1946.7083716841978</c:v>
                </c:pt>
                <c:pt idx="1346">
                  <c:v>1946.7083716841978</c:v>
                </c:pt>
                <c:pt idx="1347">
                  <c:v>1946.7083716841978</c:v>
                </c:pt>
                <c:pt idx="1348">
                  <c:v>1946.7083716841978</c:v>
                </c:pt>
                <c:pt idx="1349">
                  <c:v>1946.7083716841978</c:v>
                </c:pt>
                <c:pt idx="1350">
                  <c:v>1946.7083716841978</c:v>
                </c:pt>
                <c:pt idx="1351">
                  <c:v>1946.7083716841978</c:v>
                </c:pt>
                <c:pt idx="1352">
                  <c:v>1946.7083716841978</c:v>
                </c:pt>
                <c:pt idx="1353">
                  <c:v>1946.7083716841978</c:v>
                </c:pt>
                <c:pt idx="1354">
                  <c:v>1946.7083716841978</c:v>
                </c:pt>
                <c:pt idx="1355">
                  <c:v>1946.7083716841978</c:v>
                </c:pt>
                <c:pt idx="1356">
                  <c:v>1946.7083716841978</c:v>
                </c:pt>
                <c:pt idx="1357">
                  <c:v>1946.7083716841978</c:v>
                </c:pt>
                <c:pt idx="1358">
                  <c:v>1946.7083716841978</c:v>
                </c:pt>
                <c:pt idx="1359">
                  <c:v>1946.7083716841978</c:v>
                </c:pt>
                <c:pt idx="1360">
                  <c:v>1946.7083716841978</c:v>
                </c:pt>
                <c:pt idx="1361">
                  <c:v>1946.7083716841978</c:v>
                </c:pt>
                <c:pt idx="1362">
                  <c:v>1946.7083716841978</c:v>
                </c:pt>
                <c:pt idx="1363">
                  <c:v>1946.7083716841978</c:v>
                </c:pt>
                <c:pt idx="1364">
                  <c:v>1946.7083716841978</c:v>
                </c:pt>
                <c:pt idx="1365">
                  <c:v>1946.7083716841978</c:v>
                </c:pt>
                <c:pt idx="1366">
                  <c:v>1946.7083716841978</c:v>
                </c:pt>
                <c:pt idx="1367">
                  <c:v>1946.7083716841978</c:v>
                </c:pt>
                <c:pt idx="1368">
                  <c:v>1946.7083716841978</c:v>
                </c:pt>
                <c:pt idx="1369">
                  <c:v>1946.7083716841978</c:v>
                </c:pt>
                <c:pt idx="1370">
                  <c:v>1946.7083716841978</c:v>
                </c:pt>
                <c:pt idx="1371">
                  <c:v>1946.7083716841978</c:v>
                </c:pt>
                <c:pt idx="1372">
                  <c:v>1946.7083716841978</c:v>
                </c:pt>
                <c:pt idx="1373">
                  <c:v>1946.7083716841978</c:v>
                </c:pt>
                <c:pt idx="1374">
                  <c:v>1946.7083716841978</c:v>
                </c:pt>
                <c:pt idx="1375">
                  <c:v>1946.7083716841978</c:v>
                </c:pt>
                <c:pt idx="1376">
                  <c:v>1946.7083716841978</c:v>
                </c:pt>
                <c:pt idx="1377">
                  <c:v>1946.7083716841978</c:v>
                </c:pt>
                <c:pt idx="1378">
                  <c:v>1946.7083716841978</c:v>
                </c:pt>
                <c:pt idx="1379">
                  <c:v>1946.7083716841978</c:v>
                </c:pt>
                <c:pt idx="1380">
                  <c:v>1946.7083716841978</c:v>
                </c:pt>
                <c:pt idx="1381">
                  <c:v>1946.7083716841978</c:v>
                </c:pt>
                <c:pt idx="1382">
                  <c:v>1946.7083716841978</c:v>
                </c:pt>
                <c:pt idx="1383">
                  <c:v>1946.7083716841978</c:v>
                </c:pt>
                <c:pt idx="1384">
                  <c:v>1946.7083716841978</c:v>
                </c:pt>
                <c:pt idx="1385">
                  <c:v>1946.7083716841978</c:v>
                </c:pt>
                <c:pt idx="1386">
                  <c:v>1946.7083716841978</c:v>
                </c:pt>
                <c:pt idx="1387">
                  <c:v>1946.7083716841978</c:v>
                </c:pt>
                <c:pt idx="1388">
                  <c:v>1946.7083716841978</c:v>
                </c:pt>
                <c:pt idx="1389">
                  <c:v>1946.7083716841978</c:v>
                </c:pt>
                <c:pt idx="1390">
                  <c:v>1946.7083716841978</c:v>
                </c:pt>
                <c:pt idx="1391">
                  <c:v>1946.7083716841978</c:v>
                </c:pt>
                <c:pt idx="1392">
                  <c:v>1946.7083716841978</c:v>
                </c:pt>
                <c:pt idx="1393">
                  <c:v>1946.7083716841978</c:v>
                </c:pt>
                <c:pt idx="1394">
                  <c:v>1946.7083716841978</c:v>
                </c:pt>
                <c:pt idx="1395">
                  <c:v>1946.7083716841978</c:v>
                </c:pt>
                <c:pt idx="1396">
                  <c:v>1946.7083716841978</c:v>
                </c:pt>
                <c:pt idx="1397">
                  <c:v>1946.7083716841978</c:v>
                </c:pt>
                <c:pt idx="1398">
                  <c:v>1946.7083716841978</c:v>
                </c:pt>
                <c:pt idx="1399">
                  <c:v>1946.7083716841978</c:v>
                </c:pt>
                <c:pt idx="1400">
                  <c:v>1946.7083716841978</c:v>
                </c:pt>
                <c:pt idx="1401">
                  <c:v>1946.7083716841978</c:v>
                </c:pt>
                <c:pt idx="1402">
                  <c:v>1946.7083716841978</c:v>
                </c:pt>
                <c:pt idx="1403">
                  <c:v>1946.7083716841978</c:v>
                </c:pt>
                <c:pt idx="1404">
                  <c:v>1946.7083716841978</c:v>
                </c:pt>
                <c:pt idx="1405">
                  <c:v>1946.7083716841978</c:v>
                </c:pt>
                <c:pt idx="1406">
                  <c:v>1946.7083716841978</c:v>
                </c:pt>
                <c:pt idx="1407">
                  <c:v>1946.7083716841978</c:v>
                </c:pt>
                <c:pt idx="1408">
                  <c:v>1946.7083716841978</c:v>
                </c:pt>
                <c:pt idx="1409">
                  <c:v>1946.7083716841978</c:v>
                </c:pt>
                <c:pt idx="1410">
                  <c:v>1946.7083716841978</c:v>
                </c:pt>
                <c:pt idx="1411">
                  <c:v>1946.7083716841978</c:v>
                </c:pt>
                <c:pt idx="1412">
                  <c:v>1946.7083716841978</c:v>
                </c:pt>
                <c:pt idx="1413">
                  <c:v>1946.7083716841978</c:v>
                </c:pt>
                <c:pt idx="1414">
                  <c:v>1946.7083716841978</c:v>
                </c:pt>
                <c:pt idx="1415">
                  <c:v>1946.7083716841978</c:v>
                </c:pt>
                <c:pt idx="1416">
                  <c:v>1946.7083716841978</c:v>
                </c:pt>
                <c:pt idx="1417">
                  <c:v>1946.7083716841978</c:v>
                </c:pt>
                <c:pt idx="1418">
                  <c:v>1946.7083716841978</c:v>
                </c:pt>
                <c:pt idx="1419">
                  <c:v>1946.7083716841978</c:v>
                </c:pt>
                <c:pt idx="1420">
                  <c:v>1946.7083716841978</c:v>
                </c:pt>
                <c:pt idx="1421">
                  <c:v>1946.7083716841978</c:v>
                </c:pt>
                <c:pt idx="1422">
                  <c:v>1946.7083716841978</c:v>
                </c:pt>
                <c:pt idx="1423">
                  <c:v>1946.7083716841978</c:v>
                </c:pt>
                <c:pt idx="1424">
                  <c:v>1946.7083716841978</c:v>
                </c:pt>
                <c:pt idx="1425">
                  <c:v>1946.7083716841978</c:v>
                </c:pt>
                <c:pt idx="1426">
                  <c:v>1946.7083716841978</c:v>
                </c:pt>
                <c:pt idx="1427">
                  <c:v>1946.7083716841978</c:v>
                </c:pt>
                <c:pt idx="1428">
                  <c:v>1946.7083716841978</c:v>
                </c:pt>
                <c:pt idx="1429">
                  <c:v>1946.7083716841978</c:v>
                </c:pt>
                <c:pt idx="1430">
                  <c:v>1946.7083716841978</c:v>
                </c:pt>
                <c:pt idx="1431">
                  <c:v>1946.7083716841978</c:v>
                </c:pt>
                <c:pt idx="1432">
                  <c:v>1946.7083716841978</c:v>
                </c:pt>
                <c:pt idx="1433">
                  <c:v>1946.7083716841978</c:v>
                </c:pt>
                <c:pt idx="1434">
                  <c:v>1946.7083716841978</c:v>
                </c:pt>
                <c:pt idx="1435">
                  <c:v>1946.7083716841978</c:v>
                </c:pt>
                <c:pt idx="1436">
                  <c:v>1946.7083716841978</c:v>
                </c:pt>
                <c:pt idx="1437">
                  <c:v>1946.7083716841978</c:v>
                </c:pt>
                <c:pt idx="1438">
                  <c:v>1946.7083716841978</c:v>
                </c:pt>
                <c:pt idx="1439">
                  <c:v>1946.7083716841978</c:v>
                </c:pt>
                <c:pt idx="1440">
                  <c:v>1946.7083716841978</c:v>
                </c:pt>
                <c:pt idx="1441">
                  <c:v>1946.7083716841978</c:v>
                </c:pt>
                <c:pt idx="1442">
                  <c:v>1946.7083716841978</c:v>
                </c:pt>
                <c:pt idx="1443">
                  <c:v>1946.7083716841978</c:v>
                </c:pt>
                <c:pt idx="1444">
                  <c:v>1946.7083716841978</c:v>
                </c:pt>
                <c:pt idx="1445">
                  <c:v>1946.7083716841978</c:v>
                </c:pt>
                <c:pt idx="1446">
                  <c:v>1946.7083716841978</c:v>
                </c:pt>
                <c:pt idx="1447">
                  <c:v>1946.7083716841978</c:v>
                </c:pt>
                <c:pt idx="1448">
                  <c:v>1946.7083716841978</c:v>
                </c:pt>
                <c:pt idx="1449">
                  <c:v>1946.7083716841978</c:v>
                </c:pt>
                <c:pt idx="1450">
                  <c:v>1946.7083716841978</c:v>
                </c:pt>
                <c:pt idx="1451">
                  <c:v>1946.7083716841978</c:v>
                </c:pt>
                <c:pt idx="1452">
                  <c:v>1946.7083716841978</c:v>
                </c:pt>
                <c:pt idx="1453">
                  <c:v>1946.7083716841978</c:v>
                </c:pt>
                <c:pt idx="1454">
                  <c:v>1946.7083716841978</c:v>
                </c:pt>
                <c:pt idx="1455">
                  <c:v>1946.7083716841978</c:v>
                </c:pt>
                <c:pt idx="1456">
                  <c:v>1946.7083716841978</c:v>
                </c:pt>
                <c:pt idx="1457">
                  <c:v>1946.7083716841978</c:v>
                </c:pt>
                <c:pt idx="1458">
                  <c:v>1946.7083716841978</c:v>
                </c:pt>
                <c:pt idx="1459">
                  <c:v>1946.7083716841978</c:v>
                </c:pt>
                <c:pt idx="1460">
                  <c:v>1946.7083716841978</c:v>
                </c:pt>
                <c:pt idx="1461">
                  <c:v>1946.7083716841978</c:v>
                </c:pt>
                <c:pt idx="1462">
                  <c:v>1946.7083716841978</c:v>
                </c:pt>
                <c:pt idx="1463">
                  <c:v>1946.7083716841978</c:v>
                </c:pt>
                <c:pt idx="1464">
                  <c:v>1946.7083716841978</c:v>
                </c:pt>
                <c:pt idx="1465">
                  <c:v>1946.7083716841978</c:v>
                </c:pt>
                <c:pt idx="1466">
                  <c:v>1946.7083716841978</c:v>
                </c:pt>
                <c:pt idx="1467">
                  <c:v>1946.7083716841978</c:v>
                </c:pt>
                <c:pt idx="1468">
                  <c:v>1946.7083716841978</c:v>
                </c:pt>
                <c:pt idx="1469">
                  <c:v>1946.7083716841978</c:v>
                </c:pt>
                <c:pt idx="1470">
                  <c:v>1946.7083716841978</c:v>
                </c:pt>
                <c:pt idx="1471">
                  <c:v>1946.7083716841978</c:v>
                </c:pt>
                <c:pt idx="1472">
                  <c:v>1946.7083716841978</c:v>
                </c:pt>
                <c:pt idx="1473">
                  <c:v>1946.7083716841978</c:v>
                </c:pt>
                <c:pt idx="1474">
                  <c:v>1946.7083716841978</c:v>
                </c:pt>
                <c:pt idx="1475">
                  <c:v>1946.7083716841978</c:v>
                </c:pt>
                <c:pt idx="1476">
                  <c:v>1946.7083716841978</c:v>
                </c:pt>
                <c:pt idx="1477">
                  <c:v>1946.7083716841978</c:v>
                </c:pt>
                <c:pt idx="1478">
                  <c:v>1946.7083716841978</c:v>
                </c:pt>
                <c:pt idx="1479">
                  <c:v>1946.7083716841978</c:v>
                </c:pt>
                <c:pt idx="1480">
                  <c:v>1946.7083716841978</c:v>
                </c:pt>
                <c:pt idx="1481">
                  <c:v>1946.7083716841978</c:v>
                </c:pt>
                <c:pt idx="1482">
                  <c:v>1946.7083716841978</c:v>
                </c:pt>
                <c:pt idx="1483">
                  <c:v>1946.7083716841978</c:v>
                </c:pt>
                <c:pt idx="1484">
                  <c:v>1946.7083716841978</c:v>
                </c:pt>
                <c:pt idx="1485">
                  <c:v>1946.7083716841978</c:v>
                </c:pt>
                <c:pt idx="1486">
                  <c:v>1946.7083716841978</c:v>
                </c:pt>
                <c:pt idx="1487">
                  <c:v>1946.7083716841978</c:v>
                </c:pt>
                <c:pt idx="1488">
                  <c:v>1946.7083716841978</c:v>
                </c:pt>
                <c:pt idx="1489">
                  <c:v>1946.7083716841978</c:v>
                </c:pt>
                <c:pt idx="1490">
                  <c:v>1946.7083716841978</c:v>
                </c:pt>
                <c:pt idx="1491">
                  <c:v>1946.7083716841978</c:v>
                </c:pt>
                <c:pt idx="1492">
                  <c:v>1946.7083716841978</c:v>
                </c:pt>
                <c:pt idx="1493">
                  <c:v>1946.7083716841978</c:v>
                </c:pt>
                <c:pt idx="1494">
                  <c:v>1946.7083716841978</c:v>
                </c:pt>
                <c:pt idx="1495">
                  <c:v>1946.7083716841978</c:v>
                </c:pt>
                <c:pt idx="1496">
                  <c:v>1946.7083716841978</c:v>
                </c:pt>
                <c:pt idx="1497">
                  <c:v>1946.7083716841978</c:v>
                </c:pt>
                <c:pt idx="1498">
                  <c:v>1946.7083716841978</c:v>
                </c:pt>
                <c:pt idx="1499">
                  <c:v>1946.7083716841978</c:v>
                </c:pt>
                <c:pt idx="1500">
                  <c:v>1946.7083716841978</c:v>
                </c:pt>
                <c:pt idx="1501">
                  <c:v>1946.7083716841978</c:v>
                </c:pt>
                <c:pt idx="1502">
                  <c:v>1946.7083716841978</c:v>
                </c:pt>
                <c:pt idx="1503">
                  <c:v>1946.7083716841978</c:v>
                </c:pt>
                <c:pt idx="1504">
                  <c:v>1946.7083716841978</c:v>
                </c:pt>
                <c:pt idx="1505">
                  <c:v>1946.7083716841978</c:v>
                </c:pt>
                <c:pt idx="1506">
                  <c:v>1946.7083716841978</c:v>
                </c:pt>
                <c:pt idx="1507">
                  <c:v>1946.7083716841978</c:v>
                </c:pt>
                <c:pt idx="1508">
                  <c:v>1946.7083716841978</c:v>
                </c:pt>
                <c:pt idx="1509">
                  <c:v>1946.7083716841978</c:v>
                </c:pt>
                <c:pt idx="1510">
                  <c:v>1946.7083716841978</c:v>
                </c:pt>
                <c:pt idx="1511">
                  <c:v>1946.7083716841978</c:v>
                </c:pt>
                <c:pt idx="1512">
                  <c:v>1946.7083716841978</c:v>
                </c:pt>
                <c:pt idx="1513">
                  <c:v>1946.7083716841978</c:v>
                </c:pt>
                <c:pt idx="1514">
                  <c:v>1946.7083716841978</c:v>
                </c:pt>
                <c:pt idx="1515">
                  <c:v>1946.7083716841978</c:v>
                </c:pt>
                <c:pt idx="1516">
                  <c:v>1946.7083716841978</c:v>
                </c:pt>
                <c:pt idx="1517">
                  <c:v>1946.7083716841978</c:v>
                </c:pt>
                <c:pt idx="1518">
                  <c:v>1946.7083716841978</c:v>
                </c:pt>
                <c:pt idx="1519">
                  <c:v>1946.7083716841978</c:v>
                </c:pt>
                <c:pt idx="1520">
                  <c:v>1946.7083716841978</c:v>
                </c:pt>
                <c:pt idx="1521">
                  <c:v>1946.7083716841978</c:v>
                </c:pt>
                <c:pt idx="1522">
                  <c:v>1946.7083716841978</c:v>
                </c:pt>
                <c:pt idx="1523">
                  <c:v>1946.7083716841978</c:v>
                </c:pt>
                <c:pt idx="1524">
                  <c:v>1946.7083716841978</c:v>
                </c:pt>
                <c:pt idx="1525">
                  <c:v>1946.7083716841978</c:v>
                </c:pt>
                <c:pt idx="1526">
                  <c:v>1946.7083716841978</c:v>
                </c:pt>
                <c:pt idx="1527">
                  <c:v>1946.7083716841978</c:v>
                </c:pt>
                <c:pt idx="1528">
                  <c:v>1946.7083716841978</c:v>
                </c:pt>
                <c:pt idx="1529">
                  <c:v>1946.7083716841978</c:v>
                </c:pt>
                <c:pt idx="1530">
                  <c:v>1946.7083716841978</c:v>
                </c:pt>
                <c:pt idx="1531">
                  <c:v>1946.7083716841978</c:v>
                </c:pt>
                <c:pt idx="1532">
                  <c:v>1946.7083716841978</c:v>
                </c:pt>
                <c:pt idx="1533">
                  <c:v>1946.7083716841978</c:v>
                </c:pt>
                <c:pt idx="1534">
                  <c:v>1946.7083716841978</c:v>
                </c:pt>
                <c:pt idx="1535">
                  <c:v>1946.7083716841978</c:v>
                </c:pt>
                <c:pt idx="1536">
                  <c:v>1946.7083716841978</c:v>
                </c:pt>
                <c:pt idx="1537">
                  <c:v>1946.7083716841978</c:v>
                </c:pt>
                <c:pt idx="1538">
                  <c:v>1946.7083716841978</c:v>
                </c:pt>
                <c:pt idx="1539">
                  <c:v>1946.7083716841978</c:v>
                </c:pt>
                <c:pt idx="1540">
                  <c:v>1946.7083716841978</c:v>
                </c:pt>
                <c:pt idx="1541">
                  <c:v>1946.7083716841978</c:v>
                </c:pt>
                <c:pt idx="1542">
                  <c:v>1946.7083716841978</c:v>
                </c:pt>
                <c:pt idx="1543">
                  <c:v>1946.7083716841978</c:v>
                </c:pt>
                <c:pt idx="1544">
                  <c:v>1946.7083716841978</c:v>
                </c:pt>
                <c:pt idx="1545">
                  <c:v>1946.7083716841978</c:v>
                </c:pt>
                <c:pt idx="1546">
                  <c:v>1946.7083716841978</c:v>
                </c:pt>
                <c:pt idx="1547">
                  <c:v>1946.7083716841978</c:v>
                </c:pt>
                <c:pt idx="1548">
                  <c:v>1946.7083716841978</c:v>
                </c:pt>
                <c:pt idx="1549">
                  <c:v>1946.7083716841978</c:v>
                </c:pt>
                <c:pt idx="1550">
                  <c:v>1946.7083716841978</c:v>
                </c:pt>
                <c:pt idx="1551">
                  <c:v>1946.7083716841978</c:v>
                </c:pt>
                <c:pt idx="1552">
                  <c:v>1946.7083716841978</c:v>
                </c:pt>
                <c:pt idx="1553">
                  <c:v>1946.7083716841978</c:v>
                </c:pt>
                <c:pt idx="1554">
                  <c:v>1946.7083716841978</c:v>
                </c:pt>
                <c:pt idx="1555">
                  <c:v>1946.7083716841978</c:v>
                </c:pt>
                <c:pt idx="1556">
                  <c:v>1946.7083716841978</c:v>
                </c:pt>
                <c:pt idx="1557">
                  <c:v>1946.7083716841978</c:v>
                </c:pt>
                <c:pt idx="1558">
                  <c:v>1946.7083716841978</c:v>
                </c:pt>
                <c:pt idx="1559">
                  <c:v>1946.7083716841978</c:v>
                </c:pt>
                <c:pt idx="1560">
                  <c:v>1946.7083716841978</c:v>
                </c:pt>
                <c:pt idx="1561">
                  <c:v>1946.7083716841978</c:v>
                </c:pt>
                <c:pt idx="1562">
                  <c:v>1946.7083716841978</c:v>
                </c:pt>
                <c:pt idx="1563">
                  <c:v>1946.7083716841978</c:v>
                </c:pt>
                <c:pt idx="1564">
                  <c:v>1946.7083716841978</c:v>
                </c:pt>
                <c:pt idx="1565">
                  <c:v>1946.7083716841978</c:v>
                </c:pt>
                <c:pt idx="1566">
                  <c:v>1946.7083716841978</c:v>
                </c:pt>
                <c:pt idx="1567">
                  <c:v>1946.7083716841978</c:v>
                </c:pt>
                <c:pt idx="1568">
                  <c:v>1946.7083716841978</c:v>
                </c:pt>
                <c:pt idx="1569">
                  <c:v>1946.7083716841978</c:v>
                </c:pt>
                <c:pt idx="1570">
                  <c:v>1946.7083716841978</c:v>
                </c:pt>
                <c:pt idx="1571">
                  <c:v>1946.7083716841978</c:v>
                </c:pt>
                <c:pt idx="1572">
                  <c:v>1946.7083716841978</c:v>
                </c:pt>
                <c:pt idx="1573">
                  <c:v>1946.7083716841978</c:v>
                </c:pt>
                <c:pt idx="1574">
                  <c:v>1946.7083716841978</c:v>
                </c:pt>
                <c:pt idx="1575">
                  <c:v>1946.7083716841978</c:v>
                </c:pt>
                <c:pt idx="1576">
                  <c:v>1946.7083716841978</c:v>
                </c:pt>
                <c:pt idx="1577">
                  <c:v>1946.7083716841978</c:v>
                </c:pt>
                <c:pt idx="1578">
                  <c:v>1946.7083716841978</c:v>
                </c:pt>
                <c:pt idx="1579">
                  <c:v>1946.7083716841978</c:v>
                </c:pt>
                <c:pt idx="1580">
                  <c:v>1946.7083716841978</c:v>
                </c:pt>
                <c:pt idx="1581">
                  <c:v>1946.7083716841978</c:v>
                </c:pt>
                <c:pt idx="1582">
                  <c:v>1946.7083716841978</c:v>
                </c:pt>
                <c:pt idx="1583">
                  <c:v>1946.7083716841978</c:v>
                </c:pt>
                <c:pt idx="1584">
                  <c:v>1946.7083716841978</c:v>
                </c:pt>
                <c:pt idx="1585">
                  <c:v>1946.7083716841978</c:v>
                </c:pt>
                <c:pt idx="1586">
                  <c:v>1946.7083716841978</c:v>
                </c:pt>
                <c:pt idx="1587">
                  <c:v>1946.7083716841978</c:v>
                </c:pt>
                <c:pt idx="1588">
                  <c:v>1946.7083716841978</c:v>
                </c:pt>
                <c:pt idx="1589">
                  <c:v>1946.7083716841978</c:v>
                </c:pt>
                <c:pt idx="1590">
                  <c:v>1946.7083716841978</c:v>
                </c:pt>
                <c:pt idx="1591">
                  <c:v>1946.7083716841978</c:v>
                </c:pt>
                <c:pt idx="1592">
                  <c:v>1946.7083716841978</c:v>
                </c:pt>
                <c:pt idx="1593">
                  <c:v>1946.7083716841978</c:v>
                </c:pt>
                <c:pt idx="1594">
                  <c:v>1946.7083716841978</c:v>
                </c:pt>
                <c:pt idx="1595">
                  <c:v>1946.7083716841978</c:v>
                </c:pt>
                <c:pt idx="1596">
                  <c:v>1946.7083716841978</c:v>
                </c:pt>
                <c:pt idx="1597">
                  <c:v>1946.7083716841978</c:v>
                </c:pt>
                <c:pt idx="1598">
                  <c:v>1946.7083716841978</c:v>
                </c:pt>
                <c:pt idx="1599">
                  <c:v>1946.7083716841978</c:v>
                </c:pt>
                <c:pt idx="1600">
                  <c:v>1946.7083716841978</c:v>
                </c:pt>
                <c:pt idx="1601">
                  <c:v>1946.7083716841978</c:v>
                </c:pt>
                <c:pt idx="1602">
                  <c:v>1946.7083716841978</c:v>
                </c:pt>
                <c:pt idx="1603">
                  <c:v>1946.7083716841978</c:v>
                </c:pt>
                <c:pt idx="1604">
                  <c:v>1946.7083716841978</c:v>
                </c:pt>
                <c:pt idx="1605">
                  <c:v>1946.7083716841978</c:v>
                </c:pt>
                <c:pt idx="1606">
                  <c:v>1946.7083716841978</c:v>
                </c:pt>
                <c:pt idx="1607">
                  <c:v>1946.7083716841978</c:v>
                </c:pt>
                <c:pt idx="1608">
                  <c:v>1946.7083716841978</c:v>
                </c:pt>
                <c:pt idx="1609">
                  <c:v>1946.7083716841978</c:v>
                </c:pt>
                <c:pt idx="1610">
                  <c:v>1946.7083716841978</c:v>
                </c:pt>
                <c:pt idx="1611">
                  <c:v>1946.7083716841978</c:v>
                </c:pt>
                <c:pt idx="1612">
                  <c:v>1946.7083716841978</c:v>
                </c:pt>
                <c:pt idx="1613">
                  <c:v>1946.7083716841978</c:v>
                </c:pt>
                <c:pt idx="1614">
                  <c:v>1946.7083716841978</c:v>
                </c:pt>
                <c:pt idx="1615">
                  <c:v>1946.7083716841978</c:v>
                </c:pt>
                <c:pt idx="1616">
                  <c:v>1946.7083716841978</c:v>
                </c:pt>
                <c:pt idx="1617">
                  <c:v>1946.7083716841978</c:v>
                </c:pt>
                <c:pt idx="1618">
                  <c:v>1946.7083716841978</c:v>
                </c:pt>
                <c:pt idx="1619">
                  <c:v>1946.7083716841978</c:v>
                </c:pt>
                <c:pt idx="1620">
                  <c:v>1946.7083716841978</c:v>
                </c:pt>
                <c:pt idx="1621">
                  <c:v>1946.7083716841978</c:v>
                </c:pt>
                <c:pt idx="1622">
                  <c:v>1946.7083716841978</c:v>
                </c:pt>
                <c:pt idx="1623">
                  <c:v>1946.7083716841978</c:v>
                </c:pt>
                <c:pt idx="1624">
                  <c:v>1946.7083716841978</c:v>
                </c:pt>
                <c:pt idx="1625">
                  <c:v>1946.7083716841978</c:v>
                </c:pt>
                <c:pt idx="1626">
                  <c:v>1946.7083716841978</c:v>
                </c:pt>
                <c:pt idx="1627">
                  <c:v>1946.7083716841978</c:v>
                </c:pt>
                <c:pt idx="1628">
                  <c:v>1946.7083716841978</c:v>
                </c:pt>
                <c:pt idx="1629">
                  <c:v>1946.7083716841978</c:v>
                </c:pt>
                <c:pt idx="1630">
                  <c:v>1946.7083716841978</c:v>
                </c:pt>
                <c:pt idx="1631">
                  <c:v>1946.7083716841978</c:v>
                </c:pt>
                <c:pt idx="1632">
                  <c:v>1946.7083716841978</c:v>
                </c:pt>
                <c:pt idx="1633">
                  <c:v>1946.7083716841978</c:v>
                </c:pt>
                <c:pt idx="1634">
                  <c:v>1946.7083716841978</c:v>
                </c:pt>
                <c:pt idx="1635">
                  <c:v>1946.7083716841978</c:v>
                </c:pt>
                <c:pt idx="1636">
                  <c:v>1946.7083716841978</c:v>
                </c:pt>
                <c:pt idx="1637">
                  <c:v>1946.7083716841978</c:v>
                </c:pt>
                <c:pt idx="1638">
                  <c:v>1946.7083716841978</c:v>
                </c:pt>
                <c:pt idx="1639">
                  <c:v>1946.7083716841978</c:v>
                </c:pt>
                <c:pt idx="1640">
                  <c:v>1946.7083716841978</c:v>
                </c:pt>
                <c:pt idx="1641">
                  <c:v>1946.7083716841978</c:v>
                </c:pt>
                <c:pt idx="1642">
                  <c:v>1946.7083716841978</c:v>
                </c:pt>
                <c:pt idx="1643">
                  <c:v>1946.7083716841978</c:v>
                </c:pt>
                <c:pt idx="1644">
                  <c:v>1946.7083716841978</c:v>
                </c:pt>
                <c:pt idx="1645">
                  <c:v>1946.7083716841978</c:v>
                </c:pt>
                <c:pt idx="1646">
                  <c:v>1946.7083716841978</c:v>
                </c:pt>
                <c:pt idx="1647">
                  <c:v>1946.7083716841978</c:v>
                </c:pt>
                <c:pt idx="1648">
                  <c:v>1946.7083716841978</c:v>
                </c:pt>
                <c:pt idx="1649">
                  <c:v>1946.7083716841978</c:v>
                </c:pt>
                <c:pt idx="1650">
                  <c:v>1946.7083716841978</c:v>
                </c:pt>
                <c:pt idx="1651">
                  <c:v>1946.7083716841978</c:v>
                </c:pt>
                <c:pt idx="1652">
                  <c:v>1946.7083716841978</c:v>
                </c:pt>
                <c:pt idx="1653">
                  <c:v>1946.7083716841978</c:v>
                </c:pt>
                <c:pt idx="1654">
                  <c:v>1946.7083716841978</c:v>
                </c:pt>
                <c:pt idx="1655">
                  <c:v>1946.7083716841978</c:v>
                </c:pt>
                <c:pt idx="1656">
                  <c:v>1946.7083716841978</c:v>
                </c:pt>
                <c:pt idx="1657">
                  <c:v>1946.7083716841978</c:v>
                </c:pt>
                <c:pt idx="1658">
                  <c:v>1946.7083716841978</c:v>
                </c:pt>
                <c:pt idx="1659">
                  <c:v>1946.7083716841978</c:v>
                </c:pt>
                <c:pt idx="1660">
                  <c:v>1946.7083716841978</c:v>
                </c:pt>
                <c:pt idx="1661">
                  <c:v>1946.7083716841978</c:v>
                </c:pt>
                <c:pt idx="1662">
                  <c:v>1946.7083716841978</c:v>
                </c:pt>
                <c:pt idx="1663">
                  <c:v>1946.7083716841978</c:v>
                </c:pt>
                <c:pt idx="1664">
                  <c:v>1946.7083716841978</c:v>
                </c:pt>
                <c:pt idx="1665">
                  <c:v>1946.7083716841978</c:v>
                </c:pt>
                <c:pt idx="1666">
                  <c:v>1946.7083716841978</c:v>
                </c:pt>
                <c:pt idx="1667">
                  <c:v>1946.7083716841978</c:v>
                </c:pt>
                <c:pt idx="1668">
                  <c:v>1946.7083716841978</c:v>
                </c:pt>
                <c:pt idx="1669">
                  <c:v>1946.7083716841978</c:v>
                </c:pt>
                <c:pt idx="1670">
                  <c:v>1946.7083716841978</c:v>
                </c:pt>
                <c:pt idx="1671">
                  <c:v>1946.7083716841978</c:v>
                </c:pt>
                <c:pt idx="1672">
                  <c:v>1946.7083716841978</c:v>
                </c:pt>
                <c:pt idx="1673">
                  <c:v>1946.7083716841978</c:v>
                </c:pt>
                <c:pt idx="1674">
                  <c:v>1946.7083716841978</c:v>
                </c:pt>
              </c:numCache>
            </c:numRef>
          </c:val>
          <c:smooth val="0"/>
          <c:extLst>
            <c:ext xmlns:c16="http://schemas.microsoft.com/office/drawing/2014/chart" uri="{C3380CC4-5D6E-409C-BE32-E72D297353CC}">
              <c16:uniqueId val="{00000006-03FE-4373-B0A1-A11C7CC2FD3A}"/>
            </c:ext>
          </c:extLst>
        </c:ser>
        <c:dLbls>
          <c:showLegendKey val="0"/>
          <c:showVal val="0"/>
          <c:showCatName val="0"/>
          <c:showSerName val="0"/>
          <c:showPercent val="0"/>
          <c:showBubbleSize val="0"/>
        </c:dLbls>
        <c:marker val="1"/>
        <c:smooth val="0"/>
        <c:axId val="1060649504"/>
        <c:axId val="1110222080"/>
      </c:lineChart>
      <c:dateAx>
        <c:axId val="1060649504"/>
        <c:scaling>
          <c:orientation val="minMax"/>
        </c:scaling>
        <c:delete val="0"/>
        <c:axPos val="b"/>
        <c:numFmt formatCode="yyyy"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110222080"/>
        <c:crosses val="autoZero"/>
        <c:auto val="1"/>
        <c:lblOffset val="100"/>
        <c:baseTimeUnit val="days"/>
        <c:majorUnit val="12"/>
        <c:majorTimeUnit val="months"/>
      </c:dateAx>
      <c:valAx>
        <c:axId val="111022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Terajoules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60649504"/>
        <c:crosses val="autoZero"/>
        <c:crossBetween val="midCat"/>
      </c:valAx>
      <c:spPr>
        <a:noFill/>
        <a:ln w="25400">
          <a:noFill/>
        </a:ln>
        <a:effectLst/>
      </c:spPr>
    </c:plotArea>
    <c:legend>
      <c:legendPos val="b"/>
      <c:layout>
        <c:manualLayout>
          <c:xMode val="edge"/>
          <c:yMode val="edge"/>
          <c:x val="9.9072024085224641E-2"/>
          <c:y val="0.69980829927904586"/>
          <c:w val="0.80185595182955072"/>
          <c:h val="0.285078407920528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'1.6'!$C$5</c:f>
              <c:strCache>
                <c:ptCount val="1"/>
                <c:pt idx="0">
                  <c:v>Domestic Consumption</c:v>
                </c:pt>
              </c:strCache>
            </c:strRef>
          </c:tx>
          <c:spPr>
            <a:solidFill>
              <a:srgbClr val="005CAF"/>
            </a:solidFill>
            <a:ln>
              <a:noFill/>
            </a:ln>
            <a:effectLst/>
          </c:spPr>
          <c:cat>
            <c:numRef>
              <c:f>'1.6'!$B$6:$B$58</c:f>
              <c:numCache>
                <c:formatCode>General</c:formatCode>
                <c:ptCount val="5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numCache>
            </c:numRef>
          </c:cat>
          <c:val>
            <c:numRef>
              <c:f>'1.6'!$C$6:$C$58</c:f>
              <c:numCache>
                <c:formatCode>0</c:formatCode>
                <c:ptCount val="53"/>
                <c:pt idx="0">
                  <c:v>2</c:v>
                </c:pt>
                <c:pt idx="1">
                  <c:v>3</c:v>
                </c:pt>
                <c:pt idx="2">
                  <c:v>4</c:v>
                </c:pt>
                <c:pt idx="3">
                  <c:v>5</c:v>
                </c:pt>
                <c:pt idx="4">
                  <c:v>5</c:v>
                </c:pt>
                <c:pt idx="5">
                  <c:v>6</c:v>
                </c:pt>
                <c:pt idx="6">
                  <c:v>7</c:v>
                </c:pt>
                <c:pt idx="7">
                  <c:v>8</c:v>
                </c:pt>
                <c:pt idx="8">
                  <c:v>8</c:v>
                </c:pt>
                <c:pt idx="9">
                  <c:v>10</c:v>
                </c:pt>
                <c:pt idx="10">
                  <c:v>11</c:v>
                </c:pt>
                <c:pt idx="11">
                  <c:v>12</c:v>
                </c:pt>
                <c:pt idx="12">
                  <c:v>12</c:v>
                </c:pt>
                <c:pt idx="13">
                  <c:v>13</c:v>
                </c:pt>
                <c:pt idx="14">
                  <c:v>13</c:v>
                </c:pt>
                <c:pt idx="15">
                  <c:v>13</c:v>
                </c:pt>
                <c:pt idx="16">
                  <c:v>15</c:v>
                </c:pt>
                <c:pt idx="17">
                  <c:v>15</c:v>
                </c:pt>
                <c:pt idx="18">
                  <c:v>15</c:v>
                </c:pt>
                <c:pt idx="19">
                  <c:v>17</c:v>
                </c:pt>
                <c:pt idx="20">
                  <c:v>17</c:v>
                </c:pt>
                <c:pt idx="21">
                  <c:v>16</c:v>
                </c:pt>
                <c:pt idx="22">
                  <c:v>17</c:v>
                </c:pt>
                <c:pt idx="23">
                  <c:v>17</c:v>
                </c:pt>
                <c:pt idx="24">
                  <c:v>19</c:v>
                </c:pt>
                <c:pt idx="25">
                  <c:v>19</c:v>
                </c:pt>
                <c:pt idx="26">
                  <c:v>19</c:v>
                </c:pt>
                <c:pt idx="27">
                  <c:v>19</c:v>
                </c:pt>
                <c:pt idx="28">
                  <c:v>20</c:v>
                </c:pt>
                <c:pt idx="29">
                  <c:v>20</c:v>
                </c:pt>
                <c:pt idx="30">
                  <c:v>21</c:v>
                </c:pt>
                <c:pt idx="31">
                  <c:v>22</c:v>
                </c:pt>
                <c:pt idx="32">
                  <c:v>23</c:v>
                </c:pt>
                <c:pt idx="33">
                  <c:v>23</c:v>
                </c:pt>
                <c:pt idx="34">
                  <c:v>23</c:v>
                </c:pt>
                <c:pt idx="35">
                  <c:v>23</c:v>
                </c:pt>
                <c:pt idx="36">
                  <c:v>26</c:v>
                </c:pt>
                <c:pt idx="37">
                  <c:v>29</c:v>
                </c:pt>
                <c:pt idx="38">
                  <c:v>29</c:v>
                </c:pt>
                <c:pt idx="39">
                  <c:v>29</c:v>
                </c:pt>
                <c:pt idx="40">
                  <c:v>32</c:v>
                </c:pt>
                <c:pt idx="41">
                  <c:v>33</c:v>
                </c:pt>
                <c:pt idx="42">
                  <c:v>33</c:v>
                </c:pt>
                <c:pt idx="43">
                  <c:v>35</c:v>
                </c:pt>
                <c:pt idx="44">
                  <c:v>38</c:v>
                </c:pt>
                <c:pt idx="45">
                  <c:v>39</c:v>
                </c:pt>
                <c:pt idx="46">
                  <c:v>38</c:v>
                </c:pt>
                <c:pt idx="47">
                  <c:v>37</c:v>
                </c:pt>
                <c:pt idx="48">
                  <c:v>37</c:v>
                </c:pt>
                <c:pt idx="49">
                  <c:v>44</c:v>
                </c:pt>
                <c:pt idx="50">
                  <c:v>42</c:v>
                </c:pt>
                <c:pt idx="51">
                  <c:v>40</c:v>
                </c:pt>
                <c:pt idx="52">
                  <c:v>42</c:v>
                </c:pt>
              </c:numCache>
            </c:numRef>
          </c:val>
          <c:extLst>
            <c:ext xmlns:c16="http://schemas.microsoft.com/office/drawing/2014/chart" uri="{C3380CC4-5D6E-409C-BE32-E72D297353CC}">
              <c16:uniqueId val="{00000000-D204-480C-86D0-8E0BC9EA6002}"/>
            </c:ext>
          </c:extLst>
        </c:ser>
        <c:ser>
          <c:idx val="1"/>
          <c:order val="1"/>
          <c:tx>
            <c:strRef>
              <c:f>'1.6'!$D$5</c:f>
              <c:strCache>
                <c:ptCount val="1"/>
                <c:pt idx="0">
                  <c:v>Exports</c:v>
                </c:pt>
              </c:strCache>
            </c:strRef>
          </c:tx>
          <c:spPr>
            <a:solidFill>
              <a:srgbClr val="56B4DF"/>
            </a:solidFill>
            <a:ln>
              <a:noFill/>
            </a:ln>
            <a:effectLst/>
          </c:spPr>
          <c:cat>
            <c:numRef>
              <c:f>'1.6'!$B$6:$B$58</c:f>
              <c:numCache>
                <c:formatCode>General</c:formatCode>
                <c:ptCount val="5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numCache>
            </c:numRef>
          </c:cat>
          <c:val>
            <c:numRef>
              <c:f>'1.6'!$D$6:$D$58</c:f>
              <c:numCache>
                <c:formatCode>0</c:formatCode>
                <c:ptCount val="5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4</c:v>
                </c:pt>
                <c:pt idx="21">
                  <c:v>5</c:v>
                </c:pt>
                <c:pt idx="22">
                  <c:v>7</c:v>
                </c:pt>
                <c:pt idx="23">
                  <c:v>7</c:v>
                </c:pt>
                <c:pt idx="24">
                  <c:v>9</c:v>
                </c:pt>
                <c:pt idx="25">
                  <c:v>10</c:v>
                </c:pt>
                <c:pt idx="26">
                  <c:v>10</c:v>
                </c:pt>
                <c:pt idx="27">
                  <c:v>11</c:v>
                </c:pt>
                <c:pt idx="28">
                  <c:v>11</c:v>
                </c:pt>
                <c:pt idx="29">
                  <c:v>11</c:v>
                </c:pt>
                <c:pt idx="30">
                  <c:v>11</c:v>
                </c:pt>
                <c:pt idx="31">
                  <c:v>10</c:v>
                </c:pt>
                <c:pt idx="32">
                  <c:v>10</c:v>
                </c:pt>
                <c:pt idx="33">
                  <c:v>11</c:v>
                </c:pt>
                <c:pt idx="34">
                  <c:v>12</c:v>
                </c:pt>
                <c:pt idx="35">
                  <c:v>15</c:v>
                </c:pt>
                <c:pt idx="36">
                  <c:v>15</c:v>
                </c:pt>
                <c:pt idx="37">
                  <c:v>14</c:v>
                </c:pt>
                <c:pt idx="38">
                  <c:v>13</c:v>
                </c:pt>
                <c:pt idx="39">
                  <c:v>18</c:v>
                </c:pt>
                <c:pt idx="40">
                  <c:v>21</c:v>
                </c:pt>
                <c:pt idx="41">
                  <c:v>21</c:v>
                </c:pt>
                <c:pt idx="42">
                  <c:v>25</c:v>
                </c:pt>
                <c:pt idx="43">
                  <c:v>26</c:v>
                </c:pt>
                <c:pt idx="44">
                  <c:v>28</c:v>
                </c:pt>
                <c:pt idx="45">
                  <c:v>35</c:v>
                </c:pt>
                <c:pt idx="46">
                  <c:v>56</c:v>
                </c:pt>
                <c:pt idx="47">
                  <c:v>73</c:v>
                </c:pt>
                <c:pt idx="48">
                  <c:v>90</c:v>
                </c:pt>
                <c:pt idx="49">
                  <c:v>102</c:v>
                </c:pt>
                <c:pt idx="50">
                  <c:v>103</c:v>
                </c:pt>
                <c:pt idx="51">
                  <c:v>108</c:v>
                </c:pt>
                <c:pt idx="52">
                  <c:v>111</c:v>
                </c:pt>
              </c:numCache>
            </c:numRef>
          </c:val>
          <c:extLst>
            <c:ext xmlns:c16="http://schemas.microsoft.com/office/drawing/2014/chart" uri="{C3380CC4-5D6E-409C-BE32-E72D297353CC}">
              <c16:uniqueId val="{00000001-D204-480C-86D0-8E0BC9EA6002}"/>
            </c:ext>
          </c:extLst>
        </c:ser>
        <c:dLbls>
          <c:showLegendKey val="0"/>
          <c:showVal val="0"/>
          <c:showCatName val="0"/>
          <c:showSerName val="0"/>
          <c:showPercent val="0"/>
          <c:showBubbleSize val="0"/>
        </c:dLbls>
        <c:axId val="393540463"/>
        <c:axId val="30148959"/>
      </c:areaChart>
      <c:lineChart>
        <c:grouping val="standard"/>
        <c:varyColors val="0"/>
        <c:ser>
          <c:idx val="2"/>
          <c:order val="2"/>
          <c:tx>
            <c:strRef>
              <c:f>'1.6'!$E$5</c:f>
              <c:strCache>
                <c:ptCount val="1"/>
                <c:pt idx="0">
                  <c:v>% of LNG trade</c:v>
                </c:pt>
              </c:strCache>
            </c:strRef>
          </c:tx>
          <c:spPr>
            <a:ln w="28575" cap="rnd">
              <a:solidFill>
                <a:srgbClr val="F36A5A"/>
              </a:solidFill>
              <a:prstDash val="sysDash"/>
              <a:round/>
            </a:ln>
            <a:effectLst/>
          </c:spPr>
          <c:marker>
            <c:symbol val="none"/>
          </c:marker>
          <c:val>
            <c:numRef>
              <c:f>'1.6'!$E$6:$E$58</c:f>
              <c:numCache>
                <c:formatCode>General</c:formatCode>
                <c:ptCount val="53"/>
                <c:pt idx="30" formatCode="0.00">
                  <c:v>0.08</c:v>
                </c:pt>
                <c:pt idx="31" formatCode="0.00">
                  <c:v>7.0000000000000007E-2</c:v>
                </c:pt>
                <c:pt idx="32" formatCode="0.00">
                  <c:v>7.0000000000000007E-2</c:v>
                </c:pt>
                <c:pt idx="33" formatCode="0.00">
                  <c:v>0.06</c:v>
                </c:pt>
                <c:pt idx="34" formatCode="0.00">
                  <c:v>7.0000000000000007E-2</c:v>
                </c:pt>
                <c:pt idx="35" formatCode="0.00">
                  <c:v>0.08</c:v>
                </c:pt>
                <c:pt idx="36" formatCode="0.00">
                  <c:v>7.0000000000000007E-2</c:v>
                </c:pt>
                <c:pt idx="37" formatCode="0.00">
                  <c:v>0.06</c:v>
                </c:pt>
                <c:pt idx="38" formatCode="0.00">
                  <c:v>0.06</c:v>
                </c:pt>
                <c:pt idx="39" formatCode="0.00">
                  <c:v>7.0000000000000007E-2</c:v>
                </c:pt>
                <c:pt idx="40" formatCode="0.00">
                  <c:v>7.0000000000000007E-2</c:v>
                </c:pt>
                <c:pt idx="41" formatCode="0.00">
                  <c:v>7.0000000000000007E-2</c:v>
                </c:pt>
                <c:pt idx="42" formatCode="0.00">
                  <c:v>0.08</c:v>
                </c:pt>
                <c:pt idx="43" formatCode="0.00">
                  <c:v>0.08</c:v>
                </c:pt>
                <c:pt idx="44" formatCode="0.00">
                  <c:v>0.08</c:v>
                </c:pt>
                <c:pt idx="45" formatCode="0.00">
                  <c:v>0.1</c:v>
                </c:pt>
                <c:pt idx="46" formatCode="0.00">
                  <c:v>0.16</c:v>
                </c:pt>
                <c:pt idx="47" formatCode="0.00">
                  <c:v>0.19</c:v>
                </c:pt>
                <c:pt idx="48" formatCode="0.00">
                  <c:v>0.21</c:v>
                </c:pt>
                <c:pt idx="49" formatCode="0.00">
                  <c:v>0.21</c:v>
                </c:pt>
                <c:pt idx="50" formatCode="0.00">
                  <c:v>0.21</c:v>
                </c:pt>
                <c:pt idx="51" formatCode="0.00">
                  <c:v>0.21</c:v>
                </c:pt>
                <c:pt idx="52" formatCode="0.00">
                  <c:v>0.2</c:v>
                </c:pt>
              </c:numCache>
            </c:numRef>
          </c:val>
          <c:smooth val="0"/>
          <c:extLst>
            <c:ext xmlns:c16="http://schemas.microsoft.com/office/drawing/2014/chart" uri="{C3380CC4-5D6E-409C-BE32-E72D297353CC}">
              <c16:uniqueId val="{00000002-D204-480C-86D0-8E0BC9EA6002}"/>
            </c:ext>
          </c:extLst>
        </c:ser>
        <c:dLbls>
          <c:showLegendKey val="0"/>
          <c:showVal val="0"/>
          <c:showCatName val="0"/>
          <c:showSerName val="0"/>
          <c:showPercent val="0"/>
          <c:showBubbleSize val="0"/>
        </c:dLbls>
        <c:marker val="1"/>
        <c:smooth val="0"/>
        <c:axId val="1725868031"/>
        <c:axId val="2123691007"/>
      </c:lineChart>
      <c:catAx>
        <c:axId val="393540463"/>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0148959"/>
        <c:crosses val="autoZero"/>
        <c:auto val="1"/>
        <c:lblAlgn val="ctr"/>
        <c:lblOffset val="100"/>
        <c:tickLblSkip val="5"/>
        <c:noMultiLvlLbl val="0"/>
      </c:catAx>
      <c:valAx>
        <c:axId val="30148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Billion cubic metres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3540463"/>
        <c:crosses val="autoZero"/>
        <c:crossBetween val="between"/>
      </c:valAx>
      <c:valAx>
        <c:axId val="2123691007"/>
        <c:scaling>
          <c:orientation val="minMax"/>
          <c:max val="0.45"/>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Share of LNG</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725868031"/>
        <c:crosses val="max"/>
        <c:crossBetween val="between"/>
      </c:valAx>
      <c:catAx>
        <c:axId val="1725868031"/>
        <c:scaling>
          <c:orientation val="minMax"/>
        </c:scaling>
        <c:delete val="1"/>
        <c:axPos val="b"/>
        <c:majorTickMark val="out"/>
        <c:minorTickMark val="none"/>
        <c:tickLblPos val="nextTo"/>
        <c:crossAx val="2123691007"/>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'5.5'!$C$5</c:f>
              <c:strCache>
                <c:ptCount val="1"/>
                <c:pt idx="0">
                  <c:v>Cumulative production by 2022</c:v>
                </c:pt>
              </c:strCache>
            </c:strRef>
          </c:tx>
          <c:spPr>
            <a:solidFill>
              <a:srgbClr val="005CAF"/>
            </a:solidFill>
            <a:ln>
              <a:noFill/>
            </a:ln>
            <a:effectLst/>
          </c:spPr>
          <c:invertIfNegative val="0"/>
          <c:cat>
            <c:strRef>
              <c:f>'5.5'!$B$6:$B$9</c:f>
              <c:strCache>
                <c:ptCount val="4"/>
                <c:pt idx="0">
                  <c:v>Southern states </c:v>
                </c:pt>
                <c:pt idx="1">
                  <c:v>Queensland</c:v>
                </c:pt>
                <c:pt idx="2">
                  <c:v>Northern Territory</c:v>
                </c:pt>
                <c:pt idx="3">
                  <c:v>Western Australia</c:v>
                </c:pt>
              </c:strCache>
            </c:strRef>
          </c:cat>
          <c:val>
            <c:numRef>
              <c:f>'5.5'!$C$6:$C$9</c:f>
              <c:numCache>
                <c:formatCode>#,##0</c:formatCode>
                <c:ptCount val="4"/>
                <c:pt idx="0">
                  <c:v>14817</c:v>
                </c:pt>
                <c:pt idx="1">
                  <c:v>23232</c:v>
                </c:pt>
                <c:pt idx="2">
                  <c:v>3649</c:v>
                </c:pt>
                <c:pt idx="3">
                  <c:v>48379</c:v>
                </c:pt>
              </c:numCache>
            </c:numRef>
          </c:val>
          <c:extLst>
            <c:ext xmlns:c16="http://schemas.microsoft.com/office/drawing/2014/chart" uri="{C3380CC4-5D6E-409C-BE32-E72D297353CC}">
              <c16:uniqueId val="{00000000-FF2B-4877-B9FF-5839DF080650}"/>
            </c:ext>
          </c:extLst>
        </c:ser>
        <c:ser>
          <c:idx val="1"/>
          <c:order val="1"/>
          <c:tx>
            <c:strRef>
              <c:f>'5.5'!$D$5</c:f>
              <c:strCache>
                <c:ptCount val="1"/>
                <c:pt idx="0">
                  <c:v>2P Conventional (Mar 2023)</c:v>
                </c:pt>
              </c:strCache>
            </c:strRef>
          </c:tx>
          <c:spPr>
            <a:solidFill>
              <a:srgbClr val="56B4DF"/>
            </a:solidFill>
            <a:ln>
              <a:noFill/>
            </a:ln>
            <a:effectLst/>
          </c:spPr>
          <c:invertIfNegative val="0"/>
          <c:cat>
            <c:strRef>
              <c:f>'5.5'!$B$6:$B$9</c:f>
              <c:strCache>
                <c:ptCount val="4"/>
                <c:pt idx="0">
                  <c:v>Southern states </c:v>
                </c:pt>
                <c:pt idx="1">
                  <c:v>Queensland</c:v>
                </c:pt>
                <c:pt idx="2">
                  <c:v>Northern Territory</c:v>
                </c:pt>
                <c:pt idx="3">
                  <c:v>Western Australia</c:v>
                </c:pt>
              </c:strCache>
            </c:strRef>
          </c:cat>
          <c:val>
            <c:numRef>
              <c:f>'5.5'!$D$6:$D$9</c:f>
              <c:numCache>
                <c:formatCode>#,##0</c:formatCode>
                <c:ptCount val="4"/>
                <c:pt idx="0">
                  <c:v>2304</c:v>
                </c:pt>
                <c:pt idx="1">
                  <c:v>1327.4862783055687</c:v>
                </c:pt>
                <c:pt idx="2">
                  <c:v>19662</c:v>
                </c:pt>
                <c:pt idx="3">
                  <c:v>49612</c:v>
                </c:pt>
              </c:numCache>
            </c:numRef>
          </c:val>
          <c:extLst>
            <c:ext xmlns:c16="http://schemas.microsoft.com/office/drawing/2014/chart" uri="{C3380CC4-5D6E-409C-BE32-E72D297353CC}">
              <c16:uniqueId val="{00000001-FF2B-4877-B9FF-5839DF080650}"/>
            </c:ext>
          </c:extLst>
        </c:ser>
        <c:ser>
          <c:idx val="2"/>
          <c:order val="2"/>
          <c:tx>
            <c:strRef>
              <c:f>'5.5'!$E$5</c:f>
              <c:strCache>
                <c:ptCount val="1"/>
                <c:pt idx="0">
                  <c:v>2P Unconventional (Mar 2023)</c:v>
                </c:pt>
              </c:strCache>
            </c:strRef>
          </c:tx>
          <c:spPr>
            <a:pattFill prst="pct80">
              <a:fgClr>
                <a:srgbClr val="56B4DF"/>
              </a:fgClr>
              <a:bgClr>
                <a:schemeClr val="bg1"/>
              </a:bgClr>
            </a:pattFill>
            <a:ln>
              <a:noFill/>
            </a:ln>
            <a:effectLst/>
          </c:spPr>
          <c:invertIfNegative val="0"/>
          <c:cat>
            <c:strRef>
              <c:f>'5.5'!$B$6:$B$9</c:f>
              <c:strCache>
                <c:ptCount val="4"/>
                <c:pt idx="0">
                  <c:v>Southern states </c:v>
                </c:pt>
                <c:pt idx="1">
                  <c:v>Queensland</c:v>
                </c:pt>
                <c:pt idx="2">
                  <c:v>Northern Territory</c:v>
                </c:pt>
                <c:pt idx="3">
                  <c:v>Western Australia</c:v>
                </c:pt>
              </c:strCache>
            </c:strRef>
          </c:cat>
          <c:val>
            <c:numRef>
              <c:f>'5.5'!$E$6:$E$9</c:f>
              <c:numCache>
                <c:formatCode>#,##0</c:formatCode>
                <c:ptCount val="4"/>
                <c:pt idx="0">
                  <c:v>14</c:v>
                </c:pt>
                <c:pt idx="1">
                  <c:v>28948.513721694431</c:v>
                </c:pt>
                <c:pt idx="2">
                  <c:v>0</c:v>
                </c:pt>
                <c:pt idx="3">
                  <c:v>0</c:v>
                </c:pt>
              </c:numCache>
            </c:numRef>
          </c:val>
          <c:extLst>
            <c:ext xmlns:c16="http://schemas.microsoft.com/office/drawing/2014/chart" uri="{C3380CC4-5D6E-409C-BE32-E72D297353CC}">
              <c16:uniqueId val="{00000002-FF2B-4877-B9FF-5839DF080650}"/>
            </c:ext>
          </c:extLst>
        </c:ser>
        <c:ser>
          <c:idx val="3"/>
          <c:order val="3"/>
          <c:tx>
            <c:strRef>
              <c:f>'5.5'!$F$5</c:f>
              <c:strCache>
                <c:ptCount val="1"/>
                <c:pt idx="0">
                  <c:v>2C Conventional (2021)</c:v>
                </c:pt>
              </c:strCache>
            </c:strRef>
          </c:tx>
          <c:spPr>
            <a:solidFill>
              <a:srgbClr val="9ED9DF"/>
            </a:solidFill>
            <a:ln>
              <a:noFill/>
            </a:ln>
            <a:effectLst/>
          </c:spPr>
          <c:invertIfNegative val="0"/>
          <c:cat>
            <c:strRef>
              <c:f>'5.5'!$B$6:$B$9</c:f>
              <c:strCache>
                <c:ptCount val="4"/>
                <c:pt idx="0">
                  <c:v>Southern states </c:v>
                </c:pt>
                <c:pt idx="1">
                  <c:v>Queensland</c:v>
                </c:pt>
                <c:pt idx="2">
                  <c:v>Northern Territory</c:v>
                </c:pt>
                <c:pt idx="3">
                  <c:v>Western Australia</c:v>
                </c:pt>
              </c:strCache>
            </c:strRef>
          </c:cat>
          <c:val>
            <c:numRef>
              <c:f>'5.5'!$F$6:$F$9</c:f>
              <c:numCache>
                <c:formatCode>#,##0</c:formatCode>
                <c:ptCount val="4"/>
                <c:pt idx="0">
                  <c:v>3665</c:v>
                </c:pt>
                <c:pt idx="1">
                  <c:v>1903</c:v>
                </c:pt>
                <c:pt idx="2">
                  <c:v>54229</c:v>
                </c:pt>
                <c:pt idx="3">
                  <c:v>44735</c:v>
                </c:pt>
              </c:numCache>
            </c:numRef>
          </c:val>
          <c:extLst>
            <c:ext xmlns:c16="http://schemas.microsoft.com/office/drawing/2014/chart" uri="{C3380CC4-5D6E-409C-BE32-E72D297353CC}">
              <c16:uniqueId val="{00000003-FF2B-4877-B9FF-5839DF080650}"/>
            </c:ext>
          </c:extLst>
        </c:ser>
        <c:ser>
          <c:idx val="4"/>
          <c:order val="4"/>
          <c:tx>
            <c:strRef>
              <c:f>'5.5'!$G$5</c:f>
              <c:strCache>
                <c:ptCount val="1"/>
                <c:pt idx="0">
                  <c:v>2C Unconventional (2021)</c:v>
                </c:pt>
              </c:strCache>
            </c:strRef>
          </c:tx>
          <c:spPr>
            <a:pattFill prst="pct80">
              <a:fgClr>
                <a:srgbClr val="9ED9DF"/>
              </a:fgClr>
              <a:bgClr>
                <a:schemeClr val="bg1"/>
              </a:bgClr>
            </a:pattFill>
            <a:ln>
              <a:noFill/>
            </a:ln>
            <a:effectLst/>
          </c:spPr>
          <c:invertIfNegative val="0"/>
          <c:cat>
            <c:strRef>
              <c:f>'5.5'!$B$6:$B$9</c:f>
              <c:strCache>
                <c:ptCount val="4"/>
                <c:pt idx="0">
                  <c:v>Southern states </c:v>
                </c:pt>
                <c:pt idx="1">
                  <c:v>Queensland</c:v>
                </c:pt>
                <c:pt idx="2">
                  <c:v>Northern Territory</c:v>
                </c:pt>
                <c:pt idx="3">
                  <c:v>Western Australia</c:v>
                </c:pt>
              </c:strCache>
            </c:strRef>
          </c:cat>
          <c:val>
            <c:numRef>
              <c:f>'5.5'!$G$6:$G$9</c:f>
              <c:numCache>
                <c:formatCode>#,##0</c:formatCode>
                <c:ptCount val="4"/>
                <c:pt idx="0">
                  <c:v>2264</c:v>
                </c:pt>
                <c:pt idx="1">
                  <c:v>27480</c:v>
                </c:pt>
                <c:pt idx="2">
                  <c:v>5585</c:v>
                </c:pt>
                <c:pt idx="3">
                  <c:v>2429</c:v>
                </c:pt>
              </c:numCache>
            </c:numRef>
          </c:val>
          <c:extLst>
            <c:ext xmlns:c16="http://schemas.microsoft.com/office/drawing/2014/chart" uri="{C3380CC4-5D6E-409C-BE32-E72D297353CC}">
              <c16:uniqueId val="{00000004-FF2B-4877-B9FF-5839DF080650}"/>
            </c:ext>
          </c:extLst>
        </c:ser>
        <c:dLbls>
          <c:showLegendKey val="0"/>
          <c:showVal val="0"/>
          <c:showCatName val="0"/>
          <c:showSerName val="0"/>
          <c:showPercent val="0"/>
          <c:showBubbleSize val="0"/>
        </c:dLbls>
        <c:gapWidth val="150"/>
        <c:overlap val="100"/>
        <c:axId val="693783327"/>
        <c:axId val="706898303"/>
      </c:barChart>
      <c:catAx>
        <c:axId val="693783327"/>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706898303"/>
        <c:crosses val="autoZero"/>
        <c:auto val="1"/>
        <c:lblAlgn val="ctr"/>
        <c:lblOffset val="100"/>
        <c:noMultiLvlLbl val="0"/>
      </c:catAx>
      <c:valAx>
        <c:axId val="706898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9378332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'Acreage Pivot'!$C$34</c:f>
              <c:strCache>
                <c:ptCount val="1"/>
                <c:pt idx="0">
                  <c:v>Number of Awards</c:v>
                </c:pt>
              </c:strCache>
            </c:strRef>
          </c:tx>
          <c:spPr>
            <a:solidFill>
              <a:srgbClr val="005CAF"/>
            </a:solidFill>
            <a:ln>
              <a:noFill/>
            </a:ln>
            <a:effectLst/>
          </c:spPr>
          <c:invertIfNegative val="0"/>
          <c:cat>
            <c:strRef>
              <c:f>'Acreage Pivot'!$B$35:$B$46</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'Acreage Pivot'!$C$35:$C$46</c:f>
              <c:numCache>
                <c:formatCode>General</c:formatCode>
                <c:ptCount val="12"/>
                <c:pt idx="0">
                  <c:v>19</c:v>
                </c:pt>
                <c:pt idx="1">
                  <c:v>19</c:v>
                </c:pt>
                <c:pt idx="2">
                  <c:v>19</c:v>
                </c:pt>
                <c:pt idx="3">
                  <c:v>19</c:v>
                </c:pt>
                <c:pt idx="4">
                  <c:v>12</c:v>
                </c:pt>
                <c:pt idx="5">
                  <c:v>9</c:v>
                </c:pt>
                <c:pt idx="6">
                  <c:v>7</c:v>
                </c:pt>
                <c:pt idx="7">
                  <c:v>7</c:v>
                </c:pt>
                <c:pt idx="8">
                  <c:v>10</c:v>
                </c:pt>
                <c:pt idx="9">
                  <c:v>7</c:v>
                </c:pt>
                <c:pt idx="10">
                  <c:v>8</c:v>
                </c:pt>
                <c:pt idx="11">
                  <c:v>4</c:v>
                </c:pt>
              </c:numCache>
            </c:numRef>
          </c:val>
          <c:extLst>
            <c:ext xmlns:c16="http://schemas.microsoft.com/office/drawing/2014/chart" uri="{C3380CC4-5D6E-409C-BE32-E72D297353CC}">
              <c16:uniqueId val="{00000000-FA4A-4A50-84CC-D4C03B148705}"/>
            </c:ext>
          </c:extLst>
        </c:ser>
        <c:dLbls>
          <c:showLegendKey val="0"/>
          <c:showVal val="0"/>
          <c:showCatName val="0"/>
          <c:showSerName val="0"/>
          <c:showPercent val="0"/>
          <c:showBubbleSize val="0"/>
        </c:dLbls>
        <c:gapWidth val="150"/>
        <c:axId val="1013985848"/>
        <c:axId val="1013994080"/>
      </c:barChart>
      <c:lineChart>
        <c:grouping val="standard"/>
        <c:varyColors val="0"/>
        <c:ser>
          <c:idx val="1"/>
          <c:order val="1"/>
          <c:tx>
            <c:strRef>
              <c:f>'Acreage Pivot'!$D$34</c:f>
              <c:strCache>
                <c:ptCount val="1"/>
                <c:pt idx="0">
                  <c:v>Area Awarded</c:v>
                </c:pt>
              </c:strCache>
            </c:strRef>
          </c:tx>
          <c:spPr>
            <a:ln w="28575" cap="rnd" cmpd="sng" algn="ctr">
              <a:solidFill>
                <a:srgbClr val="56B4DF"/>
              </a:solidFill>
              <a:prstDash val="solid"/>
              <a:round/>
              <a:headEnd type="none" w="med" len="med"/>
              <a:tailEnd type="none" w="med" len="med"/>
            </a:ln>
            <a:effectLst/>
          </c:spPr>
          <c:marker>
            <c:symbol val="none"/>
          </c:marker>
          <c:cat>
            <c:strRef>
              <c:f>'Acreage Pivot'!$B$35:$B$46</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'Acreage Pivot'!$D$35:$D$46</c:f>
              <c:numCache>
                <c:formatCode>_-* #,##0_-;\-* #,##0_-;_-* "-"??_-;_-@_-</c:formatCode>
                <c:ptCount val="12"/>
                <c:pt idx="0">
                  <c:v>51510</c:v>
                </c:pt>
                <c:pt idx="1">
                  <c:v>108465</c:v>
                </c:pt>
                <c:pt idx="2">
                  <c:v>161650</c:v>
                </c:pt>
                <c:pt idx="3">
                  <c:v>67753</c:v>
                </c:pt>
                <c:pt idx="4">
                  <c:v>44705</c:v>
                </c:pt>
                <c:pt idx="5">
                  <c:v>44873.437588141001</c:v>
                </c:pt>
                <c:pt idx="6">
                  <c:v>58798</c:v>
                </c:pt>
                <c:pt idx="7">
                  <c:v>21639</c:v>
                </c:pt>
                <c:pt idx="8">
                  <c:v>38434</c:v>
                </c:pt>
                <c:pt idx="9">
                  <c:v>6261</c:v>
                </c:pt>
                <c:pt idx="10">
                  <c:v>21251</c:v>
                </c:pt>
                <c:pt idx="11">
                  <c:v>9708</c:v>
                </c:pt>
              </c:numCache>
            </c:numRef>
          </c:val>
          <c:smooth val="1"/>
          <c:extLst>
            <c:ext xmlns:c16="http://schemas.microsoft.com/office/drawing/2014/chart" uri="{C3380CC4-5D6E-409C-BE32-E72D297353CC}">
              <c16:uniqueId val="{00000001-FA4A-4A50-84CC-D4C03B148705}"/>
            </c:ext>
          </c:extLst>
        </c:ser>
        <c:dLbls>
          <c:showLegendKey val="0"/>
          <c:showVal val="0"/>
          <c:showCatName val="0"/>
          <c:showSerName val="0"/>
          <c:showPercent val="0"/>
          <c:showBubbleSize val="0"/>
        </c:dLbls>
        <c:marker val="1"/>
        <c:smooth val="0"/>
        <c:axId val="1013987808"/>
        <c:axId val="1013990160"/>
      </c:lineChart>
      <c:catAx>
        <c:axId val="101398584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0" spcFirstLastPara="1" vertOverflow="ellipsis" wrap="square" anchor="ctr" anchorCtr="1"/>
          <a:lstStyle/>
          <a:p>
            <a:pPr>
              <a:defRPr sz="900" b="0" i="0" u="none" strike="noStrike" kern="1200" baseline="0">
                <a:solidFill>
                  <a:srgbClr val="595A5B"/>
                </a:solidFill>
                <a:latin typeface="Arial"/>
                <a:ea typeface="Arial"/>
                <a:cs typeface="Arial"/>
              </a:defRPr>
            </a:pPr>
            <a:endParaRPr lang="en-US"/>
          </a:p>
        </c:txPr>
        <c:crossAx val="1013994080"/>
        <c:crosses val="autoZero"/>
        <c:auto val="1"/>
        <c:lblAlgn val="ctr"/>
        <c:lblOffset val="100"/>
        <c:tickLblSkip val="2"/>
        <c:noMultiLvlLbl val="0"/>
      </c:catAx>
      <c:valAx>
        <c:axId val="101399408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Permits Awarded</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13985848"/>
        <c:crosses val="autoZero"/>
        <c:crossBetween val="between"/>
        <c:majorUnit val="5"/>
      </c:valAx>
      <c:valAx>
        <c:axId val="1013990160"/>
        <c:scaling>
          <c:orientation val="minMax"/>
          <c:max val="200000"/>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Area Awarded (km²)</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_-* #,##0_-;\-* #,##0_-;_-* &quot;-&quot;??_-;_-@_-"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013987808"/>
        <c:crosses val="max"/>
        <c:crossBetween val="between"/>
        <c:majorUnit val="50000"/>
      </c:valAx>
      <c:catAx>
        <c:axId val="1013987808"/>
        <c:scaling>
          <c:orientation val="minMax"/>
        </c:scaling>
        <c:delete val="1"/>
        <c:axPos val="b"/>
        <c:numFmt formatCode="General" sourceLinked="1"/>
        <c:majorTickMark val="out"/>
        <c:minorTickMark val="none"/>
        <c:tickLblPos val="nextTo"/>
        <c:crossAx val="1013990160"/>
        <c:crosses val="autoZero"/>
        <c:auto val="1"/>
        <c:lblAlgn val="ctr"/>
        <c:lblOffset val="100"/>
        <c:noMultiLvlLbl val="0"/>
      </c:cat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37417917099984"/>
          <c:y val="5.5345911949685536E-2"/>
          <c:w val="0.79741827365918883"/>
          <c:h val="0.76227521735324333"/>
        </c:manualLayout>
      </c:layout>
      <c:barChart>
        <c:barDir val="col"/>
        <c:grouping val="stacked"/>
        <c:varyColors val="0"/>
        <c:ser>
          <c:idx val="0"/>
          <c:order val="0"/>
          <c:tx>
            <c:strRef>
              <c:f>'5.9'!$B$7</c:f>
              <c:strCache>
                <c:ptCount val="1"/>
                <c:pt idx="0">
                  <c:v>Offshore</c:v>
                </c:pt>
              </c:strCache>
            </c:strRef>
          </c:tx>
          <c:spPr>
            <a:solidFill>
              <a:srgbClr val="005CAF"/>
            </a:solidFill>
            <a:ln>
              <a:noFill/>
            </a:ln>
            <a:effectLst/>
          </c:spPr>
          <c:invertIfNegative val="0"/>
          <c:cat>
            <c:numRef>
              <c:f>'5.9'!$A$8:$A$31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'5.9'!$B$8:$B$31</c:f>
              <c:numCache>
                <c:formatCode>0</c:formatCode>
                <c:ptCount val="24"/>
                <c:pt idx="0">
                  <c:v>654.40000000000009</c:v>
                </c:pt>
                <c:pt idx="1">
                  <c:v>882.8</c:v>
                </c:pt>
                <c:pt idx="2">
                  <c:v>663.7</c:v>
                </c:pt>
                <c:pt idx="3">
                  <c:v>838</c:v>
                </c:pt>
                <c:pt idx="4">
                  <c:v>658.8</c:v>
                </c:pt>
                <c:pt idx="5">
                  <c:v>859.9</c:v>
                </c:pt>
                <c:pt idx="6">
                  <c:v>1259.3</c:v>
                </c:pt>
                <c:pt idx="7">
                  <c:v>2138.6999999999998</c:v>
                </c:pt>
                <c:pt idx="8">
                  <c:v>2879.5</c:v>
                </c:pt>
                <c:pt idx="9">
                  <c:v>3058.7000000000003</c:v>
                </c:pt>
                <c:pt idx="10">
                  <c:v>2753.7000000000003</c:v>
                </c:pt>
                <c:pt idx="11">
                  <c:v>2425</c:v>
                </c:pt>
                <c:pt idx="12">
                  <c:v>2979.3</c:v>
                </c:pt>
                <c:pt idx="13">
                  <c:v>3187.5000000000005</c:v>
                </c:pt>
                <c:pt idx="14">
                  <c:v>3305.7</c:v>
                </c:pt>
                <c:pt idx="15">
                  <c:v>1841</c:v>
                </c:pt>
                <c:pt idx="16">
                  <c:v>1080.5</c:v>
                </c:pt>
                <c:pt idx="17">
                  <c:v>789.8</c:v>
                </c:pt>
                <c:pt idx="18">
                  <c:v>761.09999999999991</c:v>
                </c:pt>
                <c:pt idx="19">
                  <c:v>789</c:v>
                </c:pt>
                <c:pt idx="20">
                  <c:v>392.70000000000005</c:v>
                </c:pt>
                <c:pt idx="21">
                  <c:v>401.3</c:v>
                </c:pt>
                <c:pt idx="22">
                  <c:v>379.4</c:v>
                </c:pt>
                <c:pt idx="23">
                  <c:v>396.9</c:v>
                </c:pt>
              </c:numCache>
            </c:numRef>
          </c:val>
          <c:extLst>
            <c:ext xmlns:c16="http://schemas.microsoft.com/office/drawing/2014/chart" uri="{C3380CC4-5D6E-409C-BE32-E72D297353CC}">
              <c16:uniqueId val="{00000000-6660-4811-88D7-177AF7ABB430}"/>
            </c:ext>
          </c:extLst>
        </c:ser>
        <c:ser>
          <c:idx val="1"/>
          <c:order val="1"/>
          <c:tx>
            <c:strRef>
              <c:f>'5.9'!$C$7</c:f>
              <c:strCache>
                <c:ptCount val="1"/>
                <c:pt idx="0">
                  <c:v>Onshore</c:v>
                </c:pt>
              </c:strCache>
            </c:strRef>
          </c:tx>
          <c:spPr>
            <a:solidFill>
              <a:srgbClr val="56B4DF"/>
            </a:solidFill>
            <a:ln>
              <a:noFill/>
            </a:ln>
            <a:effectLst/>
          </c:spPr>
          <c:invertIfNegative val="0"/>
          <c:cat>
            <c:numRef>
              <c:f>'5.9'!$A$8:$A$31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'5.9'!$C$8:$C$31</c:f>
              <c:numCache>
                <c:formatCode>0</c:formatCode>
                <c:ptCount val="24"/>
                <c:pt idx="0">
                  <c:v>127.6</c:v>
                </c:pt>
                <c:pt idx="1">
                  <c:v>180.6</c:v>
                </c:pt>
                <c:pt idx="2">
                  <c:v>202.3</c:v>
                </c:pt>
                <c:pt idx="3">
                  <c:v>184.70000000000002</c:v>
                </c:pt>
                <c:pt idx="4">
                  <c:v>258.8</c:v>
                </c:pt>
                <c:pt idx="5">
                  <c:v>297.20000000000005</c:v>
                </c:pt>
                <c:pt idx="6">
                  <c:v>424.3</c:v>
                </c:pt>
                <c:pt idx="7">
                  <c:v>517.6</c:v>
                </c:pt>
                <c:pt idx="8">
                  <c:v>477</c:v>
                </c:pt>
                <c:pt idx="9">
                  <c:v>586.09999999999991</c:v>
                </c:pt>
                <c:pt idx="10">
                  <c:v>812.6</c:v>
                </c:pt>
                <c:pt idx="11">
                  <c:v>860.2</c:v>
                </c:pt>
                <c:pt idx="12">
                  <c:v>1023.1</c:v>
                </c:pt>
                <c:pt idx="13">
                  <c:v>1341.9</c:v>
                </c:pt>
                <c:pt idx="14">
                  <c:v>1433.1999999999998</c:v>
                </c:pt>
                <c:pt idx="15">
                  <c:v>882.3</c:v>
                </c:pt>
                <c:pt idx="16">
                  <c:v>321.2</c:v>
                </c:pt>
                <c:pt idx="17">
                  <c:v>424.4</c:v>
                </c:pt>
                <c:pt idx="18">
                  <c:v>398.7</c:v>
                </c:pt>
                <c:pt idx="19">
                  <c:v>595.79999999999995</c:v>
                </c:pt>
                <c:pt idx="20">
                  <c:v>602</c:v>
                </c:pt>
                <c:pt idx="21">
                  <c:v>729.90000000000009</c:v>
                </c:pt>
                <c:pt idx="22">
                  <c:v>591.4</c:v>
                </c:pt>
                <c:pt idx="23">
                  <c:v>664.2</c:v>
                </c:pt>
              </c:numCache>
            </c:numRef>
          </c:val>
          <c:extLst>
            <c:ext xmlns:c16="http://schemas.microsoft.com/office/drawing/2014/chart" uri="{C3380CC4-5D6E-409C-BE32-E72D297353CC}">
              <c16:uniqueId val="{00000001-6660-4811-88D7-177AF7ABB430}"/>
            </c:ext>
          </c:extLst>
        </c:ser>
        <c:dLbls>
          <c:showLegendKey val="0"/>
          <c:showVal val="0"/>
          <c:showCatName val="0"/>
          <c:showSerName val="0"/>
          <c:showPercent val="0"/>
          <c:showBubbleSize val="0"/>
        </c:dLbls>
        <c:gapWidth val="150"/>
        <c:overlap val="100"/>
        <c:axId val="847924495"/>
        <c:axId val="78911935"/>
      </c:barChart>
      <c:catAx>
        <c:axId val="847924495"/>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78911935"/>
        <c:crosses val="autoZero"/>
        <c:auto val="1"/>
        <c:lblAlgn val="ctr"/>
        <c:lblOffset val="100"/>
        <c:tickLblSkip val="3"/>
        <c:noMultiLvlLbl val="0"/>
      </c:catAx>
      <c:valAx>
        <c:axId val="78911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 Million</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47924495"/>
        <c:crosses val="autoZero"/>
        <c:crossBetween val="between"/>
      </c:valAx>
      <c:spPr>
        <a:noFill/>
        <a:ln w="25400">
          <a:noFill/>
        </a:ln>
        <a:effectLst/>
      </c:spPr>
    </c:plotArea>
    <c:legend>
      <c:legendPos val="b"/>
      <c:layout>
        <c:manualLayout>
          <c:xMode val="edge"/>
          <c:yMode val="edge"/>
          <c:x val="0.35126263556678056"/>
          <c:y val="0.91975080473431392"/>
          <c:w val="0.31558793641360866"/>
          <c:h val="8.0249195265686135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'5.10'!$C$5</c:f>
              <c:strCache>
                <c:ptCount val="1"/>
                <c:pt idx="0">
                  <c:v>Number of Days</c:v>
                </c:pt>
              </c:strCache>
            </c:strRef>
          </c:tx>
          <c:spPr>
            <a:ln w="28575" cap="rnd">
              <a:solidFill>
                <a:srgbClr val="005CAF"/>
              </a:solidFill>
              <a:prstDash val="solid"/>
              <a:round/>
            </a:ln>
            <a:effectLst/>
          </c:spPr>
          <c:marker>
            <c:symbol val="none"/>
          </c:marker>
          <c:cat>
            <c:numRef>
              <c:f>'5.10'!$B$6:$B$15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'5.10'!$C$6:$C$15</c:f>
              <c:numCache>
                <c:formatCode>#,##0</c:formatCode>
                <c:ptCount val="10"/>
                <c:pt idx="0">
                  <c:v>188.05263157894737</c:v>
                </c:pt>
                <c:pt idx="1">
                  <c:v>165.57894736842104</c:v>
                </c:pt>
                <c:pt idx="2">
                  <c:v>148</c:v>
                </c:pt>
                <c:pt idx="3">
                  <c:v>225.22222222222223</c:v>
                </c:pt>
                <c:pt idx="4">
                  <c:v>187.85714285714286</c:v>
                </c:pt>
                <c:pt idx="5">
                  <c:v>188.14285714285714</c:v>
                </c:pt>
                <c:pt idx="6">
                  <c:v>290.5</c:v>
                </c:pt>
                <c:pt idx="7">
                  <c:v>262.14285714285717</c:v>
                </c:pt>
                <c:pt idx="8">
                  <c:v>365.125</c:v>
                </c:pt>
                <c:pt idx="9">
                  <c:v>381.25</c:v>
                </c:pt>
              </c:numCache>
            </c:numRef>
          </c:val>
          <c:smooth val="0"/>
          <c:extLst>
            <c:ext xmlns:c16="http://schemas.microsoft.com/office/drawing/2014/chart" uri="{C3380CC4-5D6E-409C-BE32-E72D297353CC}">
              <c16:uniqueId val="{00000000-1276-4590-B52E-80096718EC00}"/>
            </c:ext>
          </c:extLst>
        </c:ser>
        <c:dLbls>
          <c:showLegendKey val="0"/>
          <c:showVal val="0"/>
          <c:showCatName val="0"/>
          <c:showSerName val="0"/>
          <c:showPercent val="0"/>
          <c:showBubbleSize val="0"/>
        </c:dLbls>
        <c:smooth val="0"/>
        <c:axId val="123451296"/>
        <c:axId val="892279887"/>
      </c:lineChart>
      <c:catAx>
        <c:axId val="123451296"/>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92279887"/>
        <c:crosses val="autoZero"/>
        <c:auto val="1"/>
        <c:lblAlgn val="ctr"/>
        <c:lblOffset val="100"/>
        <c:noMultiLvlLbl val="0"/>
      </c:catAx>
      <c:valAx>
        <c:axId val="892279887"/>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Number of days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2345129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6090633357738E-2"/>
          <c:y val="0.13743947733159029"/>
          <c:w val="0.88370860663289952"/>
          <c:h val="0.50940621694676225"/>
        </c:manualLayout>
      </c:layout>
      <c:barChart>
        <c:barDir val="col"/>
        <c:grouping val="percentStacked"/>
        <c:varyColors val="0"/>
        <c:ser>
          <c:idx val="0"/>
          <c:order val="0"/>
          <c:tx>
            <c:strRef>
              <c:f>Sheet1!$B$6</c:f>
              <c:strCache>
                <c:ptCount val="1"/>
                <c:pt idx="0">
                  <c:v>APLNG</c:v>
                </c:pt>
              </c:strCache>
            </c:strRef>
          </c:tx>
          <c:spPr>
            <a:solidFill>
              <a:srgbClr val="005C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Sheet1!$C$6:$E$6</c:f>
              <c:numCache>
                <c:formatCode>#,##0</c:formatCode>
                <c:ptCount val="3"/>
                <c:pt idx="0">
                  <c:v>10</c:v>
                </c:pt>
                <c:pt idx="1">
                  <c:v>33.1</c:v>
                </c:pt>
                <c:pt idx="2">
                  <c:v>36.4</c:v>
                </c:pt>
              </c:numCache>
            </c:numRef>
          </c:val>
          <c:extLst>
            <c:ext xmlns:c16="http://schemas.microsoft.com/office/drawing/2014/chart" uri="{C3380CC4-5D6E-409C-BE32-E72D297353CC}">
              <c16:uniqueId val="{00000000-3BA5-45F8-BD25-42F18B92777B}"/>
            </c:ext>
          </c:extLst>
        </c:ser>
        <c:ser>
          <c:idx val="1"/>
          <c:order val="1"/>
          <c:tx>
            <c:strRef>
              <c:f>Sheet1!$B$7</c:f>
              <c:strCache>
                <c:ptCount val="1"/>
                <c:pt idx="0">
                  <c:v>QCLNG</c:v>
                </c:pt>
              </c:strCache>
            </c:strRef>
          </c:tx>
          <c:spPr>
            <a:solidFill>
              <a:srgbClr val="56B4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Sheet1!$C$7:$E$7</c:f>
              <c:numCache>
                <c:formatCode>#,##0</c:formatCode>
                <c:ptCount val="3"/>
                <c:pt idx="0">
                  <c:v>12</c:v>
                </c:pt>
                <c:pt idx="1">
                  <c:v>16.399999999999999</c:v>
                </c:pt>
                <c:pt idx="2">
                  <c:v>26.4</c:v>
                </c:pt>
              </c:numCache>
            </c:numRef>
          </c:val>
          <c:extLst>
            <c:ext xmlns:c16="http://schemas.microsoft.com/office/drawing/2014/chart" uri="{C3380CC4-5D6E-409C-BE32-E72D297353CC}">
              <c16:uniqueId val="{00000001-3BA5-45F8-BD25-42F18B92777B}"/>
            </c:ext>
          </c:extLst>
        </c:ser>
        <c:ser>
          <c:idx val="2"/>
          <c:order val="2"/>
          <c:tx>
            <c:strRef>
              <c:f>Sheet1!$B$8</c:f>
              <c:strCache>
                <c:ptCount val="1"/>
                <c:pt idx="0">
                  <c:v>Arrow</c:v>
                </c:pt>
              </c:strCache>
            </c:strRef>
          </c:tx>
          <c:spPr>
            <a:solidFill>
              <a:srgbClr val="9ED6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Sheet1!$C$8:$E$8</c:f>
              <c:numCache>
                <c:formatCode>#,##0</c:formatCode>
                <c:ptCount val="3"/>
                <c:pt idx="0">
                  <c:v>16</c:v>
                </c:pt>
                <c:pt idx="1">
                  <c:v>17</c:v>
                </c:pt>
                <c:pt idx="2">
                  <c:v>2.2000000000000002</c:v>
                </c:pt>
              </c:numCache>
            </c:numRef>
          </c:val>
          <c:extLst>
            <c:ext xmlns:c16="http://schemas.microsoft.com/office/drawing/2014/chart" uri="{C3380CC4-5D6E-409C-BE32-E72D297353CC}">
              <c16:uniqueId val="{00000002-3BA5-45F8-BD25-42F18B92777B}"/>
            </c:ext>
          </c:extLst>
        </c:ser>
        <c:ser>
          <c:idx val="3"/>
          <c:order val="3"/>
          <c:tx>
            <c:strRef>
              <c:f>Sheet1!$B$9</c:f>
              <c:strCache>
                <c:ptCount val="1"/>
                <c:pt idx="0">
                  <c:v>Santo-GLNG</c:v>
                </c:pt>
              </c:strCache>
            </c:strRef>
          </c:tx>
          <c:spPr>
            <a:solidFill>
              <a:srgbClr val="BCBFC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Sheet1!$C$9:$E$9</c:f>
              <c:numCache>
                <c:formatCode>#,##0</c:formatCode>
                <c:ptCount val="3"/>
                <c:pt idx="0">
                  <c:v>14</c:v>
                </c:pt>
                <c:pt idx="1">
                  <c:v>17</c:v>
                </c:pt>
                <c:pt idx="2">
                  <c:v>14</c:v>
                </c:pt>
              </c:numCache>
            </c:numRef>
          </c:val>
          <c:extLst>
            <c:ext xmlns:c16="http://schemas.microsoft.com/office/drawing/2014/chart" uri="{C3380CC4-5D6E-409C-BE32-E72D297353CC}">
              <c16:uniqueId val="{00000003-3BA5-45F8-BD25-42F18B92777B}"/>
            </c:ext>
          </c:extLst>
        </c:ser>
        <c:ser>
          <c:idx val="4"/>
          <c:order val="4"/>
          <c:tx>
            <c:strRef>
              <c:f>Sheet1!$B$10</c:f>
              <c:strCache>
                <c:ptCount val="1"/>
                <c:pt idx="0">
                  <c:v>Origin*</c:v>
                </c:pt>
              </c:strCache>
            </c:strRef>
          </c:tx>
          <c:spPr>
            <a:solidFill>
              <a:srgbClr val="51B7A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3BA5-45F8-BD25-42F18B92777B}"/>
                </c:ext>
              </c:extLst>
            </c:dLbl>
            <c:dLbl>
              <c:idx val="2"/>
              <c:delete val="1"/>
              <c:extLst>
                <c:ext xmlns:c15="http://schemas.microsoft.com/office/drawing/2012/chart" uri="{CE6537A1-D6FC-4f65-9D91-7224C49458BB}"/>
                <c:ext xmlns:c16="http://schemas.microsoft.com/office/drawing/2014/chart" uri="{C3380CC4-5D6E-409C-BE32-E72D297353CC}">
                  <c16:uniqueId val="{00000005-3BA5-45F8-BD25-42F18B9277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Sheet1!$C$10:$E$10</c:f>
              <c:numCache>
                <c:formatCode>#,##0</c:formatCode>
                <c:ptCount val="3"/>
                <c:pt idx="0">
                  <c:v>14</c:v>
                </c:pt>
                <c:pt idx="1">
                  <c:v>0</c:v>
                </c:pt>
                <c:pt idx="2">
                  <c:v>0</c:v>
                </c:pt>
              </c:numCache>
            </c:numRef>
          </c:val>
          <c:extLst>
            <c:ext xmlns:c16="http://schemas.microsoft.com/office/drawing/2014/chart" uri="{C3380CC4-5D6E-409C-BE32-E72D297353CC}">
              <c16:uniqueId val="{00000006-3BA5-45F8-BD25-42F18B92777B}"/>
            </c:ext>
          </c:extLst>
        </c:ser>
        <c:ser>
          <c:idx val="5"/>
          <c:order val="5"/>
          <c:tx>
            <c:strRef>
              <c:f>Sheet1!$B$11</c:f>
              <c:strCache>
                <c:ptCount val="1"/>
                <c:pt idx="0">
                  <c:v>Esso</c:v>
                </c:pt>
              </c:strCache>
            </c:strRef>
          </c:tx>
          <c:spPr>
            <a:solidFill>
              <a:srgbClr val="0A7568"/>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3BA5-45F8-BD25-42F18B9277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Sheet1!$C$11:$E$11</c:f>
              <c:numCache>
                <c:formatCode>#,##0</c:formatCode>
                <c:ptCount val="3"/>
                <c:pt idx="0">
                  <c:v>1</c:v>
                </c:pt>
                <c:pt idx="1">
                  <c:v>3</c:v>
                </c:pt>
                <c:pt idx="2">
                  <c:v>6.2</c:v>
                </c:pt>
              </c:numCache>
            </c:numRef>
          </c:val>
          <c:extLst>
            <c:ext xmlns:c16="http://schemas.microsoft.com/office/drawing/2014/chart" uri="{C3380CC4-5D6E-409C-BE32-E72D297353CC}">
              <c16:uniqueId val="{00000008-3BA5-45F8-BD25-42F18B92777B}"/>
            </c:ext>
          </c:extLst>
        </c:ser>
        <c:ser>
          <c:idx val="6"/>
          <c:order val="6"/>
          <c:tx>
            <c:strRef>
              <c:f>Sheet1!$B$12</c:f>
              <c:strCache>
                <c:ptCount val="1"/>
                <c:pt idx="0">
                  <c:v>BHP</c:v>
                </c:pt>
              </c:strCache>
            </c:strRef>
          </c:tx>
          <c:spPr>
            <a:solidFill>
              <a:srgbClr val="D1AAF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Sheet1!$C$12:$E$12</c:f>
              <c:numCache>
                <c:formatCode>#,##0</c:formatCode>
                <c:ptCount val="3"/>
                <c:pt idx="0">
                  <c:v>2</c:v>
                </c:pt>
                <c:pt idx="1">
                  <c:v>2.2999999999999998</c:v>
                </c:pt>
                <c:pt idx="2">
                  <c:v>6.5</c:v>
                </c:pt>
              </c:numCache>
            </c:numRef>
          </c:val>
          <c:extLst>
            <c:ext xmlns:c16="http://schemas.microsoft.com/office/drawing/2014/chart" uri="{C3380CC4-5D6E-409C-BE32-E72D297353CC}">
              <c16:uniqueId val="{00000009-3BA5-45F8-BD25-42F18B92777B}"/>
            </c:ext>
          </c:extLst>
        </c:ser>
        <c:ser>
          <c:idx val="7"/>
          <c:order val="7"/>
          <c:tx>
            <c:strRef>
              <c:f>Sheet1!$B$13</c:f>
              <c:strCache>
                <c:ptCount val="1"/>
                <c:pt idx="0">
                  <c:v>Beach Energy</c:v>
                </c:pt>
              </c:strCache>
            </c:strRef>
          </c:tx>
          <c:spPr>
            <a:solidFill>
              <a:srgbClr val="60307F"/>
            </a:solidFill>
            <a:ln>
              <a:noFill/>
            </a:ln>
            <a:effectLst/>
          </c:spPr>
          <c:invertIfNegative val="0"/>
          <c:dLbls>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BA5-45F8-BD25-42F18B9277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Sheet1!$C$13:$E$13</c:f>
              <c:numCache>
                <c:formatCode>#,##0</c:formatCode>
                <c:ptCount val="3"/>
                <c:pt idx="0">
                  <c:v>1</c:v>
                </c:pt>
                <c:pt idx="1">
                  <c:v>1.4</c:v>
                </c:pt>
                <c:pt idx="2">
                  <c:v>3</c:v>
                </c:pt>
              </c:numCache>
            </c:numRef>
          </c:val>
          <c:extLst>
            <c:ext xmlns:c16="http://schemas.microsoft.com/office/drawing/2014/chart" uri="{C3380CC4-5D6E-409C-BE32-E72D297353CC}">
              <c16:uniqueId val="{0000000B-3BA5-45F8-BD25-42F18B92777B}"/>
            </c:ext>
          </c:extLst>
        </c:ser>
        <c:ser>
          <c:idx val="8"/>
          <c:order val="8"/>
          <c:tx>
            <c:strRef>
              <c:f>Sheet1!$B$14</c:f>
              <c:strCache>
                <c:ptCount val="1"/>
                <c:pt idx="0">
                  <c:v>Westside</c:v>
                </c:pt>
              </c:strCache>
            </c:strRef>
          </c:tx>
          <c:spPr>
            <a:solidFill>
              <a:srgbClr val="F36A5A"/>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BA5-45F8-BD25-42F18B9277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Sheet1!$C$14:$E$14</c:f>
              <c:numCache>
                <c:formatCode>#,##0</c:formatCode>
                <c:ptCount val="3"/>
                <c:pt idx="0">
                  <c:v>4</c:v>
                </c:pt>
                <c:pt idx="1">
                  <c:v>1.1000000000000001</c:v>
                </c:pt>
                <c:pt idx="2">
                  <c:v>0.2</c:v>
                </c:pt>
              </c:numCache>
            </c:numRef>
          </c:val>
          <c:extLst>
            <c:ext xmlns:c16="http://schemas.microsoft.com/office/drawing/2014/chart" uri="{C3380CC4-5D6E-409C-BE32-E72D297353CC}">
              <c16:uniqueId val="{0000000D-3BA5-45F8-BD25-42F18B92777B}"/>
            </c:ext>
          </c:extLst>
        </c:ser>
        <c:ser>
          <c:idx val="9"/>
          <c:order val="9"/>
          <c:tx>
            <c:strRef>
              <c:f>Sheet1!$B$15</c:f>
              <c:strCache>
                <c:ptCount val="1"/>
                <c:pt idx="0">
                  <c:v>Mitcui</c:v>
                </c:pt>
              </c:strCache>
            </c:strRef>
          </c:tx>
          <c:spPr>
            <a:solidFill>
              <a:srgbClr val="FFB47B"/>
            </a:solidFill>
            <a:ln>
              <a:noFill/>
            </a:ln>
            <a:effectLst/>
          </c:spPr>
          <c:invertIfNegative val="0"/>
          <c:dLbls>
            <c:delete val="1"/>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Sheet1!$C$15:$E$15</c:f>
              <c:numCache>
                <c:formatCode>#,##0</c:formatCode>
                <c:ptCount val="3"/>
                <c:pt idx="0">
                  <c:v>0.3</c:v>
                </c:pt>
                <c:pt idx="1">
                  <c:v>1.7</c:v>
                </c:pt>
                <c:pt idx="2">
                  <c:v>1.6</c:v>
                </c:pt>
              </c:numCache>
            </c:numRef>
          </c:val>
          <c:extLst>
            <c:ext xmlns:c16="http://schemas.microsoft.com/office/drawing/2014/chart" uri="{C3380CC4-5D6E-409C-BE32-E72D297353CC}">
              <c16:uniqueId val="{0000000E-3BA5-45F8-BD25-42F18B92777B}"/>
            </c:ext>
          </c:extLst>
        </c:ser>
        <c:ser>
          <c:idx val="10"/>
          <c:order val="10"/>
          <c:tx>
            <c:strRef>
              <c:f>Sheet1!$B$16</c:f>
              <c:strCache>
                <c:ptCount val="1"/>
                <c:pt idx="0">
                  <c:v>Senex Energy</c:v>
                </c:pt>
              </c:strCache>
            </c:strRef>
          </c:tx>
          <c:spPr>
            <a:solidFill>
              <a:schemeClr val="accent1">
                <a:lumMod val="50000"/>
              </a:schemeClr>
            </a:solidFill>
            <a:ln>
              <a:noFill/>
            </a:ln>
            <a:effectLst/>
          </c:spPr>
          <c:invertIfNegative val="0"/>
          <c:dLbls>
            <c:delete val="1"/>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Sheet1!$C$16:$E$16</c:f>
              <c:numCache>
                <c:formatCode>#,##0</c:formatCode>
                <c:ptCount val="3"/>
                <c:pt idx="0">
                  <c:v>0</c:v>
                </c:pt>
                <c:pt idx="1">
                  <c:v>2.4</c:v>
                </c:pt>
                <c:pt idx="2">
                  <c:v>0.8</c:v>
                </c:pt>
              </c:numCache>
            </c:numRef>
          </c:val>
          <c:extLst>
            <c:ext xmlns:c16="http://schemas.microsoft.com/office/drawing/2014/chart" uri="{C3380CC4-5D6E-409C-BE32-E72D297353CC}">
              <c16:uniqueId val="{0000000F-3BA5-45F8-BD25-42F18B92777B}"/>
            </c:ext>
          </c:extLst>
        </c:ser>
        <c:ser>
          <c:idx val="11"/>
          <c:order val="11"/>
          <c:tx>
            <c:strRef>
              <c:f>Sheet1!$B$17</c:f>
              <c:strCache>
                <c:ptCount val="1"/>
                <c:pt idx="0">
                  <c:v>AGL</c:v>
                </c:pt>
              </c:strCache>
            </c:strRef>
          </c:tx>
          <c:spPr>
            <a:solidFill>
              <a:srgbClr val="C1D4E5"/>
            </a:solidFill>
            <a:ln>
              <a:noFill/>
            </a:ln>
            <a:effectLst/>
          </c:spPr>
          <c:invertIfNegative val="0"/>
          <c:dLbls>
            <c:delete val="1"/>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Sheet1!$C$17:$E$17</c:f>
              <c:numCache>
                <c:formatCode>#,##0</c:formatCode>
                <c:ptCount val="3"/>
                <c:pt idx="0">
                  <c:v>0.5</c:v>
                </c:pt>
                <c:pt idx="1">
                  <c:v>0.5</c:v>
                </c:pt>
                <c:pt idx="2">
                  <c:v>0.5</c:v>
                </c:pt>
              </c:numCache>
            </c:numRef>
          </c:val>
          <c:extLst>
            <c:ext xmlns:c16="http://schemas.microsoft.com/office/drawing/2014/chart" uri="{C3380CC4-5D6E-409C-BE32-E72D297353CC}">
              <c16:uniqueId val="{00000010-3BA5-45F8-BD25-42F18B92777B}"/>
            </c:ext>
          </c:extLst>
        </c:ser>
        <c:ser>
          <c:idx val="12"/>
          <c:order val="12"/>
          <c:tx>
            <c:strRef>
              <c:f>Sheet1!$B$18</c:f>
              <c:strCache>
                <c:ptCount val="1"/>
                <c:pt idx="0">
                  <c:v>Cooper Energy</c:v>
                </c:pt>
              </c:strCache>
            </c:strRef>
          </c:tx>
          <c:spPr>
            <a:solidFill>
              <a:srgbClr val="C00000"/>
            </a:solidFill>
            <a:ln>
              <a:noFill/>
            </a:ln>
            <a:effectLst/>
          </c:spPr>
          <c:invertIfNegative val="0"/>
          <c:dLbls>
            <c:delete val="1"/>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Sheet1!$C$18:$E$18</c:f>
              <c:numCache>
                <c:formatCode>#,##0</c:formatCode>
                <c:ptCount val="3"/>
                <c:pt idx="0">
                  <c:v>0.5</c:v>
                </c:pt>
                <c:pt idx="1">
                  <c:v>1</c:v>
                </c:pt>
                <c:pt idx="2">
                  <c:v>0.7</c:v>
                </c:pt>
              </c:numCache>
            </c:numRef>
          </c:val>
          <c:extLst>
            <c:ext xmlns:c16="http://schemas.microsoft.com/office/drawing/2014/chart" uri="{C3380CC4-5D6E-409C-BE32-E72D297353CC}">
              <c16:uniqueId val="{00000011-3BA5-45F8-BD25-42F18B92777B}"/>
            </c:ext>
          </c:extLst>
        </c:ser>
        <c:ser>
          <c:idx val="13"/>
          <c:order val="13"/>
          <c:tx>
            <c:strRef>
              <c:f>Sheet1!$B$19</c:f>
              <c:strCache>
                <c:ptCount val="1"/>
                <c:pt idx="0">
                  <c:v>Galilee Energy*</c:v>
                </c:pt>
              </c:strCache>
            </c:strRef>
          </c:tx>
          <c:spPr>
            <a:solidFill>
              <a:srgbClr val="92D05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2-3BA5-45F8-BD25-42F18B9277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Sheet1!$C$19:$E$19</c:f>
              <c:numCache>
                <c:formatCode>General</c:formatCode>
                <c:ptCount val="3"/>
                <c:pt idx="0" formatCode="#,##0">
                  <c:v>8</c:v>
                </c:pt>
                <c:pt idx="2" formatCode="#,##0">
                  <c:v>0</c:v>
                </c:pt>
              </c:numCache>
            </c:numRef>
          </c:val>
          <c:extLst>
            <c:ext xmlns:c16="http://schemas.microsoft.com/office/drawing/2014/chart" uri="{C3380CC4-5D6E-409C-BE32-E72D297353CC}">
              <c16:uniqueId val="{00000013-3BA5-45F8-BD25-42F18B92777B}"/>
            </c:ext>
          </c:extLst>
        </c:ser>
        <c:ser>
          <c:idx val="14"/>
          <c:order val="14"/>
          <c:tx>
            <c:strRef>
              <c:f>Sheet1!$B$20</c:f>
              <c:strCache>
                <c:ptCount val="1"/>
                <c:pt idx="0">
                  <c:v>Falcon Oil &amp; Gas*</c:v>
                </c:pt>
              </c:strCache>
            </c:strRef>
          </c:tx>
          <c:spPr>
            <a:solidFill>
              <a:schemeClr val="accent6">
                <a:lumMod val="75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4-3BA5-45F8-BD25-42F18B9277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Sheet1!$C$20:$E$20</c:f>
              <c:numCache>
                <c:formatCode>General</c:formatCode>
                <c:ptCount val="3"/>
                <c:pt idx="0" formatCode="#,##0">
                  <c:v>4</c:v>
                </c:pt>
                <c:pt idx="2" formatCode="#,##0">
                  <c:v>0</c:v>
                </c:pt>
              </c:numCache>
            </c:numRef>
          </c:val>
          <c:extLst>
            <c:ext xmlns:c16="http://schemas.microsoft.com/office/drawing/2014/chart" uri="{C3380CC4-5D6E-409C-BE32-E72D297353CC}">
              <c16:uniqueId val="{00000015-3BA5-45F8-BD25-42F18B92777B}"/>
            </c:ext>
          </c:extLst>
        </c:ser>
        <c:ser>
          <c:idx val="15"/>
          <c:order val="15"/>
          <c:tx>
            <c:strRef>
              <c:f>Sheet1!$B$21</c:f>
              <c:strCache>
                <c:ptCount val="1"/>
                <c:pt idx="0">
                  <c:v>Blue Energy*</c:v>
                </c:pt>
              </c:strCache>
            </c:strRef>
          </c:tx>
          <c:spPr>
            <a:solidFill>
              <a:schemeClr val="bg2">
                <a:lumMod val="7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6-3BA5-45F8-BD25-42F18B92777B}"/>
                </c:ext>
              </c:extLst>
            </c:dLbl>
            <c:dLbl>
              <c:idx val="2"/>
              <c:delete val="1"/>
              <c:extLst>
                <c:ext xmlns:c15="http://schemas.microsoft.com/office/drawing/2012/chart" uri="{CE6537A1-D6FC-4f65-9D91-7224C49458BB}"/>
                <c:ext xmlns:c16="http://schemas.microsoft.com/office/drawing/2014/chart" uri="{C3380CC4-5D6E-409C-BE32-E72D297353CC}">
                  <c16:uniqueId val="{00000017-3BA5-45F8-BD25-42F18B9277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Sheet1!$C$21:$E$21</c:f>
              <c:numCache>
                <c:formatCode>#,##0</c:formatCode>
                <c:ptCount val="3"/>
                <c:pt idx="0">
                  <c:v>3</c:v>
                </c:pt>
                <c:pt idx="1">
                  <c:v>0.2</c:v>
                </c:pt>
                <c:pt idx="2">
                  <c:v>0</c:v>
                </c:pt>
              </c:numCache>
            </c:numRef>
          </c:val>
          <c:extLst>
            <c:ext xmlns:c16="http://schemas.microsoft.com/office/drawing/2014/chart" uri="{C3380CC4-5D6E-409C-BE32-E72D297353CC}">
              <c16:uniqueId val="{00000018-3BA5-45F8-BD25-42F18B92777B}"/>
            </c:ext>
          </c:extLst>
        </c:ser>
        <c:ser>
          <c:idx val="16"/>
          <c:order val="16"/>
          <c:tx>
            <c:strRef>
              <c:f>Sheet1!$B$22</c:f>
              <c:strCache>
                <c:ptCount val="1"/>
                <c:pt idx="0">
                  <c:v>Comet Ridge</c:v>
                </c:pt>
              </c:strCache>
            </c:strRef>
          </c:tx>
          <c:spPr>
            <a:solidFill>
              <a:schemeClr val="accent2">
                <a:lumMod val="75000"/>
              </a:schemeClr>
            </a:solidFill>
            <a:ln>
              <a:noFill/>
            </a:ln>
            <a:effectLst/>
          </c:spPr>
          <c:invertIfNegative val="0"/>
          <c:dLbls>
            <c:delete val="1"/>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Sheet1!$C$22:$E$22</c:f>
              <c:numCache>
                <c:formatCode>#,##0</c:formatCode>
                <c:ptCount val="3"/>
                <c:pt idx="0">
                  <c:v>0.5</c:v>
                </c:pt>
                <c:pt idx="1">
                  <c:v>0.5</c:v>
                </c:pt>
                <c:pt idx="2">
                  <c:v>0</c:v>
                </c:pt>
              </c:numCache>
            </c:numRef>
          </c:val>
          <c:extLst>
            <c:ext xmlns:c16="http://schemas.microsoft.com/office/drawing/2014/chart" uri="{C3380CC4-5D6E-409C-BE32-E72D297353CC}">
              <c16:uniqueId val="{00000019-3BA5-45F8-BD25-42F18B92777B}"/>
            </c:ext>
          </c:extLst>
        </c:ser>
        <c:ser>
          <c:idx val="17"/>
          <c:order val="17"/>
          <c:tx>
            <c:strRef>
              <c:f>Sheet1!$B$23</c:f>
              <c:strCache>
                <c:ptCount val="1"/>
                <c:pt idx="0">
                  <c:v>Other</c:v>
                </c:pt>
              </c:strCache>
            </c:strRef>
          </c:tx>
          <c:spPr>
            <a:solidFill>
              <a:schemeClr val="tx1">
                <a:lumMod val="50000"/>
                <a:lumOff val="50000"/>
              </a:scheme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BA5-45F8-BD25-42F18B9277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Sheet1!$C$4:$E$5</c:f>
              <c:multiLvlStrCache>
                <c:ptCount val="3"/>
                <c:lvl>
                  <c:pt idx="0">
                    <c:v>2C Resources</c:v>
                  </c:pt>
                  <c:pt idx="1">
                    <c:v>2P Reserves</c:v>
                  </c:pt>
                  <c:pt idx="2">
                    <c:v>Production</c:v>
                  </c:pt>
                </c:lvl>
                <c:lvl>
                  <c:pt idx="0">
                    <c:v>(40 suppliers)</c:v>
                  </c:pt>
                  <c:pt idx="1">
                    <c:v>(24 suppliers)</c:v>
                  </c:pt>
                  <c:pt idx="2">
                    <c:v>(21 suppliers)</c:v>
                  </c:pt>
                </c:lvl>
              </c:multiLvlStrCache>
            </c:multiLvlStrRef>
          </c:cat>
          <c:val>
            <c:numRef>
              <c:f>Sheet1!$C$23:$E$23</c:f>
              <c:numCache>
                <c:formatCode>#,##0</c:formatCode>
                <c:ptCount val="3"/>
                <c:pt idx="0">
                  <c:v>9.1999999999999993</c:v>
                </c:pt>
                <c:pt idx="1">
                  <c:v>2.4</c:v>
                </c:pt>
                <c:pt idx="2">
                  <c:v>1.7</c:v>
                </c:pt>
              </c:numCache>
            </c:numRef>
          </c:val>
          <c:extLst>
            <c:ext xmlns:c16="http://schemas.microsoft.com/office/drawing/2014/chart" uri="{C3380CC4-5D6E-409C-BE32-E72D297353CC}">
              <c16:uniqueId val="{0000001B-3BA5-45F8-BD25-42F18B92777B}"/>
            </c:ext>
          </c:extLst>
        </c:ser>
        <c:dLbls>
          <c:dLblPos val="ctr"/>
          <c:showLegendKey val="0"/>
          <c:showVal val="1"/>
          <c:showCatName val="0"/>
          <c:showSerName val="0"/>
          <c:showPercent val="0"/>
          <c:showBubbleSize val="0"/>
        </c:dLbls>
        <c:gapWidth val="40"/>
        <c:overlap val="100"/>
        <c:axId val="456407104"/>
        <c:axId val="444016768"/>
      </c:barChart>
      <c:catAx>
        <c:axId val="456407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016768"/>
        <c:crosses val="autoZero"/>
        <c:auto val="1"/>
        <c:lblAlgn val="ctr"/>
        <c:lblOffset val="100"/>
        <c:noMultiLvlLbl val="0"/>
      </c:catAx>
      <c:valAx>
        <c:axId val="4440167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407104"/>
        <c:crosses val="autoZero"/>
        <c:crossBetween val="between"/>
      </c:valAx>
      <c:spPr>
        <a:noFill/>
        <a:ln>
          <a:noFill/>
        </a:ln>
        <a:effectLst/>
      </c:spPr>
    </c:plotArea>
    <c:legend>
      <c:legendPos val="b"/>
      <c:layout>
        <c:manualLayout>
          <c:xMode val="edge"/>
          <c:yMode val="edge"/>
          <c:x val="5.4835758844652617E-2"/>
          <c:y val="0.78076644337368273"/>
          <c:w val="0.92495008222485153"/>
          <c:h val="0.201592921220668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69740008913978"/>
          <c:y val="5.1825677267373381E-2"/>
          <c:w val="0.44187764076660235"/>
          <c:h val="0.7954913724019792"/>
        </c:manualLayout>
      </c:layout>
      <c:barChart>
        <c:barDir val="bar"/>
        <c:grouping val="clustered"/>
        <c:varyColors val="0"/>
        <c:ser>
          <c:idx val="0"/>
          <c:order val="0"/>
          <c:spPr>
            <a:solidFill>
              <a:srgbClr val="005CAF"/>
            </a:solidFill>
            <a:ln>
              <a:noFill/>
            </a:ln>
            <a:effectLst/>
          </c:spPr>
          <c:invertIfNegative val="0"/>
          <c:cat>
            <c:strRef>
              <c:f>'6.2'!$B$6:$B$22</c:f>
              <c:strCache>
                <c:ptCount val="17"/>
                <c:pt idx="0">
                  <c:v>Victoria to NSW Interconnector (to South)</c:v>
                </c:pt>
                <c:pt idx="1">
                  <c:v>Victoria to NSW Interconnector (to North)</c:v>
                </c:pt>
                <c:pt idx="2">
                  <c:v>South West Queensland Pipeline (to West)</c:v>
                </c:pt>
                <c:pt idx="3">
                  <c:v>South West Queensland Pipeline (to East)</c:v>
                </c:pt>
                <c:pt idx="4">
                  <c:v>South West Queensland Pipeline (to East with compression)</c:v>
                </c:pt>
                <c:pt idx="5">
                  <c:v>South West Pipeline (to East)</c:v>
                </c:pt>
                <c:pt idx="6">
                  <c:v>South West Pipeline (to West)</c:v>
                </c:pt>
                <c:pt idx="7">
                  <c:v>South Eastern Australia (SEA) (to West)</c:v>
                </c:pt>
                <c:pt idx="8">
                  <c:v>Northern Gas Pipeline (NGP)</c:v>
                </c:pt>
                <c:pt idx="9">
                  <c:v>Moomba Sydney Pipeline (Moomba to Wilton or Wilton to Moomba)</c:v>
                </c:pt>
                <c:pt idx="10">
                  <c:v>Moomba Sydney Pipeline (Culcairn to Wilton)</c:v>
                </c:pt>
                <c:pt idx="11">
                  <c:v>Moomba to Adelaide Pipeline (both directions)</c:v>
                </c:pt>
                <c:pt idx="12">
                  <c:v>Longford to Melbourne Pipeline (to West)</c:v>
                </c:pt>
                <c:pt idx="13">
                  <c:v>Eastern Gas Pipeline (to North)</c:v>
                </c:pt>
                <c:pt idx="14">
                  <c:v>Carpentaria Gas Pipeline (South)</c:v>
                </c:pt>
                <c:pt idx="15">
                  <c:v>Bonaparte Gas Pipeline</c:v>
                </c:pt>
                <c:pt idx="16">
                  <c:v>Amadeus Gas Pipeline</c:v>
                </c:pt>
              </c:strCache>
            </c:strRef>
          </c:cat>
          <c:val>
            <c:numRef>
              <c:f>'6.2'!$C$6:$C$22</c:f>
              <c:numCache>
                <c:formatCode>#,##0.00</c:formatCode>
                <c:ptCount val="17"/>
                <c:pt idx="0">
                  <c:v>1.5545</c:v>
                </c:pt>
                <c:pt idx="1">
                  <c:v>0.99199999999999999</c:v>
                </c:pt>
                <c:pt idx="2">
                  <c:v>1.4609000000000001</c:v>
                </c:pt>
                <c:pt idx="3">
                  <c:v>1.4609000000000001</c:v>
                </c:pt>
                <c:pt idx="4">
                  <c:v>1.7043999999999999</c:v>
                </c:pt>
                <c:pt idx="5">
                  <c:v>2.2995999999999999</c:v>
                </c:pt>
                <c:pt idx="6">
                  <c:v>2.3099999999999999E-2</c:v>
                </c:pt>
                <c:pt idx="7">
                  <c:v>1.0728599999999999</c:v>
                </c:pt>
                <c:pt idx="8">
                  <c:v>1.7874000000000001</c:v>
                </c:pt>
                <c:pt idx="9">
                  <c:v>1.3391</c:v>
                </c:pt>
                <c:pt idx="10">
                  <c:v>0.5</c:v>
                </c:pt>
                <c:pt idx="11">
                  <c:v>0.89910000000000001</c:v>
                </c:pt>
                <c:pt idx="12">
                  <c:v>2.3620999999999999</c:v>
                </c:pt>
                <c:pt idx="13">
                  <c:v>1.5466</c:v>
                </c:pt>
                <c:pt idx="14">
                  <c:v>1.2746999999999999</c:v>
                </c:pt>
                <c:pt idx="15">
                  <c:v>0.77080000000000004</c:v>
                </c:pt>
                <c:pt idx="16">
                  <c:v>0.36199999999999999</c:v>
                </c:pt>
              </c:numCache>
            </c:numRef>
          </c:val>
          <c:extLst>
            <c:ext xmlns:c16="http://schemas.microsoft.com/office/drawing/2014/chart" uri="{C3380CC4-5D6E-409C-BE32-E72D297353CC}">
              <c16:uniqueId val="{00000000-F452-4C19-BB92-6320D51E9CB8}"/>
            </c:ext>
          </c:extLst>
        </c:ser>
        <c:dLbls>
          <c:showLegendKey val="0"/>
          <c:showVal val="0"/>
          <c:showCatName val="0"/>
          <c:showSerName val="0"/>
          <c:showPercent val="0"/>
          <c:showBubbleSize val="0"/>
        </c:dLbls>
        <c:gapWidth val="182"/>
        <c:axId val="123416496"/>
        <c:axId val="117909008"/>
      </c:barChart>
      <c:catAx>
        <c:axId val="123416496"/>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800" b="0" i="0" u="none" strike="noStrike" kern="1200" baseline="0">
                <a:solidFill>
                  <a:srgbClr val="595A5B"/>
                </a:solidFill>
                <a:latin typeface="Arial"/>
                <a:ea typeface="Arial"/>
                <a:cs typeface="Arial"/>
              </a:defRPr>
            </a:pPr>
            <a:endParaRPr lang="en-US"/>
          </a:p>
        </c:txPr>
        <c:crossAx val="117909008"/>
        <c:crosses val="autoZero"/>
        <c:auto val="1"/>
        <c:lblAlgn val="ctr"/>
        <c:lblOffset val="100"/>
        <c:noMultiLvlLbl val="0"/>
      </c:catAx>
      <c:valAx>
        <c:axId val="117909008"/>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$/GJ</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23416496"/>
        <c:crosses val="autoZero"/>
        <c:crossBetween val="between"/>
        <c:majorUnit val="1"/>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32595453870159E-2"/>
          <c:y val="2.8879536609647934E-2"/>
          <c:w val="0.79279655326103093"/>
          <c:h val="0.7525839442483484"/>
        </c:manualLayout>
      </c:layout>
      <c:lineChart>
        <c:grouping val="standard"/>
        <c:varyColors val="0"/>
        <c:ser>
          <c:idx val="0"/>
          <c:order val="0"/>
          <c:tx>
            <c:strRef>
              <c:f>'[Future Gas Strategy Workbook.xlsx]7.1'!$D$23</c:f>
              <c:strCache>
                <c:ptCount val="1"/>
                <c:pt idx="0">
                  <c:v>Weighted average domestic gas contract prices (LHS)</c:v>
                </c:pt>
              </c:strCache>
            </c:strRef>
          </c:tx>
          <c:spPr>
            <a:ln w="28575" cap="rnd" cmpd="sng" algn="ctr">
              <a:solidFill>
                <a:srgbClr val="005CAF"/>
              </a:solidFill>
              <a:prstDash val="solid"/>
              <a:round/>
              <a:headEnd type="none" w="med" len="med"/>
              <a:tailEnd type="none" w="med" len="med"/>
            </a:ln>
            <a:effectLst/>
          </c:spPr>
          <c:marker>
            <c:symbol val="none"/>
          </c:marker>
          <c:cat>
            <c:numRef>
              <c:f>'[Future Gas Strategy Workbook.xlsx]7.1'!$B$24:$B$61</c:f>
              <c:numCache>
                <c:formatCode>General</c:formatCode>
                <c:ptCount val="38"/>
                <c:pt idx="0">
                  <c:v>2014</c:v>
                </c:pt>
                <c:pt idx="4">
                  <c:v>2015</c:v>
                </c:pt>
                <c:pt idx="8">
                  <c:v>2016</c:v>
                </c:pt>
                <c:pt idx="12">
                  <c:v>2017</c:v>
                </c:pt>
                <c:pt idx="16">
                  <c:v>2018</c:v>
                </c:pt>
                <c:pt idx="20">
                  <c:v>2019</c:v>
                </c:pt>
                <c:pt idx="24">
                  <c:v>2020</c:v>
                </c:pt>
                <c:pt idx="28">
                  <c:v>2021</c:v>
                </c:pt>
                <c:pt idx="32">
                  <c:v>2022</c:v>
                </c:pt>
                <c:pt idx="36">
                  <c:v>2023</c:v>
                </c:pt>
              </c:numCache>
            </c:numRef>
          </c:cat>
          <c:val>
            <c:numRef>
              <c:f>'[Future Gas Strategy Workbook.xlsx]7.1'!$D$24:$D$61</c:f>
              <c:numCache>
                <c:formatCode>_(* #,##0.00_);_(* \(#,##0.00\);_(* "-"??_);_(@_)</c:formatCode>
                <c:ptCount val="38"/>
                <c:pt idx="0">
                  <c:v>4.7392504448316117</c:v>
                </c:pt>
                <c:pt idx="1">
                  <c:v>5.0433378308814776</c:v>
                </c:pt>
                <c:pt idx="2">
                  <c:v>4.8887781628142477</c:v>
                </c:pt>
                <c:pt idx="3">
                  <c:v>4.8480040103555151</c:v>
                </c:pt>
                <c:pt idx="4">
                  <c:v>4.8461122505566507</c:v>
                </c:pt>
                <c:pt idx="5">
                  <c:v>4.8089078565611905</c:v>
                </c:pt>
                <c:pt idx="6">
                  <c:v>4.9058702326383257</c:v>
                </c:pt>
                <c:pt idx="7">
                  <c:v>4.9922471050309447</c:v>
                </c:pt>
                <c:pt idx="8">
                  <c:v>4.7962849976450572</c:v>
                </c:pt>
                <c:pt idx="9">
                  <c:v>4.9882530946104087</c:v>
                </c:pt>
                <c:pt idx="10">
                  <c:v>5.1201845581818892</c:v>
                </c:pt>
                <c:pt idx="11">
                  <c:v>5.0110003721964036</c:v>
                </c:pt>
                <c:pt idx="12">
                  <c:v>4.881795587208539</c:v>
                </c:pt>
                <c:pt idx="13">
                  <c:v>4.8539386926407211</c:v>
                </c:pt>
                <c:pt idx="14">
                  <c:v>4.7743778602867373</c:v>
                </c:pt>
                <c:pt idx="15">
                  <c:v>4.1318142396629609</c:v>
                </c:pt>
                <c:pt idx="16">
                  <c:v>4.1019880939561659</c:v>
                </c:pt>
                <c:pt idx="17">
                  <c:v>4.1110339992410294</c:v>
                </c:pt>
                <c:pt idx="18">
                  <c:v>4.202881094872188</c:v>
                </c:pt>
                <c:pt idx="19">
                  <c:v>3.484938028399605</c:v>
                </c:pt>
                <c:pt idx="20">
                  <c:v>3.4614741875607757</c:v>
                </c:pt>
                <c:pt idx="21">
                  <c:v>3.3878284935284961</c:v>
                </c:pt>
                <c:pt idx="22">
                  <c:v>3.6244242673681462</c:v>
                </c:pt>
                <c:pt idx="23">
                  <c:v>3.5179169411148616</c:v>
                </c:pt>
                <c:pt idx="24">
                  <c:v>3.6234776881109747</c:v>
                </c:pt>
                <c:pt idx="25">
                  <c:v>3.5588079664023371</c:v>
                </c:pt>
                <c:pt idx="26">
                  <c:v>2.8655108097006736</c:v>
                </c:pt>
                <c:pt idx="27">
                  <c:v>4.3576531747173455</c:v>
                </c:pt>
                <c:pt idx="28">
                  <c:v>4.7188855471186928</c:v>
                </c:pt>
                <c:pt idx="29">
                  <c:v>4.9788487741406335</c:v>
                </c:pt>
                <c:pt idx="30">
                  <c:v>5.4408106794633175</c:v>
                </c:pt>
                <c:pt idx="31">
                  <c:v>5.3548558853034658</c:v>
                </c:pt>
                <c:pt idx="32">
                  <c:v>5.4454401060064015</c:v>
                </c:pt>
                <c:pt idx="33">
                  <c:v>5.2529156182545051</c:v>
                </c:pt>
                <c:pt idx="34">
                  <c:v>5.0809014271709643</c:v>
                </c:pt>
                <c:pt idx="35">
                  <c:v>6.0688107089564918</c:v>
                </c:pt>
                <c:pt idx="36">
                  <c:v>7.3466723482366065</c:v>
                </c:pt>
                <c:pt idx="37">
                  <c:v>6.6462925609521823</c:v>
                </c:pt>
              </c:numCache>
            </c:numRef>
          </c:val>
          <c:smooth val="0"/>
          <c:extLst>
            <c:ext xmlns:c16="http://schemas.microsoft.com/office/drawing/2014/chart" uri="{C3380CC4-5D6E-409C-BE32-E72D297353CC}">
              <c16:uniqueId val="{00000000-54A1-447E-B9D3-5A58A8720031}"/>
            </c:ext>
          </c:extLst>
        </c:ser>
        <c:dLbls>
          <c:showLegendKey val="0"/>
          <c:showVal val="0"/>
          <c:showCatName val="0"/>
          <c:showSerName val="0"/>
          <c:showPercent val="0"/>
          <c:showBubbleSize val="0"/>
        </c:dLbls>
        <c:marker val="1"/>
        <c:smooth val="0"/>
        <c:axId val="513478864"/>
        <c:axId val="513484112"/>
      </c:lineChart>
      <c:lineChart>
        <c:grouping val="standard"/>
        <c:varyColors val="0"/>
        <c:ser>
          <c:idx val="1"/>
          <c:order val="1"/>
          <c:tx>
            <c:strRef>
              <c:f>'[Future Gas Strategy Workbook.xlsx]7.1'!$E$23</c:f>
              <c:strCache>
                <c:ptCount val="1"/>
                <c:pt idx="0">
                  <c:v>ABS PPI gas extraction (RHS)</c:v>
                </c:pt>
              </c:strCache>
            </c:strRef>
          </c:tx>
          <c:spPr>
            <a:ln w="28575" cap="rnd" cmpd="sng" algn="ctr">
              <a:solidFill>
                <a:srgbClr val="56B4DF"/>
              </a:solidFill>
              <a:prstDash val="solid"/>
              <a:round/>
              <a:headEnd type="none" w="med" len="med"/>
              <a:tailEnd type="none" w="med" len="med"/>
            </a:ln>
            <a:effectLst/>
          </c:spPr>
          <c:marker>
            <c:symbol val="none"/>
          </c:marker>
          <c:cat>
            <c:numRef>
              <c:f>'[Future Gas Strategy Workbook.xlsx]7.1'!$B$24:$B$57</c:f>
              <c:numCache>
                <c:formatCode>General</c:formatCode>
                <c:ptCount val="34"/>
                <c:pt idx="0">
                  <c:v>2014</c:v>
                </c:pt>
                <c:pt idx="4">
                  <c:v>2015</c:v>
                </c:pt>
                <c:pt idx="8">
                  <c:v>2016</c:v>
                </c:pt>
                <c:pt idx="12">
                  <c:v>2017</c:v>
                </c:pt>
                <c:pt idx="16">
                  <c:v>2018</c:v>
                </c:pt>
                <c:pt idx="20">
                  <c:v>2019</c:v>
                </c:pt>
                <c:pt idx="24">
                  <c:v>2020</c:v>
                </c:pt>
                <c:pt idx="28">
                  <c:v>2021</c:v>
                </c:pt>
                <c:pt idx="32">
                  <c:v>2022</c:v>
                </c:pt>
              </c:numCache>
            </c:numRef>
          </c:cat>
          <c:val>
            <c:numRef>
              <c:f>'[Future Gas Strategy Workbook.xlsx]7.1'!$E$24:$E$61</c:f>
              <c:numCache>
                <c:formatCode>General</c:formatCode>
                <c:ptCount val="38"/>
                <c:pt idx="6" formatCode="_(* #,##0.00_);_(* \(#,##0.00\);_(* &quot;-&quot;??_);_(@_)">
                  <c:v>101.4</c:v>
                </c:pt>
                <c:pt idx="7" formatCode="_(* #,##0.00_);_(* \(#,##0.00\);_(* &quot;-&quot;??_);_(@_)">
                  <c:v>100.8</c:v>
                </c:pt>
                <c:pt idx="8" formatCode="_(* #,##0.00_);_(* \(#,##0.00\);_(* &quot;-&quot;??_);_(@_)">
                  <c:v>100.8</c:v>
                </c:pt>
                <c:pt idx="9" formatCode="_(* #,##0.00_);_(* \(#,##0.00\);_(* &quot;-&quot;??_);_(@_)">
                  <c:v>97</c:v>
                </c:pt>
                <c:pt idx="10" formatCode="_(* #,##0.00_);_(* \(#,##0.00\);_(* &quot;-&quot;??_);_(@_)">
                  <c:v>94.1</c:v>
                </c:pt>
                <c:pt idx="11" formatCode="_(* #,##0.00_);_(* \(#,##0.00\);_(* &quot;-&quot;??_);_(@_)">
                  <c:v>89.1</c:v>
                </c:pt>
                <c:pt idx="12" formatCode="_(* #,##0.00_);_(* \(#,##0.00\);_(* &quot;-&quot;??_);_(@_)">
                  <c:v>82</c:v>
                </c:pt>
                <c:pt idx="13" formatCode="_(* #,##0.00_);_(* \(#,##0.00\);_(* &quot;-&quot;??_);_(@_)">
                  <c:v>84.7</c:v>
                </c:pt>
                <c:pt idx="14" formatCode="_(* #,##0.00_);_(* \(#,##0.00\);_(* &quot;-&quot;??_);_(@_)">
                  <c:v>86.3</c:v>
                </c:pt>
                <c:pt idx="15" formatCode="_(* #,##0.00_);_(* \(#,##0.00\);_(* &quot;-&quot;??_);_(@_)">
                  <c:v>79.5</c:v>
                </c:pt>
                <c:pt idx="16" formatCode="_(* #,##0.00_);_(* \(#,##0.00\);_(* &quot;-&quot;??_);_(@_)">
                  <c:v>81.599999999999994</c:v>
                </c:pt>
                <c:pt idx="17" formatCode="_(* #,##0.00_);_(* \(#,##0.00\);_(* &quot;-&quot;??_);_(@_)">
                  <c:v>75.7</c:v>
                </c:pt>
                <c:pt idx="18" formatCode="_(* #,##0.00_);_(* \(#,##0.00\);_(* &quot;-&quot;??_);_(@_)">
                  <c:v>79.099999999999994</c:v>
                </c:pt>
                <c:pt idx="19" formatCode="_(* #,##0.00_);_(* \(#,##0.00\);_(* &quot;-&quot;??_);_(@_)">
                  <c:v>77.3</c:v>
                </c:pt>
                <c:pt idx="20" formatCode="_(* #,##0.00_);_(* \(#,##0.00\);_(* &quot;-&quot;??_);_(@_)">
                  <c:v>76.2</c:v>
                </c:pt>
                <c:pt idx="21" formatCode="_(* #,##0.00_);_(* \(#,##0.00\);_(* &quot;-&quot;??_);_(@_)">
                  <c:v>77.599999999999994</c:v>
                </c:pt>
                <c:pt idx="22" formatCode="_(* #,##0.00_);_(* \(#,##0.00\);_(* &quot;-&quot;??_);_(@_)">
                  <c:v>79.099999999999994</c:v>
                </c:pt>
                <c:pt idx="23" formatCode="_(* #,##0.00_);_(* \(#,##0.00\);_(* &quot;-&quot;??_);_(@_)">
                  <c:v>77.7</c:v>
                </c:pt>
                <c:pt idx="24" formatCode="_(* #,##0.00_);_(* \(#,##0.00\);_(* &quot;-&quot;??_);_(@_)">
                  <c:v>78.2</c:v>
                </c:pt>
                <c:pt idx="25" formatCode="_(* #,##0.00_);_(* \(#,##0.00\);_(* &quot;-&quot;??_);_(@_)">
                  <c:v>80.099999999999994</c:v>
                </c:pt>
                <c:pt idx="26" formatCode="_(* #,##0.00_);_(* \(#,##0.00\);_(* &quot;-&quot;??_);_(@_)">
                  <c:v>72.7</c:v>
                </c:pt>
                <c:pt idx="27" formatCode="_(* #,##0.00_);_(* \(#,##0.00\);_(* &quot;-&quot;??_);_(@_)">
                  <c:v>73.5</c:v>
                </c:pt>
                <c:pt idx="28" formatCode="_(* #,##0.00_);_(* \(#,##0.00\);_(* &quot;-&quot;??_);_(@_)">
                  <c:v>73.7</c:v>
                </c:pt>
                <c:pt idx="29" formatCode="_(* #,##0.00_);_(* \(#,##0.00\);_(* &quot;-&quot;??_);_(@_)">
                  <c:v>74.3</c:v>
                </c:pt>
                <c:pt idx="30" formatCode="_(* #,##0.00_);_(* \(#,##0.00\);_(* &quot;-&quot;??_);_(@_)">
                  <c:v>77.8</c:v>
                </c:pt>
                <c:pt idx="31" formatCode="_(* #,##0.00_);_(* \(#,##0.00\);_(* &quot;-&quot;??_);_(@_)">
                  <c:v>75.5</c:v>
                </c:pt>
                <c:pt idx="32" formatCode="_(* #,##0.00_);_(* \(#,##0.00\);_(* &quot;-&quot;??_);_(@_)">
                  <c:v>75.8</c:v>
                </c:pt>
                <c:pt idx="33" formatCode="_(* #,##0.00_);_(* \(#,##0.00\);_(* &quot;-&quot;??_);_(@_)">
                  <c:v>78</c:v>
                </c:pt>
                <c:pt idx="34" formatCode="_(* #,##0.00_);_(* \(#,##0.00\);_(* &quot;-&quot;??_);_(@_)">
                  <c:v>79.900000000000006</c:v>
                </c:pt>
                <c:pt idx="35" formatCode="_(* #,##0.00_);_(* \(#,##0.00\);_(* &quot;-&quot;??_);_(@_)">
                  <c:v>84.4</c:v>
                </c:pt>
                <c:pt idx="36" formatCode="_(* #,##0.00_);_(* \(#,##0.00\);_(* &quot;-&quot;??_);_(@_)">
                  <c:v>77.3</c:v>
                </c:pt>
                <c:pt idx="37" formatCode="_(* #,##0.00_);_(* \(#,##0.00\);_(* &quot;-&quot;??_);_(@_)">
                  <c:v>78.3</c:v>
                </c:pt>
              </c:numCache>
            </c:numRef>
          </c:val>
          <c:smooth val="0"/>
          <c:extLst>
            <c:ext xmlns:c16="http://schemas.microsoft.com/office/drawing/2014/chart" uri="{C3380CC4-5D6E-409C-BE32-E72D297353CC}">
              <c16:uniqueId val="{00000001-54A1-447E-B9D3-5A58A8720031}"/>
            </c:ext>
          </c:extLst>
        </c:ser>
        <c:dLbls>
          <c:showLegendKey val="0"/>
          <c:showVal val="0"/>
          <c:showCatName val="0"/>
          <c:showSerName val="0"/>
          <c:showPercent val="0"/>
          <c:showBubbleSize val="0"/>
        </c:dLbls>
        <c:marker val="1"/>
        <c:smooth val="0"/>
        <c:axId val="455259864"/>
        <c:axId val="455267080"/>
      </c:lineChart>
      <c:catAx>
        <c:axId val="513478864"/>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13484112"/>
        <c:crosses val="autoZero"/>
        <c:auto val="1"/>
        <c:lblAlgn val="ctr"/>
        <c:lblOffset val="100"/>
        <c:tickMarkSkip val="4"/>
        <c:noMultiLvlLbl val="0"/>
      </c:catAx>
      <c:valAx>
        <c:axId val="51348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r>
                  <a:rPr lang="en-US"/>
                  <a:t>Gas price ($/GJ, nominal)</a:t>
                </a:r>
              </a:p>
            </c:rich>
          </c:tx>
          <c:layout>
            <c:manualLayout>
              <c:xMode val="edge"/>
              <c:yMode val="edge"/>
              <c:x val="6.3643882646691637E-3"/>
              <c:y val="0.12520955843304785"/>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13478864"/>
        <c:crosses val="autoZero"/>
        <c:crossBetween val="between"/>
      </c:valAx>
      <c:valAx>
        <c:axId val="455267080"/>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ABS PPI</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455259864"/>
        <c:crosses val="max"/>
        <c:crossBetween val="between"/>
        <c:majorUnit val="15"/>
      </c:valAx>
      <c:catAx>
        <c:axId val="455259864"/>
        <c:scaling>
          <c:orientation val="minMax"/>
        </c:scaling>
        <c:delete val="1"/>
        <c:axPos val="b"/>
        <c:numFmt formatCode="General" sourceLinked="1"/>
        <c:majorTickMark val="out"/>
        <c:minorTickMark val="none"/>
        <c:tickLblPos val="nextTo"/>
        <c:crossAx val="455267080"/>
        <c:crosses val="autoZero"/>
        <c:auto val="1"/>
        <c:lblAlgn val="ctr"/>
        <c:lblOffset val="100"/>
        <c:noMultiLvlLbl val="0"/>
      </c:catAx>
      <c:spPr>
        <a:noFill/>
        <a:ln w="25400">
          <a:noFill/>
        </a:ln>
        <a:effectLst/>
      </c:spPr>
    </c:plotArea>
    <c:legend>
      <c:legendPos val="b"/>
      <c:layout>
        <c:manualLayout>
          <c:xMode val="edge"/>
          <c:yMode val="edge"/>
          <c:x val="8.9978482419427311E-2"/>
          <c:y val="0.87296271155760707"/>
          <c:w val="0.83796571088991245"/>
          <c:h val="0.1233644204649299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extLst/>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userShapes r:id="rId5"/>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20175308275148E-2"/>
          <c:y val="4.5431811980251875E-2"/>
          <c:w val="0.90994907146040704"/>
          <c:h val="0.76033580639965126"/>
        </c:manualLayout>
      </c:layout>
      <c:barChart>
        <c:barDir val="col"/>
        <c:grouping val="stacked"/>
        <c:varyColors val="0"/>
        <c:ser>
          <c:idx val="0"/>
          <c:order val="0"/>
          <c:tx>
            <c:strRef>
              <c:f>'Figure 6.4'!$B$11</c:f>
              <c:strCache>
                <c:ptCount val="1"/>
                <c:pt idx="0">
                  <c:v>Wholesale </c:v>
                </c:pt>
              </c:strCache>
            </c:strRef>
          </c:tx>
          <c:spPr>
            <a:solidFill>
              <a:srgbClr val="005CAF"/>
            </a:solidFill>
            <a:ln>
              <a:noFill/>
            </a:ln>
            <a:effectLst/>
          </c:spPr>
          <c:invertIfNegative val="0"/>
          <c:dLbls>
            <c:dLbl>
              <c:idx val="0"/>
              <c:tx>
                <c:rich>
                  <a:bodyPr/>
                  <a:lstStyle/>
                  <a:p>
                    <a:fld id="{E129C1AA-8CB4-45CC-B67F-926016F3C3B1}"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9B9-468E-856B-293A526C0EF0}"/>
                </c:ext>
              </c:extLst>
            </c:dLbl>
            <c:dLbl>
              <c:idx val="1"/>
              <c:tx>
                <c:rich>
                  <a:bodyPr/>
                  <a:lstStyle/>
                  <a:p>
                    <a:fld id="{EFF1A988-857F-4FAB-9139-9BEC36A2AC5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9B9-468E-856B-293A526C0EF0}"/>
                </c:ext>
              </c:extLst>
            </c:dLbl>
            <c:dLbl>
              <c:idx val="2"/>
              <c:tx>
                <c:rich>
                  <a:bodyPr/>
                  <a:lstStyle/>
                  <a:p>
                    <a:fld id="{1C0CC359-7BB4-4BD5-85B4-6A7E4997832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9B9-468E-856B-293A526C0EF0}"/>
                </c:ext>
              </c:extLst>
            </c:dLbl>
            <c:dLbl>
              <c:idx val="3"/>
              <c:tx>
                <c:rich>
                  <a:bodyPr/>
                  <a:lstStyle/>
                  <a:p>
                    <a:fld id="{F7215D36-069F-4FC2-BEC2-6E1444EB7840}"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9B9-468E-856B-293A526C0EF0}"/>
                </c:ext>
              </c:extLst>
            </c:dLbl>
            <c:dLbl>
              <c:idx val="4"/>
              <c:tx>
                <c:rich>
                  <a:bodyPr/>
                  <a:lstStyle/>
                  <a:p>
                    <a:fld id="{C22FEA52-04E5-4DC1-9281-7D1B04085F97}"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9B9-468E-856B-293A526C0EF0}"/>
                </c:ext>
              </c:extLst>
            </c:dLbl>
            <c:dLbl>
              <c:idx val="5"/>
              <c:tx>
                <c:rich>
                  <a:bodyPr/>
                  <a:lstStyle/>
                  <a:p>
                    <a:fld id="{5312AAEE-62B2-41F8-A239-1674AEA9FAA1}"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9B9-468E-856B-293A526C0EF0}"/>
                </c:ext>
              </c:extLst>
            </c:dLbl>
            <c:dLbl>
              <c:idx val="6"/>
              <c:tx>
                <c:rich>
                  <a:bodyPr/>
                  <a:lstStyle/>
                  <a:p>
                    <a:fld id="{040B3DE1-580C-4BEC-A395-7B34851797E3}"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9B9-468E-856B-293A526C0E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a:ea typeface="Arial"/>
                    <a:cs typeface="Arial"/>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'Figure 6.4'!$C$10:$I$10</c:f>
              <c:strCache>
                <c:ptCount val="7"/>
                <c:pt idx="0">
                  <c:v>QLD</c:v>
                </c:pt>
                <c:pt idx="1">
                  <c:v>NSW</c:v>
                </c:pt>
                <c:pt idx="2">
                  <c:v>VIC</c:v>
                </c:pt>
                <c:pt idx="3">
                  <c:v>SA</c:v>
                </c:pt>
                <c:pt idx="4">
                  <c:v>TAS</c:v>
                </c:pt>
                <c:pt idx="5">
                  <c:v>ACT</c:v>
                </c:pt>
                <c:pt idx="6">
                  <c:v>National</c:v>
                </c:pt>
              </c:strCache>
            </c:strRef>
          </c:cat>
          <c:val>
            <c:numRef>
              <c:f>'Figure 6.4'!$C$11:$I$11</c:f>
              <c:numCache>
                <c:formatCode>0.00</c:formatCode>
                <c:ptCount val="7"/>
                <c:pt idx="0">
                  <c:v>0.97034870114673533</c:v>
                </c:pt>
                <c:pt idx="1">
                  <c:v>1.0017599067599068</c:v>
                </c:pt>
                <c:pt idx="2">
                  <c:v>1.0866400563512562</c:v>
                </c:pt>
                <c:pt idx="3">
                  <c:v>0.99352657572906866</c:v>
                </c:pt>
                <c:pt idx="4">
                  <c:v>1.0941821649976156</c:v>
                </c:pt>
                <c:pt idx="5">
                  <c:v>1.0011868027533823</c:v>
                </c:pt>
                <c:pt idx="6">
                  <c:v>1.0200926084348234</c:v>
                </c:pt>
              </c:numCache>
            </c:numRef>
          </c:val>
          <c:extLst>
            <c:ext xmlns:c15="http://schemas.microsoft.com/office/drawing/2012/chart" uri="{02D57815-91ED-43cb-92C2-25804820EDAC}">
              <c15:datalabelsRange>
                <c15:f>'Figure 6.4'!$C$18:$I$18</c15:f>
                <c15:dlblRangeCache>
                  <c:ptCount val="7"/>
                  <c:pt idx="0">
                    <c:v>14%</c:v>
                  </c:pt>
                  <c:pt idx="1">
                    <c:v>27%</c:v>
                  </c:pt>
                  <c:pt idx="2">
                    <c:v>43%</c:v>
                  </c:pt>
                  <c:pt idx="3">
                    <c:v>20%</c:v>
                  </c:pt>
                  <c:pt idx="4">
                    <c:v>26%</c:v>
                  </c:pt>
                  <c:pt idx="5">
                    <c:v>31%</c:v>
                  </c:pt>
                  <c:pt idx="6">
                    <c:v>33%</c:v>
                  </c:pt>
                </c15:dlblRangeCache>
              </c15:datalabelsRange>
            </c:ext>
            <c:ext xmlns:c16="http://schemas.microsoft.com/office/drawing/2014/chart" uri="{C3380CC4-5D6E-409C-BE32-E72D297353CC}">
              <c16:uniqueId val="{00000007-99B9-468E-856B-293A526C0EF0}"/>
            </c:ext>
          </c:extLst>
        </c:ser>
        <c:ser>
          <c:idx val="1"/>
          <c:order val="1"/>
          <c:tx>
            <c:strRef>
              <c:f>'Figure 6.4'!$B$12</c:f>
              <c:strCache>
                <c:ptCount val="1"/>
                <c:pt idx="0">
                  <c:v>Network</c:v>
                </c:pt>
              </c:strCache>
            </c:strRef>
          </c:tx>
          <c:spPr>
            <a:solidFill>
              <a:srgbClr val="56B4DF"/>
            </a:solidFill>
            <a:ln>
              <a:noFill/>
            </a:ln>
            <a:effectLst/>
          </c:spPr>
          <c:invertIfNegative val="0"/>
          <c:dLbls>
            <c:dLbl>
              <c:idx val="0"/>
              <c:tx>
                <c:rich>
                  <a:bodyPr/>
                  <a:lstStyle/>
                  <a:p>
                    <a:fld id="{6DCC65E0-AFD0-4FEF-AE77-1356DF0DD563}"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9B9-468E-856B-293A526C0EF0}"/>
                </c:ext>
              </c:extLst>
            </c:dLbl>
            <c:dLbl>
              <c:idx val="1"/>
              <c:tx>
                <c:rich>
                  <a:bodyPr/>
                  <a:lstStyle/>
                  <a:p>
                    <a:fld id="{2DDA7EA0-D943-49AD-B6E9-D83AF46B6C6D}"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9B9-468E-856B-293A526C0EF0}"/>
                </c:ext>
              </c:extLst>
            </c:dLbl>
            <c:dLbl>
              <c:idx val="2"/>
              <c:tx>
                <c:rich>
                  <a:bodyPr/>
                  <a:lstStyle/>
                  <a:p>
                    <a:fld id="{81B6E1F7-E9C7-4420-B4F0-8F9001D41CBA}"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9B9-468E-856B-293A526C0EF0}"/>
                </c:ext>
              </c:extLst>
            </c:dLbl>
            <c:dLbl>
              <c:idx val="3"/>
              <c:tx>
                <c:rich>
                  <a:bodyPr/>
                  <a:lstStyle/>
                  <a:p>
                    <a:fld id="{502B5293-5E14-4E47-9C27-B77678BD46C9}"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9B9-468E-856B-293A526C0EF0}"/>
                </c:ext>
              </c:extLst>
            </c:dLbl>
            <c:dLbl>
              <c:idx val="4"/>
              <c:tx>
                <c:rich>
                  <a:bodyPr/>
                  <a:lstStyle/>
                  <a:p>
                    <a:fld id="{ACDF9E5D-4F2C-4F87-ABFF-2CA10AB59CD7}"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9B9-468E-856B-293A526C0EF0}"/>
                </c:ext>
              </c:extLst>
            </c:dLbl>
            <c:dLbl>
              <c:idx val="5"/>
              <c:tx>
                <c:rich>
                  <a:bodyPr/>
                  <a:lstStyle/>
                  <a:p>
                    <a:fld id="{FB8A8854-A70C-417B-A015-6EE536A8F97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9B9-468E-856B-293A526C0EF0}"/>
                </c:ext>
              </c:extLst>
            </c:dLbl>
            <c:dLbl>
              <c:idx val="6"/>
              <c:tx>
                <c:rich>
                  <a:bodyPr/>
                  <a:lstStyle/>
                  <a:p>
                    <a:fld id="{EAB187C7-082D-437F-AF58-45DEE4BE9D5A}"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9B9-468E-856B-293A526C0EF0}"/>
                </c:ext>
              </c:extLst>
            </c:dLbl>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'Figure 6.4'!$C$10:$I$10</c:f>
              <c:strCache>
                <c:ptCount val="7"/>
                <c:pt idx="0">
                  <c:v>QLD</c:v>
                </c:pt>
                <c:pt idx="1">
                  <c:v>NSW</c:v>
                </c:pt>
                <c:pt idx="2">
                  <c:v>VIC</c:v>
                </c:pt>
                <c:pt idx="3">
                  <c:v>SA</c:v>
                </c:pt>
                <c:pt idx="4">
                  <c:v>TAS</c:v>
                </c:pt>
                <c:pt idx="5">
                  <c:v>ACT</c:v>
                </c:pt>
                <c:pt idx="6">
                  <c:v>National</c:v>
                </c:pt>
              </c:strCache>
            </c:strRef>
          </c:cat>
          <c:val>
            <c:numRef>
              <c:f>'Figure 6.4'!$C$12:$I$12</c:f>
              <c:numCache>
                <c:formatCode>0.00</c:formatCode>
                <c:ptCount val="7"/>
                <c:pt idx="0">
                  <c:v>4.3095600820211475</c:v>
                </c:pt>
                <c:pt idx="1">
                  <c:v>1.8243575073964116</c:v>
                </c:pt>
                <c:pt idx="2">
                  <c:v>0.83710786082262068</c:v>
                </c:pt>
                <c:pt idx="3">
                  <c:v>2.929168626279008</c:v>
                </c:pt>
                <c:pt idx="4">
                  <c:v>2.6663030478583223</c:v>
                </c:pt>
                <c:pt idx="5">
                  <c:v>1.8108136091780211</c:v>
                </c:pt>
                <c:pt idx="6">
                  <c:v>1.3264808213527373</c:v>
                </c:pt>
              </c:numCache>
            </c:numRef>
          </c:val>
          <c:extLst>
            <c:ext xmlns:c15="http://schemas.microsoft.com/office/drawing/2012/chart" uri="{02D57815-91ED-43cb-92C2-25804820EDAC}">
              <c15:datalabelsRange>
                <c15:f>'Figure 6.4'!$C$19:$I$19</c15:f>
                <c15:dlblRangeCache>
                  <c:ptCount val="7"/>
                  <c:pt idx="0">
                    <c:v>62%</c:v>
                  </c:pt>
                  <c:pt idx="1">
                    <c:v>49%</c:v>
                  </c:pt>
                  <c:pt idx="2">
                    <c:v>33%</c:v>
                  </c:pt>
                  <c:pt idx="3">
                    <c:v>60%</c:v>
                  </c:pt>
                  <c:pt idx="4">
                    <c:v>62%</c:v>
                  </c:pt>
                  <c:pt idx="5">
                    <c:v>56%</c:v>
                  </c:pt>
                  <c:pt idx="6">
                    <c:v>43%</c:v>
                  </c:pt>
                </c15:dlblRangeCache>
              </c15:datalabelsRange>
            </c:ext>
            <c:ext xmlns:c16="http://schemas.microsoft.com/office/drawing/2014/chart" uri="{C3380CC4-5D6E-409C-BE32-E72D297353CC}">
              <c16:uniqueId val="{0000000F-99B9-468E-856B-293A526C0EF0}"/>
            </c:ext>
          </c:extLst>
        </c:ser>
        <c:ser>
          <c:idx val="2"/>
          <c:order val="2"/>
          <c:tx>
            <c:strRef>
              <c:f>'Figure 6.4'!$B$13</c:f>
              <c:strCache>
                <c:ptCount val="1"/>
                <c:pt idx="0">
                  <c:v>Retail costs and margin</c:v>
                </c:pt>
              </c:strCache>
            </c:strRef>
          </c:tx>
          <c:spPr>
            <a:solidFill>
              <a:srgbClr val="9ED9DF"/>
            </a:solidFill>
            <a:ln>
              <a:noFill/>
            </a:ln>
            <a:effectLst/>
          </c:spPr>
          <c:invertIfNegative val="0"/>
          <c:dLbls>
            <c:dLbl>
              <c:idx val="0"/>
              <c:tx>
                <c:rich>
                  <a:bodyPr/>
                  <a:lstStyle/>
                  <a:p>
                    <a:fld id="{118EB7A8-57D6-4E7C-A97D-1B49108E78EE}"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99B9-468E-856B-293A526C0EF0}"/>
                </c:ext>
              </c:extLst>
            </c:dLbl>
            <c:dLbl>
              <c:idx val="1"/>
              <c:tx>
                <c:rich>
                  <a:bodyPr/>
                  <a:lstStyle/>
                  <a:p>
                    <a:fld id="{CB6D518A-C915-4450-9770-FCC36932DB6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9B9-468E-856B-293A526C0EF0}"/>
                </c:ext>
              </c:extLst>
            </c:dLbl>
            <c:dLbl>
              <c:idx val="2"/>
              <c:tx>
                <c:rich>
                  <a:bodyPr/>
                  <a:lstStyle/>
                  <a:p>
                    <a:fld id="{0A5C7B70-C545-463F-B690-F98BA6CFFA0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9B9-468E-856B-293A526C0EF0}"/>
                </c:ext>
              </c:extLst>
            </c:dLbl>
            <c:dLbl>
              <c:idx val="3"/>
              <c:tx>
                <c:rich>
                  <a:bodyPr/>
                  <a:lstStyle/>
                  <a:p>
                    <a:fld id="{309E1E40-90FF-4E42-A96A-D3E811087D2B}"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9B9-468E-856B-293A526C0EF0}"/>
                </c:ext>
              </c:extLst>
            </c:dLbl>
            <c:dLbl>
              <c:idx val="4"/>
              <c:tx>
                <c:rich>
                  <a:bodyPr/>
                  <a:lstStyle/>
                  <a:p>
                    <a:fld id="{DF9FF235-6E0E-41C5-8349-9E0F2258DDB6}"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9B9-468E-856B-293A526C0EF0}"/>
                </c:ext>
              </c:extLst>
            </c:dLbl>
            <c:dLbl>
              <c:idx val="5"/>
              <c:tx>
                <c:rich>
                  <a:bodyPr/>
                  <a:lstStyle/>
                  <a:p>
                    <a:fld id="{E148C5F3-9849-40C6-98EE-D0421CA41A43}"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9B9-468E-856B-293A526C0EF0}"/>
                </c:ext>
              </c:extLst>
            </c:dLbl>
            <c:dLbl>
              <c:idx val="6"/>
              <c:tx>
                <c:rich>
                  <a:bodyPr/>
                  <a:lstStyle/>
                  <a:p>
                    <a:fld id="{97EB4F49-9C4D-40FA-9FE8-6AD5D36CE6E1}"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9B9-468E-856B-293A526C0EF0}"/>
                </c:ext>
              </c:extLst>
            </c:dLbl>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'Figure 6.4'!$C$10:$I$10</c:f>
              <c:strCache>
                <c:ptCount val="7"/>
                <c:pt idx="0">
                  <c:v>QLD</c:v>
                </c:pt>
                <c:pt idx="1">
                  <c:v>NSW</c:v>
                </c:pt>
                <c:pt idx="2">
                  <c:v>VIC</c:v>
                </c:pt>
                <c:pt idx="3">
                  <c:v>SA</c:v>
                </c:pt>
                <c:pt idx="4">
                  <c:v>TAS</c:v>
                </c:pt>
                <c:pt idx="5">
                  <c:v>ACT</c:v>
                </c:pt>
                <c:pt idx="6">
                  <c:v>National</c:v>
                </c:pt>
              </c:strCache>
            </c:strRef>
          </c:cat>
          <c:val>
            <c:numRef>
              <c:f>'Figure 6.4'!$C$13:$I$13</c:f>
              <c:numCache>
                <c:formatCode>0.00</c:formatCode>
                <c:ptCount val="7"/>
                <c:pt idx="0">
                  <c:v>1.6196636016707973</c:v>
                </c:pt>
                <c:pt idx="1">
                  <c:v>0.90668519237662615</c:v>
                </c:pt>
                <c:pt idx="2">
                  <c:v>0.62539658812516108</c:v>
                </c:pt>
                <c:pt idx="3">
                  <c:v>0.94224096244095579</c:v>
                </c:pt>
                <c:pt idx="4">
                  <c:v>0.51380478656603557</c:v>
                </c:pt>
                <c:pt idx="5">
                  <c:v>0.4393291342234571</c:v>
                </c:pt>
                <c:pt idx="6">
                  <c:v>0.76937057572462209</c:v>
                </c:pt>
              </c:numCache>
            </c:numRef>
          </c:val>
          <c:extLst>
            <c:ext xmlns:c15="http://schemas.microsoft.com/office/drawing/2012/chart" uri="{02D57815-91ED-43cb-92C2-25804820EDAC}">
              <c15:datalabelsRange>
                <c15:f>'Figure 6.4'!$C$20:$I$20</c15:f>
                <c15:dlblRangeCache>
                  <c:ptCount val="7"/>
                  <c:pt idx="0">
                    <c:v>23%</c:v>
                  </c:pt>
                  <c:pt idx="1">
                    <c:v>24%</c:v>
                  </c:pt>
                  <c:pt idx="2">
                    <c:v>25%</c:v>
                  </c:pt>
                  <c:pt idx="3">
                    <c:v>19%</c:v>
                  </c:pt>
                  <c:pt idx="4">
                    <c:v>12%</c:v>
                  </c:pt>
                  <c:pt idx="5">
                    <c:v>14%</c:v>
                  </c:pt>
                  <c:pt idx="6">
                    <c:v>25%</c:v>
                  </c:pt>
                </c15:dlblRangeCache>
              </c15:datalabelsRange>
            </c:ext>
            <c:ext xmlns:c16="http://schemas.microsoft.com/office/drawing/2014/chart" uri="{C3380CC4-5D6E-409C-BE32-E72D297353CC}">
              <c16:uniqueId val="{00000017-99B9-468E-856B-293A526C0EF0}"/>
            </c:ext>
          </c:extLst>
        </c:ser>
        <c:dLbls>
          <c:dLblPos val="ctr"/>
          <c:showLegendKey val="0"/>
          <c:showVal val="1"/>
          <c:showCatName val="0"/>
          <c:showSerName val="0"/>
          <c:showPercent val="0"/>
          <c:showBubbleSize val="0"/>
        </c:dLbls>
        <c:gapWidth val="35"/>
        <c:overlap val="100"/>
        <c:axId val="991998952"/>
        <c:axId val="991999280"/>
      </c:barChart>
      <c:catAx>
        <c:axId val="991998952"/>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991999280"/>
        <c:crosses val="autoZero"/>
        <c:auto val="1"/>
        <c:lblAlgn val="ctr"/>
        <c:lblOffset val="100"/>
        <c:noMultiLvlLbl val="0"/>
      </c:catAx>
      <c:valAx>
        <c:axId val="991999280"/>
        <c:scaling>
          <c:orientation val="minMax"/>
          <c:max val="7"/>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Cents per MJ</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952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9919989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8538107264894"/>
          <c:y val="5.8047493403693931E-2"/>
          <c:w val="0.72667098499480021"/>
          <c:h val="0.61382169925388541"/>
        </c:manualLayout>
      </c:layout>
      <c:lineChart>
        <c:grouping val="standard"/>
        <c:varyColors val="0"/>
        <c:ser>
          <c:idx val="0"/>
          <c:order val="0"/>
          <c:tx>
            <c:strRef>
              <c:f>'6.5'!$D$5</c:f>
              <c:strCache>
                <c:ptCount val="1"/>
                <c:pt idx="0">
                  <c:v>NEM VWA regional price (minimum, LHS)</c:v>
                </c:pt>
              </c:strCache>
            </c:strRef>
          </c:tx>
          <c:spPr>
            <a:ln w="28575" cap="rnd">
              <a:noFill/>
              <a:round/>
            </a:ln>
            <a:effectLst/>
          </c:spPr>
          <c:marker>
            <c:symbol val="dash"/>
            <c:size val="3"/>
            <c:spPr>
              <a:noFill/>
              <a:ln w="9525">
                <a:solidFill>
                  <a:srgbClr val="005CAF"/>
                </a:solidFill>
              </a:ln>
              <a:effectLst/>
            </c:spPr>
          </c:marker>
          <c:cat>
            <c:numRef>
              <c:f>'6.5'!$B$6:$B$68</c:f>
              <c:numCache>
                <c:formatCode>General</c:formatCode>
                <c:ptCount val="63"/>
                <c:pt idx="0">
                  <c:v>2019</c:v>
                </c:pt>
                <c:pt idx="12">
                  <c:v>2020</c:v>
                </c:pt>
                <c:pt idx="24">
                  <c:v>2021</c:v>
                </c:pt>
                <c:pt idx="36">
                  <c:v>2022</c:v>
                </c:pt>
                <c:pt idx="48">
                  <c:v>2023</c:v>
                </c:pt>
                <c:pt idx="60">
                  <c:v>2024</c:v>
                </c:pt>
              </c:numCache>
            </c:numRef>
          </c:cat>
          <c:val>
            <c:numRef>
              <c:f>'6.5'!$D$6:$D$68</c:f>
              <c:numCache>
                <c:formatCode>#,##0</c:formatCode>
                <c:ptCount val="63"/>
                <c:pt idx="0">
                  <c:v>96.91</c:v>
                </c:pt>
                <c:pt idx="1">
                  <c:v>86.13</c:v>
                </c:pt>
                <c:pt idx="2">
                  <c:v>82.91</c:v>
                </c:pt>
                <c:pt idx="3">
                  <c:v>70.2</c:v>
                </c:pt>
                <c:pt idx="4">
                  <c:v>74.739999999999995</c:v>
                </c:pt>
                <c:pt idx="5">
                  <c:v>88.56</c:v>
                </c:pt>
                <c:pt idx="6">
                  <c:v>68.48</c:v>
                </c:pt>
                <c:pt idx="7">
                  <c:v>65.11</c:v>
                </c:pt>
                <c:pt idx="8">
                  <c:v>58.21</c:v>
                </c:pt>
                <c:pt idx="9">
                  <c:v>73.19</c:v>
                </c:pt>
                <c:pt idx="10">
                  <c:v>56.59</c:v>
                </c:pt>
                <c:pt idx="11">
                  <c:v>52.01</c:v>
                </c:pt>
                <c:pt idx="12">
                  <c:v>56.21</c:v>
                </c:pt>
                <c:pt idx="13">
                  <c:v>39.18</c:v>
                </c:pt>
                <c:pt idx="14">
                  <c:v>37.22</c:v>
                </c:pt>
                <c:pt idx="15">
                  <c:v>23.49</c:v>
                </c:pt>
                <c:pt idx="16">
                  <c:v>32.979999999999997</c:v>
                </c:pt>
                <c:pt idx="17">
                  <c:v>35.29</c:v>
                </c:pt>
                <c:pt idx="18">
                  <c:v>40.229999999999997</c:v>
                </c:pt>
                <c:pt idx="19">
                  <c:v>32.799999999999997</c:v>
                </c:pt>
                <c:pt idx="20">
                  <c:v>21.41</c:v>
                </c:pt>
                <c:pt idx="21">
                  <c:v>36.93</c:v>
                </c:pt>
                <c:pt idx="22">
                  <c:v>42.3</c:v>
                </c:pt>
                <c:pt idx="23">
                  <c:v>23.58</c:v>
                </c:pt>
                <c:pt idx="24">
                  <c:v>25.14</c:v>
                </c:pt>
                <c:pt idx="25">
                  <c:v>23.77</c:v>
                </c:pt>
                <c:pt idx="26">
                  <c:v>30.93</c:v>
                </c:pt>
                <c:pt idx="27">
                  <c:v>25.42</c:v>
                </c:pt>
                <c:pt idx="28">
                  <c:v>42.53</c:v>
                </c:pt>
                <c:pt idx="29">
                  <c:v>70.23</c:v>
                </c:pt>
                <c:pt idx="30">
                  <c:v>38.83</c:v>
                </c:pt>
                <c:pt idx="31">
                  <c:v>22.6</c:v>
                </c:pt>
                <c:pt idx="32">
                  <c:v>17.71</c:v>
                </c:pt>
                <c:pt idx="33">
                  <c:v>10.31</c:v>
                </c:pt>
                <c:pt idx="34">
                  <c:v>32.32</c:v>
                </c:pt>
                <c:pt idx="35">
                  <c:v>37.630000000000003</c:v>
                </c:pt>
                <c:pt idx="36">
                  <c:v>62.94</c:v>
                </c:pt>
                <c:pt idx="37">
                  <c:v>58.14</c:v>
                </c:pt>
                <c:pt idx="38">
                  <c:v>58.89</c:v>
                </c:pt>
                <c:pt idx="39">
                  <c:v>143.82</c:v>
                </c:pt>
                <c:pt idx="40">
                  <c:v>221.98</c:v>
                </c:pt>
                <c:pt idx="41">
                  <c:v>304.56</c:v>
                </c:pt>
                <c:pt idx="42">
                  <c:v>326.82</c:v>
                </c:pt>
                <c:pt idx="43">
                  <c:v>130.36000000000001</c:v>
                </c:pt>
                <c:pt idx="44">
                  <c:v>121.26</c:v>
                </c:pt>
                <c:pt idx="45">
                  <c:v>107.6</c:v>
                </c:pt>
                <c:pt idx="46">
                  <c:v>64.3</c:v>
                </c:pt>
                <c:pt idx="47">
                  <c:v>37.68</c:v>
                </c:pt>
                <c:pt idx="48">
                  <c:v>55.67</c:v>
                </c:pt>
                <c:pt idx="49">
                  <c:v>68.540000000000006</c:v>
                </c:pt>
                <c:pt idx="50">
                  <c:v>67.489999999999995</c:v>
                </c:pt>
                <c:pt idx="51">
                  <c:v>70.39</c:v>
                </c:pt>
                <c:pt idx="52">
                  <c:v>83.76</c:v>
                </c:pt>
                <c:pt idx="53">
                  <c:v>40.35</c:v>
                </c:pt>
                <c:pt idx="54">
                  <c:v>25.02</c:v>
                </c:pt>
                <c:pt idx="55">
                  <c:v>38.799999999999997</c:v>
                </c:pt>
                <c:pt idx="56">
                  <c:v>28.27</c:v>
                </c:pt>
                <c:pt idx="57">
                  <c:v>23.23</c:v>
                </c:pt>
                <c:pt idx="58">
                  <c:v>42.69</c:v>
                </c:pt>
                <c:pt idx="59">
                  <c:v>36.14</c:v>
                </c:pt>
                <c:pt idx="60">
                  <c:v>30.26</c:v>
                </c:pt>
                <c:pt idx="61">
                  <c:v>85.29</c:v>
                </c:pt>
                <c:pt idx="62">
                  <c:v>61.64</c:v>
                </c:pt>
              </c:numCache>
            </c:numRef>
          </c:val>
          <c:smooth val="0"/>
          <c:extLst>
            <c:ext xmlns:c16="http://schemas.microsoft.com/office/drawing/2014/chart" uri="{C3380CC4-5D6E-409C-BE32-E72D297353CC}">
              <c16:uniqueId val="{00000000-FB37-4EC1-AF91-BEE4BB214658}"/>
            </c:ext>
          </c:extLst>
        </c:ser>
        <c:ser>
          <c:idx val="1"/>
          <c:order val="1"/>
          <c:tx>
            <c:strRef>
              <c:f>'6.5'!$E$5</c:f>
              <c:strCache>
                <c:ptCount val="1"/>
                <c:pt idx="0">
                  <c:v>NEM VWA regional price (maximum, LHS)</c:v>
                </c:pt>
              </c:strCache>
            </c:strRef>
          </c:tx>
          <c:spPr>
            <a:ln w="28575" cap="rnd">
              <a:noFill/>
              <a:round/>
            </a:ln>
            <a:effectLst/>
          </c:spPr>
          <c:marker>
            <c:symbol val="dash"/>
            <c:size val="3"/>
            <c:spPr>
              <a:solidFill>
                <a:srgbClr val="005CAF"/>
              </a:solidFill>
              <a:ln w="6350">
                <a:solidFill>
                  <a:srgbClr val="005CAF"/>
                </a:solidFill>
              </a:ln>
              <a:effectLst/>
            </c:spPr>
          </c:marker>
          <c:cat>
            <c:numRef>
              <c:f>'6.5'!$B$6:$B$68</c:f>
              <c:numCache>
                <c:formatCode>General</c:formatCode>
                <c:ptCount val="63"/>
                <c:pt idx="0">
                  <c:v>2019</c:v>
                </c:pt>
                <c:pt idx="12">
                  <c:v>2020</c:v>
                </c:pt>
                <c:pt idx="24">
                  <c:v>2021</c:v>
                </c:pt>
                <c:pt idx="36">
                  <c:v>2022</c:v>
                </c:pt>
                <c:pt idx="48">
                  <c:v>2023</c:v>
                </c:pt>
                <c:pt idx="60">
                  <c:v>2024</c:v>
                </c:pt>
              </c:numCache>
            </c:numRef>
          </c:cat>
          <c:val>
            <c:numRef>
              <c:f>'6.5'!$E$6:$E$68</c:f>
              <c:numCache>
                <c:formatCode>#,##0</c:formatCode>
                <c:ptCount val="63"/>
                <c:pt idx="0">
                  <c:v>358.4</c:v>
                </c:pt>
                <c:pt idx="1">
                  <c:v>135.58000000000001</c:v>
                </c:pt>
                <c:pt idx="2">
                  <c:v>160.78</c:v>
                </c:pt>
                <c:pt idx="3">
                  <c:v>105.29</c:v>
                </c:pt>
                <c:pt idx="4">
                  <c:v>94.1</c:v>
                </c:pt>
                <c:pt idx="5">
                  <c:v>106.68</c:v>
                </c:pt>
                <c:pt idx="6">
                  <c:v>89.52</c:v>
                </c:pt>
                <c:pt idx="7">
                  <c:v>110.7</c:v>
                </c:pt>
                <c:pt idx="8">
                  <c:v>108.99</c:v>
                </c:pt>
                <c:pt idx="9">
                  <c:v>108.62</c:v>
                </c:pt>
                <c:pt idx="10">
                  <c:v>70.97</c:v>
                </c:pt>
                <c:pt idx="11">
                  <c:v>123.78</c:v>
                </c:pt>
                <c:pt idx="12">
                  <c:v>225.13</c:v>
                </c:pt>
                <c:pt idx="13">
                  <c:v>71.959999999999994</c:v>
                </c:pt>
                <c:pt idx="14">
                  <c:v>47.15</c:v>
                </c:pt>
                <c:pt idx="15">
                  <c:v>41.47</c:v>
                </c:pt>
                <c:pt idx="16">
                  <c:v>43.47</c:v>
                </c:pt>
                <c:pt idx="17">
                  <c:v>54.12</c:v>
                </c:pt>
                <c:pt idx="18">
                  <c:v>66.180000000000007</c:v>
                </c:pt>
                <c:pt idx="19">
                  <c:v>56.86</c:v>
                </c:pt>
                <c:pt idx="20">
                  <c:v>42.24</c:v>
                </c:pt>
                <c:pt idx="21">
                  <c:v>59.94</c:v>
                </c:pt>
                <c:pt idx="22">
                  <c:v>68.45</c:v>
                </c:pt>
                <c:pt idx="23">
                  <c:v>83.48</c:v>
                </c:pt>
                <c:pt idx="24">
                  <c:v>41.75</c:v>
                </c:pt>
                <c:pt idx="25">
                  <c:v>43.54</c:v>
                </c:pt>
                <c:pt idx="26">
                  <c:v>86.97</c:v>
                </c:pt>
                <c:pt idx="27">
                  <c:v>59.55</c:v>
                </c:pt>
                <c:pt idx="28">
                  <c:v>138.44999999999999</c:v>
                </c:pt>
                <c:pt idx="29">
                  <c:v>224.63</c:v>
                </c:pt>
                <c:pt idx="30">
                  <c:v>151.06</c:v>
                </c:pt>
                <c:pt idx="31">
                  <c:v>64.45</c:v>
                </c:pt>
                <c:pt idx="32">
                  <c:v>56.33</c:v>
                </c:pt>
                <c:pt idx="33">
                  <c:v>74.61</c:v>
                </c:pt>
                <c:pt idx="34">
                  <c:v>104.95</c:v>
                </c:pt>
                <c:pt idx="35">
                  <c:v>149.19999999999999</c:v>
                </c:pt>
                <c:pt idx="36">
                  <c:v>153.61000000000001</c:v>
                </c:pt>
                <c:pt idx="37">
                  <c:v>191.67</c:v>
                </c:pt>
                <c:pt idx="38">
                  <c:v>170.62</c:v>
                </c:pt>
                <c:pt idx="39">
                  <c:v>233.63</c:v>
                </c:pt>
                <c:pt idx="40">
                  <c:v>364.93</c:v>
                </c:pt>
                <c:pt idx="41">
                  <c:v>430.87</c:v>
                </c:pt>
                <c:pt idx="42">
                  <c:v>429.61</c:v>
                </c:pt>
                <c:pt idx="43">
                  <c:v>187.28</c:v>
                </c:pt>
                <c:pt idx="44">
                  <c:v>165.66</c:v>
                </c:pt>
                <c:pt idx="45">
                  <c:v>161.84</c:v>
                </c:pt>
                <c:pt idx="46">
                  <c:v>130.77000000000001</c:v>
                </c:pt>
                <c:pt idx="47">
                  <c:v>92.62</c:v>
                </c:pt>
                <c:pt idx="48">
                  <c:v>107.34</c:v>
                </c:pt>
                <c:pt idx="49">
                  <c:v>146.27000000000001</c:v>
                </c:pt>
                <c:pt idx="50">
                  <c:v>138.27000000000001</c:v>
                </c:pt>
                <c:pt idx="51">
                  <c:v>118.93</c:v>
                </c:pt>
                <c:pt idx="52">
                  <c:v>210.31</c:v>
                </c:pt>
                <c:pt idx="53">
                  <c:v>112.31</c:v>
                </c:pt>
                <c:pt idx="54">
                  <c:v>90.26</c:v>
                </c:pt>
                <c:pt idx="55">
                  <c:v>189.45</c:v>
                </c:pt>
                <c:pt idx="56">
                  <c:v>72.8</c:v>
                </c:pt>
                <c:pt idx="57">
                  <c:v>47.63</c:v>
                </c:pt>
                <c:pt idx="58">
                  <c:v>93.44</c:v>
                </c:pt>
                <c:pt idx="59">
                  <c:v>106.99</c:v>
                </c:pt>
                <c:pt idx="60">
                  <c:v>192.79</c:v>
                </c:pt>
                <c:pt idx="61">
                  <c:v>137.68</c:v>
                </c:pt>
                <c:pt idx="62">
                  <c:v>89.97</c:v>
                </c:pt>
              </c:numCache>
            </c:numRef>
          </c:val>
          <c:smooth val="0"/>
          <c:extLst>
            <c:ext xmlns:c16="http://schemas.microsoft.com/office/drawing/2014/chart" uri="{C3380CC4-5D6E-409C-BE32-E72D297353CC}">
              <c16:uniqueId val="{00000001-FB37-4EC1-AF91-BEE4BB214658}"/>
            </c:ext>
          </c:extLst>
        </c:ser>
        <c:dLbls>
          <c:showLegendKey val="0"/>
          <c:showVal val="0"/>
          <c:showCatName val="0"/>
          <c:showSerName val="0"/>
          <c:showPercent val="0"/>
          <c:showBubbleSize val="0"/>
        </c:dLbls>
        <c:hiLowLines>
          <c:spPr>
            <a:ln w="38100" cap="flat" cmpd="sng" algn="ctr">
              <a:solidFill>
                <a:srgbClr val="56B4DF"/>
              </a:solidFill>
              <a:round/>
            </a:ln>
            <a:effectLst/>
          </c:spPr>
        </c:hiLowLines>
        <c:marker val="1"/>
        <c:smooth val="0"/>
        <c:axId val="1815166895"/>
        <c:axId val="117909008"/>
      </c:lineChart>
      <c:lineChart>
        <c:grouping val="standard"/>
        <c:varyColors val="0"/>
        <c:ser>
          <c:idx val="2"/>
          <c:order val="2"/>
          <c:tx>
            <c:strRef>
              <c:f>'6.5'!$F$5</c:f>
              <c:strCache>
                <c:ptCount val="1"/>
                <c:pt idx="0">
                  <c:v>Average ECGM price (RHS)</c:v>
                </c:pt>
              </c:strCache>
            </c:strRef>
          </c:tx>
          <c:spPr>
            <a:ln w="28575" cap="rnd" cmpd="sng" algn="ctr">
              <a:solidFill>
                <a:srgbClr val="F36A5A"/>
              </a:solidFill>
              <a:prstDash val="solid"/>
              <a:round/>
              <a:headEnd type="none" w="med" len="med"/>
              <a:tailEnd type="none" w="med" len="med"/>
            </a:ln>
            <a:effectLst/>
          </c:spPr>
          <c:marker>
            <c:symbol val="none"/>
          </c:marker>
          <c:val>
            <c:numRef>
              <c:f>'6.5'!$F$6:$F$68</c:f>
              <c:numCache>
                <c:formatCode>#,##0</c:formatCode>
                <c:ptCount val="63"/>
                <c:pt idx="0">
                  <c:v>9.9991129032258055</c:v>
                </c:pt>
                <c:pt idx="1">
                  <c:v>9.7268749999999997</c:v>
                </c:pt>
                <c:pt idx="2">
                  <c:v>9.9837903225806457</c:v>
                </c:pt>
                <c:pt idx="3">
                  <c:v>9.9982499999999987</c:v>
                </c:pt>
                <c:pt idx="4">
                  <c:v>9.3327419354838703</c:v>
                </c:pt>
                <c:pt idx="5">
                  <c:v>9.6593333333333344</c:v>
                </c:pt>
                <c:pt idx="6">
                  <c:v>8.4190322580645169</c:v>
                </c:pt>
                <c:pt idx="7">
                  <c:v>8.1376612903225816</c:v>
                </c:pt>
                <c:pt idx="8">
                  <c:v>8.1435833333333338</c:v>
                </c:pt>
                <c:pt idx="9">
                  <c:v>8.4665322580645164</c:v>
                </c:pt>
                <c:pt idx="10">
                  <c:v>7.4747500000000002</c:v>
                </c:pt>
                <c:pt idx="11">
                  <c:v>6.538306451612903</c:v>
                </c:pt>
                <c:pt idx="12">
                  <c:v>6.3054838709677421</c:v>
                </c:pt>
                <c:pt idx="13">
                  <c:v>6.0440517241379306</c:v>
                </c:pt>
                <c:pt idx="14">
                  <c:v>4.8299193548387098</c:v>
                </c:pt>
                <c:pt idx="15">
                  <c:v>4.6207499999999992</c:v>
                </c:pt>
                <c:pt idx="16">
                  <c:v>4.5179032258064522</c:v>
                </c:pt>
                <c:pt idx="17">
                  <c:v>4.3361666666666672</c:v>
                </c:pt>
                <c:pt idx="18">
                  <c:v>4.6662903225806449</c:v>
                </c:pt>
                <c:pt idx="19">
                  <c:v>4.6941129032258075</c:v>
                </c:pt>
                <c:pt idx="20">
                  <c:v>4.5224166666666674</c:v>
                </c:pt>
                <c:pt idx="21">
                  <c:v>5.4061290322580646</c:v>
                </c:pt>
                <c:pt idx="22">
                  <c:v>6.0135833333333322</c:v>
                </c:pt>
                <c:pt idx="23">
                  <c:v>6.4079032258064519</c:v>
                </c:pt>
                <c:pt idx="24">
                  <c:v>6.1187096774193552</c:v>
                </c:pt>
                <c:pt idx="25">
                  <c:v>5.8814285714285717</c:v>
                </c:pt>
                <c:pt idx="26">
                  <c:v>5.9910483870967735</c:v>
                </c:pt>
                <c:pt idx="27">
                  <c:v>6.8127499999999994</c:v>
                </c:pt>
                <c:pt idx="28">
                  <c:v>7.2229838709677416</c:v>
                </c:pt>
                <c:pt idx="29">
                  <c:v>10.662333333333333</c:v>
                </c:pt>
                <c:pt idx="30">
                  <c:v>16.063064516129032</c:v>
                </c:pt>
                <c:pt idx="31">
                  <c:v>8.3815322580645173</c:v>
                </c:pt>
                <c:pt idx="32">
                  <c:v>8.0290000000000017</c:v>
                </c:pt>
                <c:pt idx="33">
                  <c:v>8.1578225806451616</c:v>
                </c:pt>
                <c:pt idx="34">
                  <c:v>12.046999999999999</c:v>
                </c:pt>
                <c:pt idx="35">
                  <c:v>11.421774193548387</c:v>
                </c:pt>
                <c:pt idx="36">
                  <c:v>8.757096774193549</c:v>
                </c:pt>
                <c:pt idx="37">
                  <c:v>10.003571428571428</c:v>
                </c:pt>
                <c:pt idx="38">
                  <c:v>11.015564516129032</c:v>
                </c:pt>
                <c:pt idx="39">
                  <c:v>15.856999999999999</c:v>
                </c:pt>
                <c:pt idx="40">
                  <c:v>31.969354838709684</c:v>
                </c:pt>
                <c:pt idx="41">
                  <c:v>39.347833333333334</c:v>
                </c:pt>
                <c:pt idx="42">
                  <c:v>40.927661290322582</c:v>
                </c:pt>
                <c:pt idx="43">
                  <c:v>16.832338709677419</c:v>
                </c:pt>
                <c:pt idx="44">
                  <c:v>20.585583333333336</c:v>
                </c:pt>
                <c:pt idx="45">
                  <c:v>19.547016129032261</c:v>
                </c:pt>
                <c:pt idx="46">
                  <c:v>19.107750000000006</c:v>
                </c:pt>
                <c:pt idx="47">
                  <c:v>15.084032258064516</c:v>
                </c:pt>
                <c:pt idx="48">
                  <c:v>12.632661290322583</c:v>
                </c:pt>
                <c:pt idx="49">
                  <c:v>13.993839285714287</c:v>
                </c:pt>
                <c:pt idx="50">
                  <c:v>9.5468548387096774</c:v>
                </c:pt>
                <c:pt idx="51">
                  <c:v>12.227166666666665</c:v>
                </c:pt>
                <c:pt idx="52">
                  <c:v>18.80524193548387</c:v>
                </c:pt>
                <c:pt idx="53">
                  <c:v>12.466666666666665</c:v>
                </c:pt>
                <c:pt idx="54">
                  <c:v>10.958225806451614</c:v>
                </c:pt>
                <c:pt idx="55">
                  <c:v>11.052177419354837</c:v>
                </c:pt>
                <c:pt idx="56">
                  <c:v>9.258166666666666</c:v>
                </c:pt>
                <c:pt idx="57">
                  <c:v>9.4349999999999987</c:v>
                </c:pt>
                <c:pt idx="58">
                  <c:v>11.796833333333332</c:v>
                </c:pt>
                <c:pt idx="59">
                  <c:v>11.303225806451614</c:v>
                </c:pt>
                <c:pt idx="60">
                  <c:v>11.169677419354839</c:v>
                </c:pt>
                <c:pt idx="61">
                  <c:v>11.868362068965517</c:v>
                </c:pt>
                <c:pt idx="62">
                  <c:v>11.729032258064517</c:v>
                </c:pt>
              </c:numCache>
            </c:numRef>
          </c:val>
          <c:smooth val="0"/>
          <c:extLst>
            <c:ext xmlns:c16="http://schemas.microsoft.com/office/drawing/2014/chart" uri="{C3380CC4-5D6E-409C-BE32-E72D297353CC}">
              <c16:uniqueId val="{00000002-FB37-4EC1-AF91-BEE4BB214658}"/>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74291984"/>
        <c:axId val="322020416"/>
      </c:lineChart>
      <c:catAx>
        <c:axId val="1815166895"/>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800" b="0" i="0" u="none" strike="noStrike" kern="1200" baseline="0">
                <a:solidFill>
                  <a:srgbClr val="595A5B"/>
                </a:solidFill>
                <a:latin typeface="Arial"/>
                <a:ea typeface="Arial"/>
                <a:cs typeface="Arial"/>
              </a:defRPr>
            </a:pPr>
            <a:endParaRPr lang="en-US"/>
          </a:p>
        </c:txPr>
        <c:crossAx val="117909008"/>
        <c:crosses val="autoZero"/>
        <c:auto val="1"/>
        <c:lblAlgn val="ctr"/>
        <c:lblOffset val="100"/>
        <c:tickLblSkip val="1"/>
        <c:noMultiLvlLbl val="0"/>
      </c:catAx>
      <c:valAx>
        <c:axId val="117909008"/>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Electricity price ($/MWh)</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815166895"/>
        <c:crosses val="autoZero"/>
        <c:crossBetween val="between"/>
      </c:valAx>
      <c:valAx>
        <c:axId val="322020416"/>
        <c:scaling>
          <c:orientation val="minMax"/>
          <c:max val="50"/>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East coast gas market average price ($/GJ)</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74291984"/>
        <c:crosses val="max"/>
        <c:crossBetween val="between"/>
      </c:valAx>
      <c:catAx>
        <c:axId val="174291984"/>
        <c:scaling>
          <c:orientation val="minMax"/>
        </c:scaling>
        <c:delete val="1"/>
        <c:axPos val="b"/>
        <c:majorTickMark val="out"/>
        <c:minorTickMark val="none"/>
        <c:tickLblPos val="nextTo"/>
        <c:crossAx val="322020416"/>
        <c:crosses val="autoZero"/>
        <c:auto val="1"/>
        <c:lblAlgn val="ctr"/>
        <c:lblOffset val="100"/>
        <c:noMultiLvlLbl val="0"/>
      </c:catAx>
      <c:spPr>
        <a:noFill/>
        <a:ln w="25400">
          <a:noFill/>
        </a:ln>
        <a:effectLst/>
      </c:spPr>
    </c:plotArea>
    <c:legend>
      <c:legendPos val="b"/>
      <c:layout>
        <c:manualLayout>
          <c:xMode val="edge"/>
          <c:yMode val="edge"/>
          <c:x val="0.14147033130292674"/>
          <c:y val="0.76355264580691451"/>
          <c:w val="0.71102160154508987"/>
          <c:h val="0.2064848073766060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9835091368296"/>
          <c:y val="5.1631072518188222E-2"/>
          <c:w val="0.75189374535730202"/>
          <c:h val="0.43930982683768305"/>
        </c:manualLayout>
      </c:layout>
      <c:barChart>
        <c:barDir val="col"/>
        <c:grouping val="stacked"/>
        <c:varyColors val="0"/>
        <c:ser>
          <c:idx val="1"/>
          <c:order val="1"/>
          <c:tx>
            <c:strRef>
              <c:f>'6.6'!$F$5</c:f>
              <c:strCache>
                <c:ptCount val="1"/>
                <c:pt idx="0">
                  <c:v>QLD volume</c:v>
                </c:pt>
              </c:strCache>
            </c:strRef>
          </c:tx>
          <c:spPr>
            <a:solidFill>
              <a:srgbClr val="005CAF"/>
            </a:solidFill>
            <a:ln>
              <a:noFill/>
            </a:ln>
            <a:effectLst/>
          </c:spPr>
          <c:invertIfNegative val="0"/>
          <c:cat>
            <c:multiLvlStrRef>
              <c:f>'6.6'!$B$6:$D$27</c:f>
              <c:multiLvlStrCache>
                <c:ptCount val="22"/>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lvl>
                <c:lvl>
                  <c:pt idx="0">
                    <c:v>Q1</c:v>
                  </c:pt>
                  <c:pt idx="1">
                    <c:v>Q2</c:v>
                  </c:pt>
                  <c:pt idx="4">
                    <c:v>Q3</c:v>
                  </c:pt>
                  <c:pt idx="7">
                    <c:v>Q4</c:v>
                  </c:pt>
                  <c:pt idx="10">
                    <c:v>Q1</c:v>
                  </c:pt>
                  <c:pt idx="13">
                    <c:v>Q2</c:v>
                  </c:pt>
                  <c:pt idx="16">
                    <c:v>Q3</c:v>
                  </c:pt>
                  <c:pt idx="19">
                    <c:v>Q4</c:v>
                  </c:pt>
                </c:lvl>
                <c:lvl>
                  <c:pt idx="0">
                    <c:v>2023</c:v>
                  </c:pt>
                  <c:pt idx="10">
                    <c:v>2024</c:v>
                  </c:pt>
                </c:lvl>
              </c:multiLvlStrCache>
            </c:multiLvlStrRef>
          </c:cat>
          <c:val>
            <c:numRef>
              <c:f>'6.6'!$F$6:$F$27</c:f>
              <c:numCache>
                <c:formatCode>#,##0</c:formatCode>
                <c:ptCount val="22"/>
                <c:pt idx="0">
                  <c:v>1.64</c:v>
                </c:pt>
                <c:pt idx="1">
                  <c:v>1.89</c:v>
                </c:pt>
                <c:pt idx="2">
                  <c:v>2.34</c:v>
                </c:pt>
                <c:pt idx="3">
                  <c:v>2.91</c:v>
                </c:pt>
                <c:pt idx="4">
                  <c:v>4.5199999999999996</c:v>
                </c:pt>
                <c:pt idx="5">
                  <c:v>4.58</c:v>
                </c:pt>
                <c:pt idx="6">
                  <c:v>4.34</c:v>
                </c:pt>
                <c:pt idx="7">
                  <c:v>3.29</c:v>
                </c:pt>
                <c:pt idx="8">
                  <c:v>2.29</c:v>
                </c:pt>
                <c:pt idx="9">
                  <c:v>3.68</c:v>
                </c:pt>
              </c:numCache>
            </c:numRef>
          </c:val>
          <c:extLst>
            <c:ext xmlns:c16="http://schemas.microsoft.com/office/drawing/2014/chart" uri="{C3380CC4-5D6E-409C-BE32-E72D297353CC}">
              <c16:uniqueId val="{00000000-EB6D-4765-848F-B50C8FE128F7}"/>
            </c:ext>
          </c:extLst>
        </c:ser>
        <c:ser>
          <c:idx val="3"/>
          <c:order val="3"/>
          <c:tx>
            <c:strRef>
              <c:f>'6.6'!$H$5</c:f>
              <c:strCache>
                <c:ptCount val="1"/>
                <c:pt idx="0">
                  <c:v>VIC-NSW-SA volume</c:v>
                </c:pt>
              </c:strCache>
            </c:strRef>
          </c:tx>
          <c:spPr>
            <a:solidFill>
              <a:srgbClr val="56B4DF"/>
            </a:solidFill>
            <a:ln>
              <a:noFill/>
            </a:ln>
            <a:effectLst/>
          </c:spPr>
          <c:invertIfNegative val="0"/>
          <c:cat>
            <c:multiLvlStrRef>
              <c:f>'6.6'!$B$6:$D$27</c:f>
              <c:multiLvlStrCache>
                <c:ptCount val="22"/>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lvl>
                <c:lvl>
                  <c:pt idx="0">
                    <c:v>Q1</c:v>
                  </c:pt>
                  <c:pt idx="1">
                    <c:v>Q2</c:v>
                  </c:pt>
                  <c:pt idx="4">
                    <c:v>Q3</c:v>
                  </c:pt>
                  <c:pt idx="7">
                    <c:v>Q4</c:v>
                  </c:pt>
                  <c:pt idx="10">
                    <c:v>Q1</c:v>
                  </c:pt>
                  <c:pt idx="13">
                    <c:v>Q2</c:v>
                  </c:pt>
                  <c:pt idx="16">
                    <c:v>Q3</c:v>
                  </c:pt>
                  <c:pt idx="19">
                    <c:v>Q4</c:v>
                  </c:pt>
                </c:lvl>
                <c:lvl>
                  <c:pt idx="0">
                    <c:v>2023</c:v>
                  </c:pt>
                  <c:pt idx="10">
                    <c:v>2024</c:v>
                  </c:pt>
                </c:lvl>
              </c:multiLvlStrCache>
            </c:multiLvlStrRef>
          </c:cat>
          <c:val>
            <c:numRef>
              <c:f>'6.6'!$H$6:$H$27</c:f>
              <c:numCache>
                <c:formatCode>#,##0</c:formatCode>
                <c:ptCount val="22"/>
                <c:pt idx="0">
                  <c:v>0.7</c:v>
                </c:pt>
                <c:pt idx="1">
                  <c:v>0.64</c:v>
                </c:pt>
                <c:pt idx="2">
                  <c:v>0.93</c:v>
                </c:pt>
                <c:pt idx="3">
                  <c:v>1.17</c:v>
                </c:pt>
                <c:pt idx="4">
                  <c:v>1.47</c:v>
                </c:pt>
                <c:pt idx="5">
                  <c:v>1.84</c:v>
                </c:pt>
                <c:pt idx="6">
                  <c:v>2</c:v>
                </c:pt>
                <c:pt idx="7">
                  <c:v>2.82</c:v>
                </c:pt>
                <c:pt idx="8">
                  <c:v>1.67</c:v>
                </c:pt>
                <c:pt idx="9">
                  <c:v>1.35</c:v>
                </c:pt>
              </c:numCache>
            </c:numRef>
          </c:val>
          <c:extLst>
            <c:ext xmlns:c16="http://schemas.microsoft.com/office/drawing/2014/chart" uri="{C3380CC4-5D6E-409C-BE32-E72D297353CC}">
              <c16:uniqueId val="{00000001-EB6D-4765-848F-B50C8FE128F7}"/>
            </c:ext>
          </c:extLst>
        </c:ser>
        <c:ser>
          <c:idx val="5"/>
          <c:order val="5"/>
          <c:tx>
            <c:strRef>
              <c:f>'6.6'!$J$5</c:f>
              <c:strCache>
                <c:ptCount val="1"/>
                <c:pt idx="0">
                  <c:v>All States volume</c:v>
                </c:pt>
              </c:strCache>
            </c:strRef>
          </c:tx>
          <c:spPr>
            <a:solidFill>
              <a:srgbClr val="0A7568"/>
            </a:solidFill>
            <a:ln>
              <a:noFill/>
            </a:ln>
            <a:effectLst/>
          </c:spPr>
          <c:invertIfNegative val="0"/>
          <c:cat>
            <c:multiLvlStrRef>
              <c:f>'6.6'!$B$6:$D$27</c:f>
              <c:multiLvlStrCache>
                <c:ptCount val="22"/>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lvl>
                <c:lvl>
                  <c:pt idx="0">
                    <c:v>Q1</c:v>
                  </c:pt>
                  <c:pt idx="1">
                    <c:v>Q2</c:v>
                  </c:pt>
                  <c:pt idx="4">
                    <c:v>Q3</c:v>
                  </c:pt>
                  <c:pt idx="7">
                    <c:v>Q4</c:v>
                  </c:pt>
                  <c:pt idx="10">
                    <c:v>Q1</c:v>
                  </c:pt>
                  <c:pt idx="13">
                    <c:v>Q2</c:v>
                  </c:pt>
                  <c:pt idx="16">
                    <c:v>Q3</c:v>
                  </c:pt>
                  <c:pt idx="19">
                    <c:v>Q4</c:v>
                  </c:pt>
                </c:lvl>
                <c:lvl>
                  <c:pt idx="0">
                    <c:v>2023</c:v>
                  </c:pt>
                  <c:pt idx="10">
                    <c:v>2024</c:v>
                  </c:pt>
                </c:lvl>
              </c:multiLvlStrCache>
            </c:multiLvlStrRef>
          </c:cat>
          <c:val>
            <c:numRef>
              <c:f>'6.6'!$J$6:$J$27</c:f>
              <c:numCache>
                <c:formatCode>General</c:formatCode>
                <c:ptCount val="22"/>
                <c:pt idx="10" formatCode="#,##0">
                  <c:v>2.86</c:v>
                </c:pt>
                <c:pt idx="11" formatCode="#,##0">
                  <c:v>2.67</c:v>
                </c:pt>
                <c:pt idx="12" formatCode="#,##0">
                  <c:v>3.72</c:v>
                </c:pt>
                <c:pt idx="13" formatCode="#,##0">
                  <c:v>2.7</c:v>
                </c:pt>
                <c:pt idx="14" formatCode="#,##0">
                  <c:v>2.4300000000000002</c:v>
                </c:pt>
                <c:pt idx="15" formatCode="#,##0">
                  <c:v>1.59</c:v>
                </c:pt>
                <c:pt idx="16" formatCode="#,##0">
                  <c:v>1.53</c:v>
                </c:pt>
                <c:pt idx="17" formatCode="#,##0">
                  <c:v>1.53</c:v>
                </c:pt>
                <c:pt idx="18" formatCode="#,##0">
                  <c:v>1.81</c:v>
                </c:pt>
                <c:pt idx="19" formatCode="#,##0">
                  <c:v>1.65</c:v>
                </c:pt>
                <c:pt idx="20" formatCode="#,##0">
                  <c:v>1.29</c:v>
                </c:pt>
                <c:pt idx="21" formatCode="#,##0">
                  <c:v>1.33</c:v>
                </c:pt>
              </c:numCache>
            </c:numRef>
          </c:val>
          <c:extLst>
            <c:ext xmlns:c16="http://schemas.microsoft.com/office/drawing/2014/chart" uri="{C3380CC4-5D6E-409C-BE32-E72D297353CC}">
              <c16:uniqueId val="{00000002-EB6D-4765-848F-B50C8FE128F7}"/>
            </c:ext>
          </c:extLst>
        </c:ser>
        <c:dLbls>
          <c:showLegendKey val="0"/>
          <c:showVal val="0"/>
          <c:showCatName val="0"/>
          <c:showSerName val="0"/>
          <c:showPercent val="0"/>
          <c:showBubbleSize val="0"/>
        </c:dLbls>
        <c:gapWidth val="150"/>
        <c:overlap val="100"/>
        <c:axId val="1814959167"/>
        <c:axId val="1626587983"/>
      </c:barChart>
      <c:lineChart>
        <c:grouping val="standard"/>
        <c:varyColors val="0"/>
        <c:ser>
          <c:idx val="0"/>
          <c:order val="0"/>
          <c:tx>
            <c:strRef>
              <c:f>'6.6'!$E$5</c:f>
              <c:strCache>
                <c:ptCount val="1"/>
                <c:pt idx="0">
                  <c:v>QLD price (rhs)</c:v>
                </c:pt>
              </c:strCache>
            </c:strRef>
          </c:tx>
          <c:spPr>
            <a:ln w="28575" cap="rnd" cmpd="sng" algn="ctr">
              <a:solidFill>
                <a:srgbClr val="005CAF"/>
              </a:solidFill>
              <a:prstDash val="solid"/>
              <a:round/>
              <a:headEnd type="none" w="med" len="med"/>
              <a:tailEnd type="none" w="med" len="med"/>
            </a:ln>
            <a:effectLst/>
          </c:spPr>
          <c:marker>
            <c:symbol val="none"/>
          </c:marker>
          <c:cat>
            <c:multiLvlStrRef>
              <c:f>'6.6'!$B$6:$D$27</c:f>
              <c:multiLvlStrCache>
                <c:ptCount val="22"/>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lvl>
                <c:lvl>
                  <c:pt idx="0">
                    <c:v>Q1</c:v>
                  </c:pt>
                  <c:pt idx="1">
                    <c:v>Q2</c:v>
                  </c:pt>
                  <c:pt idx="4">
                    <c:v>Q3</c:v>
                  </c:pt>
                  <c:pt idx="7">
                    <c:v>Q4</c:v>
                  </c:pt>
                  <c:pt idx="10">
                    <c:v>Q1</c:v>
                  </c:pt>
                  <c:pt idx="13">
                    <c:v>Q2</c:v>
                  </c:pt>
                  <c:pt idx="16">
                    <c:v>Q3</c:v>
                  </c:pt>
                  <c:pt idx="19">
                    <c:v>Q4</c:v>
                  </c:pt>
                </c:lvl>
                <c:lvl>
                  <c:pt idx="0">
                    <c:v>2023</c:v>
                  </c:pt>
                  <c:pt idx="10">
                    <c:v>2024</c:v>
                  </c:pt>
                </c:lvl>
              </c:multiLvlStrCache>
            </c:multiLvlStrRef>
          </c:cat>
          <c:val>
            <c:numRef>
              <c:f>'6.6'!$E$6:$E$27</c:f>
              <c:numCache>
                <c:formatCode>#,##0</c:formatCode>
                <c:ptCount val="22"/>
                <c:pt idx="0">
                  <c:v>9.24</c:v>
                </c:pt>
                <c:pt idx="1">
                  <c:v>12.49</c:v>
                </c:pt>
                <c:pt idx="2">
                  <c:v>14.56</c:v>
                </c:pt>
                <c:pt idx="3">
                  <c:v>11.95</c:v>
                </c:pt>
                <c:pt idx="4">
                  <c:v>11.93</c:v>
                </c:pt>
                <c:pt idx="5">
                  <c:v>11.77</c:v>
                </c:pt>
                <c:pt idx="6">
                  <c:v>11.52</c:v>
                </c:pt>
                <c:pt idx="7">
                  <c:v>11.39</c:v>
                </c:pt>
                <c:pt idx="8">
                  <c:v>12.56</c:v>
                </c:pt>
                <c:pt idx="9">
                  <c:v>12.43</c:v>
                </c:pt>
              </c:numCache>
            </c:numRef>
          </c:val>
          <c:smooth val="0"/>
          <c:extLst>
            <c:ext xmlns:c16="http://schemas.microsoft.com/office/drawing/2014/chart" uri="{C3380CC4-5D6E-409C-BE32-E72D297353CC}">
              <c16:uniqueId val="{00000003-EB6D-4765-848F-B50C8FE128F7}"/>
            </c:ext>
          </c:extLst>
        </c:ser>
        <c:ser>
          <c:idx val="2"/>
          <c:order val="2"/>
          <c:tx>
            <c:strRef>
              <c:f>'6.6'!$G$5</c:f>
              <c:strCache>
                <c:ptCount val="1"/>
                <c:pt idx="0">
                  <c:v>VIC-NSW-SA price (rhs)</c:v>
                </c:pt>
              </c:strCache>
            </c:strRef>
          </c:tx>
          <c:spPr>
            <a:ln w="28575" cap="rnd">
              <a:solidFill>
                <a:srgbClr val="56B4DF"/>
              </a:solidFill>
              <a:round/>
            </a:ln>
            <a:effectLst/>
          </c:spPr>
          <c:marker>
            <c:symbol val="none"/>
          </c:marker>
          <c:cat>
            <c:multiLvlStrRef>
              <c:f>'6.6'!$B$6:$D$27</c:f>
              <c:multiLvlStrCache>
                <c:ptCount val="22"/>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lvl>
                <c:lvl>
                  <c:pt idx="0">
                    <c:v>Q1</c:v>
                  </c:pt>
                  <c:pt idx="1">
                    <c:v>Q2</c:v>
                  </c:pt>
                  <c:pt idx="4">
                    <c:v>Q3</c:v>
                  </c:pt>
                  <c:pt idx="7">
                    <c:v>Q4</c:v>
                  </c:pt>
                  <c:pt idx="10">
                    <c:v>Q1</c:v>
                  </c:pt>
                  <c:pt idx="13">
                    <c:v>Q2</c:v>
                  </c:pt>
                  <c:pt idx="16">
                    <c:v>Q3</c:v>
                  </c:pt>
                  <c:pt idx="19">
                    <c:v>Q4</c:v>
                  </c:pt>
                </c:lvl>
                <c:lvl>
                  <c:pt idx="0">
                    <c:v>2023</c:v>
                  </c:pt>
                  <c:pt idx="10">
                    <c:v>2024</c:v>
                  </c:pt>
                </c:lvl>
              </c:multiLvlStrCache>
            </c:multiLvlStrRef>
          </c:cat>
          <c:val>
            <c:numRef>
              <c:f>'6.6'!$G$6:$G$27</c:f>
              <c:numCache>
                <c:formatCode>#,##0</c:formatCode>
                <c:ptCount val="22"/>
                <c:pt idx="0">
                  <c:v>9.51</c:v>
                </c:pt>
                <c:pt idx="1">
                  <c:v>12.14</c:v>
                </c:pt>
                <c:pt idx="2">
                  <c:v>17.45</c:v>
                </c:pt>
                <c:pt idx="3">
                  <c:v>13.61</c:v>
                </c:pt>
                <c:pt idx="4">
                  <c:v>12.29</c:v>
                </c:pt>
                <c:pt idx="5">
                  <c:v>12.55</c:v>
                </c:pt>
                <c:pt idx="6">
                  <c:v>12.06</c:v>
                </c:pt>
                <c:pt idx="7">
                  <c:v>12.82</c:v>
                </c:pt>
                <c:pt idx="8">
                  <c:v>14.29</c:v>
                </c:pt>
                <c:pt idx="9">
                  <c:v>14.75</c:v>
                </c:pt>
              </c:numCache>
            </c:numRef>
          </c:val>
          <c:smooth val="0"/>
          <c:extLst>
            <c:ext xmlns:c16="http://schemas.microsoft.com/office/drawing/2014/chart" uri="{C3380CC4-5D6E-409C-BE32-E72D297353CC}">
              <c16:uniqueId val="{00000004-EB6D-4765-848F-B50C8FE128F7}"/>
            </c:ext>
          </c:extLst>
        </c:ser>
        <c:ser>
          <c:idx val="4"/>
          <c:order val="4"/>
          <c:tx>
            <c:strRef>
              <c:f>'6.6'!$I$5</c:f>
              <c:strCache>
                <c:ptCount val="1"/>
                <c:pt idx="0">
                  <c:v>All states price (rhs)</c:v>
                </c:pt>
              </c:strCache>
            </c:strRef>
          </c:tx>
          <c:spPr>
            <a:ln w="28575" cap="rnd">
              <a:solidFill>
                <a:srgbClr val="0A7568"/>
              </a:solidFill>
              <a:round/>
            </a:ln>
            <a:effectLst/>
          </c:spPr>
          <c:marker>
            <c:symbol val="none"/>
          </c:marker>
          <c:cat>
            <c:multiLvlStrRef>
              <c:f>'6.6'!$B$6:$D$27</c:f>
              <c:multiLvlStrCache>
                <c:ptCount val="22"/>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lvl>
                <c:lvl>
                  <c:pt idx="0">
                    <c:v>Q1</c:v>
                  </c:pt>
                  <c:pt idx="1">
                    <c:v>Q2</c:v>
                  </c:pt>
                  <c:pt idx="4">
                    <c:v>Q3</c:v>
                  </c:pt>
                  <c:pt idx="7">
                    <c:v>Q4</c:v>
                  </c:pt>
                  <c:pt idx="10">
                    <c:v>Q1</c:v>
                  </c:pt>
                  <c:pt idx="13">
                    <c:v>Q2</c:v>
                  </c:pt>
                  <c:pt idx="16">
                    <c:v>Q3</c:v>
                  </c:pt>
                  <c:pt idx="19">
                    <c:v>Q4</c:v>
                  </c:pt>
                </c:lvl>
                <c:lvl>
                  <c:pt idx="0">
                    <c:v>2023</c:v>
                  </c:pt>
                  <c:pt idx="10">
                    <c:v>2024</c:v>
                  </c:pt>
                </c:lvl>
              </c:multiLvlStrCache>
            </c:multiLvlStrRef>
          </c:cat>
          <c:val>
            <c:numRef>
              <c:f>'6.6'!$I$6:$I$27</c:f>
              <c:numCache>
                <c:formatCode>General</c:formatCode>
                <c:ptCount val="22"/>
                <c:pt idx="10" formatCode="#,##0">
                  <c:v>14.66</c:v>
                </c:pt>
                <c:pt idx="11" formatCode="#,##0">
                  <c:v>14.64</c:v>
                </c:pt>
                <c:pt idx="12" formatCode="#,##0">
                  <c:v>14.86</c:v>
                </c:pt>
                <c:pt idx="13" formatCode="#,##0">
                  <c:v>15.68</c:v>
                </c:pt>
                <c:pt idx="14" formatCode="#,##0">
                  <c:v>15.89</c:v>
                </c:pt>
                <c:pt idx="15" formatCode="#,##0">
                  <c:v>16.760000000000002</c:v>
                </c:pt>
                <c:pt idx="16" formatCode="#,##0">
                  <c:v>16.86</c:v>
                </c:pt>
                <c:pt idx="17" formatCode="#,##0">
                  <c:v>16.86</c:v>
                </c:pt>
                <c:pt idx="18" formatCode="#,##0">
                  <c:v>16.32</c:v>
                </c:pt>
                <c:pt idx="19" formatCode="#,##0">
                  <c:v>15.95</c:v>
                </c:pt>
                <c:pt idx="20" formatCode="#,##0">
                  <c:v>16.02</c:v>
                </c:pt>
                <c:pt idx="21" formatCode="#,##0">
                  <c:v>16.010000000000002</c:v>
                </c:pt>
              </c:numCache>
            </c:numRef>
          </c:val>
          <c:smooth val="0"/>
          <c:extLst>
            <c:ext xmlns:c16="http://schemas.microsoft.com/office/drawing/2014/chart" uri="{C3380CC4-5D6E-409C-BE32-E72D297353CC}">
              <c16:uniqueId val="{00000005-EB6D-4765-848F-B50C8FE128F7}"/>
            </c:ext>
          </c:extLst>
        </c:ser>
        <c:dLbls>
          <c:showLegendKey val="0"/>
          <c:showVal val="0"/>
          <c:showCatName val="0"/>
          <c:showSerName val="0"/>
          <c:showPercent val="0"/>
          <c:showBubbleSize val="0"/>
        </c:dLbls>
        <c:marker val="1"/>
        <c:smooth val="0"/>
        <c:axId val="554614479"/>
        <c:axId val="328483504"/>
      </c:lineChart>
      <c:catAx>
        <c:axId val="1814959167"/>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626587983"/>
        <c:crosses val="autoZero"/>
        <c:auto val="1"/>
        <c:lblAlgn val="ctr"/>
        <c:lblOffset val="100"/>
        <c:noMultiLvlLbl val="0"/>
      </c:catAx>
      <c:valAx>
        <c:axId val="1626587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Volume (PJ)</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814959167"/>
        <c:crosses val="autoZero"/>
        <c:crossBetween val="between"/>
      </c:valAx>
      <c:valAx>
        <c:axId val="328483504"/>
        <c:scaling>
          <c:orientation val="minMax"/>
          <c:max val="21"/>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Price ($/GJ)</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54614479"/>
        <c:crosses val="max"/>
        <c:crossBetween val="between"/>
        <c:majorUnit val="3"/>
      </c:valAx>
      <c:catAx>
        <c:axId val="554614479"/>
        <c:scaling>
          <c:orientation val="minMax"/>
        </c:scaling>
        <c:delete val="1"/>
        <c:axPos val="b"/>
        <c:numFmt formatCode="General" sourceLinked="1"/>
        <c:majorTickMark val="out"/>
        <c:minorTickMark val="none"/>
        <c:tickLblPos val="nextTo"/>
        <c:crossAx val="328483504"/>
        <c:crosses val="autoZero"/>
        <c:auto val="1"/>
        <c:lblAlgn val="ctr"/>
        <c:lblOffset val="100"/>
        <c:noMultiLvlLbl val="0"/>
      </c:catAx>
      <c:spPr>
        <a:noFill/>
        <a:ln w="25400">
          <a:noFill/>
        </a:ln>
        <a:effectLst/>
      </c:spPr>
    </c:plotArea>
    <c:legend>
      <c:legendPos val="b"/>
      <c:layout>
        <c:manualLayout>
          <c:xMode val="edge"/>
          <c:yMode val="edge"/>
          <c:x val="3.5092556826623073E-2"/>
          <c:y val="0.80427871044421329"/>
          <c:w val="0.91170144109344819"/>
          <c:h val="0.167558890044404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1745654434706"/>
          <c:y val="6.1366806136680614E-2"/>
          <c:w val="0.70656508691130593"/>
          <c:h val="0.49810092779100285"/>
        </c:manualLayout>
      </c:layout>
      <c:areaChart>
        <c:grouping val="stacked"/>
        <c:varyColors val="0"/>
        <c:ser>
          <c:idx val="0"/>
          <c:order val="0"/>
          <c:tx>
            <c:strRef>
              <c:f>'1.7'!$C$5</c:f>
              <c:strCache>
                <c:ptCount val="1"/>
                <c:pt idx="0">
                  <c:v>Unknown</c:v>
                </c:pt>
              </c:strCache>
            </c:strRef>
          </c:tx>
          <c:spPr>
            <a:solidFill>
              <a:srgbClr val="BCBFC1"/>
            </a:solidFill>
            <a:ln>
              <a:noFill/>
            </a:ln>
            <a:effectLst/>
          </c:spPr>
          <c:cat>
            <c:strRef>
              <c:f>'1.7'!$B$6:$B$39</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'1.7'!$C$6:$C$39</c:f>
              <c:numCache>
                <c:formatCode>0</c:formatCode>
                <c:ptCount val="34"/>
                <c:pt idx="0">
                  <c:v>2</c:v>
                </c:pt>
                <c:pt idx="1">
                  <c:v>3</c:v>
                </c:pt>
                <c:pt idx="2">
                  <c:v>5</c:v>
                </c:pt>
                <c:pt idx="3">
                  <c:v>5</c:v>
                </c:pt>
                <c:pt idx="4">
                  <c:v>6</c:v>
                </c:pt>
                <c:pt idx="5">
                  <c:v>7</c:v>
                </c:pt>
                <c:pt idx="6">
                  <c:v>7</c:v>
                </c:pt>
                <c:pt idx="7">
                  <c:v>7</c:v>
                </c:pt>
                <c:pt idx="8">
                  <c:v>8</c:v>
                </c:pt>
                <c:pt idx="9">
                  <c:v>8</c:v>
                </c:pt>
                <c:pt idx="10">
                  <c:v>8</c:v>
                </c:pt>
                <c:pt idx="11">
                  <c:v>8</c:v>
                </c:pt>
                <c:pt idx="12">
                  <c:v>8</c:v>
                </c:pt>
                <c:pt idx="13">
                  <c:v>8</c:v>
                </c:pt>
                <c:pt idx="14">
                  <c:v>8</c:v>
                </c:pt>
                <c:pt idx="15">
                  <c:v>11</c:v>
                </c:pt>
                <c:pt idx="16">
                  <c:v>12</c:v>
                </c:pt>
                <c:pt idx="17">
                  <c:v>14</c:v>
                </c:pt>
                <c:pt idx="18">
                  <c:v>14</c:v>
                </c:pt>
                <c:pt idx="19">
                  <c:v>15</c:v>
                </c:pt>
                <c:pt idx="20">
                  <c:v>18</c:v>
                </c:pt>
                <c:pt idx="21">
                  <c:v>20</c:v>
                </c:pt>
              </c:numCache>
            </c:numRef>
          </c:val>
          <c:extLst>
            <c:ext xmlns:c16="http://schemas.microsoft.com/office/drawing/2014/chart" uri="{C3380CC4-5D6E-409C-BE32-E72D297353CC}">
              <c16:uniqueId val="{00000000-5D57-430D-9BBD-490586A48ED7}"/>
            </c:ext>
          </c:extLst>
        </c:ser>
        <c:ser>
          <c:idx val="1"/>
          <c:order val="1"/>
          <c:tx>
            <c:strRef>
              <c:f>'1.7'!$D$5</c:f>
              <c:strCache>
                <c:ptCount val="1"/>
                <c:pt idx="0">
                  <c:v>Japan</c:v>
                </c:pt>
              </c:strCache>
            </c:strRef>
          </c:tx>
          <c:spPr>
            <a:solidFill>
              <a:srgbClr val="005CAF"/>
            </a:solidFill>
            <a:ln>
              <a:noFill/>
            </a:ln>
            <a:effectLst/>
          </c:spPr>
          <c:cat>
            <c:strRef>
              <c:f>'1.7'!$B$6:$B$39</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'1.7'!$D$6:$D$39</c:f>
              <c:numCache>
                <c:formatCode>General</c:formatCode>
                <c:ptCount val="34"/>
                <c:pt idx="22" formatCode="0">
                  <c:v>14</c:v>
                </c:pt>
                <c:pt idx="23" formatCode="0">
                  <c:v>18</c:v>
                </c:pt>
                <c:pt idx="24" formatCode="0">
                  <c:v>19</c:v>
                </c:pt>
                <c:pt idx="25" formatCode="0">
                  <c:v>18</c:v>
                </c:pt>
                <c:pt idx="26" formatCode="0">
                  <c:v>20</c:v>
                </c:pt>
                <c:pt idx="27" formatCode="0">
                  <c:v>26</c:v>
                </c:pt>
                <c:pt idx="28" formatCode="0">
                  <c:v>27</c:v>
                </c:pt>
                <c:pt idx="29" formatCode="0">
                  <c:v>30</c:v>
                </c:pt>
                <c:pt idx="30" formatCode="0">
                  <c:v>30</c:v>
                </c:pt>
                <c:pt idx="31" formatCode="0">
                  <c:v>29</c:v>
                </c:pt>
                <c:pt idx="32" formatCode="0">
                  <c:v>30</c:v>
                </c:pt>
                <c:pt idx="33" formatCode="0">
                  <c:v>29.0481835</c:v>
                </c:pt>
              </c:numCache>
            </c:numRef>
          </c:val>
          <c:extLst>
            <c:ext xmlns:c16="http://schemas.microsoft.com/office/drawing/2014/chart" uri="{C3380CC4-5D6E-409C-BE32-E72D297353CC}">
              <c16:uniqueId val="{00000001-5D57-430D-9BBD-490586A48ED7}"/>
            </c:ext>
          </c:extLst>
        </c:ser>
        <c:ser>
          <c:idx val="2"/>
          <c:order val="2"/>
          <c:tx>
            <c:strRef>
              <c:f>'1.7'!$E$5</c:f>
              <c:strCache>
                <c:ptCount val="1"/>
                <c:pt idx="0">
                  <c:v>China </c:v>
                </c:pt>
              </c:strCache>
            </c:strRef>
          </c:tx>
          <c:spPr>
            <a:solidFill>
              <a:srgbClr val="56B4DF"/>
            </a:solidFill>
            <a:ln>
              <a:noFill/>
            </a:ln>
            <a:effectLst/>
          </c:spPr>
          <c:cat>
            <c:strRef>
              <c:f>'1.7'!$B$6:$B$39</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'1.7'!$E$6:$E$39</c:f>
              <c:numCache>
                <c:formatCode>General</c:formatCode>
                <c:ptCount val="34"/>
                <c:pt idx="22" formatCode="0">
                  <c:v>4</c:v>
                </c:pt>
                <c:pt idx="23" formatCode="0">
                  <c:v>4</c:v>
                </c:pt>
                <c:pt idx="24" formatCode="0">
                  <c:v>4</c:v>
                </c:pt>
                <c:pt idx="25" formatCode="0">
                  <c:v>5</c:v>
                </c:pt>
                <c:pt idx="26" formatCode="0">
                  <c:v>8</c:v>
                </c:pt>
                <c:pt idx="27" formatCode="0">
                  <c:v>15</c:v>
                </c:pt>
                <c:pt idx="28" formatCode="0">
                  <c:v>20</c:v>
                </c:pt>
                <c:pt idx="29" formatCode="0">
                  <c:v>28</c:v>
                </c:pt>
                <c:pt idx="30" formatCode="0">
                  <c:v>29</c:v>
                </c:pt>
                <c:pt idx="31" formatCode="0">
                  <c:v>31</c:v>
                </c:pt>
                <c:pt idx="32" formatCode="0">
                  <c:v>27</c:v>
                </c:pt>
                <c:pt idx="33" formatCode="0">
                  <c:v>22.464182999999998</c:v>
                </c:pt>
              </c:numCache>
            </c:numRef>
          </c:val>
          <c:extLst>
            <c:ext xmlns:c16="http://schemas.microsoft.com/office/drawing/2014/chart" uri="{C3380CC4-5D6E-409C-BE32-E72D297353CC}">
              <c16:uniqueId val="{00000002-5D57-430D-9BBD-490586A48ED7}"/>
            </c:ext>
          </c:extLst>
        </c:ser>
        <c:ser>
          <c:idx val="3"/>
          <c:order val="3"/>
          <c:tx>
            <c:strRef>
              <c:f>'1.7'!$F$5</c:f>
              <c:strCache>
                <c:ptCount val="1"/>
                <c:pt idx="0">
                  <c:v>ROK</c:v>
                </c:pt>
              </c:strCache>
            </c:strRef>
          </c:tx>
          <c:spPr>
            <a:solidFill>
              <a:srgbClr val="9ED9DF"/>
            </a:solidFill>
            <a:ln>
              <a:noFill/>
            </a:ln>
            <a:effectLst/>
          </c:spPr>
          <c:cat>
            <c:strRef>
              <c:f>'1.7'!$B$6:$B$39</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'1.7'!$F$6:$F$39</c:f>
              <c:numCache>
                <c:formatCode>General</c:formatCode>
                <c:ptCount val="34"/>
                <c:pt idx="22" formatCode="0">
                  <c:v>0</c:v>
                </c:pt>
                <c:pt idx="23" formatCode="0">
                  <c:v>1</c:v>
                </c:pt>
                <c:pt idx="24" formatCode="0">
                  <c:v>1</c:v>
                </c:pt>
                <c:pt idx="25" formatCode="0">
                  <c:v>1</c:v>
                </c:pt>
                <c:pt idx="26" formatCode="0">
                  <c:v>4</c:v>
                </c:pt>
                <c:pt idx="27" formatCode="0">
                  <c:v>7</c:v>
                </c:pt>
                <c:pt idx="28" formatCode="0">
                  <c:v>7</c:v>
                </c:pt>
                <c:pt idx="29" formatCode="0">
                  <c:v>8</c:v>
                </c:pt>
                <c:pt idx="30" formatCode="0">
                  <c:v>8</c:v>
                </c:pt>
                <c:pt idx="31" formatCode="0">
                  <c:v>8</c:v>
                </c:pt>
                <c:pt idx="32" formatCode="0">
                  <c:v>11</c:v>
                </c:pt>
                <c:pt idx="33" formatCode="0">
                  <c:v>11.5704113</c:v>
                </c:pt>
              </c:numCache>
            </c:numRef>
          </c:val>
          <c:extLst>
            <c:ext xmlns:c16="http://schemas.microsoft.com/office/drawing/2014/chart" uri="{C3380CC4-5D6E-409C-BE32-E72D297353CC}">
              <c16:uniqueId val="{00000003-5D57-430D-9BBD-490586A48ED7}"/>
            </c:ext>
          </c:extLst>
        </c:ser>
        <c:ser>
          <c:idx val="4"/>
          <c:order val="4"/>
          <c:tx>
            <c:strRef>
              <c:f>'1.7'!$G$5</c:f>
              <c:strCache>
                <c:ptCount val="1"/>
                <c:pt idx="0">
                  <c:v>Taiwan</c:v>
                </c:pt>
              </c:strCache>
            </c:strRef>
          </c:tx>
          <c:spPr>
            <a:solidFill>
              <a:srgbClr val="51B7A4"/>
            </a:solidFill>
            <a:ln>
              <a:noFill/>
            </a:ln>
            <a:effectLst/>
          </c:spPr>
          <c:cat>
            <c:strRef>
              <c:f>'1.7'!$B$6:$B$39</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'1.7'!$G$6:$G$39</c:f>
              <c:numCache>
                <c:formatCode>General</c:formatCode>
                <c:ptCount val="34"/>
                <c:pt idx="22" formatCode="0">
                  <c:v>0</c:v>
                </c:pt>
                <c:pt idx="23" formatCode="0">
                  <c:v>0</c:v>
                </c:pt>
                <c:pt idx="24" formatCode="0">
                  <c:v>0</c:v>
                </c:pt>
                <c:pt idx="25" formatCode="0">
                  <c:v>0</c:v>
                </c:pt>
                <c:pt idx="26" formatCode="0">
                  <c:v>0</c:v>
                </c:pt>
                <c:pt idx="27" formatCode="0">
                  <c:v>1</c:v>
                </c:pt>
                <c:pt idx="28" formatCode="0">
                  <c:v>1</c:v>
                </c:pt>
                <c:pt idx="29" formatCode="0">
                  <c:v>4</c:v>
                </c:pt>
                <c:pt idx="30" formatCode="0">
                  <c:v>6</c:v>
                </c:pt>
                <c:pt idx="31" formatCode="0">
                  <c:v>6</c:v>
                </c:pt>
                <c:pt idx="32" formatCode="0">
                  <c:v>7</c:v>
                </c:pt>
                <c:pt idx="33" formatCode="0">
                  <c:v>8.4770465500000007</c:v>
                </c:pt>
              </c:numCache>
            </c:numRef>
          </c:val>
          <c:extLst>
            <c:ext xmlns:c16="http://schemas.microsoft.com/office/drawing/2014/chart" uri="{C3380CC4-5D6E-409C-BE32-E72D297353CC}">
              <c16:uniqueId val="{00000004-5D57-430D-9BBD-490586A48ED7}"/>
            </c:ext>
          </c:extLst>
        </c:ser>
        <c:ser>
          <c:idx val="5"/>
          <c:order val="5"/>
          <c:tx>
            <c:strRef>
              <c:f>'1.7'!$H$5</c:f>
              <c:strCache>
                <c:ptCount val="1"/>
                <c:pt idx="0">
                  <c:v>India</c:v>
                </c:pt>
              </c:strCache>
            </c:strRef>
          </c:tx>
          <c:spPr>
            <a:solidFill>
              <a:srgbClr val="0A7568"/>
            </a:solidFill>
            <a:ln>
              <a:noFill/>
            </a:ln>
            <a:effectLst/>
          </c:spPr>
          <c:cat>
            <c:strRef>
              <c:f>'1.7'!$B$6:$B$39</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'1.7'!$H$6:$H$39</c:f>
              <c:numCache>
                <c:formatCode>General</c:formatCode>
                <c:ptCount val="34"/>
                <c:pt idx="22" formatCode="0">
                  <c:v>0</c:v>
                </c:pt>
                <c:pt idx="23" formatCode="0">
                  <c:v>0</c:v>
                </c:pt>
                <c:pt idx="24" formatCode="0">
                  <c:v>0</c:v>
                </c:pt>
                <c:pt idx="25" formatCode="0">
                  <c:v>0</c:v>
                </c:pt>
                <c:pt idx="26" formatCode="0">
                  <c:v>1</c:v>
                </c:pt>
                <c:pt idx="27" formatCode="0">
                  <c:v>2</c:v>
                </c:pt>
                <c:pt idx="28" formatCode="0">
                  <c:v>2</c:v>
                </c:pt>
                <c:pt idx="29" formatCode="0">
                  <c:v>1</c:v>
                </c:pt>
                <c:pt idx="30" formatCode="0">
                  <c:v>1</c:v>
                </c:pt>
                <c:pt idx="31" formatCode="0">
                  <c:v>1</c:v>
                </c:pt>
                <c:pt idx="32" formatCode="0">
                  <c:v>0</c:v>
                </c:pt>
                <c:pt idx="33" formatCode="0">
                  <c:v>0.50036455000000002</c:v>
                </c:pt>
              </c:numCache>
            </c:numRef>
          </c:val>
          <c:extLst>
            <c:ext xmlns:c16="http://schemas.microsoft.com/office/drawing/2014/chart" uri="{C3380CC4-5D6E-409C-BE32-E72D297353CC}">
              <c16:uniqueId val="{00000005-5D57-430D-9BBD-490586A48ED7}"/>
            </c:ext>
          </c:extLst>
        </c:ser>
        <c:ser>
          <c:idx val="6"/>
          <c:order val="6"/>
          <c:tx>
            <c:strRef>
              <c:f>'1.7'!$I$5</c:f>
              <c:strCache>
                <c:ptCount val="1"/>
                <c:pt idx="0">
                  <c:v>Other</c:v>
                </c:pt>
              </c:strCache>
            </c:strRef>
          </c:tx>
          <c:spPr>
            <a:solidFill>
              <a:srgbClr val="D1AAF7"/>
            </a:solidFill>
            <a:ln>
              <a:noFill/>
            </a:ln>
            <a:effectLst/>
          </c:spPr>
          <c:cat>
            <c:strRef>
              <c:f>'1.7'!$B$6:$B$39</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'1.7'!$I$6:$I$39</c:f>
              <c:numCache>
                <c:formatCode>General</c:formatCode>
                <c:ptCount val="34"/>
                <c:pt idx="22" formatCode="0">
                  <c:v>1</c:v>
                </c:pt>
                <c:pt idx="23" formatCode="0">
                  <c:v>0</c:v>
                </c:pt>
                <c:pt idx="24" formatCode="0">
                  <c:v>0</c:v>
                </c:pt>
                <c:pt idx="25" formatCode="0">
                  <c:v>1</c:v>
                </c:pt>
                <c:pt idx="26" formatCode="0">
                  <c:v>4</c:v>
                </c:pt>
                <c:pt idx="27" formatCode="0">
                  <c:v>3</c:v>
                </c:pt>
                <c:pt idx="28" formatCode="0">
                  <c:v>4</c:v>
                </c:pt>
                <c:pt idx="29" formatCode="0">
                  <c:v>5</c:v>
                </c:pt>
                <c:pt idx="30" formatCode="0">
                  <c:v>6</c:v>
                </c:pt>
                <c:pt idx="31" formatCode="0">
                  <c:v>3</c:v>
                </c:pt>
                <c:pt idx="32" formatCode="0">
                  <c:v>8</c:v>
                </c:pt>
                <c:pt idx="33" formatCode="0">
                  <c:v>10</c:v>
                </c:pt>
              </c:numCache>
            </c:numRef>
          </c:val>
          <c:extLst>
            <c:ext xmlns:c16="http://schemas.microsoft.com/office/drawing/2014/chart" uri="{C3380CC4-5D6E-409C-BE32-E72D297353CC}">
              <c16:uniqueId val="{00000006-5D57-430D-9BBD-490586A48ED7}"/>
            </c:ext>
          </c:extLst>
        </c:ser>
        <c:dLbls>
          <c:showLegendKey val="0"/>
          <c:showVal val="0"/>
          <c:showCatName val="0"/>
          <c:showSerName val="0"/>
          <c:showPercent val="0"/>
          <c:showBubbleSize val="0"/>
        </c:dLbls>
        <c:axId val="867825151"/>
        <c:axId val="30151359"/>
      </c:areaChart>
      <c:lineChart>
        <c:grouping val="standard"/>
        <c:varyColors val="0"/>
        <c:ser>
          <c:idx val="7"/>
          <c:order val="7"/>
          <c:tx>
            <c:strRef>
              <c:f>'1.7'!$J$5</c:f>
              <c:strCache>
                <c:ptCount val="1"/>
                <c:pt idx="0">
                  <c:v>Value (RHS)</c:v>
                </c:pt>
              </c:strCache>
            </c:strRef>
          </c:tx>
          <c:spPr>
            <a:ln w="28575" cap="rnd">
              <a:solidFill>
                <a:srgbClr val="F36A5A"/>
              </a:solidFill>
              <a:prstDash val="sysDash"/>
              <a:round/>
            </a:ln>
            <a:effectLst/>
          </c:spPr>
          <c:marker>
            <c:symbol val="none"/>
          </c:marker>
          <c:cat>
            <c:strRef>
              <c:f>'1.7'!$B$6:$B$39</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'1.7'!$J$6:$J$39</c:f>
              <c:numCache>
                <c:formatCode>0</c:formatCode>
                <c:ptCount val="34"/>
                <c:pt idx="0">
                  <c:v>0</c:v>
                </c:pt>
                <c:pt idx="1">
                  <c:v>1</c:v>
                </c:pt>
                <c:pt idx="2">
                  <c:v>1</c:v>
                </c:pt>
                <c:pt idx="3">
                  <c:v>1</c:v>
                </c:pt>
                <c:pt idx="4">
                  <c:v>1</c:v>
                </c:pt>
                <c:pt idx="5">
                  <c:v>1</c:v>
                </c:pt>
                <c:pt idx="6">
                  <c:v>1</c:v>
                </c:pt>
                <c:pt idx="7">
                  <c:v>2</c:v>
                </c:pt>
                <c:pt idx="8">
                  <c:v>2</c:v>
                </c:pt>
                <c:pt idx="9">
                  <c:v>1</c:v>
                </c:pt>
                <c:pt idx="10">
                  <c:v>2</c:v>
                </c:pt>
                <c:pt idx="11">
                  <c:v>3</c:v>
                </c:pt>
                <c:pt idx="12">
                  <c:v>3</c:v>
                </c:pt>
                <c:pt idx="13">
                  <c:v>3</c:v>
                </c:pt>
                <c:pt idx="14">
                  <c:v>2</c:v>
                </c:pt>
                <c:pt idx="15">
                  <c:v>3</c:v>
                </c:pt>
                <c:pt idx="16">
                  <c:v>4</c:v>
                </c:pt>
                <c:pt idx="17">
                  <c:v>5</c:v>
                </c:pt>
                <c:pt idx="18">
                  <c:v>6</c:v>
                </c:pt>
                <c:pt idx="19">
                  <c:v>10</c:v>
                </c:pt>
                <c:pt idx="20">
                  <c:v>8</c:v>
                </c:pt>
                <c:pt idx="21">
                  <c:v>10</c:v>
                </c:pt>
                <c:pt idx="22">
                  <c:v>12</c:v>
                </c:pt>
                <c:pt idx="23">
                  <c:v>14</c:v>
                </c:pt>
                <c:pt idx="24">
                  <c:v>16</c:v>
                </c:pt>
                <c:pt idx="25">
                  <c:v>17</c:v>
                </c:pt>
                <c:pt idx="26">
                  <c:v>17</c:v>
                </c:pt>
                <c:pt idx="27">
                  <c:v>22</c:v>
                </c:pt>
                <c:pt idx="28">
                  <c:v>31</c:v>
                </c:pt>
                <c:pt idx="29">
                  <c:v>50</c:v>
                </c:pt>
                <c:pt idx="30">
                  <c:v>48</c:v>
                </c:pt>
                <c:pt idx="31">
                  <c:v>30</c:v>
                </c:pt>
                <c:pt idx="32">
                  <c:v>71</c:v>
                </c:pt>
                <c:pt idx="33">
                  <c:v>92</c:v>
                </c:pt>
              </c:numCache>
            </c:numRef>
          </c:val>
          <c:smooth val="0"/>
          <c:extLst>
            <c:ext xmlns:c16="http://schemas.microsoft.com/office/drawing/2014/chart" uri="{C3380CC4-5D6E-409C-BE32-E72D297353CC}">
              <c16:uniqueId val="{00000007-5D57-430D-9BBD-490586A48ED7}"/>
            </c:ext>
          </c:extLst>
        </c:ser>
        <c:dLbls>
          <c:showLegendKey val="0"/>
          <c:showVal val="0"/>
          <c:showCatName val="0"/>
          <c:showSerName val="0"/>
          <c:showPercent val="0"/>
          <c:showBubbleSize val="0"/>
        </c:dLbls>
        <c:marker val="1"/>
        <c:smooth val="0"/>
        <c:axId val="931294191"/>
        <c:axId val="143302191"/>
      </c:lineChart>
      <c:catAx>
        <c:axId val="867825151"/>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0151359"/>
        <c:crosses val="autoZero"/>
        <c:auto val="1"/>
        <c:lblAlgn val="ctr"/>
        <c:lblOffset val="100"/>
        <c:tickLblSkip val="5"/>
        <c:tickMarkSkip val="5"/>
        <c:noMultiLvlLbl val="0"/>
      </c:catAx>
      <c:valAx>
        <c:axId val="30151359"/>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Million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67825151"/>
        <c:crosses val="autoZero"/>
        <c:crossBetween val="midCat"/>
      </c:valAx>
      <c:valAx>
        <c:axId val="143302191"/>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A$ billion</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931294191"/>
        <c:crosses val="max"/>
        <c:crossBetween val="between"/>
      </c:valAx>
      <c:catAx>
        <c:axId val="931294191"/>
        <c:scaling>
          <c:orientation val="minMax"/>
        </c:scaling>
        <c:delete val="1"/>
        <c:axPos val="b"/>
        <c:numFmt formatCode="General" sourceLinked="1"/>
        <c:majorTickMark val="out"/>
        <c:minorTickMark val="none"/>
        <c:tickLblPos val="nextTo"/>
        <c:crossAx val="143302191"/>
        <c:crosses val="autoZero"/>
        <c:auto val="1"/>
        <c:lblAlgn val="ctr"/>
        <c:lblOffset val="100"/>
        <c:noMultiLvlLbl val="0"/>
      </c:catAx>
      <c:spPr>
        <a:noFill/>
        <a:ln w="25400">
          <a:noFill/>
        </a:ln>
        <a:effectLst/>
      </c:spPr>
    </c:plotArea>
    <c:legend>
      <c:legendPos val="b"/>
      <c:layout>
        <c:manualLayout>
          <c:xMode val="edge"/>
          <c:yMode val="edge"/>
          <c:x val="7.1251463378398439E-2"/>
          <c:y val="0.78165781602881046"/>
          <c:w val="0.85447796761253902"/>
          <c:h val="0.1737116981016907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4163964798517"/>
          <c:y val="8.6614173228346455E-2"/>
          <c:w val="0.82470541917554419"/>
          <c:h val="0.65148442218781244"/>
        </c:manualLayout>
      </c:layout>
      <c:barChart>
        <c:barDir val="col"/>
        <c:grouping val="stacked"/>
        <c:varyColors val="0"/>
        <c:ser>
          <c:idx val="0"/>
          <c:order val="0"/>
          <c:tx>
            <c:strRef>
              <c:f>'7.2'!$C$5</c:f>
              <c:strCache>
                <c:ptCount val="1"/>
                <c:pt idx="0">
                  <c:v>Forecast DMO amount</c:v>
                </c:pt>
              </c:strCache>
            </c:strRef>
          </c:tx>
          <c:spPr>
            <a:solidFill>
              <a:srgbClr val="005CAF"/>
            </a:solidFill>
            <a:ln>
              <a:noFill/>
            </a:ln>
            <a:effectLst/>
          </c:spPr>
          <c:invertIfNegative val="0"/>
          <c:cat>
            <c:numRef>
              <c:f>'7.2'!$B$6:$B$12</c:f>
              <c:numCache>
                <c:formatCode>General</c:formatCode>
                <c:ptCount val="7"/>
                <c:pt idx="0">
                  <c:v>2023</c:v>
                </c:pt>
                <c:pt idx="1">
                  <c:v>2024</c:v>
                </c:pt>
                <c:pt idx="2">
                  <c:v>2025</c:v>
                </c:pt>
                <c:pt idx="3">
                  <c:v>2026</c:v>
                </c:pt>
                <c:pt idx="4">
                  <c:v>2027</c:v>
                </c:pt>
                <c:pt idx="5">
                  <c:v>2028</c:v>
                </c:pt>
                <c:pt idx="6">
                  <c:v>2029</c:v>
                </c:pt>
              </c:numCache>
            </c:numRef>
          </c:cat>
          <c:val>
            <c:numRef>
              <c:f>'7.2'!$C$6:$C$12</c:f>
              <c:numCache>
                <c:formatCode>#,##0</c:formatCode>
                <c:ptCount val="7"/>
                <c:pt idx="0">
                  <c:v>242.80895999999998</c:v>
                </c:pt>
                <c:pt idx="1">
                  <c:v>224.4217450958904</c:v>
                </c:pt>
                <c:pt idx="2">
                  <c:v>205.15766311978084</c:v>
                </c:pt>
                <c:pt idx="3">
                  <c:v>230.52062484820695</c:v>
                </c:pt>
                <c:pt idx="4">
                  <c:v>231.30133115586648</c:v>
                </c:pt>
                <c:pt idx="5">
                  <c:v>253.58080949289632</c:v>
                </c:pt>
                <c:pt idx="6">
                  <c:v>264.21963391665844</c:v>
                </c:pt>
              </c:numCache>
            </c:numRef>
          </c:val>
          <c:extLst>
            <c:ext xmlns:c16="http://schemas.microsoft.com/office/drawing/2014/chart" uri="{C3380CC4-5D6E-409C-BE32-E72D297353CC}">
              <c16:uniqueId val="{00000000-9939-4653-93C5-E59A9F3F1727}"/>
            </c:ext>
          </c:extLst>
        </c:ser>
        <c:ser>
          <c:idx val="1"/>
          <c:order val="1"/>
          <c:tx>
            <c:strRef>
              <c:f>'7.2'!$D$5</c:f>
              <c:strCache>
                <c:ptCount val="1"/>
                <c:pt idx="0">
                  <c:v>Additional gas from DMO</c:v>
                </c:pt>
              </c:strCache>
            </c:strRef>
          </c:tx>
          <c:spPr>
            <a:solidFill>
              <a:srgbClr val="56B4DF"/>
            </a:solidFill>
            <a:ln>
              <a:noFill/>
            </a:ln>
            <a:effectLst/>
          </c:spPr>
          <c:invertIfNegative val="0"/>
          <c:cat>
            <c:numRef>
              <c:f>'7.2'!$B$6:$B$12</c:f>
              <c:numCache>
                <c:formatCode>General</c:formatCode>
                <c:ptCount val="7"/>
                <c:pt idx="0">
                  <c:v>2023</c:v>
                </c:pt>
                <c:pt idx="1">
                  <c:v>2024</c:v>
                </c:pt>
                <c:pt idx="2">
                  <c:v>2025</c:v>
                </c:pt>
                <c:pt idx="3">
                  <c:v>2026</c:v>
                </c:pt>
                <c:pt idx="4">
                  <c:v>2027</c:v>
                </c:pt>
                <c:pt idx="5">
                  <c:v>2028</c:v>
                </c:pt>
                <c:pt idx="6">
                  <c:v>2029</c:v>
                </c:pt>
              </c:numCache>
            </c:numRef>
          </c:cat>
          <c:val>
            <c:numRef>
              <c:f>'7.2'!$D$6:$D$12</c:f>
              <c:numCache>
                <c:formatCode>#,##0</c:formatCode>
                <c:ptCount val="7"/>
                <c:pt idx="0">
                  <c:v>121.40447999999995</c:v>
                </c:pt>
                <c:pt idx="1">
                  <c:v>112.2108725479452</c:v>
                </c:pt>
                <c:pt idx="2">
                  <c:v>102.5788315598904</c:v>
                </c:pt>
                <c:pt idx="3">
                  <c:v>83.825681762984374</c:v>
                </c:pt>
                <c:pt idx="4">
                  <c:v>84.109574965769582</c:v>
                </c:pt>
                <c:pt idx="5">
                  <c:v>39.012432229676335</c:v>
                </c:pt>
                <c:pt idx="6">
                  <c:v>9.111021859195148</c:v>
                </c:pt>
              </c:numCache>
            </c:numRef>
          </c:val>
          <c:extLst>
            <c:ext xmlns:c16="http://schemas.microsoft.com/office/drawing/2014/chart" uri="{C3380CC4-5D6E-409C-BE32-E72D297353CC}">
              <c16:uniqueId val="{00000001-9939-4653-93C5-E59A9F3F1727}"/>
            </c:ext>
          </c:extLst>
        </c:ser>
        <c:dLbls>
          <c:showLegendKey val="0"/>
          <c:showVal val="0"/>
          <c:showCatName val="0"/>
          <c:showSerName val="0"/>
          <c:showPercent val="0"/>
          <c:showBubbleSize val="0"/>
        </c:dLbls>
        <c:gapWidth val="150"/>
        <c:overlap val="100"/>
        <c:axId val="123451296"/>
        <c:axId val="892279887"/>
      </c:barChart>
      <c:catAx>
        <c:axId val="123451296"/>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92279887"/>
        <c:crosses val="autoZero"/>
        <c:auto val="1"/>
        <c:lblAlgn val="ctr"/>
        <c:lblOffset val="100"/>
        <c:noMultiLvlLbl val="0"/>
      </c:catAx>
      <c:valAx>
        <c:axId val="892279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PJ/year</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23451296"/>
        <c:crosses val="autoZero"/>
        <c:crossBetween val="between"/>
      </c:valAx>
      <c:spPr>
        <a:noFill/>
        <a:ln w="25400">
          <a:noFill/>
        </a:ln>
        <a:effectLst/>
      </c:spPr>
    </c:plotArea>
    <c:legend>
      <c:legendPos val="b"/>
      <c:layout>
        <c:manualLayout>
          <c:xMode val="edge"/>
          <c:yMode val="edge"/>
          <c:x val="0.14101296896711443"/>
          <c:y val="0.83937751875503752"/>
          <c:w val="0.76209147753589634"/>
          <c:h val="0.1133783867567735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'1.8'!$C$5</c:f>
              <c:strCache>
                <c:ptCount val="1"/>
                <c:pt idx="0">
                  <c:v>Extraction</c:v>
                </c:pt>
              </c:strCache>
            </c:strRef>
          </c:tx>
          <c:spPr>
            <a:solidFill>
              <a:srgbClr val="005CAF"/>
            </a:solidFill>
            <a:ln>
              <a:noFill/>
            </a:ln>
            <a:effectLst/>
          </c:spPr>
          <c:invertIfNegative val="0"/>
          <c:cat>
            <c:numRef>
              <c:f>'1.8'!$B$6:$B$19</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'1.8'!$C$6:$C$19</c:f>
              <c:numCache>
                <c:formatCode>0</c:formatCode>
                <c:ptCount val="14"/>
                <c:pt idx="0">
                  <c:v>17.91</c:v>
                </c:pt>
                <c:pt idx="1">
                  <c:v>30.856999999999999</c:v>
                </c:pt>
                <c:pt idx="2">
                  <c:v>46.890999999999998</c:v>
                </c:pt>
                <c:pt idx="3">
                  <c:v>59.701000000000001</c:v>
                </c:pt>
                <c:pt idx="4">
                  <c:v>56.606999999999999</c:v>
                </c:pt>
                <c:pt idx="5">
                  <c:v>46.917999999999999</c:v>
                </c:pt>
                <c:pt idx="6">
                  <c:v>29.545000000000002</c:v>
                </c:pt>
                <c:pt idx="7">
                  <c:v>22.242999999999999</c:v>
                </c:pt>
                <c:pt idx="8">
                  <c:v>15.436</c:v>
                </c:pt>
                <c:pt idx="9">
                  <c:v>10.217000000000001</c:v>
                </c:pt>
                <c:pt idx="10">
                  <c:v>8.1539999999999999</c:v>
                </c:pt>
                <c:pt idx="11">
                  <c:v>9.08</c:v>
                </c:pt>
                <c:pt idx="12">
                  <c:v>12.867000000000001</c:v>
                </c:pt>
                <c:pt idx="13">
                  <c:v>15.933</c:v>
                </c:pt>
              </c:numCache>
            </c:numRef>
          </c:val>
          <c:extLst>
            <c:ext xmlns:c16="http://schemas.microsoft.com/office/drawing/2014/chart" uri="{C3380CC4-5D6E-409C-BE32-E72D297353CC}">
              <c16:uniqueId val="{00000000-A44D-4952-A2D1-364E163CC82C}"/>
            </c:ext>
          </c:extLst>
        </c:ser>
        <c:ser>
          <c:idx val="1"/>
          <c:order val="1"/>
          <c:tx>
            <c:strRef>
              <c:f>'1.8'!$D$5</c:f>
              <c:strCache>
                <c:ptCount val="1"/>
                <c:pt idx="0">
                  <c:v>Exploration</c:v>
                </c:pt>
              </c:strCache>
            </c:strRef>
          </c:tx>
          <c:spPr>
            <a:solidFill>
              <a:srgbClr val="56B4DF"/>
            </a:solidFill>
            <a:ln>
              <a:noFill/>
            </a:ln>
            <a:effectLst/>
          </c:spPr>
          <c:invertIfNegative val="0"/>
          <c:cat>
            <c:numRef>
              <c:f>'1.8'!$B$6:$B$19</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'1.8'!$D$6:$D$19</c:f>
              <c:numCache>
                <c:formatCode>0</c:formatCode>
                <c:ptCount val="14"/>
                <c:pt idx="0">
                  <c:v>3.5663</c:v>
                </c:pt>
                <c:pt idx="1">
                  <c:v>3.2852000000000001</c:v>
                </c:pt>
                <c:pt idx="2">
                  <c:v>4.0023999999999997</c:v>
                </c:pt>
                <c:pt idx="3">
                  <c:v>4.5293999999999999</c:v>
                </c:pt>
                <c:pt idx="4">
                  <c:v>4.7389000000000001</c:v>
                </c:pt>
                <c:pt idx="5">
                  <c:v>2.7233000000000001</c:v>
                </c:pt>
                <c:pt idx="6">
                  <c:v>1.4016999999999999</c:v>
                </c:pt>
                <c:pt idx="7">
                  <c:v>1.2141999999999999</c:v>
                </c:pt>
                <c:pt idx="8">
                  <c:v>1.1597999999999999</c:v>
                </c:pt>
                <c:pt idx="9">
                  <c:v>1.3848</c:v>
                </c:pt>
                <c:pt idx="10">
                  <c:v>0.99470000000000003</c:v>
                </c:pt>
                <c:pt idx="11">
                  <c:v>1.1312</c:v>
                </c:pt>
                <c:pt idx="12">
                  <c:v>0.9708</c:v>
                </c:pt>
                <c:pt idx="13">
                  <c:v>1.0610999999999999</c:v>
                </c:pt>
              </c:numCache>
            </c:numRef>
          </c:val>
          <c:extLst>
            <c:ext xmlns:c16="http://schemas.microsoft.com/office/drawing/2014/chart" uri="{C3380CC4-5D6E-409C-BE32-E72D297353CC}">
              <c16:uniqueId val="{00000001-A44D-4952-A2D1-364E163CC82C}"/>
            </c:ext>
          </c:extLst>
        </c:ser>
        <c:dLbls>
          <c:showLegendKey val="0"/>
          <c:showVal val="0"/>
          <c:showCatName val="0"/>
          <c:showSerName val="0"/>
          <c:showPercent val="0"/>
          <c:showBubbleSize val="0"/>
        </c:dLbls>
        <c:gapWidth val="150"/>
        <c:overlap val="100"/>
        <c:axId val="783758127"/>
        <c:axId val="398474111"/>
      </c:barChart>
      <c:catAx>
        <c:axId val="783758127"/>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8474111"/>
        <c:crosses val="autoZero"/>
        <c:auto val="1"/>
        <c:lblAlgn val="ctr"/>
        <c:lblOffset val="100"/>
        <c:tickLblSkip val="1"/>
        <c:noMultiLvlLbl val="0"/>
      </c:catAx>
      <c:valAx>
        <c:axId val="39847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A$ billion</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78375812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'1.9'!$C$5</c:f>
              <c:strCache>
                <c:ptCount val="1"/>
                <c:pt idx="0">
                  <c:v>Cost</c:v>
                </c:pt>
              </c:strCache>
            </c:strRef>
          </c:tx>
          <c:spPr>
            <a:solidFill>
              <a:srgbClr val="005CAF"/>
            </a:solidFill>
            <a:ln>
              <a:noFill/>
            </a:ln>
            <a:effectLst/>
          </c:spPr>
          <c:invertIfNegative val="0"/>
          <c:dPt>
            <c:idx val="0"/>
            <c:invertIfNegative val="0"/>
            <c:bubble3D val="0"/>
            <c:spPr>
              <a:solidFill>
                <a:srgbClr val="60307F"/>
              </a:solidFill>
              <a:ln>
                <a:noFill/>
              </a:ln>
              <a:effectLst/>
            </c:spPr>
            <c:extLst>
              <c:ext xmlns:c16="http://schemas.microsoft.com/office/drawing/2014/chart" uri="{C3380CC4-5D6E-409C-BE32-E72D297353CC}">
                <c16:uniqueId val="{00000001-38E8-4FB4-A8C1-C436B5742FE7}"/>
              </c:ext>
            </c:extLst>
          </c:dPt>
          <c:dPt>
            <c:idx val="1"/>
            <c:invertIfNegative val="0"/>
            <c:bubble3D val="0"/>
            <c:spPr>
              <a:solidFill>
                <a:srgbClr val="D1AAF7"/>
              </a:solidFill>
              <a:ln>
                <a:noFill/>
              </a:ln>
              <a:effectLst/>
            </c:spPr>
            <c:extLst>
              <c:ext xmlns:c16="http://schemas.microsoft.com/office/drawing/2014/chart" uri="{C3380CC4-5D6E-409C-BE32-E72D297353CC}">
                <c16:uniqueId val="{00000003-38E8-4FB4-A8C1-C436B5742FE7}"/>
              </c:ext>
            </c:extLst>
          </c:dPt>
          <c:dPt>
            <c:idx val="2"/>
            <c:invertIfNegative val="0"/>
            <c:bubble3D val="0"/>
            <c:spPr>
              <a:solidFill>
                <a:srgbClr val="0A7568"/>
              </a:solidFill>
              <a:ln>
                <a:noFill/>
              </a:ln>
              <a:effectLst/>
            </c:spPr>
            <c:extLst>
              <c:ext xmlns:c16="http://schemas.microsoft.com/office/drawing/2014/chart" uri="{C3380CC4-5D6E-409C-BE32-E72D297353CC}">
                <c16:uniqueId val="{00000005-38E8-4FB4-A8C1-C436B5742FE7}"/>
              </c:ext>
            </c:extLst>
          </c:dPt>
          <c:dPt>
            <c:idx val="3"/>
            <c:invertIfNegative val="0"/>
            <c:bubble3D val="0"/>
            <c:spPr>
              <a:solidFill>
                <a:srgbClr val="51B7A4"/>
              </a:solidFill>
              <a:ln>
                <a:noFill/>
              </a:ln>
              <a:effectLst/>
            </c:spPr>
            <c:extLst>
              <c:ext xmlns:c16="http://schemas.microsoft.com/office/drawing/2014/chart" uri="{C3380CC4-5D6E-409C-BE32-E72D297353CC}">
                <c16:uniqueId val="{00000007-38E8-4FB4-A8C1-C436B5742FE7}"/>
              </c:ext>
            </c:extLst>
          </c:dPt>
          <c:dPt>
            <c:idx val="4"/>
            <c:invertIfNegative val="0"/>
            <c:bubble3D val="0"/>
            <c:spPr>
              <a:solidFill>
                <a:srgbClr val="BCBFC1"/>
              </a:solidFill>
              <a:ln>
                <a:noFill/>
              </a:ln>
              <a:effectLst/>
            </c:spPr>
            <c:extLst>
              <c:ext xmlns:c16="http://schemas.microsoft.com/office/drawing/2014/chart" uri="{C3380CC4-5D6E-409C-BE32-E72D297353CC}">
                <c16:uniqueId val="{00000009-38E8-4FB4-A8C1-C436B5742FE7}"/>
              </c:ext>
            </c:extLst>
          </c:dPt>
          <c:dPt>
            <c:idx val="5"/>
            <c:invertIfNegative val="0"/>
            <c:bubble3D val="0"/>
            <c:spPr>
              <a:solidFill>
                <a:srgbClr val="9ED9DF"/>
              </a:solidFill>
              <a:ln>
                <a:noFill/>
              </a:ln>
              <a:effectLst/>
            </c:spPr>
            <c:extLst>
              <c:ext xmlns:c16="http://schemas.microsoft.com/office/drawing/2014/chart" uri="{C3380CC4-5D6E-409C-BE32-E72D297353CC}">
                <c16:uniqueId val="{0000000B-38E8-4FB4-A8C1-C436B5742FE7}"/>
              </c:ext>
            </c:extLst>
          </c:dPt>
          <c:dPt>
            <c:idx val="6"/>
            <c:invertIfNegative val="0"/>
            <c:bubble3D val="0"/>
            <c:spPr>
              <a:solidFill>
                <a:srgbClr val="56B4DF"/>
              </a:solidFill>
              <a:ln>
                <a:noFill/>
              </a:ln>
              <a:effectLst/>
            </c:spPr>
            <c:extLst>
              <c:ext xmlns:c16="http://schemas.microsoft.com/office/drawing/2014/chart" uri="{C3380CC4-5D6E-409C-BE32-E72D297353CC}">
                <c16:uniqueId val="{0000000D-38E8-4FB4-A8C1-C436B5742FE7}"/>
              </c:ext>
            </c:extLst>
          </c:dPt>
          <c:dPt>
            <c:idx val="8"/>
            <c:invertIfNegative val="0"/>
            <c:bubble3D val="0"/>
            <c:spPr>
              <a:noFill/>
              <a:ln>
                <a:solidFill>
                  <a:srgbClr val="F36A5A"/>
                </a:solidFill>
                <a:prstDash val="sysDash"/>
              </a:ln>
              <a:effectLst/>
            </c:spPr>
            <c:extLst>
              <c:ext xmlns:c16="http://schemas.microsoft.com/office/drawing/2014/chart" uri="{C3380CC4-5D6E-409C-BE32-E72D297353CC}">
                <c16:uniqueId val="{0000000F-38E8-4FB4-A8C1-C436B5742FE7}"/>
              </c:ext>
            </c:extLst>
          </c:dPt>
          <c:cat>
            <c:strRef>
              <c:f>'1.9'!$B$6:$B$14</c:f>
              <c:strCache>
                <c:ptCount val="9"/>
                <c:pt idx="0">
                  <c:v>Pluto</c:v>
                </c:pt>
                <c:pt idx="1">
                  <c:v>QCLNG</c:v>
                </c:pt>
                <c:pt idx="2">
                  <c:v>APLNG</c:v>
                </c:pt>
                <c:pt idx="3">
                  <c:v>GLNG</c:v>
                </c:pt>
                <c:pt idx="4">
                  <c:v>Gorgon</c:v>
                </c:pt>
                <c:pt idx="5">
                  <c:v>Prelude</c:v>
                </c:pt>
                <c:pt idx="6">
                  <c:v>Wheatstone</c:v>
                </c:pt>
                <c:pt idx="7">
                  <c:v>Ichthys</c:v>
                </c:pt>
                <c:pt idx="8">
                  <c:v>Total</c:v>
                </c:pt>
              </c:strCache>
            </c:strRef>
          </c:cat>
          <c:val>
            <c:numRef>
              <c:f>'1.9'!$C$6:$C$14</c:f>
              <c:numCache>
                <c:formatCode>0</c:formatCode>
                <c:ptCount val="9"/>
                <c:pt idx="0">
                  <c:v>14.9</c:v>
                </c:pt>
                <c:pt idx="1">
                  <c:v>20.399999999999999</c:v>
                </c:pt>
                <c:pt idx="2">
                  <c:v>24.7</c:v>
                </c:pt>
                <c:pt idx="3">
                  <c:v>18.5</c:v>
                </c:pt>
                <c:pt idx="4">
                  <c:v>78</c:v>
                </c:pt>
                <c:pt idx="5">
                  <c:v>16.38</c:v>
                </c:pt>
                <c:pt idx="6">
                  <c:v>58.110000000000007</c:v>
                </c:pt>
                <c:pt idx="7">
                  <c:v>55.25</c:v>
                </c:pt>
                <c:pt idx="8">
                  <c:v>286.24</c:v>
                </c:pt>
              </c:numCache>
            </c:numRef>
          </c:val>
          <c:extLst>
            <c:ext xmlns:c16="http://schemas.microsoft.com/office/drawing/2014/chart" uri="{C3380CC4-5D6E-409C-BE32-E72D297353CC}">
              <c16:uniqueId val="{00000010-38E8-4FB4-A8C1-C436B5742FE7}"/>
            </c:ext>
          </c:extLst>
        </c:ser>
        <c:dLbls>
          <c:showLegendKey val="0"/>
          <c:showVal val="0"/>
          <c:showCatName val="0"/>
          <c:showSerName val="0"/>
          <c:showPercent val="0"/>
          <c:showBubbleSize val="0"/>
        </c:dLbls>
        <c:gapWidth val="50"/>
        <c:axId val="931984015"/>
        <c:axId val="398465471"/>
      </c:barChart>
      <c:catAx>
        <c:axId val="931984015"/>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398465471"/>
        <c:crosses val="autoZero"/>
        <c:auto val="1"/>
        <c:lblAlgn val="ctr"/>
        <c:lblOffset val="100"/>
        <c:noMultiLvlLbl val="0"/>
      </c:catAx>
      <c:valAx>
        <c:axId val="398465471"/>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A$</a:t>
                </a:r>
                <a:r>
                  <a:rPr lang="en-AU" baseline="0"/>
                  <a:t> billlion</a:t>
                </a:r>
                <a:endParaRPr lang="en-AU"/>
              </a:p>
            </c:rich>
          </c:tx>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93198401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AE7722-55B5-45BD-9397-6BFAAF49CD50}" type="doc">
      <dgm:prSet loTypeId="urn:microsoft.com/office/officeart/2005/8/layout/chevron1" loCatId="process" qsTypeId="urn:microsoft.com/office/officeart/2005/8/quickstyle/simple1" qsCatId="simple" csTypeId="urn:microsoft.com/office/officeart/2005/8/colors/colorful2" csCatId="colorful" phldr="1"/>
      <dgm:spPr/>
      <dgm:t>
        <a:bodyPr/>
        <a:lstStyle/>
        <a:p>
          <a:endParaRPr lang="en-AU"/>
        </a:p>
      </dgm:t>
    </dgm:pt>
    <dgm:pt modelId="{C8819962-3D83-48F6-9397-3991C9C627BD}">
      <dgm:prSet phldrT="[Text]" custT="1"/>
      <dgm:spPr>
        <a:xfrm>
          <a:off x="1951" y="0"/>
          <a:ext cx="1135938" cy="397835"/>
        </a:xfrm>
        <a:prstGeom prst="chevron">
          <a:avLst/>
        </a:prstGeom>
        <a:solidFill>
          <a:srgbClr val="0A7568"/>
        </a:solidFill>
        <a:ln w="25400" cap="flat" cmpd="sng" algn="ctr">
          <a:solidFill>
            <a:srgbClr val="FFFFFF">
              <a:hueOff val="0"/>
              <a:satOff val="0"/>
              <a:lumOff val="0"/>
              <a:alphaOff val="0"/>
            </a:srgbClr>
          </a:solidFill>
          <a:prstDash val="solid"/>
        </a:ln>
        <a:effectLst/>
      </dgm:spPr>
      <dgm:t>
        <a:bodyPr/>
        <a:lstStyle/>
        <a:p>
          <a:pPr>
            <a:buNone/>
          </a:pPr>
          <a:endParaRPr lang="en-AU" sz="800" b="1">
            <a:solidFill>
              <a:sysClr val="windowText" lastClr="000000"/>
            </a:solidFill>
            <a:latin typeface="Arial"/>
            <a:ea typeface="+mn-ea"/>
            <a:cs typeface="+mn-cs"/>
          </a:endParaRPr>
        </a:p>
        <a:p>
          <a:pPr>
            <a:buNone/>
          </a:pPr>
          <a:r>
            <a:rPr lang="en-AU" sz="800" b="1">
              <a:solidFill>
                <a:schemeClr val="bg1"/>
              </a:solidFill>
              <a:latin typeface="Arial"/>
              <a:ea typeface="+mn-ea"/>
              <a:cs typeface="+mn-cs"/>
            </a:rPr>
            <a:t>Upstream</a:t>
          </a:r>
        </a:p>
        <a:p>
          <a:pPr>
            <a:buNone/>
          </a:pPr>
          <a:r>
            <a:rPr lang="en-AU" sz="800" b="1">
              <a:solidFill>
                <a:schemeClr val="bg1"/>
              </a:solidFill>
              <a:latin typeface="Arial"/>
              <a:ea typeface="+mn-ea"/>
              <a:cs typeface="+mn-cs"/>
            </a:rPr>
            <a:t>40 to 42%</a:t>
          </a:r>
        </a:p>
        <a:p>
          <a:pPr>
            <a:buNone/>
          </a:pPr>
          <a:r>
            <a:rPr lang="en-AU" sz="800">
              <a:solidFill>
                <a:sysClr val="windowText" lastClr="000000"/>
              </a:solidFill>
              <a:latin typeface="Arial"/>
              <a:ea typeface="+mn-ea"/>
              <a:cs typeface="+mn-cs"/>
            </a:rPr>
            <a:t> </a:t>
          </a:r>
          <a:endParaRPr lang="en-AU" sz="800" dirty="0">
            <a:solidFill>
              <a:sysClr val="windowText" lastClr="000000"/>
            </a:solidFill>
            <a:latin typeface="Arial"/>
            <a:ea typeface="+mn-ea"/>
            <a:cs typeface="+mn-cs"/>
          </a:endParaRPr>
        </a:p>
      </dgm:t>
    </dgm:pt>
    <dgm:pt modelId="{5E3E876B-222C-4C0F-93FF-F4A1C34A1DFB}" type="parTrans" cxnId="{1EFF4329-35F1-47DE-B90D-B4E4AA1A6CB5}">
      <dgm:prSet/>
      <dgm:spPr/>
      <dgm:t>
        <a:bodyPr/>
        <a:lstStyle/>
        <a:p>
          <a:endParaRPr lang="en-AU" sz="800">
            <a:solidFill>
              <a:sysClr val="windowText" lastClr="000000"/>
            </a:solidFill>
          </a:endParaRPr>
        </a:p>
      </dgm:t>
    </dgm:pt>
    <dgm:pt modelId="{0B287F14-CD4B-4709-9D9E-227130696453}" type="sibTrans" cxnId="{1EFF4329-35F1-47DE-B90D-B4E4AA1A6CB5}">
      <dgm:prSet/>
      <dgm:spPr/>
      <dgm:t>
        <a:bodyPr/>
        <a:lstStyle/>
        <a:p>
          <a:endParaRPr lang="en-AU" sz="800">
            <a:solidFill>
              <a:sysClr val="windowText" lastClr="000000"/>
            </a:solidFill>
          </a:endParaRPr>
        </a:p>
      </dgm:t>
    </dgm:pt>
    <dgm:pt modelId="{5B4B0909-7516-4372-B34F-4D069D98226A}">
      <dgm:prSet phldrT="[Text]" custT="1"/>
      <dgm:spPr>
        <a:xfrm>
          <a:off x="2046640" y="0"/>
          <a:ext cx="1135938" cy="397835"/>
        </a:xfrm>
        <a:prstGeom prst="chevron">
          <a:avLst/>
        </a:prstGeom>
        <a:solidFill>
          <a:srgbClr val="9ED9DF"/>
        </a:solidFill>
        <a:ln w="25400" cap="flat" cmpd="sng" algn="ctr">
          <a:solidFill>
            <a:srgbClr val="FFFFFF">
              <a:hueOff val="0"/>
              <a:satOff val="0"/>
              <a:lumOff val="0"/>
              <a:alphaOff val="0"/>
            </a:srgbClr>
          </a:solidFill>
          <a:prstDash val="solid"/>
        </a:ln>
        <a:effectLst/>
      </dgm:spPr>
      <dgm:t>
        <a:bodyPr/>
        <a:lstStyle/>
        <a:p>
          <a:pPr marL="0" lvl="0" algn="ctr" defTabSz="666750">
            <a:lnSpc>
              <a:spcPct val="90000"/>
            </a:lnSpc>
            <a:spcBef>
              <a:spcPct val="0"/>
            </a:spcBef>
            <a:spcAft>
              <a:spcPct val="35000"/>
            </a:spcAft>
            <a:buNone/>
          </a:pPr>
          <a:r>
            <a:rPr lang="en-AU" sz="800" b="1" kern="1200">
              <a:solidFill>
                <a:sysClr val="windowText" lastClr="000000"/>
              </a:solidFill>
              <a:latin typeface="Arial"/>
              <a:ea typeface="+mn-ea"/>
              <a:cs typeface="+mn-cs"/>
            </a:rPr>
            <a:t>Shipping</a:t>
          </a:r>
        </a:p>
        <a:p>
          <a:pPr marL="0" lvl="0" algn="ctr" defTabSz="666750">
            <a:lnSpc>
              <a:spcPct val="90000"/>
            </a:lnSpc>
            <a:spcBef>
              <a:spcPct val="0"/>
            </a:spcBef>
            <a:spcAft>
              <a:spcPct val="35000"/>
            </a:spcAft>
            <a:buNone/>
          </a:pPr>
          <a:r>
            <a:rPr lang="en-AU" sz="800" b="1" kern="1200">
              <a:solidFill>
                <a:sysClr val="windowText" lastClr="000000"/>
              </a:solidFill>
              <a:latin typeface="Calibri" panose="020F0502020204030204"/>
              <a:ea typeface="+mn-ea"/>
              <a:cs typeface="+mn-cs"/>
            </a:rPr>
            <a:t>7 to 16%</a:t>
          </a:r>
          <a:endParaRPr lang="en-AU" sz="800" b="1" kern="1200" dirty="0">
            <a:solidFill>
              <a:sysClr val="windowText" lastClr="000000"/>
            </a:solidFill>
            <a:latin typeface="Calibri" panose="020F0502020204030204"/>
            <a:ea typeface="+mn-ea"/>
            <a:cs typeface="+mn-cs"/>
          </a:endParaRPr>
        </a:p>
      </dgm:t>
    </dgm:pt>
    <dgm:pt modelId="{0B99E42F-E7A9-48AD-882B-3588878F0CC9}" type="parTrans" cxnId="{B6AD3B0E-86BC-4780-9835-18380B08E5CD}">
      <dgm:prSet/>
      <dgm:spPr/>
      <dgm:t>
        <a:bodyPr/>
        <a:lstStyle/>
        <a:p>
          <a:endParaRPr lang="en-AU" sz="800">
            <a:solidFill>
              <a:sysClr val="windowText" lastClr="000000"/>
            </a:solidFill>
          </a:endParaRPr>
        </a:p>
      </dgm:t>
    </dgm:pt>
    <dgm:pt modelId="{C3A729C3-E5F1-4B6E-9066-89258E5975F1}" type="sibTrans" cxnId="{B6AD3B0E-86BC-4780-9835-18380B08E5CD}">
      <dgm:prSet/>
      <dgm:spPr/>
      <dgm:t>
        <a:bodyPr/>
        <a:lstStyle/>
        <a:p>
          <a:endParaRPr lang="en-AU" sz="800">
            <a:solidFill>
              <a:sysClr val="windowText" lastClr="000000"/>
            </a:solidFill>
          </a:endParaRPr>
        </a:p>
      </dgm:t>
    </dgm:pt>
    <dgm:pt modelId="{48BB08E7-63CB-440D-80D4-D9A761A58E56}">
      <dgm:prSet phldrT="[Text]" custT="1"/>
      <dgm:spPr>
        <a:xfrm>
          <a:off x="1024296" y="0"/>
          <a:ext cx="1135938" cy="397835"/>
        </a:xfrm>
        <a:prstGeom prst="chevron">
          <a:avLst/>
        </a:prstGeom>
        <a:solidFill>
          <a:srgbClr val="51B7A4"/>
        </a:solidFill>
        <a:ln w="25400" cap="flat" cmpd="sng" algn="ctr">
          <a:solidFill>
            <a:srgbClr val="FFFFFF">
              <a:hueOff val="0"/>
              <a:satOff val="0"/>
              <a:lumOff val="0"/>
              <a:alphaOff val="0"/>
            </a:srgbClr>
          </a:solidFill>
          <a:prstDash val="solid"/>
        </a:ln>
        <a:effectLst/>
      </dgm:spPr>
      <dgm:t>
        <a:bodyPr/>
        <a:lstStyle/>
        <a:p>
          <a:pPr marL="0" lvl="0" algn="ctr" defTabSz="666750">
            <a:lnSpc>
              <a:spcPct val="90000"/>
            </a:lnSpc>
            <a:spcBef>
              <a:spcPct val="0"/>
            </a:spcBef>
            <a:spcAft>
              <a:spcPct val="35000"/>
            </a:spcAft>
            <a:buNone/>
          </a:pPr>
          <a:r>
            <a:rPr lang="en-AU" sz="800" b="1" kern="1200">
              <a:solidFill>
                <a:sysClr val="windowText" lastClr="000000"/>
              </a:solidFill>
              <a:latin typeface="Arial"/>
              <a:ea typeface="+mn-ea"/>
              <a:cs typeface="+mn-cs"/>
            </a:rPr>
            <a:t>Liquefaction</a:t>
          </a:r>
        </a:p>
        <a:p>
          <a:pPr marL="0" lvl="0" algn="ctr" defTabSz="666750">
            <a:lnSpc>
              <a:spcPct val="90000"/>
            </a:lnSpc>
            <a:spcBef>
              <a:spcPct val="0"/>
            </a:spcBef>
            <a:spcAft>
              <a:spcPct val="35000"/>
            </a:spcAft>
            <a:buNone/>
          </a:pPr>
          <a:r>
            <a:rPr lang="en-AU" sz="800" b="1" kern="1200">
              <a:solidFill>
                <a:sysClr val="windowText" lastClr="000000"/>
              </a:solidFill>
              <a:latin typeface="Calibri" panose="020F0502020204030204"/>
              <a:ea typeface="+mn-ea"/>
              <a:cs typeface="+mn-cs"/>
            </a:rPr>
            <a:t>36 to 41%</a:t>
          </a:r>
          <a:endParaRPr lang="en-AU" sz="800" b="1" kern="1200" dirty="0">
            <a:solidFill>
              <a:sysClr val="windowText" lastClr="000000"/>
            </a:solidFill>
            <a:latin typeface="Calibri" panose="020F0502020204030204"/>
            <a:ea typeface="+mn-ea"/>
            <a:cs typeface="+mn-cs"/>
          </a:endParaRPr>
        </a:p>
      </dgm:t>
    </dgm:pt>
    <dgm:pt modelId="{2948E5F9-7E86-4AEA-8E19-C24091B3EF2C}" type="parTrans" cxnId="{B8896426-8065-406D-B494-ED42B740B8D0}">
      <dgm:prSet/>
      <dgm:spPr/>
      <dgm:t>
        <a:bodyPr/>
        <a:lstStyle/>
        <a:p>
          <a:endParaRPr lang="en-AU" sz="800">
            <a:solidFill>
              <a:sysClr val="windowText" lastClr="000000"/>
            </a:solidFill>
          </a:endParaRPr>
        </a:p>
      </dgm:t>
    </dgm:pt>
    <dgm:pt modelId="{5D78B448-DEB6-4041-9B92-444C45989711}" type="sibTrans" cxnId="{B8896426-8065-406D-B494-ED42B740B8D0}">
      <dgm:prSet/>
      <dgm:spPr/>
      <dgm:t>
        <a:bodyPr/>
        <a:lstStyle/>
        <a:p>
          <a:endParaRPr lang="en-AU" sz="800">
            <a:solidFill>
              <a:sysClr val="windowText" lastClr="000000"/>
            </a:solidFill>
          </a:endParaRPr>
        </a:p>
      </dgm:t>
    </dgm:pt>
    <dgm:pt modelId="{E5C47898-8D40-45A3-BF40-A2E3C667F860}">
      <dgm:prSet phldrT="[Text]" custT="1"/>
      <dgm:spPr>
        <a:xfrm>
          <a:off x="3068985" y="0"/>
          <a:ext cx="1135938" cy="397835"/>
        </a:xfrm>
        <a:prstGeom prst="chevron">
          <a:avLst/>
        </a:prstGeom>
        <a:solidFill>
          <a:srgbClr val="005CAF">
            <a:lumMod val="20000"/>
            <a:lumOff val="80000"/>
          </a:srgbClr>
        </a:solidFill>
        <a:ln w="25400" cap="flat" cmpd="sng" algn="ctr">
          <a:solidFill>
            <a:srgbClr val="FFFFFF">
              <a:hueOff val="0"/>
              <a:satOff val="0"/>
              <a:lumOff val="0"/>
              <a:alphaOff val="0"/>
            </a:srgbClr>
          </a:solidFill>
          <a:prstDash val="solid"/>
        </a:ln>
        <a:effectLst/>
      </dgm:spPr>
      <dgm:t>
        <a:bodyPr/>
        <a:lstStyle/>
        <a:p>
          <a:pPr marL="0" lvl="0" indent="0" algn="ctr" defTabSz="666750">
            <a:lnSpc>
              <a:spcPct val="90000"/>
            </a:lnSpc>
            <a:spcBef>
              <a:spcPct val="0"/>
            </a:spcBef>
            <a:spcAft>
              <a:spcPct val="35000"/>
            </a:spcAft>
            <a:buNone/>
          </a:pPr>
          <a:r>
            <a:rPr lang="en-AU" sz="800" b="1" kern="1200">
              <a:solidFill>
                <a:sysClr val="windowText" lastClr="000000"/>
              </a:solidFill>
              <a:latin typeface="Calibri" panose="020F0502020204030204"/>
              <a:ea typeface="+mn-ea"/>
              <a:cs typeface="+mn-cs"/>
            </a:rPr>
            <a:t>Regasification</a:t>
          </a:r>
        </a:p>
        <a:p>
          <a:pPr marL="0" lvl="0" algn="ctr" defTabSz="666750">
            <a:lnSpc>
              <a:spcPct val="90000"/>
            </a:lnSpc>
            <a:spcBef>
              <a:spcPct val="0"/>
            </a:spcBef>
            <a:spcAft>
              <a:spcPct val="35000"/>
            </a:spcAft>
            <a:buNone/>
          </a:pPr>
          <a:r>
            <a:rPr lang="en-AU" sz="800" b="1" kern="1200">
              <a:solidFill>
                <a:sysClr val="windowText" lastClr="000000"/>
              </a:solidFill>
              <a:latin typeface="Calibri" panose="020F0502020204030204"/>
              <a:ea typeface="+mn-ea"/>
              <a:cs typeface="+mn-cs"/>
            </a:rPr>
            <a:t>3 to 15%</a:t>
          </a:r>
          <a:endParaRPr lang="en-AU" sz="800" b="1" kern="1200" dirty="0">
            <a:solidFill>
              <a:sysClr val="windowText" lastClr="000000"/>
            </a:solidFill>
            <a:latin typeface="Calibri" panose="020F0502020204030204"/>
            <a:ea typeface="+mn-ea"/>
            <a:cs typeface="+mn-cs"/>
          </a:endParaRPr>
        </a:p>
      </dgm:t>
    </dgm:pt>
    <dgm:pt modelId="{499FC473-DF4B-4B03-A0D7-3B21987624F6}" type="parTrans" cxnId="{89462D68-5170-4F2F-8A0B-CD1DB12CF50C}">
      <dgm:prSet/>
      <dgm:spPr/>
      <dgm:t>
        <a:bodyPr/>
        <a:lstStyle/>
        <a:p>
          <a:endParaRPr lang="en-AU" sz="800">
            <a:solidFill>
              <a:sysClr val="windowText" lastClr="000000"/>
            </a:solidFill>
          </a:endParaRPr>
        </a:p>
      </dgm:t>
    </dgm:pt>
    <dgm:pt modelId="{70714695-078A-45E5-A453-FD8BFF74A980}" type="sibTrans" cxnId="{89462D68-5170-4F2F-8A0B-CD1DB12CF50C}">
      <dgm:prSet/>
      <dgm:spPr/>
      <dgm:t>
        <a:bodyPr/>
        <a:lstStyle/>
        <a:p>
          <a:endParaRPr lang="en-AU" sz="800">
            <a:solidFill>
              <a:sysClr val="windowText" lastClr="000000"/>
            </a:solidFill>
          </a:endParaRPr>
        </a:p>
      </dgm:t>
    </dgm:pt>
    <dgm:pt modelId="{B6411947-0626-4D39-8E59-CFA7DA0A7CC7}" type="pres">
      <dgm:prSet presAssocID="{37AE7722-55B5-45BD-9397-6BFAAF49CD50}" presName="Name0" presStyleCnt="0">
        <dgm:presLayoutVars>
          <dgm:dir/>
          <dgm:animLvl val="lvl"/>
          <dgm:resizeHandles val="exact"/>
        </dgm:presLayoutVars>
      </dgm:prSet>
      <dgm:spPr/>
    </dgm:pt>
    <dgm:pt modelId="{0C5170DF-3641-468F-918C-96035A2DCBAE}" type="pres">
      <dgm:prSet presAssocID="{C8819962-3D83-48F6-9397-3991C9C627BD}" presName="parTxOnly" presStyleLbl="node1" presStyleIdx="0" presStyleCnt="4" custScaleY="218790">
        <dgm:presLayoutVars>
          <dgm:chMax val="0"/>
          <dgm:chPref val="0"/>
          <dgm:bulletEnabled val="1"/>
        </dgm:presLayoutVars>
      </dgm:prSet>
      <dgm:spPr/>
    </dgm:pt>
    <dgm:pt modelId="{4C2936B2-4FAB-494E-BD1C-1A4E26C33E1D}" type="pres">
      <dgm:prSet presAssocID="{0B287F14-CD4B-4709-9D9E-227130696453}" presName="parTxOnlySpace" presStyleCnt="0"/>
      <dgm:spPr/>
    </dgm:pt>
    <dgm:pt modelId="{3C60A74A-453B-47E0-8620-BA26F66972C6}" type="pres">
      <dgm:prSet presAssocID="{48BB08E7-63CB-440D-80D4-D9A761A58E56}" presName="parTxOnly" presStyleLbl="node1" presStyleIdx="1" presStyleCnt="4" custScaleY="218790">
        <dgm:presLayoutVars>
          <dgm:chMax val="0"/>
          <dgm:chPref val="0"/>
          <dgm:bulletEnabled val="1"/>
        </dgm:presLayoutVars>
      </dgm:prSet>
      <dgm:spPr/>
    </dgm:pt>
    <dgm:pt modelId="{3B30A62B-242D-47CF-BA9A-5F026BAED5DB}" type="pres">
      <dgm:prSet presAssocID="{5D78B448-DEB6-4041-9B92-444C45989711}" presName="parTxOnlySpace" presStyleCnt="0"/>
      <dgm:spPr/>
    </dgm:pt>
    <dgm:pt modelId="{6B40B282-4543-4E44-B881-A0EE9CD11C9B}" type="pres">
      <dgm:prSet presAssocID="{5B4B0909-7516-4372-B34F-4D069D98226A}" presName="parTxOnly" presStyleLbl="node1" presStyleIdx="2" presStyleCnt="4" custScaleY="218790">
        <dgm:presLayoutVars>
          <dgm:chMax val="0"/>
          <dgm:chPref val="0"/>
          <dgm:bulletEnabled val="1"/>
        </dgm:presLayoutVars>
      </dgm:prSet>
      <dgm:spPr/>
    </dgm:pt>
    <dgm:pt modelId="{314A92EF-F6B0-45E2-A6F9-ED3C1BDBEBB2}" type="pres">
      <dgm:prSet presAssocID="{C3A729C3-E5F1-4B6E-9066-89258E5975F1}" presName="parTxOnlySpace" presStyleCnt="0"/>
      <dgm:spPr/>
    </dgm:pt>
    <dgm:pt modelId="{EE714ACB-A045-43CA-835C-AC3FCF2207EA}" type="pres">
      <dgm:prSet presAssocID="{E5C47898-8D40-45A3-BF40-A2E3C667F860}" presName="parTxOnly" presStyleLbl="node1" presStyleIdx="3" presStyleCnt="4" custScaleY="218790">
        <dgm:presLayoutVars>
          <dgm:chMax val="0"/>
          <dgm:chPref val="0"/>
          <dgm:bulletEnabled val="1"/>
        </dgm:presLayoutVars>
      </dgm:prSet>
      <dgm:spPr/>
    </dgm:pt>
  </dgm:ptLst>
  <dgm:cxnLst>
    <dgm:cxn modelId="{B6D95F07-439D-4655-B43B-A41012FA8D57}" type="presOf" srcId="{5B4B0909-7516-4372-B34F-4D069D98226A}" destId="{6B40B282-4543-4E44-B881-A0EE9CD11C9B}" srcOrd="0" destOrd="0" presId="urn:microsoft.com/office/officeart/2005/8/layout/chevron1"/>
    <dgm:cxn modelId="{B6AD3B0E-86BC-4780-9835-18380B08E5CD}" srcId="{37AE7722-55B5-45BD-9397-6BFAAF49CD50}" destId="{5B4B0909-7516-4372-B34F-4D069D98226A}" srcOrd="2" destOrd="0" parTransId="{0B99E42F-E7A9-48AD-882B-3588878F0CC9}" sibTransId="{C3A729C3-E5F1-4B6E-9066-89258E5975F1}"/>
    <dgm:cxn modelId="{188FCB15-54DC-404F-9D9D-51E347663E09}" type="presOf" srcId="{48BB08E7-63CB-440D-80D4-D9A761A58E56}" destId="{3C60A74A-453B-47E0-8620-BA26F66972C6}" srcOrd="0" destOrd="0" presId="urn:microsoft.com/office/officeart/2005/8/layout/chevron1"/>
    <dgm:cxn modelId="{B8896426-8065-406D-B494-ED42B740B8D0}" srcId="{37AE7722-55B5-45BD-9397-6BFAAF49CD50}" destId="{48BB08E7-63CB-440D-80D4-D9A761A58E56}" srcOrd="1" destOrd="0" parTransId="{2948E5F9-7E86-4AEA-8E19-C24091B3EF2C}" sibTransId="{5D78B448-DEB6-4041-9B92-444C45989711}"/>
    <dgm:cxn modelId="{1EFF4329-35F1-47DE-B90D-B4E4AA1A6CB5}" srcId="{37AE7722-55B5-45BD-9397-6BFAAF49CD50}" destId="{C8819962-3D83-48F6-9397-3991C9C627BD}" srcOrd="0" destOrd="0" parTransId="{5E3E876B-222C-4C0F-93FF-F4A1C34A1DFB}" sibTransId="{0B287F14-CD4B-4709-9D9E-227130696453}"/>
    <dgm:cxn modelId="{89462D68-5170-4F2F-8A0B-CD1DB12CF50C}" srcId="{37AE7722-55B5-45BD-9397-6BFAAF49CD50}" destId="{E5C47898-8D40-45A3-BF40-A2E3C667F860}" srcOrd="3" destOrd="0" parTransId="{499FC473-DF4B-4B03-A0D7-3B21987624F6}" sibTransId="{70714695-078A-45E5-A453-FD8BFF74A980}"/>
    <dgm:cxn modelId="{C103DDAB-2715-42B4-B37F-57798E9C7141}" type="presOf" srcId="{C8819962-3D83-48F6-9397-3991C9C627BD}" destId="{0C5170DF-3641-468F-918C-96035A2DCBAE}" srcOrd="0" destOrd="0" presId="urn:microsoft.com/office/officeart/2005/8/layout/chevron1"/>
    <dgm:cxn modelId="{9B473AB8-86B9-4D68-8FE8-FD2F0B7F67E5}" type="presOf" srcId="{37AE7722-55B5-45BD-9397-6BFAAF49CD50}" destId="{B6411947-0626-4D39-8E59-CFA7DA0A7CC7}" srcOrd="0" destOrd="0" presId="urn:microsoft.com/office/officeart/2005/8/layout/chevron1"/>
    <dgm:cxn modelId="{4F9649D0-7606-458A-9FC2-9A41DDC1BA8D}" type="presOf" srcId="{E5C47898-8D40-45A3-BF40-A2E3C667F860}" destId="{EE714ACB-A045-43CA-835C-AC3FCF2207EA}" srcOrd="0" destOrd="0" presId="urn:microsoft.com/office/officeart/2005/8/layout/chevron1"/>
    <dgm:cxn modelId="{4E5CA1BE-D2AF-4C4B-93C0-592E7DC39355}" type="presParOf" srcId="{B6411947-0626-4D39-8E59-CFA7DA0A7CC7}" destId="{0C5170DF-3641-468F-918C-96035A2DCBAE}" srcOrd="0" destOrd="0" presId="urn:microsoft.com/office/officeart/2005/8/layout/chevron1"/>
    <dgm:cxn modelId="{B72E20F9-5767-423B-B39F-9EE79BF7794A}" type="presParOf" srcId="{B6411947-0626-4D39-8E59-CFA7DA0A7CC7}" destId="{4C2936B2-4FAB-494E-BD1C-1A4E26C33E1D}" srcOrd="1" destOrd="0" presId="urn:microsoft.com/office/officeart/2005/8/layout/chevron1"/>
    <dgm:cxn modelId="{38B6F392-D52B-4EA8-A3A3-DEC253CA65F7}" type="presParOf" srcId="{B6411947-0626-4D39-8E59-CFA7DA0A7CC7}" destId="{3C60A74A-453B-47E0-8620-BA26F66972C6}" srcOrd="2" destOrd="0" presId="urn:microsoft.com/office/officeart/2005/8/layout/chevron1"/>
    <dgm:cxn modelId="{43F2D6AB-0DE2-428B-A4CA-33E75AE82306}" type="presParOf" srcId="{B6411947-0626-4D39-8E59-CFA7DA0A7CC7}" destId="{3B30A62B-242D-47CF-BA9A-5F026BAED5DB}" srcOrd="3" destOrd="0" presId="urn:microsoft.com/office/officeart/2005/8/layout/chevron1"/>
    <dgm:cxn modelId="{07A9436B-6D8A-4478-87F9-AAD8C15B961A}" type="presParOf" srcId="{B6411947-0626-4D39-8E59-CFA7DA0A7CC7}" destId="{6B40B282-4543-4E44-B881-A0EE9CD11C9B}" srcOrd="4" destOrd="0" presId="urn:microsoft.com/office/officeart/2005/8/layout/chevron1"/>
    <dgm:cxn modelId="{728AF310-9255-4547-8992-8D8FF1C69C95}" type="presParOf" srcId="{B6411947-0626-4D39-8E59-CFA7DA0A7CC7}" destId="{314A92EF-F6B0-45E2-A6F9-ED3C1BDBEBB2}" srcOrd="5" destOrd="0" presId="urn:microsoft.com/office/officeart/2005/8/layout/chevron1"/>
    <dgm:cxn modelId="{AA15C633-2008-472D-A232-A07B05F13E70}" type="presParOf" srcId="{B6411947-0626-4D39-8E59-CFA7DA0A7CC7}" destId="{EE714ACB-A045-43CA-835C-AC3FCF2207EA}" srcOrd="6"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170DF-3641-468F-918C-96035A2DCBAE}">
      <dsp:nvSpPr>
        <dsp:cNvPr id="0" name=""/>
        <dsp:cNvSpPr/>
      </dsp:nvSpPr>
      <dsp:spPr>
        <a:xfrm>
          <a:off x="1951" y="0"/>
          <a:ext cx="1135938" cy="397835"/>
        </a:xfrm>
        <a:prstGeom prst="chevron">
          <a:avLst/>
        </a:prstGeom>
        <a:solidFill>
          <a:srgbClr val="0A7568"/>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endParaRPr lang="en-AU" sz="800" b="1" kern="1200">
            <a:solidFill>
              <a:sysClr val="windowText" lastClr="000000"/>
            </a:solidFill>
            <a:latin typeface="Arial"/>
            <a:ea typeface="+mn-ea"/>
            <a:cs typeface="+mn-cs"/>
          </a:endParaRPr>
        </a:p>
        <a:p>
          <a:pPr marL="0" lvl="0" indent="0" algn="ctr" defTabSz="355600">
            <a:lnSpc>
              <a:spcPct val="90000"/>
            </a:lnSpc>
            <a:spcBef>
              <a:spcPct val="0"/>
            </a:spcBef>
            <a:spcAft>
              <a:spcPct val="35000"/>
            </a:spcAft>
            <a:buNone/>
          </a:pPr>
          <a:r>
            <a:rPr lang="en-AU" sz="800" b="1" kern="1200">
              <a:solidFill>
                <a:schemeClr val="bg1"/>
              </a:solidFill>
              <a:latin typeface="Arial"/>
              <a:ea typeface="+mn-ea"/>
              <a:cs typeface="+mn-cs"/>
            </a:rPr>
            <a:t>Upstream</a:t>
          </a:r>
        </a:p>
        <a:p>
          <a:pPr marL="0" lvl="0" indent="0" algn="ctr" defTabSz="355600">
            <a:lnSpc>
              <a:spcPct val="90000"/>
            </a:lnSpc>
            <a:spcBef>
              <a:spcPct val="0"/>
            </a:spcBef>
            <a:spcAft>
              <a:spcPct val="35000"/>
            </a:spcAft>
            <a:buNone/>
          </a:pPr>
          <a:r>
            <a:rPr lang="en-AU" sz="800" b="1" kern="1200">
              <a:solidFill>
                <a:schemeClr val="bg1"/>
              </a:solidFill>
              <a:latin typeface="Arial"/>
              <a:ea typeface="+mn-ea"/>
              <a:cs typeface="+mn-cs"/>
            </a:rPr>
            <a:t>40 to 42%</a:t>
          </a:r>
        </a:p>
        <a:p>
          <a:pPr marL="0" lvl="0" indent="0" algn="ctr" defTabSz="355600">
            <a:lnSpc>
              <a:spcPct val="90000"/>
            </a:lnSpc>
            <a:spcBef>
              <a:spcPct val="0"/>
            </a:spcBef>
            <a:spcAft>
              <a:spcPct val="35000"/>
            </a:spcAft>
            <a:buNone/>
          </a:pPr>
          <a:r>
            <a:rPr lang="en-AU" sz="800" kern="1200">
              <a:solidFill>
                <a:sysClr val="windowText" lastClr="000000"/>
              </a:solidFill>
              <a:latin typeface="Arial"/>
              <a:ea typeface="+mn-ea"/>
              <a:cs typeface="+mn-cs"/>
            </a:rPr>
            <a:t> </a:t>
          </a:r>
          <a:endParaRPr lang="en-AU" sz="800" kern="1200" dirty="0">
            <a:solidFill>
              <a:sysClr val="windowText" lastClr="000000"/>
            </a:solidFill>
            <a:latin typeface="Arial"/>
            <a:ea typeface="+mn-ea"/>
            <a:cs typeface="+mn-cs"/>
          </a:endParaRPr>
        </a:p>
      </dsp:txBody>
      <dsp:txXfrm>
        <a:off x="200869" y="0"/>
        <a:ext cx="738103" cy="397835"/>
      </dsp:txXfrm>
    </dsp:sp>
    <dsp:sp modelId="{3C60A74A-453B-47E0-8620-BA26F66972C6}">
      <dsp:nvSpPr>
        <dsp:cNvPr id="0" name=""/>
        <dsp:cNvSpPr/>
      </dsp:nvSpPr>
      <dsp:spPr>
        <a:xfrm>
          <a:off x="1024296" y="0"/>
          <a:ext cx="1135938" cy="397835"/>
        </a:xfrm>
        <a:prstGeom prst="chevron">
          <a:avLst/>
        </a:prstGeom>
        <a:solidFill>
          <a:srgbClr val="51B7A4"/>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666750">
            <a:lnSpc>
              <a:spcPct val="90000"/>
            </a:lnSpc>
            <a:spcBef>
              <a:spcPct val="0"/>
            </a:spcBef>
            <a:spcAft>
              <a:spcPct val="35000"/>
            </a:spcAft>
            <a:buNone/>
          </a:pPr>
          <a:r>
            <a:rPr lang="en-AU" sz="800" b="1" kern="1200">
              <a:solidFill>
                <a:sysClr val="windowText" lastClr="000000"/>
              </a:solidFill>
              <a:latin typeface="Arial"/>
              <a:ea typeface="+mn-ea"/>
              <a:cs typeface="+mn-cs"/>
            </a:rPr>
            <a:t>Liquefaction</a:t>
          </a:r>
        </a:p>
        <a:p>
          <a:pPr marL="0" lvl="0" indent="0" algn="ctr" defTabSz="666750">
            <a:lnSpc>
              <a:spcPct val="90000"/>
            </a:lnSpc>
            <a:spcBef>
              <a:spcPct val="0"/>
            </a:spcBef>
            <a:spcAft>
              <a:spcPct val="35000"/>
            </a:spcAft>
            <a:buNone/>
          </a:pPr>
          <a:r>
            <a:rPr lang="en-AU" sz="800" b="1" kern="1200">
              <a:solidFill>
                <a:sysClr val="windowText" lastClr="000000"/>
              </a:solidFill>
              <a:latin typeface="Calibri" panose="020F0502020204030204"/>
              <a:ea typeface="+mn-ea"/>
              <a:cs typeface="+mn-cs"/>
            </a:rPr>
            <a:t>36 to 41%</a:t>
          </a:r>
          <a:endParaRPr lang="en-AU" sz="800" b="1" kern="1200" dirty="0">
            <a:solidFill>
              <a:sysClr val="windowText" lastClr="000000"/>
            </a:solidFill>
            <a:latin typeface="Calibri" panose="020F0502020204030204"/>
            <a:ea typeface="+mn-ea"/>
            <a:cs typeface="+mn-cs"/>
          </a:endParaRPr>
        </a:p>
      </dsp:txBody>
      <dsp:txXfrm>
        <a:off x="1223214" y="0"/>
        <a:ext cx="738103" cy="397835"/>
      </dsp:txXfrm>
    </dsp:sp>
    <dsp:sp modelId="{6B40B282-4543-4E44-B881-A0EE9CD11C9B}">
      <dsp:nvSpPr>
        <dsp:cNvPr id="0" name=""/>
        <dsp:cNvSpPr/>
      </dsp:nvSpPr>
      <dsp:spPr>
        <a:xfrm>
          <a:off x="2046640" y="0"/>
          <a:ext cx="1135938" cy="397835"/>
        </a:xfrm>
        <a:prstGeom prst="chevron">
          <a:avLst/>
        </a:prstGeom>
        <a:solidFill>
          <a:srgbClr val="9ED9DF"/>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666750">
            <a:lnSpc>
              <a:spcPct val="90000"/>
            </a:lnSpc>
            <a:spcBef>
              <a:spcPct val="0"/>
            </a:spcBef>
            <a:spcAft>
              <a:spcPct val="35000"/>
            </a:spcAft>
            <a:buNone/>
          </a:pPr>
          <a:r>
            <a:rPr lang="en-AU" sz="800" b="1" kern="1200">
              <a:solidFill>
                <a:sysClr val="windowText" lastClr="000000"/>
              </a:solidFill>
              <a:latin typeface="Arial"/>
              <a:ea typeface="+mn-ea"/>
              <a:cs typeface="+mn-cs"/>
            </a:rPr>
            <a:t>Shipping</a:t>
          </a:r>
        </a:p>
        <a:p>
          <a:pPr marL="0" lvl="0" indent="0" algn="ctr" defTabSz="666750">
            <a:lnSpc>
              <a:spcPct val="90000"/>
            </a:lnSpc>
            <a:spcBef>
              <a:spcPct val="0"/>
            </a:spcBef>
            <a:spcAft>
              <a:spcPct val="35000"/>
            </a:spcAft>
            <a:buNone/>
          </a:pPr>
          <a:r>
            <a:rPr lang="en-AU" sz="800" b="1" kern="1200">
              <a:solidFill>
                <a:sysClr val="windowText" lastClr="000000"/>
              </a:solidFill>
              <a:latin typeface="Calibri" panose="020F0502020204030204"/>
              <a:ea typeface="+mn-ea"/>
              <a:cs typeface="+mn-cs"/>
            </a:rPr>
            <a:t>7 to 16%</a:t>
          </a:r>
          <a:endParaRPr lang="en-AU" sz="800" b="1" kern="1200" dirty="0">
            <a:solidFill>
              <a:sysClr val="windowText" lastClr="000000"/>
            </a:solidFill>
            <a:latin typeface="Calibri" panose="020F0502020204030204"/>
            <a:ea typeface="+mn-ea"/>
            <a:cs typeface="+mn-cs"/>
          </a:endParaRPr>
        </a:p>
      </dsp:txBody>
      <dsp:txXfrm>
        <a:off x="2245558" y="0"/>
        <a:ext cx="738103" cy="397835"/>
      </dsp:txXfrm>
    </dsp:sp>
    <dsp:sp modelId="{EE714ACB-A045-43CA-835C-AC3FCF2207EA}">
      <dsp:nvSpPr>
        <dsp:cNvPr id="0" name=""/>
        <dsp:cNvSpPr/>
      </dsp:nvSpPr>
      <dsp:spPr>
        <a:xfrm>
          <a:off x="3068985" y="0"/>
          <a:ext cx="1135938" cy="397835"/>
        </a:xfrm>
        <a:prstGeom prst="chevron">
          <a:avLst/>
        </a:prstGeom>
        <a:solidFill>
          <a:srgbClr val="005CAF">
            <a:lumMod val="20000"/>
            <a:lumOff val="8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666750">
            <a:lnSpc>
              <a:spcPct val="90000"/>
            </a:lnSpc>
            <a:spcBef>
              <a:spcPct val="0"/>
            </a:spcBef>
            <a:spcAft>
              <a:spcPct val="35000"/>
            </a:spcAft>
            <a:buNone/>
          </a:pPr>
          <a:r>
            <a:rPr lang="en-AU" sz="800" b="1" kern="1200">
              <a:solidFill>
                <a:sysClr val="windowText" lastClr="000000"/>
              </a:solidFill>
              <a:latin typeface="Calibri" panose="020F0502020204030204"/>
              <a:ea typeface="+mn-ea"/>
              <a:cs typeface="+mn-cs"/>
            </a:rPr>
            <a:t>Regasification</a:t>
          </a:r>
        </a:p>
        <a:p>
          <a:pPr marL="0" lvl="0" algn="ctr" defTabSz="666750">
            <a:lnSpc>
              <a:spcPct val="90000"/>
            </a:lnSpc>
            <a:spcBef>
              <a:spcPct val="0"/>
            </a:spcBef>
            <a:spcAft>
              <a:spcPct val="35000"/>
            </a:spcAft>
            <a:buNone/>
          </a:pPr>
          <a:r>
            <a:rPr lang="en-AU" sz="800" b="1" kern="1200">
              <a:solidFill>
                <a:sysClr val="windowText" lastClr="000000"/>
              </a:solidFill>
              <a:latin typeface="Calibri" panose="020F0502020204030204"/>
              <a:ea typeface="+mn-ea"/>
              <a:cs typeface="+mn-cs"/>
            </a:rPr>
            <a:t>3 to 15%</a:t>
          </a:r>
          <a:endParaRPr lang="en-AU" sz="800" b="1" kern="1200" dirty="0">
            <a:solidFill>
              <a:sysClr val="windowText" lastClr="000000"/>
            </a:solidFill>
            <a:latin typeface="Calibri" panose="020F0502020204030204"/>
            <a:ea typeface="+mn-ea"/>
            <a:cs typeface="+mn-cs"/>
          </a:endParaRPr>
        </a:p>
      </dsp:txBody>
      <dsp:txXfrm>
        <a:off x="3267903" y="0"/>
        <a:ext cx="738103" cy="3978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0.12095</cdr:x>
      <cdr:y>0.01933</cdr:y>
    </cdr:from>
    <cdr:to>
      <cdr:x>0.36285</cdr:x>
      <cdr:y>0.13805</cdr:y>
    </cdr:to>
    <cdr:sp macro="" textlink="">
      <cdr:nvSpPr>
        <cdr:cNvPr id="2" name="TextBox 1">
          <a:extLst xmlns:a="http://schemas.openxmlformats.org/drawingml/2006/main">
            <a:ext uri="{FF2B5EF4-FFF2-40B4-BE49-F238E27FC236}">
              <a16:creationId xmlns:a16="http://schemas.microsoft.com/office/drawing/2014/main" id="{330A365B-99CA-94F9-FFAD-0E79097C725B}"/>
            </a:ext>
          </a:extLst>
        </cdr:cNvPr>
        <cdr:cNvSpPr txBox="1"/>
      </cdr:nvSpPr>
      <cdr:spPr>
        <a:xfrm xmlns:a="http://schemas.openxmlformats.org/drawingml/2006/main">
          <a:off x="514350" y="66675"/>
          <a:ext cx="1028699" cy="4095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fld id="{E0637DA0-41EC-4366-8252-613C95841777}" type="TxLink">
            <a:rPr lang="en-US" sz="900" b="0" i="0" u="none" strike="noStrike">
              <a:solidFill>
                <a:srgbClr val="000000"/>
              </a:solidFill>
              <a:latin typeface="Arial" panose="020B0604020202020204" pitchFamily="34" charset="0"/>
              <a:cs typeface="Arial" panose="020B0604020202020204" pitchFamily="34" charset="0"/>
            </a:rPr>
            <a:pPr algn="ctr"/>
            <a:t>2C Resources
38,652 PJ</a:t>
          </a:fld>
          <a:endParaRPr lang="en-AU" sz="9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0.43592</cdr:x>
      <cdr:y>0.02485</cdr:y>
    </cdr:from>
    <cdr:to>
      <cdr:x>0.64283</cdr:x>
      <cdr:y>0.13805</cdr:y>
    </cdr:to>
    <cdr:sp macro="" textlink="">
      <cdr:nvSpPr>
        <cdr:cNvPr id="3" name="TextBox 1">
          <a:extLst xmlns:a="http://schemas.openxmlformats.org/drawingml/2006/main">
            <a:ext uri="{FF2B5EF4-FFF2-40B4-BE49-F238E27FC236}">
              <a16:creationId xmlns:a16="http://schemas.microsoft.com/office/drawing/2014/main" id="{45C10E8F-3DDA-984A-D49B-98F20E2F8131}"/>
            </a:ext>
          </a:extLst>
        </cdr:cNvPr>
        <cdr:cNvSpPr txBox="1"/>
      </cdr:nvSpPr>
      <cdr:spPr>
        <a:xfrm xmlns:a="http://schemas.openxmlformats.org/drawingml/2006/main">
          <a:off x="1853791" y="85726"/>
          <a:ext cx="879884" cy="3905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9705287-FE6E-4D25-8BCF-7EC252E79C64}" type="TxLink">
            <a:rPr lang="en-US" sz="900" b="0" i="0" u="none" strike="noStrike">
              <a:solidFill>
                <a:srgbClr val="000000"/>
              </a:solidFill>
              <a:latin typeface="Arial" panose="020B0604020202020204" pitchFamily="34" charset="0"/>
              <a:cs typeface="Arial" panose="020B0604020202020204" pitchFamily="34" charset="0"/>
            </a:rPr>
            <a:pPr algn="ctr"/>
            <a:t>2P Reserves
34,606 PJ</a:t>
          </a:fld>
          <a:endParaRPr lang="en-AU" sz="9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0.72794</cdr:x>
      <cdr:y>0.02485</cdr:y>
    </cdr:from>
    <cdr:to>
      <cdr:x>0.93624</cdr:x>
      <cdr:y>0.14357</cdr:y>
    </cdr:to>
    <cdr:sp macro="" textlink="">
      <cdr:nvSpPr>
        <cdr:cNvPr id="4" name="TextBox 1">
          <a:extLst xmlns:a="http://schemas.openxmlformats.org/drawingml/2006/main">
            <a:ext uri="{FF2B5EF4-FFF2-40B4-BE49-F238E27FC236}">
              <a16:creationId xmlns:a16="http://schemas.microsoft.com/office/drawing/2014/main" id="{1645F591-058C-76D0-6370-21D5E94FDF94}"/>
            </a:ext>
          </a:extLst>
        </cdr:cNvPr>
        <cdr:cNvSpPr txBox="1"/>
      </cdr:nvSpPr>
      <cdr:spPr>
        <a:xfrm xmlns:a="http://schemas.openxmlformats.org/drawingml/2006/main">
          <a:off x="3095625" y="85725"/>
          <a:ext cx="885825" cy="4095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BF93458C-653C-4DB9-BD46-21464124CFA1}" type="TxLink">
            <a:rPr lang="en-US" sz="900" b="0" i="0" u="none" strike="noStrike">
              <a:solidFill>
                <a:srgbClr val="000000"/>
              </a:solidFill>
              <a:latin typeface="Arial" panose="020B0604020202020204" pitchFamily="34" charset="0"/>
              <a:cs typeface="Arial" panose="020B0604020202020204" pitchFamily="34" charset="0"/>
            </a:rPr>
            <a:pPr algn="ctr"/>
            <a:t>Production
1,936 PJ</a:t>
          </a:fld>
          <a:endParaRPr lang="en-AU" sz="9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cdr:x>
      <cdr:y>0</cdr:y>
    </cdr:to>
    <cdr:grpSp>
      <cdr:nvGrpSpPr>
        <cdr:cNvPr id="4" name="Group 3">
          <a:extLst xmlns:a="http://schemas.openxmlformats.org/drawingml/2006/main">
            <a:ext uri="{FF2B5EF4-FFF2-40B4-BE49-F238E27FC236}">
              <a16:creationId xmlns:a16="http://schemas.microsoft.com/office/drawing/2014/main" id="{ECCB48A4-EF17-4A34-97FC-7312D59D3DFA}"/>
            </a:ext>
          </a:extLst>
        </cdr:cNvPr>
        <cdr:cNvGrpSpPr/>
      </cdr:nvGrpSpPr>
      <cdr:grpSpPr>
        <a:xfrm xmlns:a="http://schemas.openxmlformats.org/drawingml/2006/main">
          <a:off x="0" y="0"/>
          <a:ext cx="0" cy="0"/>
          <a:chOff x="0" y="0"/>
          <a:chExt cx="0" cy="0"/>
        </a:xfrm>
      </cdr:grpSpPr>
    </cdr:grpSp>
  </cdr:relSizeAnchor>
</c:userShape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72B2"/>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EMO">
    <a:dk1>
      <a:srgbClr val="424242"/>
    </a:dk1>
    <a:lt1>
      <a:srgbClr val="FFFFFF"/>
    </a:lt1>
    <a:dk2>
      <a:srgbClr val="3C1053"/>
    </a:dk2>
    <a:lt2>
      <a:srgbClr val="EEEEF0"/>
    </a:lt2>
    <a:accent1>
      <a:srgbClr val="6B3077"/>
    </a:accent1>
    <a:accent2>
      <a:srgbClr val="A3519B"/>
    </a:accent2>
    <a:accent3>
      <a:srgbClr val="9B2241"/>
    </a:accent3>
    <a:accent4>
      <a:srgbClr val="FDD26E"/>
    </a:accent4>
    <a:accent5>
      <a:srgbClr val="A1D883"/>
    </a:accent5>
    <a:accent6>
      <a:srgbClr val="40C1AC"/>
    </a:accent6>
    <a:hlink>
      <a:srgbClr val="606EB2"/>
    </a:hlink>
    <a:folHlink>
      <a:srgbClr val="A3DBE8"/>
    </a:folHlink>
  </a:clrScheme>
  <a:fontScheme name="AEMO Reports 2021">
    <a:majorFont>
      <a:latin typeface="Century Gothic"/>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1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369EA4-C869-454C-AF9D-DB4023DC174E}">
  <we:reference id="8021f97c-8905-4693-9bcb-ecda41b4cf7b" version="1.0.1.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3" ma:contentTypeDescription="Create a new document." ma:contentTypeScope="" ma:versionID="178f52fcde6ffbad26a13a458f936a1c">
  <xsd:schema xmlns:xsd="http://www.w3.org/2001/XMLSchema" xmlns:xs="http://www.w3.org/2001/XMLSchema" xmlns:p="http://schemas.microsoft.com/office/2006/metadata/properties" xmlns:ns1="http://schemas.microsoft.com/sharepoint/v3" xmlns:ns2="a36bd50b-1532-4c22-b385-5c082c960938" xmlns:ns3="e47d1c65-9f6c-49e5-a774-2c92ccb46d02" targetNamespace="http://schemas.microsoft.com/office/2006/metadata/properties" ma:root="true" ma:fieldsID="2cab07d89973b34ce63e201aff04394d" ns1:_="" ns2:_="" ns3:_="">
    <xsd:import namespace="http://schemas.microsoft.com/sharepoint/v3"/>
    <xsd:import namespace="a36bd50b-1532-4c22-b385-5c082c960938"/>
    <xsd:import namespace="e47d1c65-9f6c-49e5-a774-2c92ccb46d02"/>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Future Gas Strategy</TermName>
          <TermId xmlns="http://schemas.microsoft.com/office/infopath/2007/PartnerControls">0ff63951-92f9-4a65-898f-a0a1faed7afd</TermId>
        </TermInfo>
      </Terms>
    </adb9bed2e36e4a93af574aeb444da63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48c54089-4c01-49cb-b266-0173afb66157</TermId>
        </TermInfo>
      </Terms>
    </pe2555c81638466f9eb614edb9ecde52>
    <TaxCatchAll xmlns="a36bd50b-1532-4c22-b385-5c082c960938">
      <Value>4175</Value>
      <Value>38</Value>
      <Value>113</Value>
      <Value>4077</Value>
    </TaxCatchAll>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Cabinet</TermName>
          <TermId xmlns="http://schemas.microsoft.com/office/infopath/2007/PartnerControls">8f5a38e0-0fb9-4e7f-a5c4-ce00bdbe5b86</TermId>
        </TermInfo>
      </Terms>
    </aa25a1a23adf4c92a153145de6afe324>
    <g7bcb40ba23249a78edca7d43a67c1c9 xmlns="a36bd50b-1532-4c22-b385-5c082c960938">
      <Terms xmlns="http://schemas.microsoft.com/office/infopath/2007/PartnerControls"/>
    </g7bcb40ba23249a78edca7d43a67c1c9>
    <_dlc_DocId xmlns="a36bd50b-1532-4c22-b385-5c082c960938">EUCW2WRC2PUD-1165618940-62</_dlc_DocId>
    <_dlc_DocIdUrl xmlns="a36bd50b-1532-4c22-b385-5c082c960938">
      <Url>https://dochub/div/economicanalyticalservices/_layouts/15/DocIdRedir.aspx?ID=EUCW2WRC2PUD-1165618940-62</Url>
      <Description>EUCW2WRC2PUD-1165618940-62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2.xml><?xml version="1.0" encoding="utf-8"?>
<ds:datastoreItem xmlns:ds="http://schemas.openxmlformats.org/officeDocument/2006/customXml" ds:itemID="{2C1B1A79-941C-4D32-B1EE-7089A0E51277}">
  <ds:schemaRefs>
    <ds:schemaRef ds:uri="http://schemas.openxmlformats.org/officeDocument/2006/bibliography"/>
  </ds:schemaRefs>
</ds:datastoreItem>
</file>

<file path=customXml/itemProps3.xml><?xml version="1.0" encoding="utf-8"?>
<ds:datastoreItem xmlns:ds="http://schemas.openxmlformats.org/officeDocument/2006/customXml" ds:itemID="{1789493E-8384-41A4-95A9-550588466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e47d1c65-9f6c-49e5-a774-2c92ccb46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82E28D-6947-480F-BBF1-3DFDF858D2EF}">
  <ds:schemaRefs>
    <ds:schemaRef ds:uri="http://purl.org/dc/term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schemas.microsoft.com/sharepoint/v3"/>
    <ds:schemaRef ds:uri="http://schemas.microsoft.com/office/infopath/2007/PartnerControls"/>
    <ds:schemaRef ds:uri="http://purl.org/dc/elements/1.1/"/>
    <ds:schemaRef ds:uri="e47d1c65-9f6c-49e5-a774-2c92ccb46d02"/>
    <ds:schemaRef ds:uri="a36bd50b-1532-4c22-b385-5c082c960938"/>
    <ds:schemaRef ds:uri="http://purl.org/dc/dcmitype/"/>
  </ds:schemaRefs>
</ds:datastoreItem>
</file>

<file path=customXml/itemProps5.xml><?xml version="1.0" encoding="utf-8"?>
<ds:datastoreItem xmlns:ds="http://schemas.openxmlformats.org/officeDocument/2006/customXml" ds:itemID="{852FBA7F-A660-4463-913F-DEF332EBA1F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46976</Words>
  <Characters>267765</Characters>
  <DocSecurity>0</DocSecurity>
  <Lines>2231</Lines>
  <Paragraphs>628</Paragraphs>
  <ScaleCrop>false</ScaleCrop>
  <HeadingPairs>
    <vt:vector size="2" baseType="variant">
      <vt:variant>
        <vt:lpstr>Title</vt:lpstr>
      </vt:variant>
      <vt:variant>
        <vt:i4>1</vt:i4>
      </vt:variant>
    </vt:vector>
  </HeadingPairs>
  <TitlesOfParts>
    <vt:vector size="1" baseType="lpstr">
      <vt:lpstr>Future Gas Strategy Analytical Report May 2024</vt:lpstr>
    </vt:vector>
  </TitlesOfParts>
  <LinksUpToDate>false</LinksUpToDate>
  <CharactersWithSpaces>314113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2024-07-25T00:00:00Z</cp:lastPrinted>
  <dcterms:created xsi:type="dcterms:W3CDTF">2024-08-12T09:38:00Z</dcterms:created>
  <dcterms:modified xsi:type="dcterms:W3CDTF">2024-08-12T09:38:00Z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e9490d28-0b5b-4052-b28c-b47557f528d7</vt:lpwstr>
  </property>
  <property fmtid="{D5CDD505-2E9C-101B-9397-08002B2CF9AE}" pid="8" name="DocHub_Year">
    <vt:lpwstr>4175;#2024|a9509632-5de2-45f9-9fc7-c24df7848880</vt:lpwstr>
  </property>
  <property fmtid="{D5CDD505-2E9C-101B-9397-08002B2CF9AE}" pid="9" name="DocHub_DocumentType">
    <vt:lpwstr>38;#Analysis|48c54089-4c01-49cb-b266-0173afb66157</vt:lpwstr>
  </property>
  <property fmtid="{D5CDD505-2E9C-101B-9397-08002B2CF9AE}" pid="10" name="DocHub_SecurityClassification">
    <vt:lpwstr>113;#Cabinet|8f5a38e0-0fb9-4e7f-a5c4-ce00bdbe5b86</vt:lpwstr>
  </property>
  <property fmtid="{D5CDD505-2E9C-101B-9397-08002B2CF9AE}" pid="11" name="DocHub_Keywords">
    <vt:lpwstr>4077;#Future Gas Strategy|0ff63951-92f9-4a65-898f-a0a1faed7afd</vt:lpwstr>
  </property>
  <property fmtid="{D5CDD505-2E9C-101B-9397-08002B2CF9AE}" pid="12" name="DocHub_WorkActivity">
    <vt:lpwstr/>
  </property>
</Properties>
</file>