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13914019" w:displacedByCustomXml="next"/>
    <w:bookmarkStart w:id="1" w:name="_Toc86951725" w:displacedByCustomXml="next"/>
    <w:bookmarkStart w:id="2" w:name="_Toc86040694" w:displacedByCustomXml="next"/>
    <w:bookmarkStart w:id="3" w:name="_Toc19289801" w:displacedByCustomXml="next"/>
    <w:bookmarkStart w:id="4" w:name="_Toc85555212" w:displacedByCustomXml="next"/>
    <w:bookmarkStart w:id="5" w:name="_Toc91076779"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bookmarkEnd w:id="4" w:displacedByCustomXml="next"/>
        <w:bookmarkEnd w:id="5" w:displacedByCustomXml="next"/>
        <w:sdt>
          <w:sdtPr>
            <w:alias w:val="Title"/>
            <w:tag w:val=""/>
            <w:id w:val="-856345196"/>
            <w:placeholder>
              <w:docPart w:val="F2FACF1A8F4D432F885F4D2EF83D3185"/>
            </w:placeholder>
            <w:dataBinding w:prefixMappings="xmlns:ns0='http://purl.org/dc/elements/1.1/' xmlns:ns1='http://schemas.openxmlformats.org/package/2006/metadata/core-properties' " w:xpath="/ns1:coreProperties[1]/ns0:title[1]" w:storeItemID="{6C3C8BC8-F283-45AE-878A-BAB7291924A1}"/>
            <w:text/>
          </w:sdtPr>
          <w:sdtEndPr/>
          <w:sdtContent>
            <w:p w14:paraId="7DBF5805" w14:textId="4D9007C6" w:rsidR="0068286F" w:rsidRDefault="00A5412D" w:rsidP="000E599A">
              <w:pPr>
                <w:pStyle w:val="Title"/>
              </w:pPr>
              <w:r>
                <w:t>Conflict of Interest Policy</w:t>
              </w:r>
            </w:p>
          </w:sdtContent>
        </w:sdt>
        <w:p w14:paraId="7DBF5806" w14:textId="77777777" w:rsidR="00697567" w:rsidRDefault="00EF4EF1" w:rsidP="00697567">
          <w:pPr>
            <w:pStyle w:val="Subtitle"/>
          </w:pPr>
          <w:r>
            <w:t>People Branch</w:t>
          </w:r>
        </w:p>
        <w:p w14:paraId="7DBF5807" w14:textId="77777777" w:rsidR="0068286F" w:rsidRPr="00806473" w:rsidRDefault="0068286F">
          <w:r w:rsidRPr="00806473">
            <w:br w:type="page"/>
          </w:r>
        </w:p>
        <w:p w14:paraId="7DBF5808" w14:textId="77777777" w:rsidR="00E3027E" w:rsidRDefault="00E3027E" w:rsidP="002C1F0E">
          <w:pPr>
            <w:pStyle w:val="Heading1"/>
            <w:numPr>
              <w:ilvl w:val="0"/>
              <w:numId w:val="0"/>
            </w:numPr>
            <w:ind w:left="432" w:hanging="432"/>
          </w:pPr>
          <w:bookmarkStart w:id="6" w:name="_Toc19289804"/>
          <w:bookmarkStart w:id="7" w:name="_Toc85555213"/>
          <w:bookmarkStart w:id="8" w:name="_Toc86040695"/>
          <w:bookmarkStart w:id="9" w:name="_Toc86951726"/>
          <w:bookmarkStart w:id="10" w:name="_Toc91076780"/>
          <w:bookmarkStart w:id="11" w:name="_Toc113914020"/>
          <w:r>
            <w:lastRenderedPageBreak/>
            <w:t>Contents</w:t>
          </w:r>
          <w:bookmarkEnd w:id="6"/>
          <w:bookmarkEnd w:id="7"/>
          <w:bookmarkEnd w:id="8"/>
          <w:bookmarkEnd w:id="9"/>
          <w:bookmarkEnd w:id="10"/>
          <w:bookmarkEnd w:id="11"/>
        </w:p>
        <w:p w14:paraId="6F9B6EB1" w14:textId="1582EB79" w:rsidR="002C02C7" w:rsidRDefault="00E3027E">
          <w:pPr>
            <w:pStyle w:val="TOC1"/>
            <w:rPr>
              <w:rFonts w:eastAsiaTheme="minorEastAsia"/>
              <w:noProof/>
              <w:lang w:eastAsia="en-AU"/>
            </w:rPr>
          </w:pPr>
          <w:r>
            <w:fldChar w:fldCharType="begin"/>
          </w:r>
          <w:r>
            <w:instrText xml:space="preserve"> TOC \o "1-2" \h \z \u </w:instrText>
          </w:r>
          <w:r>
            <w:fldChar w:fldCharType="separate"/>
          </w:r>
        </w:p>
        <w:p w14:paraId="38F27190" w14:textId="77777777" w:rsidR="002C02C7" w:rsidRDefault="009C705F">
          <w:pPr>
            <w:pStyle w:val="TOC1"/>
            <w:tabs>
              <w:tab w:val="left" w:pos="440"/>
            </w:tabs>
            <w:rPr>
              <w:rFonts w:eastAsiaTheme="minorEastAsia"/>
              <w:noProof/>
              <w:lang w:eastAsia="en-AU"/>
            </w:rPr>
          </w:pPr>
          <w:hyperlink w:anchor="_Toc113914021" w:history="1">
            <w:r w:rsidR="002C02C7" w:rsidRPr="00E46844">
              <w:rPr>
                <w:rStyle w:val="Hyperlink"/>
                <w:noProof/>
              </w:rPr>
              <w:t>1</w:t>
            </w:r>
            <w:r w:rsidR="002C02C7">
              <w:rPr>
                <w:rFonts w:eastAsiaTheme="minorEastAsia"/>
                <w:noProof/>
                <w:lang w:eastAsia="en-AU"/>
              </w:rPr>
              <w:tab/>
            </w:r>
            <w:r w:rsidR="002C02C7" w:rsidRPr="00E46844">
              <w:rPr>
                <w:rStyle w:val="Hyperlink"/>
                <w:noProof/>
              </w:rPr>
              <w:t>Purpose</w:t>
            </w:r>
            <w:r w:rsidR="002C02C7">
              <w:rPr>
                <w:noProof/>
                <w:webHidden/>
              </w:rPr>
              <w:tab/>
            </w:r>
            <w:r w:rsidR="002C02C7">
              <w:rPr>
                <w:noProof/>
                <w:webHidden/>
              </w:rPr>
              <w:fldChar w:fldCharType="begin"/>
            </w:r>
            <w:r w:rsidR="002C02C7">
              <w:rPr>
                <w:noProof/>
                <w:webHidden/>
              </w:rPr>
              <w:instrText xml:space="preserve"> PAGEREF _Toc113914021 \h </w:instrText>
            </w:r>
            <w:r w:rsidR="002C02C7">
              <w:rPr>
                <w:noProof/>
                <w:webHidden/>
              </w:rPr>
            </w:r>
            <w:r w:rsidR="002C02C7">
              <w:rPr>
                <w:noProof/>
                <w:webHidden/>
              </w:rPr>
              <w:fldChar w:fldCharType="separate"/>
            </w:r>
            <w:r w:rsidR="00301F80">
              <w:rPr>
                <w:noProof/>
                <w:webHidden/>
              </w:rPr>
              <w:t>2</w:t>
            </w:r>
            <w:r w:rsidR="002C02C7">
              <w:rPr>
                <w:noProof/>
                <w:webHidden/>
              </w:rPr>
              <w:fldChar w:fldCharType="end"/>
            </w:r>
          </w:hyperlink>
        </w:p>
        <w:p w14:paraId="47FB857E" w14:textId="77777777" w:rsidR="002C02C7" w:rsidRDefault="009C705F">
          <w:pPr>
            <w:pStyle w:val="TOC1"/>
            <w:tabs>
              <w:tab w:val="left" w:pos="440"/>
            </w:tabs>
            <w:rPr>
              <w:rFonts w:eastAsiaTheme="minorEastAsia"/>
              <w:noProof/>
              <w:lang w:eastAsia="en-AU"/>
            </w:rPr>
          </w:pPr>
          <w:hyperlink w:anchor="_Toc113914022" w:history="1">
            <w:r w:rsidR="002C02C7" w:rsidRPr="00E46844">
              <w:rPr>
                <w:rStyle w:val="Hyperlink"/>
                <w:noProof/>
              </w:rPr>
              <w:t>2</w:t>
            </w:r>
            <w:r w:rsidR="002C02C7">
              <w:rPr>
                <w:rFonts w:eastAsiaTheme="minorEastAsia"/>
                <w:noProof/>
                <w:lang w:eastAsia="en-AU"/>
              </w:rPr>
              <w:tab/>
            </w:r>
            <w:r w:rsidR="002C02C7" w:rsidRPr="00E46844">
              <w:rPr>
                <w:rStyle w:val="Hyperlink"/>
                <w:noProof/>
              </w:rPr>
              <w:t>Scope</w:t>
            </w:r>
            <w:r w:rsidR="002C02C7">
              <w:rPr>
                <w:noProof/>
                <w:webHidden/>
              </w:rPr>
              <w:tab/>
            </w:r>
            <w:r w:rsidR="002C02C7">
              <w:rPr>
                <w:noProof/>
                <w:webHidden/>
              </w:rPr>
              <w:fldChar w:fldCharType="begin"/>
            </w:r>
            <w:r w:rsidR="002C02C7">
              <w:rPr>
                <w:noProof/>
                <w:webHidden/>
              </w:rPr>
              <w:instrText xml:space="preserve"> PAGEREF _Toc113914022 \h </w:instrText>
            </w:r>
            <w:r w:rsidR="002C02C7">
              <w:rPr>
                <w:noProof/>
                <w:webHidden/>
              </w:rPr>
            </w:r>
            <w:r w:rsidR="002C02C7">
              <w:rPr>
                <w:noProof/>
                <w:webHidden/>
              </w:rPr>
              <w:fldChar w:fldCharType="separate"/>
            </w:r>
            <w:r w:rsidR="00301F80">
              <w:rPr>
                <w:noProof/>
                <w:webHidden/>
              </w:rPr>
              <w:t>2</w:t>
            </w:r>
            <w:r w:rsidR="002C02C7">
              <w:rPr>
                <w:noProof/>
                <w:webHidden/>
              </w:rPr>
              <w:fldChar w:fldCharType="end"/>
            </w:r>
          </w:hyperlink>
        </w:p>
        <w:p w14:paraId="173D06FF" w14:textId="77777777" w:rsidR="002C02C7" w:rsidRDefault="009C705F">
          <w:pPr>
            <w:pStyle w:val="TOC1"/>
            <w:tabs>
              <w:tab w:val="left" w:pos="440"/>
            </w:tabs>
            <w:rPr>
              <w:rFonts w:eastAsiaTheme="minorEastAsia"/>
              <w:noProof/>
              <w:lang w:eastAsia="en-AU"/>
            </w:rPr>
          </w:pPr>
          <w:hyperlink w:anchor="_Toc113914023" w:history="1">
            <w:r w:rsidR="002C02C7" w:rsidRPr="00E46844">
              <w:rPr>
                <w:rStyle w:val="Hyperlink"/>
                <w:noProof/>
              </w:rPr>
              <w:t>3</w:t>
            </w:r>
            <w:r w:rsidR="002C02C7">
              <w:rPr>
                <w:rFonts w:eastAsiaTheme="minorEastAsia"/>
                <w:noProof/>
                <w:lang w:eastAsia="en-AU"/>
              </w:rPr>
              <w:tab/>
            </w:r>
            <w:r w:rsidR="002C02C7" w:rsidRPr="00E46844">
              <w:rPr>
                <w:rStyle w:val="Hyperlink"/>
                <w:noProof/>
              </w:rPr>
              <w:t>Definitions</w:t>
            </w:r>
            <w:r w:rsidR="002C02C7">
              <w:rPr>
                <w:noProof/>
                <w:webHidden/>
              </w:rPr>
              <w:tab/>
            </w:r>
            <w:r w:rsidR="002C02C7">
              <w:rPr>
                <w:noProof/>
                <w:webHidden/>
              </w:rPr>
              <w:fldChar w:fldCharType="begin"/>
            </w:r>
            <w:r w:rsidR="002C02C7">
              <w:rPr>
                <w:noProof/>
                <w:webHidden/>
              </w:rPr>
              <w:instrText xml:space="preserve"> PAGEREF _Toc113914023 \h </w:instrText>
            </w:r>
            <w:r w:rsidR="002C02C7">
              <w:rPr>
                <w:noProof/>
                <w:webHidden/>
              </w:rPr>
            </w:r>
            <w:r w:rsidR="002C02C7">
              <w:rPr>
                <w:noProof/>
                <w:webHidden/>
              </w:rPr>
              <w:fldChar w:fldCharType="separate"/>
            </w:r>
            <w:r w:rsidR="00301F80">
              <w:rPr>
                <w:noProof/>
                <w:webHidden/>
              </w:rPr>
              <w:t>2</w:t>
            </w:r>
            <w:r w:rsidR="002C02C7">
              <w:rPr>
                <w:noProof/>
                <w:webHidden/>
              </w:rPr>
              <w:fldChar w:fldCharType="end"/>
            </w:r>
          </w:hyperlink>
        </w:p>
        <w:p w14:paraId="1B421E69" w14:textId="77777777" w:rsidR="002C02C7" w:rsidRDefault="009C705F">
          <w:pPr>
            <w:pStyle w:val="TOC1"/>
            <w:tabs>
              <w:tab w:val="left" w:pos="440"/>
            </w:tabs>
            <w:rPr>
              <w:rFonts w:eastAsiaTheme="minorEastAsia"/>
              <w:noProof/>
              <w:lang w:eastAsia="en-AU"/>
            </w:rPr>
          </w:pPr>
          <w:hyperlink w:anchor="_Toc113914024" w:history="1">
            <w:r w:rsidR="002C02C7" w:rsidRPr="00E46844">
              <w:rPr>
                <w:rStyle w:val="Hyperlink"/>
                <w:noProof/>
              </w:rPr>
              <w:t>4</w:t>
            </w:r>
            <w:r w:rsidR="002C02C7">
              <w:rPr>
                <w:rFonts w:eastAsiaTheme="minorEastAsia"/>
                <w:noProof/>
                <w:lang w:eastAsia="en-AU"/>
              </w:rPr>
              <w:tab/>
            </w:r>
            <w:r w:rsidR="002C02C7" w:rsidRPr="00E46844">
              <w:rPr>
                <w:rStyle w:val="Hyperlink"/>
                <w:noProof/>
              </w:rPr>
              <w:t>Principles</w:t>
            </w:r>
            <w:r w:rsidR="002C02C7">
              <w:rPr>
                <w:noProof/>
                <w:webHidden/>
              </w:rPr>
              <w:tab/>
            </w:r>
            <w:r w:rsidR="002C02C7">
              <w:rPr>
                <w:noProof/>
                <w:webHidden/>
              </w:rPr>
              <w:fldChar w:fldCharType="begin"/>
            </w:r>
            <w:r w:rsidR="002C02C7">
              <w:rPr>
                <w:noProof/>
                <w:webHidden/>
              </w:rPr>
              <w:instrText xml:space="preserve"> PAGEREF _Toc113914024 \h </w:instrText>
            </w:r>
            <w:r w:rsidR="002C02C7">
              <w:rPr>
                <w:noProof/>
                <w:webHidden/>
              </w:rPr>
            </w:r>
            <w:r w:rsidR="002C02C7">
              <w:rPr>
                <w:noProof/>
                <w:webHidden/>
              </w:rPr>
              <w:fldChar w:fldCharType="separate"/>
            </w:r>
            <w:r w:rsidR="00301F80">
              <w:rPr>
                <w:noProof/>
                <w:webHidden/>
              </w:rPr>
              <w:t>2</w:t>
            </w:r>
            <w:r w:rsidR="002C02C7">
              <w:rPr>
                <w:noProof/>
                <w:webHidden/>
              </w:rPr>
              <w:fldChar w:fldCharType="end"/>
            </w:r>
          </w:hyperlink>
        </w:p>
        <w:p w14:paraId="52955758" w14:textId="77777777" w:rsidR="002C02C7" w:rsidRDefault="009C705F">
          <w:pPr>
            <w:pStyle w:val="TOC1"/>
            <w:tabs>
              <w:tab w:val="left" w:pos="440"/>
            </w:tabs>
            <w:rPr>
              <w:rFonts w:eastAsiaTheme="minorEastAsia"/>
              <w:noProof/>
              <w:lang w:eastAsia="en-AU"/>
            </w:rPr>
          </w:pPr>
          <w:hyperlink w:anchor="_Toc113914025" w:history="1">
            <w:r w:rsidR="002C02C7" w:rsidRPr="00E46844">
              <w:rPr>
                <w:rStyle w:val="Hyperlink"/>
                <w:noProof/>
              </w:rPr>
              <w:t>5</w:t>
            </w:r>
            <w:r w:rsidR="002C02C7">
              <w:rPr>
                <w:rFonts w:eastAsiaTheme="minorEastAsia"/>
                <w:noProof/>
                <w:lang w:eastAsia="en-AU"/>
              </w:rPr>
              <w:tab/>
            </w:r>
            <w:r w:rsidR="002C02C7" w:rsidRPr="00E46844">
              <w:rPr>
                <w:rStyle w:val="Hyperlink"/>
                <w:noProof/>
              </w:rPr>
              <w:t>Legislative framework</w:t>
            </w:r>
            <w:r w:rsidR="002C02C7">
              <w:rPr>
                <w:noProof/>
                <w:webHidden/>
              </w:rPr>
              <w:tab/>
            </w:r>
            <w:r w:rsidR="002C02C7">
              <w:rPr>
                <w:noProof/>
                <w:webHidden/>
              </w:rPr>
              <w:fldChar w:fldCharType="begin"/>
            </w:r>
            <w:r w:rsidR="002C02C7">
              <w:rPr>
                <w:noProof/>
                <w:webHidden/>
              </w:rPr>
              <w:instrText xml:space="preserve"> PAGEREF _Toc113914025 \h </w:instrText>
            </w:r>
            <w:r w:rsidR="002C02C7">
              <w:rPr>
                <w:noProof/>
                <w:webHidden/>
              </w:rPr>
            </w:r>
            <w:r w:rsidR="002C02C7">
              <w:rPr>
                <w:noProof/>
                <w:webHidden/>
              </w:rPr>
              <w:fldChar w:fldCharType="separate"/>
            </w:r>
            <w:r w:rsidR="00301F80">
              <w:rPr>
                <w:noProof/>
                <w:webHidden/>
              </w:rPr>
              <w:t>3</w:t>
            </w:r>
            <w:r w:rsidR="002C02C7">
              <w:rPr>
                <w:noProof/>
                <w:webHidden/>
              </w:rPr>
              <w:fldChar w:fldCharType="end"/>
            </w:r>
          </w:hyperlink>
        </w:p>
        <w:p w14:paraId="4644A376" w14:textId="77777777" w:rsidR="002C02C7" w:rsidRDefault="009C705F">
          <w:pPr>
            <w:pStyle w:val="TOC1"/>
            <w:tabs>
              <w:tab w:val="left" w:pos="440"/>
            </w:tabs>
            <w:rPr>
              <w:rFonts w:eastAsiaTheme="minorEastAsia"/>
              <w:noProof/>
              <w:lang w:eastAsia="en-AU"/>
            </w:rPr>
          </w:pPr>
          <w:hyperlink w:anchor="_Toc113914026" w:history="1">
            <w:r w:rsidR="002C02C7" w:rsidRPr="00E46844">
              <w:rPr>
                <w:rStyle w:val="Hyperlink"/>
                <w:noProof/>
              </w:rPr>
              <w:t>6</w:t>
            </w:r>
            <w:r w:rsidR="002C02C7">
              <w:rPr>
                <w:rFonts w:eastAsiaTheme="minorEastAsia"/>
                <w:noProof/>
                <w:lang w:eastAsia="en-AU"/>
              </w:rPr>
              <w:tab/>
            </w:r>
            <w:r w:rsidR="002C02C7" w:rsidRPr="00E46844">
              <w:rPr>
                <w:rStyle w:val="Hyperlink"/>
                <w:noProof/>
              </w:rPr>
              <w:t>Conflict of interest</w:t>
            </w:r>
            <w:r w:rsidR="002C02C7">
              <w:rPr>
                <w:noProof/>
                <w:webHidden/>
              </w:rPr>
              <w:tab/>
            </w:r>
            <w:r w:rsidR="002C02C7">
              <w:rPr>
                <w:noProof/>
                <w:webHidden/>
              </w:rPr>
              <w:fldChar w:fldCharType="begin"/>
            </w:r>
            <w:r w:rsidR="002C02C7">
              <w:rPr>
                <w:noProof/>
                <w:webHidden/>
              </w:rPr>
              <w:instrText xml:space="preserve"> PAGEREF _Toc113914026 \h </w:instrText>
            </w:r>
            <w:r w:rsidR="002C02C7">
              <w:rPr>
                <w:noProof/>
                <w:webHidden/>
              </w:rPr>
            </w:r>
            <w:r w:rsidR="002C02C7">
              <w:rPr>
                <w:noProof/>
                <w:webHidden/>
              </w:rPr>
              <w:fldChar w:fldCharType="separate"/>
            </w:r>
            <w:r w:rsidR="00301F80">
              <w:rPr>
                <w:noProof/>
                <w:webHidden/>
              </w:rPr>
              <w:t>3</w:t>
            </w:r>
            <w:r w:rsidR="002C02C7">
              <w:rPr>
                <w:noProof/>
                <w:webHidden/>
              </w:rPr>
              <w:fldChar w:fldCharType="end"/>
            </w:r>
          </w:hyperlink>
        </w:p>
        <w:p w14:paraId="523FAD33" w14:textId="77777777" w:rsidR="002C02C7" w:rsidRDefault="009C705F">
          <w:pPr>
            <w:pStyle w:val="TOC2"/>
            <w:tabs>
              <w:tab w:val="left" w:pos="880"/>
              <w:tab w:val="right" w:leader="dot" w:pos="9016"/>
            </w:tabs>
            <w:rPr>
              <w:rFonts w:eastAsiaTheme="minorEastAsia"/>
              <w:noProof/>
              <w:lang w:eastAsia="en-AU"/>
            </w:rPr>
          </w:pPr>
          <w:hyperlink w:anchor="_Toc113914027" w:history="1">
            <w:r w:rsidR="002C02C7" w:rsidRPr="00E46844">
              <w:rPr>
                <w:rStyle w:val="Hyperlink"/>
                <w:noProof/>
              </w:rPr>
              <w:t>6.1</w:t>
            </w:r>
            <w:r w:rsidR="002C02C7">
              <w:rPr>
                <w:rFonts w:eastAsiaTheme="minorEastAsia"/>
                <w:noProof/>
                <w:lang w:eastAsia="en-AU"/>
              </w:rPr>
              <w:tab/>
            </w:r>
            <w:r w:rsidR="002C02C7" w:rsidRPr="00E46844">
              <w:rPr>
                <w:rStyle w:val="Hyperlink"/>
                <w:noProof/>
              </w:rPr>
              <w:t>Recognising potential conflicts of interest</w:t>
            </w:r>
            <w:r w:rsidR="002C02C7">
              <w:rPr>
                <w:noProof/>
                <w:webHidden/>
              </w:rPr>
              <w:tab/>
            </w:r>
            <w:r w:rsidR="002C02C7">
              <w:rPr>
                <w:noProof/>
                <w:webHidden/>
              </w:rPr>
              <w:fldChar w:fldCharType="begin"/>
            </w:r>
            <w:r w:rsidR="002C02C7">
              <w:rPr>
                <w:noProof/>
                <w:webHidden/>
              </w:rPr>
              <w:instrText xml:space="preserve"> PAGEREF _Toc113914027 \h </w:instrText>
            </w:r>
            <w:r w:rsidR="002C02C7">
              <w:rPr>
                <w:noProof/>
                <w:webHidden/>
              </w:rPr>
            </w:r>
            <w:r w:rsidR="002C02C7">
              <w:rPr>
                <w:noProof/>
                <w:webHidden/>
              </w:rPr>
              <w:fldChar w:fldCharType="separate"/>
            </w:r>
            <w:r w:rsidR="00301F80">
              <w:rPr>
                <w:noProof/>
                <w:webHidden/>
              </w:rPr>
              <w:t>3</w:t>
            </w:r>
            <w:r w:rsidR="002C02C7">
              <w:rPr>
                <w:noProof/>
                <w:webHidden/>
              </w:rPr>
              <w:fldChar w:fldCharType="end"/>
            </w:r>
          </w:hyperlink>
        </w:p>
        <w:p w14:paraId="6FE4545E" w14:textId="77777777" w:rsidR="002C02C7" w:rsidRDefault="009C705F">
          <w:pPr>
            <w:pStyle w:val="TOC2"/>
            <w:tabs>
              <w:tab w:val="left" w:pos="880"/>
              <w:tab w:val="right" w:leader="dot" w:pos="9016"/>
            </w:tabs>
            <w:rPr>
              <w:rFonts w:eastAsiaTheme="minorEastAsia"/>
              <w:noProof/>
              <w:lang w:eastAsia="en-AU"/>
            </w:rPr>
          </w:pPr>
          <w:hyperlink w:anchor="_Toc113914028" w:history="1">
            <w:r w:rsidR="002C02C7" w:rsidRPr="00E46844">
              <w:rPr>
                <w:rStyle w:val="Hyperlink"/>
                <w:noProof/>
              </w:rPr>
              <w:t>6.2</w:t>
            </w:r>
            <w:r w:rsidR="002C02C7">
              <w:rPr>
                <w:rFonts w:eastAsiaTheme="minorEastAsia"/>
                <w:noProof/>
                <w:lang w:eastAsia="en-AU"/>
              </w:rPr>
              <w:tab/>
            </w:r>
            <w:r w:rsidR="002C02C7" w:rsidRPr="00E46844">
              <w:rPr>
                <w:rStyle w:val="Hyperlink"/>
                <w:noProof/>
              </w:rPr>
              <w:t>Immediate family</w:t>
            </w:r>
            <w:r w:rsidR="002C02C7">
              <w:rPr>
                <w:noProof/>
                <w:webHidden/>
              </w:rPr>
              <w:tab/>
            </w:r>
            <w:r w:rsidR="002C02C7">
              <w:rPr>
                <w:noProof/>
                <w:webHidden/>
              </w:rPr>
              <w:fldChar w:fldCharType="begin"/>
            </w:r>
            <w:r w:rsidR="002C02C7">
              <w:rPr>
                <w:noProof/>
                <w:webHidden/>
              </w:rPr>
              <w:instrText xml:space="preserve"> PAGEREF _Toc113914028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258587FF" w14:textId="77777777" w:rsidR="002C02C7" w:rsidRDefault="009C705F">
          <w:pPr>
            <w:pStyle w:val="TOC2"/>
            <w:tabs>
              <w:tab w:val="left" w:pos="880"/>
              <w:tab w:val="right" w:leader="dot" w:pos="9016"/>
            </w:tabs>
            <w:rPr>
              <w:rFonts w:eastAsiaTheme="minorEastAsia"/>
              <w:noProof/>
              <w:lang w:eastAsia="en-AU"/>
            </w:rPr>
          </w:pPr>
          <w:hyperlink w:anchor="_Toc113914029" w:history="1">
            <w:r w:rsidR="002C02C7" w:rsidRPr="00E46844">
              <w:rPr>
                <w:rStyle w:val="Hyperlink"/>
                <w:noProof/>
              </w:rPr>
              <w:t>6.3</w:t>
            </w:r>
            <w:r w:rsidR="002C02C7">
              <w:rPr>
                <w:rFonts w:eastAsiaTheme="minorEastAsia"/>
                <w:noProof/>
                <w:lang w:eastAsia="en-AU"/>
              </w:rPr>
              <w:tab/>
            </w:r>
            <w:r w:rsidR="002C02C7" w:rsidRPr="00E46844">
              <w:rPr>
                <w:rStyle w:val="Hyperlink"/>
                <w:noProof/>
              </w:rPr>
              <w:t>Personal relationships</w:t>
            </w:r>
            <w:r w:rsidR="002C02C7">
              <w:rPr>
                <w:noProof/>
                <w:webHidden/>
              </w:rPr>
              <w:tab/>
            </w:r>
            <w:r w:rsidR="002C02C7">
              <w:rPr>
                <w:noProof/>
                <w:webHidden/>
              </w:rPr>
              <w:fldChar w:fldCharType="begin"/>
            </w:r>
            <w:r w:rsidR="002C02C7">
              <w:rPr>
                <w:noProof/>
                <w:webHidden/>
              </w:rPr>
              <w:instrText xml:space="preserve"> PAGEREF _Toc113914029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0EBF0035" w14:textId="77777777" w:rsidR="002C02C7" w:rsidRDefault="009C705F">
          <w:pPr>
            <w:pStyle w:val="TOC2"/>
            <w:tabs>
              <w:tab w:val="left" w:pos="880"/>
              <w:tab w:val="right" w:leader="dot" w:pos="9016"/>
            </w:tabs>
            <w:rPr>
              <w:rFonts w:eastAsiaTheme="minorEastAsia"/>
              <w:noProof/>
              <w:lang w:eastAsia="en-AU"/>
            </w:rPr>
          </w:pPr>
          <w:hyperlink w:anchor="_Toc113914030" w:history="1">
            <w:r w:rsidR="002C02C7" w:rsidRPr="00E46844">
              <w:rPr>
                <w:rStyle w:val="Hyperlink"/>
                <w:noProof/>
              </w:rPr>
              <w:t>6.4</w:t>
            </w:r>
            <w:r w:rsidR="002C02C7">
              <w:rPr>
                <w:rFonts w:eastAsiaTheme="minorEastAsia"/>
                <w:noProof/>
                <w:lang w:eastAsia="en-AU"/>
              </w:rPr>
              <w:tab/>
            </w:r>
            <w:r w:rsidR="002C02C7" w:rsidRPr="00E46844">
              <w:rPr>
                <w:rStyle w:val="Hyperlink"/>
                <w:noProof/>
              </w:rPr>
              <w:t>Relationships with lobbyists</w:t>
            </w:r>
            <w:r w:rsidR="002C02C7">
              <w:rPr>
                <w:noProof/>
                <w:webHidden/>
              </w:rPr>
              <w:tab/>
            </w:r>
            <w:r w:rsidR="002C02C7">
              <w:rPr>
                <w:noProof/>
                <w:webHidden/>
              </w:rPr>
              <w:fldChar w:fldCharType="begin"/>
            </w:r>
            <w:r w:rsidR="002C02C7">
              <w:rPr>
                <w:noProof/>
                <w:webHidden/>
              </w:rPr>
              <w:instrText xml:space="preserve"> PAGEREF _Toc113914030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50779811" w14:textId="77777777" w:rsidR="002C02C7" w:rsidRDefault="009C705F">
          <w:pPr>
            <w:pStyle w:val="TOC2"/>
            <w:tabs>
              <w:tab w:val="left" w:pos="880"/>
              <w:tab w:val="right" w:leader="dot" w:pos="9016"/>
            </w:tabs>
            <w:rPr>
              <w:rFonts w:eastAsiaTheme="minorEastAsia"/>
              <w:noProof/>
              <w:lang w:eastAsia="en-AU"/>
            </w:rPr>
          </w:pPr>
          <w:hyperlink w:anchor="_Toc113914031" w:history="1">
            <w:r w:rsidR="002C02C7" w:rsidRPr="00E46844">
              <w:rPr>
                <w:rStyle w:val="Hyperlink"/>
                <w:noProof/>
              </w:rPr>
              <w:t>6.5</w:t>
            </w:r>
            <w:r w:rsidR="002C02C7">
              <w:rPr>
                <w:rFonts w:eastAsiaTheme="minorEastAsia"/>
                <w:noProof/>
                <w:lang w:eastAsia="en-AU"/>
              </w:rPr>
              <w:tab/>
            </w:r>
            <w:r w:rsidR="002C02C7" w:rsidRPr="00E46844">
              <w:rPr>
                <w:rStyle w:val="Hyperlink"/>
                <w:noProof/>
              </w:rPr>
              <w:t>Acceptance of gifts</w:t>
            </w:r>
            <w:r w:rsidR="002C02C7">
              <w:rPr>
                <w:noProof/>
                <w:webHidden/>
              </w:rPr>
              <w:tab/>
            </w:r>
            <w:r w:rsidR="002C02C7">
              <w:rPr>
                <w:noProof/>
                <w:webHidden/>
              </w:rPr>
              <w:fldChar w:fldCharType="begin"/>
            </w:r>
            <w:r w:rsidR="002C02C7">
              <w:rPr>
                <w:noProof/>
                <w:webHidden/>
              </w:rPr>
              <w:instrText xml:space="preserve"> PAGEREF _Toc113914031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1711A177" w14:textId="77777777" w:rsidR="002C02C7" w:rsidRDefault="009C705F">
          <w:pPr>
            <w:pStyle w:val="TOC1"/>
            <w:tabs>
              <w:tab w:val="left" w:pos="440"/>
            </w:tabs>
            <w:rPr>
              <w:rFonts w:eastAsiaTheme="minorEastAsia"/>
              <w:noProof/>
              <w:lang w:eastAsia="en-AU"/>
            </w:rPr>
          </w:pPr>
          <w:hyperlink w:anchor="_Toc113914032" w:history="1">
            <w:r w:rsidR="002C02C7" w:rsidRPr="00E46844">
              <w:rPr>
                <w:rStyle w:val="Hyperlink"/>
                <w:noProof/>
              </w:rPr>
              <w:t>7</w:t>
            </w:r>
            <w:r w:rsidR="002C02C7">
              <w:rPr>
                <w:rFonts w:eastAsiaTheme="minorEastAsia"/>
                <w:noProof/>
                <w:lang w:eastAsia="en-AU"/>
              </w:rPr>
              <w:tab/>
            </w:r>
            <w:r w:rsidR="002C02C7" w:rsidRPr="00E46844">
              <w:rPr>
                <w:rStyle w:val="Hyperlink"/>
                <w:noProof/>
              </w:rPr>
              <w:t>Insider Trading</w:t>
            </w:r>
            <w:r w:rsidR="002C02C7">
              <w:rPr>
                <w:noProof/>
                <w:webHidden/>
              </w:rPr>
              <w:tab/>
            </w:r>
            <w:r w:rsidR="002C02C7">
              <w:rPr>
                <w:noProof/>
                <w:webHidden/>
              </w:rPr>
              <w:fldChar w:fldCharType="begin"/>
            </w:r>
            <w:r w:rsidR="002C02C7">
              <w:rPr>
                <w:noProof/>
                <w:webHidden/>
              </w:rPr>
              <w:instrText xml:space="preserve"> PAGEREF _Toc113914032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1A6C0B2E" w14:textId="77777777" w:rsidR="002C02C7" w:rsidRDefault="009C705F">
          <w:pPr>
            <w:pStyle w:val="TOC2"/>
            <w:tabs>
              <w:tab w:val="left" w:pos="880"/>
              <w:tab w:val="right" w:leader="dot" w:pos="9016"/>
            </w:tabs>
            <w:rPr>
              <w:rFonts w:eastAsiaTheme="minorEastAsia"/>
              <w:noProof/>
              <w:lang w:eastAsia="en-AU"/>
            </w:rPr>
          </w:pPr>
          <w:hyperlink w:anchor="_Toc113914033" w:history="1">
            <w:r w:rsidR="002C02C7" w:rsidRPr="00E46844">
              <w:rPr>
                <w:rStyle w:val="Hyperlink"/>
                <w:noProof/>
              </w:rPr>
              <w:t>7.1</w:t>
            </w:r>
            <w:r w:rsidR="002C02C7">
              <w:rPr>
                <w:rFonts w:eastAsiaTheme="minorEastAsia"/>
                <w:noProof/>
                <w:lang w:eastAsia="en-AU"/>
              </w:rPr>
              <w:tab/>
            </w:r>
            <w:r w:rsidR="002C02C7" w:rsidRPr="00E46844">
              <w:rPr>
                <w:rStyle w:val="Hyperlink"/>
                <w:noProof/>
              </w:rPr>
              <w:t>Recognising ‘insider trading’ information</w:t>
            </w:r>
            <w:r w:rsidR="002C02C7">
              <w:rPr>
                <w:noProof/>
                <w:webHidden/>
              </w:rPr>
              <w:tab/>
            </w:r>
            <w:r w:rsidR="002C02C7">
              <w:rPr>
                <w:noProof/>
                <w:webHidden/>
              </w:rPr>
              <w:fldChar w:fldCharType="begin"/>
            </w:r>
            <w:r w:rsidR="002C02C7">
              <w:rPr>
                <w:noProof/>
                <w:webHidden/>
              </w:rPr>
              <w:instrText xml:space="preserve"> PAGEREF _Toc113914033 \h </w:instrText>
            </w:r>
            <w:r w:rsidR="002C02C7">
              <w:rPr>
                <w:noProof/>
                <w:webHidden/>
              </w:rPr>
            </w:r>
            <w:r w:rsidR="002C02C7">
              <w:rPr>
                <w:noProof/>
                <w:webHidden/>
              </w:rPr>
              <w:fldChar w:fldCharType="separate"/>
            </w:r>
            <w:r w:rsidR="00301F80">
              <w:rPr>
                <w:noProof/>
                <w:webHidden/>
              </w:rPr>
              <w:t>4</w:t>
            </w:r>
            <w:r w:rsidR="002C02C7">
              <w:rPr>
                <w:noProof/>
                <w:webHidden/>
              </w:rPr>
              <w:fldChar w:fldCharType="end"/>
            </w:r>
          </w:hyperlink>
        </w:p>
        <w:p w14:paraId="3DF598FC" w14:textId="77777777" w:rsidR="002C02C7" w:rsidRDefault="009C705F">
          <w:pPr>
            <w:pStyle w:val="TOC1"/>
            <w:tabs>
              <w:tab w:val="left" w:pos="440"/>
            </w:tabs>
            <w:rPr>
              <w:rFonts w:eastAsiaTheme="minorEastAsia"/>
              <w:noProof/>
              <w:lang w:eastAsia="en-AU"/>
            </w:rPr>
          </w:pPr>
          <w:hyperlink w:anchor="_Toc113914034" w:history="1">
            <w:r w:rsidR="002C02C7" w:rsidRPr="00E46844">
              <w:rPr>
                <w:rStyle w:val="Hyperlink"/>
                <w:noProof/>
              </w:rPr>
              <w:t>8</w:t>
            </w:r>
            <w:r w:rsidR="002C02C7">
              <w:rPr>
                <w:rFonts w:eastAsiaTheme="minorEastAsia"/>
                <w:noProof/>
                <w:lang w:eastAsia="en-AU"/>
              </w:rPr>
              <w:tab/>
            </w:r>
            <w:r w:rsidR="002C02C7" w:rsidRPr="00E46844">
              <w:rPr>
                <w:rStyle w:val="Hyperlink"/>
                <w:noProof/>
              </w:rPr>
              <w:t>Management Framework</w:t>
            </w:r>
            <w:r w:rsidR="002C02C7">
              <w:rPr>
                <w:noProof/>
                <w:webHidden/>
              </w:rPr>
              <w:tab/>
            </w:r>
            <w:r w:rsidR="002C02C7">
              <w:rPr>
                <w:noProof/>
                <w:webHidden/>
              </w:rPr>
              <w:fldChar w:fldCharType="begin"/>
            </w:r>
            <w:r w:rsidR="002C02C7">
              <w:rPr>
                <w:noProof/>
                <w:webHidden/>
              </w:rPr>
              <w:instrText xml:space="preserve"> PAGEREF _Toc113914034 \h </w:instrText>
            </w:r>
            <w:r w:rsidR="002C02C7">
              <w:rPr>
                <w:noProof/>
                <w:webHidden/>
              </w:rPr>
            </w:r>
            <w:r w:rsidR="002C02C7">
              <w:rPr>
                <w:noProof/>
                <w:webHidden/>
              </w:rPr>
              <w:fldChar w:fldCharType="separate"/>
            </w:r>
            <w:r w:rsidR="00301F80">
              <w:rPr>
                <w:noProof/>
                <w:webHidden/>
              </w:rPr>
              <w:t>5</w:t>
            </w:r>
            <w:r w:rsidR="002C02C7">
              <w:rPr>
                <w:noProof/>
                <w:webHidden/>
              </w:rPr>
              <w:fldChar w:fldCharType="end"/>
            </w:r>
          </w:hyperlink>
        </w:p>
        <w:p w14:paraId="11FADB02" w14:textId="77777777" w:rsidR="002C02C7" w:rsidRDefault="009C705F">
          <w:pPr>
            <w:pStyle w:val="TOC2"/>
            <w:tabs>
              <w:tab w:val="left" w:pos="880"/>
              <w:tab w:val="right" w:leader="dot" w:pos="9016"/>
            </w:tabs>
            <w:rPr>
              <w:rFonts w:eastAsiaTheme="minorEastAsia"/>
              <w:noProof/>
              <w:lang w:eastAsia="en-AU"/>
            </w:rPr>
          </w:pPr>
          <w:hyperlink w:anchor="_Toc113914035" w:history="1">
            <w:r w:rsidR="002C02C7" w:rsidRPr="00E46844">
              <w:rPr>
                <w:rStyle w:val="Hyperlink"/>
                <w:noProof/>
              </w:rPr>
              <w:t>8.1</w:t>
            </w:r>
            <w:r w:rsidR="002C02C7">
              <w:rPr>
                <w:rFonts w:eastAsiaTheme="minorEastAsia"/>
                <w:noProof/>
                <w:lang w:eastAsia="en-AU"/>
              </w:rPr>
              <w:tab/>
            </w:r>
            <w:r w:rsidR="002C02C7" w:rsidRPr="00E46844">
              <w:rPr>
                <w:rStyle w:val="Hyperlink"/>
                <w:noProof/>
              </w:rPr>
              <w:t>Awareness tutorial</w:t>
            </w:r>
            <w:r w:rsidR="002C02C7">
              <w:rPr>
                <w:noProof/>
                <w:webHidden/>
              </w:rPr>
              <w:tab/>
            </w:r>
            <w:r w:rsidR="002C02C7">
              <w:rPr>
                <w:noProof/>
                <w:webHidden/>
              </w:rPr>
              <w:fldChar w:fldCharType="begin"/>
            </w:r>
            <w:r w:rsidR="002C02C7">
              <w:rPr>
                <w:noProof/>
                <w:webHidden/>
              </w:rPr>
              <w:instrText xml:space="preserve"> PAGEREF _Toc113914035 \h </w:instrText>
            </w:r>
            <w:r w:rsidR="002C02C7">
              <w:rPr>
                <w:noProof/>
                <w:webHidden/>
              </w:rPr>
            </w:r>
            <w:r w:rsidR="002C02C7">
              <w:rPr>
                <w:noProof/>
                <w:webHidden/>
              </w:rPr>
              <w:fldChar w:fldCharType="separate"/>
            </w:r>
            <w:r w:rsidR="00301F80">
              <w:rPr>
                <w:noProof/>
                <w:webHidden/>
              </w:rPr>
              <w:t>5</w:t>
            </w:r>
            <w:r w:rsidR="002C02C7">
              <w:rPr>
                <w:noProof/>
                <w:webHidden/>
              </w:rPr>
              <w:fldChar w:fldCharType="end"/>
            </w:r>
          </w:hyperlink>
        </w:p>
        <w:p w14:paraId="5FB09EF0" w14:textId="77777777" w:rsidR="002C02C7" w:rsidRDefault="009C705F">
          <w:pPr>
            <w:pStyle w:val="TOC2"/>
            <w:tabs>
              <w:tab w:val="left" w:pos="880"/>
              <w:tab w:val="right" w:leader="dot" w:pos="9016"/>
            </w:tabs>
            <w:rPr>
              <w:rFonts w:eastAsiaTheme="minorEastAsia"/>
              <w:noProof/>
              <w:lang w:eastAsia="en-AU"/>
            </w:rPr>
          </w:pPr>
          <w:hyperlink w:anchor="_Toc113914036" w:history="1">
            <w:r w:rsidR="002C02C7" w:rsidRPr="00E46844">
              <w:rPr>
                <w:rStyle w:val="Hyperlink"/>
                <w:noProof/>
              </w:rPr>
              <w:t>8.2</w:t>
            </w:r>
            <w:r w:rsidR="002C02C7">
              <w:rPr>
                <w:rFonts w:eastAsiaTheme="minorEastAsia"/>
                <w:noProof/>
                <w:lang w:eastAsia="en-AU"/>
              </w:rPr>
              <w:tab/>
            </w:r>
            <w:r w:rsidR="002C02C7" w:rsidRPr="00E46844">
              <w:rPr>
                <w:rStyle w:val="Hyperlink"/>
                <w:noProof/>
              </w:rPr>
              <w:t>Procedure for continuous disclosure of material personal interests</w:t>
            </w:r>
            <w:r w:rsidR="002C02C7">
              <w:rPr>
                <w:noProof/>
                <w:webHidden/>
              </w:rPr>
              <w:tab/>
            </w:r>
            <w:r w:rsidR="002C02C7">
              <w:rPr>
                <w:noProof/>
                <w:webHidden/>
              </w:rPr>
              <w:fldChar w:fldCharType="begin"/>
            </w:r>
            <w:r w:rsidR="002C02C7">
              <w:rPr>
                <w:noProof/>
                <w:webHidden/>
              </w:rPr>
              <w:instrText xml:space="preserve"> PAGEREF _Toc113914036 \h </w:instrText>
            </w:r>
            <w:r w:rsidR="002C02C7">
              <w:rPr>
                <w:noProof/>
                <w:webHidden/>
              </w:rPr>
            </w:r>
            <w:r w:rsidR="002C02C7">
              <w:rPr>
                <w:noProof/>
                <w:webHidden/>
              </w:rPr>
              <w:fldChar w:fldCharType="separate"/>
            </w:r>
            <w:r w:rsidR="00301F80">
              <w:rPr>
                <w:noProof/>
                <w:webHidden/>
              </w:rPr>
              <w:t>5</w:t>
            </w:r>
            <w:r w:rsidR="002C02C7">
              <w:rPr>
                <w:noProof/>
                <w:webHidden/>
              </w:rPr>
              <w:fldChar w:fldCharType="end"/>
            </w:r>
          </w:hyperlink>
        </w:p>
        <w:p w14:paraId="15CE3468" w14:textId="77777777" w:rsidR="002C02C7" w:rsidRDefault="009C705F">
          <w:pPr>
            <w:pStyle w:val="TOC1"/>
            <w:tabs>
              <w:tab w:val="left" w:pos="440"/>
            </w:tabs>
            <w:rPr>
              <w:rFonts w:eastAsiaTheme="minorEastAsia"/>
              <w:noProof/>
              <w:lang w:eastAsia="en-AU"/>
            </w:rPr>
          </w:pPr>
          <w:hyperlink w:anchor="_Toc113914037" w:history="1">
            <w:r w:rsidR="002C02C7" w:rsidRPr="00E46844">
              <w:rPr>
                <w:rStyle w:val="Hyperlink"/>
                <w:noProof/>
              </w:rPr>
              <w:t>9</w:t>
            </w:r>
            <w:r w:rsidR="002C02C7">
              <w:rPr>
                <w:rFonts w:eastAsiaTheme="minorEastAsia"/>
                <w:noProof/>
                <w:lang w:eastAsia="en-AU"/>
              </w:rPr>
              <w:tab/>
            </w:r>
            <w:r w:rsidR="002C02C7" w:rsidRPr="00E46844">
              <w:rPr>
                <w:rStyle w:val="Hyperlink"/>
                <w:noProof/>
              </w:rPr>
              <w:t>Managing conflicts of interest</w:t>
            </w:r>
            <w:r w:rsidR="002C02C7">
              <w:rPr>
                <w:noProof/>
                <w:webHidden/>
              </w:rPr>
              <w:tab/>
            </w:r>
            <w:r w:rsidR="002C02C7">
              <w:rPr>
                <w:noProof/>
                <w:webHidden/>
              </w:rPr>
              <w:fldChar w:fldCharType="begin"/>
            </w:r>
            <w:r w:rsidR="002C02C7">
              <w:rPr>
                <w:noProof/>
                <w:webHidden/>
              </w:rPr>
              <w:instrText xml:space="preserve"> PAGEREF _Toc113914037 \h </w:instrText>
            </w:r>
            <w:r w:rsidR="002C02C7">
              <w:rPr>
                <w:noProof/>
                <w:webHidden/>
              </w:rPr>
            </w:r>
            <w:r w:rsidR="002C02C7">
              <w:rPr>
                <w:noProof/>
                <w:webHidden/>
              </w:rPr>
              <w:fldChar w:fldCharType="separate"/>
            </w:r>
            <w:r w:rsidR="00301F80">
              <w:rPr>
                <w:noProof/>
                <w:webHidden/>
              </w:rPr>
              <w:t>6</w:t>
            </w:r>
            <w:r w:rsidR="002C02C7">
              <w:rPr>
                <w:noProof/>
                <w:webHidden/>
              </w:rPr>
              <w:fldChar w:fldCharType="end"/>
            </w:r>
          </w:hyperlink>
        </w:p>
        <w:p w14:paraId="22BD3DBE" w14:textId="77777777" w:rsidR="002C02C7" w:rsidRDefault="009C705F">
          <w:pPr>
            <w:pStyle w:val="TOC1"/>
            <w:tabs>
              <w:tab w:val="left" w:pos="660"/>
            </w:tabs>
            <w:rPr>
              <w:rFonts w:eastAsiaTheme="minorEastAsia"/>
              <w:noProof/>
              <w:lang w:eastAsia="en-AU"/>
            </w:rPr>
          </w:pPr>
          <w:hyperlink w:anchor="_Toc113914038" w:history="1">
            <w:r w:rsidR="002C02C7" w:rsidRPr="00E46844">
              <w:rPr>
                <w:rStyle w:val="Hyperlink"/>
                <w:noProof/>
              </w:rPr>
              <w:t>10</w:t>
            </w:r>
            <w:r w:rsidR="002C02C7">
              <w:rPr>
                <w:rFonts w:eastAsiaTheme="minorEastAsia"/>
                <w:noProof/>
                <w:lang w:eastAsia="en-AU"/>
              </w:rPr>
              <w:tab/>
            </w:r>
            <w:r w:rsidR="002C02C7" w:rsidRPr="00E46844">
              <w:rPr>
                <w:rStyle w:val="Hyperlink"/>
                <w:noProof/>
              </w:rPr>
              <w:t>Strategies to manage a conflict of interest - the five “R’s”</w:t>
            </w:r>
            <w:r w:rsidR="002C02C7">
              <w:rPr>
                <w:noProof/>
                <w:webHidden/>
              </w:rPr>
              <w:tab/>
            </w:r>
            <w:r w:rsidR="002C02C7">
              <w:rPr>
                <w:noProof/>
                <w:webHidden/>
              </w:rPr>
              <w:fldChar w:fldCharType="begin"/>
            </w:r>
            <w:r w:rsidR="002C02C7">
              <w:rPr>
                <w:noProof/>
                <w:webHidden/>
              </w:rPr>
              <w:instrText xml:space="preserve"> PAGEREF _Toc113914038 \h </w:instrText>
            </w:r>
            <w:r w:rsidR="002C02C7">
              <w:rPr>
                <w:noProof/>
                <w:webHidden/>
              </w:rPr>
            </w:r>
            <w:r w:rsidR="002C02C7">
              <w:rPr>
                <w:noProof/>
                <w:webHidden/>
              </w:rPr>
              <w:fldChar w:fldCharType="separate"/>
            </w:r>
            <w:r w:rsidR="00301F80">
              <w:rPr>
                <w:noProof/>
                <w:webHidden/>
              </w:rPr>
              <w:t>7</w:t>
            </w:r>
            <w:r w:rsidR="002C02C7">
              <w:rPr>
                <w:noProof/>
                <w:webHidden/>
              </w:rPr>
              <w:fldChar w:fldCharType="end"/>
            </w:r>
          </w:hyperlink>
        </w:p>
        <w:p w14:paraId="50F67232" w14:textId="77777777" w:rsidR="002C02C7" w:rsidRDefault="009C705F">
          <w:pPr>
            <w:pStyle w:val="TOC1"/>
            <w:tabs>
              <w:tab w:val="left" w:pos="660"/>
            </w:tabs>
            <w:rPr>
              <w:rFonts w:eastAsiaTheme="minorEastAsia"/>
              <w:noProof/>
              <w:lang w:eastAsia="en-AU"/>
            </w:rPr>
          </w:pPr>
          <w:hyperlink w:anchor="_Toc113914039" w:history="1">
            <w:r w:rsidR="002C02C7" w:rsidRPr="00E46844">
              <w:rPr>
                <w:rStyle w:val="Hyperlink"/>
                <w:noProof/>
              </w:rPr>
              <w:t>11</w:t>
            </w:r>
            <w:r w:rsidR="002C02C7">
              <w:rPr>
                <w:rFonts w:eastAsiaTheme="minorEastAsia"/>
                <w:noProof/>
                <w:lang w:eastAsia="en-AU"/>
              </w:rPr>
              <w:tab/>
            </w:r>
            <w:r w:rsidR="002C02C7" w:rsidRPr="00E46844">
              <w:rPr>
                <w:rStyle w:val="Hyperlink"/>
                <w:noProof/>
              </w:rPr>
              <w:t>Storage and security of declarations</w:t>
            </w:r>
            <w:r w:rsidR="002C02C7">
              <w:rPr>
                <w:noProof/>
                <w:webHidden/>
              </w:rPr>
              <w:tab/>
            </w:r>
            <w:r w:rsidR="002C02C7">
              <w:rPr>
                <w:noProof/>
                <w:webHidden/>
              </w:rPr>
              <w:fldChar w:fldCharType="begin"/>
            </w:r>
            <w:r w:rsidR="002C02C7">
              <w:rPr>
                <w:noProof/>
                <w:webHidden/>
              </w:rPr>
              <w:instrText xml:space="preserve"> PAGEREF _Toc113914039 \h </w:instrText>
            </w:r>
            <w:r w:rsidR="002C02C7">
              <w:rPr>
                <w:noProof/>
                <w:webHidden/>
              </w:rPr>
            </w:r>
            <w:r w:rsidR="002C02C7">
              <w:rPr>
                <w:noProof/>
                <w:webHidden/>
              </w:rPr>
              <w:fldChar w:fldCharType="separate"/>
            </w:r>
            <w:r w:rsidR="00301F80">
              <w:rPr>
                <w:noProof/>
                <w:webHidden/>
              </w:rPr>
              <w:t>8</w:t>
            </w:r>
            <w:r w:rsidR="002C02C7">
              <w:rPr>
                <w:noProof/>
                <w:webHidden/>
              </w:rPr>
              <w:fldChar w:fldCharType="end"/>
            </w:r>
          </w:hyperlink>
        </w:p>
        <w:p w14:paraId="1987CFA5" w14:textId="77777777" w:rsidR="002C02C7" w:rsidRDefault="009C705F">
          <w:pPr>
            <w:pStyle w:val="TOC1"/>
            <w:tabs>
              <w:tab w:val="left" w:pos="660"/>
            </w:tabs>
            <w:rPr>
              <w:rFonts w:eastAsiaTheme="minorEastAsia"/>
              <w:noProof/>
              <w:lang w:eastAsia="en-AU"/>
            </w:rPr>
          </w:pPr>
          <w:hyperlink w:anchor="_Toc113914040" w:history="1">
            <w:r w:rsidR="002C02C7" w:rsidRPr="00E46844">
              <w:rPr>
                <w:rStyle w:val="Hyperlink"/>
                <w:noProof/>
              </w:rPr>
              <w:t>12</w:t>
            </w:r>
            <w:r w:rsidR="002C02C7">
              <w:rPr>
                <w:rFonts w:eastAsiaTheme="minorEastAsia"/>
                <w:noProof/>
                <w:lang w:eastAsia="en-AU"/>
              </w:rPr>
              <w:tab/>
            </w:r>
            <w:r w:rsidR="002C02C7" w:rsidRPr="00E46844">
              <w:rPr>
                <w:rStyle w:val="Hyperlink"/>
                <w:noProof/>
              </w:rPr>
              <w:t>Intention to trade in financial products relevant to the division</w:t>
            </w:r>
            <w:r w:rsidR="002C02C7">
              <w:rPr>
                <w:noProof/>
                <w:webHidden/>
              </w:rPr>
              <w:tab/>
            </w:r>
            <w:r w:rsidR="002C02C7">
              <w:rPr>
                <w:noProof/>
                <w:webHidden/>
              </w:rPr>
              <w:fldChar w:fldCharType="begin"/>
            </w:r>
            <w:r w:rsidR="002C02C7">
              <w:rPr>
                <w:noProof/>
                <w:webHidden/>
              </w:rPr>
              <w:instrText xml:space="preserve"> PAGEREF _Toc113914040 \h </w:instrText>
            </w:r>
            <w:r w:rsidR="002C02C7">
              <w:rPr>
                <w:noProof/>
                <w:webHidden/>
              </w:rPr>
            </w:r>
            <w:r w:rsidR="002C02C7">
              <w:rPr>
                <w:noProof/>
                <w:webHidden/>
              </w:rPr>
              <w:fldChar w:fldCharType="separate"/>
            </w:r>
            <w:r w:rsidR="00301F80">
              <w:rPr>
                <w:noProof/>
                <w:webHidden/>
              </w:rPr>
              <w:t>8</w:t>
            </w:r>
            <w:r w:rsidR="002C02C7">
              <w:rPr>
                <w:noProof/>
                <w:webHidden/>
              </w:rPr>
              <w:fldChar w:fldCharType="end"/>
            </w:r>
          </w:hyperlink>
        </w:p>
        <w:p w14:paraId="0A359A80" w14:textId="77777777" w:rsidR="002C02C7" w:rsidRDefault="009C705F">
          <w:pPr>
            <w:pStyle w:val="TOC1"/>
            <w:tabs>
              <w:tab w:val="left" w:pos="660"/>
            </w:tabs>
            <w:rPr>
              <w:rFonts w:eastAsiaTheme="minorEastAsia"/>
              <w:noProof/>
              <w:lang w:eastAsia="en-AU"/>
            </w:rPr>
          </w:pPr>
          <w:hyperlink w:anchor="_Toc113914041" w:history="1">
            <w:r w:rsidR="002C02C7" w:rsidRPr="00E46844">
              <w:rPr>
                <w:rStyle w:val="Hyperlink"/>
                <w:noProof/>
              </w:rPr>
              <w:t>13</w:t>
            </w:r>
            <w:r w:rsidR="002C02C7">
              <w:rPr>
                <w:rFonts w:eastAsiaTheme="minorEastAsia"/>
                <w:noProof/>
                <w:lang w:eastAsia="en-AU"/>
              </w:rPr>
              <w:tab/>
            </w:r>
            <w:r w:rsidR="002C02C7" w:rsidRPr="00E46844">
              <w:rPr>
                <w:rStyle w:val="Hyperlink"/>
                <w:noProof/>
              </w:rPr>
              <w:t>After leaving the department</w:t>
            </w:r>
            <w:r w:rsidR="002C02C7">
              <w:rPr>
                <w:noProof/>
                <w:webHidden/>
              </w:rPr>
              <w:tab/>
            </w:r>
            <w:r w:rsidR="002C02C7">
              <w:rPr>
                <w:noProof/>
                <w:webHidden/>
              </w:rPr>
              <w:fldChar w:fldCharType="begin"/>
            </w:r>
            <w:r w:rsidR="002C02C7">
              <w:rPr>
                <w:noProof/>
                <w:webHidden/>
              </w:rPr>
              <w:instrText xml:space="preserve"> PAGEREF _Toc113914041 \h </w:instrText>
            </w:r>
            <w:r w:rsidR="002C02C7">
              <w:rPr>
                <w:noProof/>
                <w:webHidden/>
              </w:rPr>
            </w:r>
            <w:r w:rsidR="002C02C7">
              <w:rPr>
                <w:noProof/>
                <w:webHidden/>
              </w:rPr>
              <w:fldChar w:fldCharType="separate"/>
            </w:r>
            <w:r w:rsidR="00301F80">
              <w:rPr>
                <w:noProof/>
                <w:webHidden/>
              </w:rPr>
              <w:t>8</w:t>
            </w:r>
            <w:r w:rsidR="002C02C7">
              <w:rPr>
                <w:noProof/>
                <w:webHidden/>
              </w:rPr>
              <w:fldChar w:fldCharType="end"/>
            </w:r>
          </w:hyperlink>
        </w:p>
        <w:p w14:paraId="4574E4C2" w14:textId="77777777" w:rsidR="002C02C7" w:rsidRDefault="009C705F">
          <w:pPr>
            <w:pStyle w:val="TOC1"/>
            <w:tabs>
              <w:tab w:val="left" w:pos="660"/>
            </w:tabs>
            <w:rPr>
              <w:rFonts w:eastAsiaTheme="minorEastAsia"/>
              <w:noProof/>
              <w:lang w:eastAsia="en-AU"/>
            </w:rPr>
          </w:pPr>
          <w:hyperlink w:anchor="_Toc113914042" w:history="1">
            <w:r w:rsidR="002C02C7" w:rsidRPr="00E46844">
              <w:rPr>
                <w:rStyle w:val="Hyperlink"/>
                <w:noProof/>
              </w:rPr>
              <w:t>14</w:t>
            </w:r>
            <w:r w:rsidR="002C02C7">
              <w:rPr>
                <w:rFonts w:eastAsiaTheme="minorEastAsia"/>
                <w:noProof/>
                <w:lang w:eastAsia="en-AU"/>
              </w:rPr>
              <w:tab/>
            </w:r>
            <w:r w:rsidR="002C02C7" w:rsidRPr="00E46844">
              <w:rPr>
                <w:rStyle w:val="Hyperlink"/>
                <w:noProof/>
              </w:rPr>
              <w:t>Boards and committees</w:t>
            </w:r>
            <w:r w:rsidR="002C02C7">
              <w:rPr>
                <w:noProof/>
                <w:webHidden/>
              </w:rPr>
              <w:tab/>
            </w:r>
            <w:r w:rsidR="002C02C7">
              <w:rPr>
                <w:noProof/>
                <w:webHidden/>
              </w:rPr>
              <w:fldChar w:fldCharType="begin"/>
            </w:r>
            <w:r w:rsidR="002C02C7">
              <w:rPr>
                <w:noProof/>
                <w:webHidden/>
              </w:rPr>
              <w:instrText xml:space="preserve"> PAGEREF _Toc113914042 \h </w:instrText>
            </w:r>
            <w:r w:rsidR="002C02C7">
              <w:rPr>
                <w:noProof/>
                <w:webHidden/>
              </w:rPr>
            </w:r>
            <w:r w:rsidR="002C02C7">
              <w:rPr>
                <w:noProof/>
                <w:webHidden/>
              </w:rPr>
              <w:fldChar w:fldCharType="separate"/>
            </w:r>
            <w:r w:rsidR="00301F80">
              <w:rPr>
                <w:noProof/>
                <w:webHidden/>
              </w:rPr>
              <w:t>8</w:t>
            </w:r>
            <w:r w:rsidR="002C02C7">
              <w:rPr>
                <w:noProof/>
                <w:webHidden/>
              </w:rPr>
              <w:fldChar w:fldCharType="end"/>
            </w:r>
          </w:hyperlink>
        </w:p>
        <w:p w14:paraId="3078D286" w14:textId="77777777" w:rsidR="002C02C7" w:rsidRDefault="009C705F">
          <w:pPr>
            <w:pStyle w:val="TOC1"/>
            <w:tabs>
              <w:tab w:val="left" w:pos="660"/>
            </w:tabs>
            <w:rPr>
              <w:rFonts w:eastAsiaTheme="minorEastAsia"/>
              <w:noProof/>
              <w:lang w:eastAsia="en-AU"/>
            </w:rPr>
          </w:pPr>
          <w:hyperlink w:anchor="_Toc113914043" w:history="1">
            <w:r w:rsidR="002C02C7" w:rsidRPr="00E46844">
              <w:rPr>
                <w:rStyle w:val="Hyperlink"/>
                <w:noProof/>
              </w:rPr>
              <w:t>15</w:t>
            </w:r>
            <w:r w:rsidR="002C02C7">
              <w:rPr>
                <w:rFonts w:eastAsiaTheme="minorEastAsia"/>
                <w:noProof/>
                <w:lang w:eastAsia="en-AU"/>
              </w:rPr>
              <w:tab/>
            </w:r>
            <w:r w:rsidR="002C02C7" w:rsidRPr="00E46844">
              <w:rPr>
                <w:rStyle w:val="Hyperlink"/>
                <w:noProof/>
              </w:rPr>
              <w:t>Further Information</w:t>
            </w:r>
            <w:r w:rsidR="002C02C7">
              <w:rPr>
                <w:noProof/>
                <w:webHidden/>
              </w:rPr>
              <w:tab/>
            </w:r>
            <w:r w:rsidR="002C02C7">
              <w:rPr>
                <w:noProof/>
                <w:webHidden/>
              </w:rPr>
              <w:fldChar w:fldCharType="begin"/>
            </w:r>
            <w:r w:rsidR="002C02C7">
              <w:rPr>
                <w:noProof/>
                <w:webHidden/>
              </w:rPr>
              <w:instrText xml:space="preserve"> PAGEREF _Toc113914043 \h </w:instrText>
            </w:r>
            <w:r w:rsidR="002C02C7">
              <w:rPr>
                <w:noProof/>
                <w:webHidden/>
              </w:rPr>
            </w:r>
            <w:r w:rsidR="002C02C7">
              <w:rPr>
                <w:noProof/>
                <w:webHidden/>
              </w:rPr>
              <w:fldChar w:fldCharType="separate"/>
            </w:r>
            <w:r w:rsidR="00301F80">
              <w:rPr>
                <w:noProof/>
                <w:webHidden/>
              </w:rPr>
              <w:t>9</w:t>
            </w:r>
            <w:r w:rsidR="002C02C7">
              <w:rPr>
                <w:noProof/>
                <w:webHidden/>
              </w:rPr>
              <w:fldChar w:fldCharType="end"/>
            </w:r>
          </w:hyperlink>
        </w:p>
        <w:p w14:paraId="263135AC" w14:textId="77777777" w:rsidR="002C02C7" w:rsidRDefault="009C705F">
          <w:pPr>
            <w:pStyle w:val="TOC1"/>
            <w:tabs>
              <w:tab w:val="left" w:pos="660"/>
            </w:tabs>
            <w:rPr>
              <w:rFonts w:eastAsiaTheme="minorEastAsia"/>
              <w:noProof/>
              <w:lang w:eastAsia="en-AU"/>
            </w:rPr>
          </w:pPr>
          <w:hyperlink w:anchor="_Toc113914044" w:history="1">
            <w:r w:rsidR="002C02C7" w:rsidRPr="00E46844">
              <w:rPr>
                <w:rStyle w:val="Hyperlink"/>
                <w:noProof/>
              </w:rPr>
              <w:t>16</w:t>
            </w:r>
            <w:r w:rsidR="002C02C7">
              <w:rPr>
                <w:rFonts w:eastAsiaTheme="minorEastAsia"/>
                <w:noProof/>
                <w:lang w:eastAsia="en-AU"/>
              </w:rPr>
              <w:tab/>
            </w:r>
            <w:r w:rsidR="002C02C7" w:rsidRPr="00E46844">
              <w:rPr>
                <w:rStyle w:val="Hyperlink"/>
                <w:noProof/>
              </w:rPr>
              <w:t>Version control</w:t>
            </w:r>
            <w:r w:rsidR="002C02C7">
              <w:rPr>
                <w:noProof/>
                <w:webHidden/>
              </w:rPr>
              <w:tab/>
            </w:r>
            <w:r w:rsidR="002C02C7">
              <w:rPr>
                <w:noProof/>
                <w:webHidden/>
              </w:rPr>
              <w:fldChar w:fldCharType="begin"/>
            </w:r>
            <w:r w:rsidR="002C02C7">
              <w:rPr>
                <w:noProof/>
                <w:webHidden/>
              </w:rPr>
              <w:instrText xml:space="preserve"> PAGEREF _Toc113914044 \h </w:instrText>
            </w:r>
            <w:r w:rsidR="002C02C7">
              <w:rPr>
                <w:noProof/>
                <w:webHidden/>
              </w:rPr>
            </w:r>
            <w:r w:rsidR="002C02C7">
              <w:rPr>
                <w:noProof/>
                <w:webHidden/>
              </w:rPr>
              <w:fldChar w:fldCharType="separate"/>
            </w:r>
            <w:r w:rsidR="00301F80">
              <w:rPr>
                <w:noProof/>
                <w:webHidden/>
              </w:rPr>
              <w:t>9</w:t>
            </w:r>
            <w:r w:rsidR="002C02C7">
              <w:rPr>
                <w:noProof/>
                <w:webHidden/>
              </w:rPr>
              <w:fldChar w:fldCharType="end"/>
            </w:r>
          </w:hyperlink>
        </w:p>
        <w:p w14:paraId="7DBF5812" w14:textId="77777777" w:rsidR="000F2564" w:rsidRDefault="00E3027E" w:rsidP="00E3027E">
          <w:r>
            <w:fldChar w:fldCharType="end"/>
          </w:r>
        </w:p>
        <w:p w14:paraId="7DBF5813" w14:textId="299F1A34" w:rsidR="000F2564" w:rsidRDefault="0078555D" w:rsidP="0078555D">
          <w:pPr>
            <w:tabs>
              <w:tab w:val="left" w:pos="3600"/>
            </w:tabs>
          </w:pPr>
          <w:r>
            <w:tab/>
          </w:r>
        </w:p>
      </w:sdtContent>
    </w:sdt>
    <w:p w14:paraId="7DBF5814" w14:textId="77777777" w:rsidR="00E3027E" w:rsidRDefault="000F2564">
      <w:r>
        <w:br w:type="page"/>
      </w:r>
    </w:p>
    <w:p w14:paraId="7DBF5815" w14:textId="77777777" w:rsidR="008C45D7" w:rsidRDefault="00026E97" w:rsidP="00B41997">
      <w:pPr>
        <w:pStyle w:val="Heading1"/>
        <w:spacing w:before="200" w:after="40"/>
        <w:ind w:left="709" w:hanging="709"/>
        <w:rPr>
          <w:sz w:val="40"/>
        </w:rPr>
      </w:pPr>
      <w:bookmarkStart w:id="12" w:name="_Toc113914021"/>
      <w:r>
        <w:rPr>
          <w:sz w:val="40"/>
        </w:rPr>
        <w:lastRenderedPageBreak/>
        <w:t>Purpose</w:t>
      </w:r>
      <w:bookmarkEnd w:id="12"/>
    </w:p>
    <w:p w14:paraId="244376C1" w14:textId="02A269DB" w:rsidR="00BE4CDF" w:rsidRDefault="00A5412D" w:rsidP="0024406B">
      <w:pPr>
        <w:ind w:right="11"/>
      </w:pPr>
      <w:r>
        <w:t>T</w:t>
      </w:r>
      <w:r w:rsidRPr="00A913E0">
        <w:t xml:space="preserve">he department’s </w:t>
      </w:r>
      <w:r>
        <w:t xml:space="preserve">Conflict of Interest </w:t>
      </w:r>
      <w:r w:rsidRPr="00A913E0">
        <w:t>policy provide</w:t>
      </w:r>
      <w:r>
        <w:t>s</w:t>
      </w:r>
      <w:r w:rsidRPr="00A913E0">
        <w:t xml:space="preserve"> a framework which enables </w:t>
      </w:r>
      <w:r>
        <w:t>staff</w:t>
      </w:r>
      <w:r w:rsidRPr="00A913E0">
        <w:t xml:space="preserve"> to disclose, and take reasonable steps to avoid, any conflicts of interest in connection with their </w:t>
      </w:r>
      <w:r>
        <w:t>work</w:t>
      </w:r>
      <w:r w:rsidRPr="00A913E0">
        <w:t xml:space="preserve">. The policy also provides guidance for </w:t>
      </w:r>
      <w:r>
        <w:t xml:space="preserve">staff </w:t>
      </w:r>
      <w:r w:rsidRPr="00A913E0">
        <w:t>on how to recognise and avoid insider tradi</w:t>
      </w:r>
      <w:r w:rsidR="0024406B">
        <w:t>ng, which is prohibited by law.</w:t>
      </w:r>
      <w:r w:rsidR="00730750" w:rsidRPr="00BE4CDF">
        <w:t xml:space="preserve"> </w:t>
      </w:r>
    </w:p>
    <w:p w14:paraId="7DBF5817" w14:textId="2C34286E" w:rsidR="008C45D7" w:rsidRDefault="000901A5" w:rsidP="00B41997">
      <w:pPr>
        <w:pStyle w:val="Heading1"/>
        <w:spacing w:before="200" w:after="40"/>
        <w:ind w:left="709" w:hanging="709"/>
        <w:rPr>
          <w:sz w:val="40"/>
        </w:rPr>
      </w:pPr>
      <w:bookmarkStart w:id="13" w:name="_Toc112668155"/>
      <w:bookmarkStart w:id="14" w:name="_Toc113259974"/>
      <w:bookmarkStart w:id="15" w:name="_Toc113914022"/>
      <w:bookmarkEnd w:id="13"/>
      <w:bookmarkEnd w:id="14"/>
      <w:r w:rsidRPr="00497986">
        <w:rPr>
          <w:sz w:val="40"/>
        </w:rPr>
        <w:t>Scope</w:t>
      </w:r>
      <w:bookmarkEnd w:id="15"/>
    </w:p>
    <w:p w14:paraId="69E1D7A8" w14:textId="7D3353BE" w:rsidR="00A5412D" w:rsidRDefault="00730750" w:rsidP="00A5412D">
      <w:r>
        <w:t xml:space="preserve">This policy applies to those who are covered by the </w:t>
      </w:r>
      <w:hyperlink r:id="rId12" w:history="1">
        <w:r w:rsidRPr="00A5412D">
          <w:rPr>
            <w:rStyle w:val="Hyperlink"/>
            <w:i/>
          </w:rPr>
          <w:t>Depa</w:t>
        </w:r>
        <w:r w:rsidR="00BE4CDF" w:rsidRPr="00A5412D">
          <w:rPr>
            <w:rStyle w:val="Hyperlink"/>
            <w:i/>
          </w:rPr>
          <w:t xml:space="preserve">rtment of Industry, Innovation </w:t>
        </w:r>
        <w:r w:rsidRPr="00A5412D">
          <w:rPr>
            <w:rStyle w:val="Hyperlink"/>
            <w:i/>
          </w:rPr>
          <w:t>and Science Enterprise Agreement 20</w:t>
        </w:r>
        <w:r w:rsidR="00BE4CDF" w:rsidRPr="00A5412D">
          <w:rPr>
            <w:rStyle w:val="Hyperlink"/>
            <w:i/>
          </w:rPr>
          <w:t>19-2022</w:t>
        </w:r>
      </w:hyperlink>
      <w:r w:rsidR="00BE4CDF">
        <w:t xml:space="preserve"> (enterprise agreement</w:t>
      </w:r>
      <w:r w:rsidR="00A5412D">
        <w:t>) or who are engaged by the department to assist in delivery of its functions</w:t>
      </w:r>
      <w:r w:rsidR="00A5412D" w:rsidRPr="00A913E0">
        <w:t>.</w:t>
      </w:r>
    </w:p>
    <w:p w14:paraId="6E9E9608" w14:textId="21016F11" w:rsidR="008F6417" w:rsidRDefault="008F6417" w:rsidP="00B41997">
      <w:pPr>
        <w:pStyle w:val="Heading1"/>
        <w:spacing w:before="200" w:after="40"/>
        <w:ind w:left="709" w:hanging="709"/>
        <w:rPr>
          <w:sz w:val="40"/>
        </w:rPr>
      </w:pPr>
      <w:bookmarkStart w:id="16" w:name="_Toc95464802"/>
      <w:bookmarkStart w:id="17" w:name="_Toc113914023"/>
      <w:bookmarkEnd w:id="16"/>
      <w:r>
        <w:rPr>
          <w:sz w:val="40"/>
        </w:rPr>
        <w:t>Definitions</w:t>
      </w:r>
      <w:bookmarkEnd w:id="17"/>
    </w:p>
    <w:p w14:paraId="6B42842C" w14:textId="1E04B202" w:rsidR="00DB4B3B" w:rsidRPr="00DB4B3B" w:rsidRDefault="0024406B" w:rsidP="00DB4B3B">
      <w:r>
        <w:rPr>
          <w:b/>
        </w:rPr>
        <w:t>Conflict of Interest</w:t>
      </w:r>
      <w:r w:rsidR="00DB4B3B" w:rsidRPr="00DB4B3B">
        <w:t xml:space="preserve"> is a circumstance which places a staff member in a position where their personal interests (including those of their immediate family – to the extent known) could compromise their independence. Apparent (or perceived) conflicts of interest may be as important as real conflicts. </w:t>
      </w:r>
    </w:p>
    <w:p w14:paraId="1B0D8E36" w14:textId="77777777" w:rsidR="00846DEA" w:rsidRDefault="00DB4B3B" w:rsidP="00846DEA">
      <w:r w:rsidRPr="00DB4B3B">
        <w:rPr>
          <w:b/>
        </w:rPr>
        <w:t xml:space="preserve">Insider trading </w:t>
      </w:r>
      <w:r w:rsidRPr="00DB4B3B">
        <w:t xml:space="preserve">is trading in shares or other financial products (including procuring or inducing another person to buy or sell such products) on the basis of inside information. Inside information is information which is not generally known and which, if it were generally known, could reasonably be expected to have a material effect on the value of the particular financial product. Insider trading is prohibited by the </w:t>
      </w:r>
      <w:r w:rsidRPr="00DB4B3B">
        <w:rPr>
          <w:i/>
        </w:rPr>
        <w:t>Corporations Act 2001</w:t>
      </w:r>
      <w:r w:rsidRPr="00DB4B3B">
        <w:t xml:space="preserve"> and has criminal penalties. Insider trading would also breach the </w:t>
      </w:r>
      <w:r w:rsidRPr="00DB4B3B">
        <w:rPr>
          <w:i/>
        </w:rPr>
        <w:t>Public Service Act 1999</w:t>
      </w:r>
      <w:r w:rsidRPr="00DB4B3B">
        <w:t xml:space="preserve"> requirement not to make improper use of inside information. </w:t>
      </w:r>
    </w:p>
    <w:p w14:paraId="43EA3800" w14:textId="05E71CE3" w:rsidR="00846DEA" w:rsidRPr="00846DEA" w:rsidRDefault="00B456D4" w:rsidP="00846DEA">
      <w:r w:rsidRPr="00B456D4">
        <w:rPr>
          <w:b/>
        </w:rPr>
        <w:t>Material personal interest</w:t>
      </w:r>
      <w:r w:rsidR="00846DEA" w:rsidRPr="00846DEA">
        <w:t xml:space="preserve"> is an interest that can give rise to a real or apparent conflict of interest that could affect the ability of an official to discharge their duties. Material personal interests could arise, for example, when:</w:t>
      </w:r>
    </w:p>
    <w:p w14:paraId="0B732DF2" w14:textId="77777777" w:rsidR="00846DEA" w:rsidRPr="00846DEA" w:rsidRDefault="00846DEA" w:rsidP="00846DEA">
      <w:pPr>
        <w:pStyle w:val="ListParagraph"/>
        <w:numPr>
          <w:ilvl w:val="0"/>
          <w:numId w:val="3"/>
        </w:numPr>
        <w:spacing w:after="120"/>
        <w:ind w:left="714" w:hanging="357"/>
        <w:contextualSpacing w:val="0"/>
      </w:pPr>
      <w:r w:rsidRPr="00846DEA">
        <w:t>a member of an accountable authority is also a director of an organisation that is seeking to provide services to the Commonwealth entity</w:t>
      </w:r>
    </w:p>
    <w:p w14:paraId="5CB65D80" w14:textId="77777777" w:rsidR="00846DEA" w:rsidRPr="00846DEA" w:rsidRDefault="00846DEA" w:rsidP="00846DEA">
      <w:pPr>
        <w:pStyle w:val="ListParagraph"/>
        <w:numPr>
          <w:ilvl w:val="0"/>
          <w:numId w:val="3"/>
        </w:numPr>
        <w:spacing w:after="120"/>
        <w:ind w:left="714" w:hanging="357"/>
        <w:contextualSpacing w:val="0"/>
      </w:pPr>
      <w:r w:rsidRPr="00846DEA">
        <w:t>an official is on an employment selection panel that is interviewing a friend or family member for a position with the Commonwealth entity</w:t>
      </w:r>
    </w:p>
    <w:p w14:paraId="5B2DE75E" w14:textId="77777777" w:rsidR="00846DEA" w:rsidRPr="00846DEA" w:rsidRDefault="00846DEA" w:rsidP="00846DEA">
      <w:pPr>
        <w:pStyle w:val="ListParagraph"/>
        <w:numPr>
          <w:ilvl w:val="0"/>
          <w:numId w:val="3"/>
        </w:numPr>
        <w:spacing w:after="120"/>
        <w:ind w:left="714" w:hanging="357"/>
        <w:contextualSpacing w:val="0"/>
      </w:pPr>
      <w:proofErr w:type="gramStart"/>
      <w:r w:rsidRPr="00846DEA">
        <w:t>an</w:t>
      </w:r>
      <w:proofErr w:type="gramEnd"/>
      <w:r w:rsidRPr="00846DEA">
        <w:t xml:space="preserve"> official approving or recommending the approval of a grant is directly or indirectly involved with an organisation seeking the grant.</w:t>
      </w:r>
    </w:p>
    <w:p w14:paraId="6162A6D7" w14:textId="77777777" w:rsidR="000901A5" w:rsidRPr="00497986" w:rsidRDefault="000901A5" w:rsidP="00B41997">
      <w:pPr>
        <w:pStyle w:val="Heading1"/>
        <w:spacing w:before="200" w:after="40"/>
        <w:ind w:left="709" w:hanging="709"/>
        <w:rPr>
          <w:sz w:val="40"/>
        </w:rPr>
      </w:pPr>
      <w:bookmarkStart w:id="18" w:name="_Toc112668158"/>
      <w:bookmarkStart w:id="19" w:name="_Toc113259977"/>
      <w:bookmarkStart w:id="20" w:name="_Toc113914024"/>
      <w:bookmarkEnd w:id="18"/>
      <w:bookmarkEnd w:id="19"/>
      <w:r w:rsidRPr="00497986">
        <w:rPr>
          <w:sz w:val="40"/>
        </w:rPr>
        <w:t>Principles</w:t>
      </w:r>
      <w:bookmarkEnd w:id="20"/>
    </w:p>
    <w:p w14:paraId="27E45D47" w14:textId="1C8DB1EC" w:rsidR="00060BD0" w:rsidRDefault="00060BD0" w:rsidP="00060BD0">
      <w:pPr>
        <w:spacing w:after="120"/>
      </w:pPr>
      <w:r>
        <w:t xml:space="preserve">The </w:t>
      </w:r>
      <w:r w:rsidR="001F748D">
        <w:t xml:space="preserve">following principles apply to the department’s approach </w:t>
      </w:r>
      <w:r w:rsidR="004232DD">
        <w:t xml:space="preserve">to managing </w:t>
      </w:r>
      <w:r w:rsidR="00A5412D">
        <w:t>conflict</w:t>
      </w:r>
      <w:r w:rsidR="004232DD">
        <w:t>s</w:t>
      </w:r>
      <w:r w:rsidR="00A5412D">
        <w:t xml:space="preserve"> of interest</w:t>
      </w:r>
      <w:r>
        <w:t>:</w:t>
      </w:r>
    </w:p>
    <w:p w14:paraId="1ECABA55" w14:textId="77777777" w:rsidR="00A5412D" w:rsidRDefault="00A5412D" w:rsidP="00144BE0">
      <w:pPr>
        <w:pStyle w:val="ListParagraph"/>
        <w:numPr>
          <w:ilvl w:val="0"/>
          <w:numId w:val="3"/>
        </w:numPr>
        <w:spacing w:after="120"/>
        <w:ind w:left="714" w:hanging="357"/>
        <w:contextualSpacing w:val="0"/>
      </w:pPr>
      <w:r>
        <w:t>The overriding principle for the declaration of a material personal interest should be: if in doubt, declare the interest.</w:t>
      </w:r>
    </w:p>
    <w:p w14:paraId="59C67F99" w14:textId="77777777" w:rsidR="00A5412D" w:rsidRPr="00A913E0" w:rsidRDefault="00A5412D" w:rsidP="00144BE0">
      <w:pPr>
        <w:pStyle w:val="ListParagraph"/>
        <w:numPr>
          <w:ilvl w:val="0"/>
          <w:numId w:val="3"/>
        </w:numPr>
        <w:spacing w:after="120"/>
        <w:ind w:left="714" w:hanging="357"/>
        <w:contextualSpacing w:val="0"/>
      </w:pPr>
      <w:r w:rsidRPr="00A913E0">
        <w:t xml:space="preserve">An apparent or allegation of conflict of interest or insider trading can be damaging to individual </w:t>
      </w:r>
      <w:r>
        <w:t>staff</w:t>
      </w:r>
      <w:r w:rsidRPr="00A913E0">
        <w:t xml:space="preserve"> and adversely affect the reputation of the department and its ability to function effectively. </w:t>
      </w:r>
    </w:p>
    <w:p w14:paraId="12AD071B" w14:textId="77777777" w:rsidR="00A5412D" w:rsidRPr="00A913E0" w:rsidRDefault="00A5412D" w:rsidP="00144BE0">
      <w:pPr>
        <w:pStyle w:val="ListParagraph"/>
        <w:numPr>
          <w:ilvl w:val="0"/>
          <w:numId w:val="3"/>
        </w:numPr>
        <w:spacing w:after="120"/>
        <w:ind w:left="714" w:hanging="357"/>
        <w:contextualSpacing w:val="0"/>
      </w:pPr>
      <w:r w:rsidRPr="00A913E0">
        <w:t xml:space="preserve">Fostering an awareness of the circumstances leading to conflict of interest and insider trading is an important mechanism for avoiding such situations. </w:t>
      </w:r>
    </w:p>
    <w:p w14:paraId="0CEE8B4F" w14:textId="77777777" w:rsidR="00A5412D" w:rsidRPr="00A913E0" w:rsidRDefault="00A5412D" w:rsidP="00144BE0">
      <w:pPr>
        <w:pStyle w:val="ListParagraph"/>
        <w:numPr>
          <w:ilvl w:val="0"/>
          <w:numId w:val="3"/>
        </w:numPr>
        <w:spacing w:after="120"/>
        <w:ind w:left="714" w:hanging="357"/>
        <w:contextualSpacing w:val="0"/>
      </w:pPr>
      <w:r w:rsidRPr="00A913E0">
        <w:t xml:space="preserve">Transparency through a continuous disclosure reporting framework is the appropriate approach to handling these issues. </w:t>
      </w:r>
    </w:p>
    <w:p w14:paraId="0FCB7BE1" w14:textId="77777777" w:rsidR="00A5412D" w:rsidRPr="00A913E0" w:rsidRDefault="00A5412D" w:rsidP="00144BE0">
      <w:pPr>
        <w:pStyle w:val="ListParagraph"/>
        <w:numPr>
          <w:ilvl w:val="0"/>
          <w:numId w:val="3"/>
        </w:numPr>
        <w:spacing w:after="120"/>
        <w:ind w:left="714" w:hanging="357"/>
        <w:contextualSpacing w:val="0"/>
      </w:pPr>
      <w:r w:rsidRPr="00A913E0">
        <w:lastRenderedPageBreak/>
        <w:t xml:space="preserve">The freedom of </w:t>
      </w:r>
      <w:r>
        <w:t>staff</w:t>
      </w:r>
      <w:r w:rsidRPr="00A913E0">
        <w:t xml:space="preserve"> to invest and associate should not be unduly limited by their APS employment</w:t>
      </w:r>
      <w:r>
        <w:t xml:space="preserve"> or engagement by the department</w:t>
      </w:r>
      <w:r w:rsidRPr="00A913E0">
        <w:t xml:space="preserve">. </w:t>
      </w:r>
    </w:p>
    <w:p w14:paraId="4291F6BC" w14:textId="77777777" w:rsidR="00A5412D" w:rsidRPr="00A913E0" w:rsidRDefault="00A5412D" w:rsidP="00144BE0">
      <w:pPr>
        <w:pStyle w:val="ListParagraph"/>
        <w:numPr>
          <w:ilvl w:val="0"/>
          <w:numId w:val="3"/>
        </w:numPr>
        <w:spacing w:after="120"/>
        <w:ind w:left="714" w:hanging="357"/>
        <w:contextualSpacing w:val="0"/>
      </w:pPr>
      <w:r w:rsidRPr="00A913E0">
        <w:t xml:space="preserve">The procedures should not unreasonably interfere with the privacy of </w:t>
      </w:r>
      <w:r>
        <w:t xml:space="preserve">staff </w:t>
      </w:r>
      <w:r w:rsidRPr="00A913E0">
        <w:t xml:space="preserve">or their families. </w:t>
      </w:r>
    </w:p>
    <w:p w14:paraId="1E32A5A0" w14:textId="77777777" w:rsidR="00A5412D" w:rsidRPr="00A913E0" w:rsidRDefault="00A5412D" w:rsidP="00144BE0">
      <w:pPr>
        <w:pStyle w:val="ListParagraph"/>
        <w:numPr>
          <w:ilvl w:val="0"/>
          <w:numId w:val="3"/>
        </w:numPr>
        <w:spacing w:after="120"/>
        <w:ind w:left="714" w:hanging="357"/>
        <w:contextualSpacing w:val="0"/>
      </w:pPr>
      <w:r w:rsidRPr="00A913E0">
        <w:t xml:space="preserve">If a conflict of interest becomes apparent the department will seek to resolve this in a way which </w:t>
      </w:r>
      <w:r>
        <w:t>manages</w:t>
      </w:r>
      <w:r w:rsidRPr="00A913E0">
        <w:t xml:space="preserve"> the conflict </w:t>
      </w:r>
      <w:r>
        <w:t>in line with risk, including consideration of staff</w:t>
      </w:r>
      <w:r w:rsidRPr="00A913E0">
        <w:t xml:space="preserve"> impact. </w:t>
      </w:r>
    </w:p>
    <w:p w14:paraId="51ED79C7" w14:textId="5C134905" w:rsidR="00721D4C" w:rsidRDefault="00793242" w:rsidP="00721D4C">
      <w:pPr>
        <w:pStyle w:val="Heading1"/>
        <w:spacing w:before="200" w:after="40"/>
        <w:ind w:left="709" w:hanging="709"/>
        <w:rPr>
          <w:sz w:val="40"/>
        </w:rPr>
      </w:pPr>
      <w:bookmarkStart w:id="21" w:name="_Toc113914025"/>
      <w:r>
        <w:rPr>
          <w:sz w:val="40"/>
        </w:rPr>
        <w:t>Legislative framework</w:t>
      </w:r>
      <w:bookmarkEnd w:id="21"/>
    </w:p>
    <w:p w14:paraId="6AE521E0" w14:textId="385A12AE" w:rsidR="00793242" w:rsidRPr="00A913E0" w:rsidRDefault="00793242" w:rsidP="00793242">
      <w:pPr>
        <w:ind w:right="11"/>
      </w:pPr>
      <w:r w:rsidRPr="00A913E0">
        <w:t xml:space="preserve">In the course of their duties, </w:t>
      </w:r>
      <w:r>
        <w:t>staff</w:t>
      </w:r>
      <w:r w:rsidRPr="00A913E0">
        <w:t xml:space="preserve"> have access to commercial and other sensitive information which may either pose a conflict with their </w:t>
      </w:r>
      <w:r w:rsidR="006357CB">
        <w:t>material personal interests</w:t>
      </w:r>
      <w:r w:rsidRPr="00A913E0">
        <w:t xml:space="preserve">, or create a perception that such a conflict exists. </w:t>
      </w:r>
    </w:p>
    <w:p w14:paraId="73517F24" w14:textId="77777777" w:rsidR="00793242" w:rsidRPr="00A913E0" w:rsidRDefault="00793242" w:rsidP="00793242">
      <w:pPr>
        <w:ind w:right="11"/>
      </w:pPr>
      <w:r w:rsidRPr="00A913E0">
        <w:t xml:space="preserve">The APS Code of Conduct (section 13(7) of the </w:t>
      </w:r>
      <w:r w:rsidRPr="00793242">
        <w:rPr>
          <w:i/>
        </w:rPr>
        <w:t>Public Service Act 1999</w:t>
      </w:r>
      <w:r w:rsidRPr="00A913E0">
        <w:t xml:space="preserve">) requires that APS employees disclose, and take reasonable steps to avoid, any conflict of interest (real or apparent) in connection with APS employment. It is also in the interests of all employees that the firms and people we do business with are confident that we act in accordance with the Code of Conduct and do not make improper use of information. </w:t>
      </w:r>
    </w:p>
    <w:p w14:paraId="18877028" w14:textId="016058EB" w:rsidR="00793242" w:rsidRPr="00A913E0" w:rsidRDefault="00793242" w:rsidP="00793242">
      <w:pPr>
        <w:ind w:right="11"/>
      </w:pPr>
      <w:r>
        <w:t xml:space="preserve">The </w:t>
      </w:r>
      <w:r w:rsidRPr="00793242">
        <w:rPr>
          <w:i/>
        </w:rPr>
        <w:t>Public Governance, Performance and Accountability Act 2013</w:t>
      </w:r>
      <w:r>
        <w:t xml:space="preserve"> also places similar duties on officials in relation to information and the disclosure of interests.</w:t>
      </w:r>
      <w:r w:rsidR="00E455F1">
        <w:t xml:space="preserve"> </w:t>
      </w:r>
    </w:p>
    <w:p w14:paraId="1EE66D8C" w14:textId="77777777" w:rsidR="00793242" w:rsidRPr="00A913E0" w:rsidRDefault="00793242" w:rsidP="00793242">
      <w:pPr>
        <w:ind w:right="11"/>
      </w:pPr>
      <w:r w:rsidRPr="00A913E0">
        <w:t xml:space="preserve">Insider trading would also breach the </w:t>
      </w:r>
      <w:r w:rsidRPr="00793242">
        <w:rPr>
          <w:i/>
        </w:rPr>
        <w:t>Public Service Act 1999</w:t>
      </w:r>
      <w:r w:rsidRPr="007646A6">
        <w:t xml:space="preserve"> </w:t>
      </w:r>
      <w:r w:rsidRPr="00A913E0">
        <w:t xml:space="preserve">requirement not to make improper use of inside information. Furthermore, insider trading is prohibited for all members of the community under the </w:t>
      </w:r>
      <w:r w:rsidRPr="00793242">
        <w:rPr>
          <w:i/>
        </w:rPr>
        <w:t>Corporations Act 2001</w:t>
      </w:r>
      <w:r w:rsidRPr="007646A6">
        <w:t xml:space="preserve"> </w:t>
      </w:r>
      <w:r w:rsidRPr="00A913E0">
        <w:t>and has criminal penalties</w:t>
      </w:r>
      <w:r w:rsidRPr="007646A6">
        <w:t xml:space="preserve">. </w:t>
      </w:r>
    </w:p>
    <w:p w14:paraId="0905647C" w14:textId="77777777" w:rsidR="00793242" w:rsidRPr="00A913E0" w:rsidRDefault="00793242" w:rsidP="00793242">
      <w:pPr>
        <w:ind w:right="11"/>
      </w:pPr>
      <w:r w:rsidRPr="00A913E0">
        <w:t xml:space="preserve">There is also a more general obligation under the </w:t>
      </w:r>
      <w:r w:rsidRPr="00793242">
        <w:rPr>
          <w:i/>
        </w:rPr>
        <w:t>Public Service Regulations 1999</w:t>
      </w:r>
      <w:r w:rsidRPr="007646A6">
        <w:t xml:space="preserve"> </w:t>
      </w:r>
      <w:r w:rsidRPr="00A913E0">
        <w:t xml:space="preserve">on employees not to disclose any information about public business or anything of which the employee has official knowledge and, under the </w:t>
      </w:r>
      <w:r w:rsidRPr="00793242">
        <w:rPr>
          <w:i/>
        </w:rPr>
        <w:t>Crimes Act 1914</w:t>
      </w:r>
      <w:r w:rsidRPr="00A913E0">
        <w:t xml:space="preserve">, it is an offence for an employee to publish or communicate such information. </w:t>
      </w:r>
    </w:p>
    <w:p w14:paraId="2EECAD9C" w14:textId="77777777" w:rsidR="00793242" w:rsidRDefault="00793242" w:rsidP="00793242">
      <w:pPr>
        <w:ind w:right="11"/>
      </w:pPr>
      <w:r w:rsidRPr="00A913E0">
        <w:t xml:space="preserve">The department also has obligations under the </w:t>
      </w:r>
      <w:r w:rsidRPr="00793242">
        <w:rPr>
          <w:i/>
        </w:rPr>
        <w:t>Privacy Act 1988</w:t>
      </w:r>
      <w:r w:rsidRPr="00A913E0">
        <w:t xml:space="preserve">. These include having a reasonable basis for requiring information and securing information to ensure privacy. Further information is available at </w:t>
      </w:r>
      <w:hyperlink r:id="rId13">
        <w:r w:rsidRPr="007646A6">
          <w:t>http://www.privacy.gov.au</w:t>
        </w:r>
      </w:hyperlink>
      <w:r w:rsidRPr="007646A6">
        <w:t>.</w:t>
      </w:r>
      <w:hyperlink r:id="rId14">
        <w:r w:rsidRPr="00A913E0">
          <w:t xml:space="preserve"> </w:t>
        </w:r>
      </w:hyperlink>
    </w:p>
    <w:p w14:paraId="2A619BC1" w14:textId="77777777" w:rsidR="00793242" w:rsidRPr="00A913E0" w:rsidRDefault="00793242" w:rsidP="00793242">
      <w:pPr>
        <w:pStyle w:val="Heading1"/>
        <w:ind w:left="11" w:hanging="11"/>
      </w:pPr>
      <w:bookmarkStart w:id="22" w:name="_Toc112417229"/>
      <w:bookmarkStart w:id="23" w:name="_Toc113914026"/>
      <w:r>
        <w:t>Conflict of i</w:t>
      </w:r>
      <w:r w:rsidRPr="00A913E0">
        <w:t>nterest</w:t>
      </w:r>
      <w:bookmarkEnd w:id="22"/>
      <w:bookmarkEnd w:id="23"/>
      <w:r w:rsidRPr="00A913E0">
        <w:t xml:space="preserve"> </w:t>
      </w:r>
    </w:p>
    <w:p w14:paraId="7A340EDF" w14:textId="77777777" w:rsidR="00793242" w:rsidRPr="00A913E0" w:rsidRDefault="00793242" w:rsidP="00793242">
      <w:pPr>
        <w:pStyle w:val="Heading2"/>
        <w:ind w:left="11" w:hanging="11"/>
      </w:pPr>
      <w:bookmarkStart w:id="24" w:name="_Toc112417231"/>
      <w:bookmarkStart w:id="25" w:name="_Toc113914027"/>
      <w:r w:rsidRPr="00A913E0">
        <w:t>Recognising potential conflicts of interest</w:t>
      </w:r>
      <w:bookmarkEnd w:id="24"/>
      <w:bookmarkEnd w:id="25"/>
      <w:r w:rsidRPr="00A913E0">
        <w:t xml:space="preserve"> </w:t>
      </w:r>
    </w:p>
    <w:p w14:paraId="3A2B68CA" w14:textId="3243ECCA" w:rsidR="00793242" w:rsidRPr="00A913E0" w:rsidRDefault="00793242" w:rsidP="00B456D4">
      <w:pPr>
        <w:ind w:right="11"/>
      </w:pPr>
      <w:r>
        <w:t>Staff</w:t>
      </w:r>
      <w:r w:rsidRPr="00A913E0">
        <w:t xml:space="preserve"> should consider whether any of their </w:t>
      </w:r>
      <w:r w:rsidR="006357CB">
        <w:t>material personal interests</w:t>
      </w:r>
      <w:r w:rsidRPr="00A913E0">
        <w:t xml:space="preserve">, such as personal relationships and financial interests (including those of their immediate family), could be affected by the decisions of the department over which the </w:t>
      </w:r>
      <w:r>
        <w:t>staff member</w:t>
      </w:r>
      <w:r w:rsidRPr="00A913E0">
        <w:t xml:space="preserve"> has influence. </w:t>
      </w:r>
    </w:p>
    <w:p w14:paraId="45670177" w14:textId="277A976C" w:rsidR="00793242" w:rsidRDefault="00793242" w:rsidP="00B756F6">
      <w:pPr>
        <w:ind w:right="11"/>
      </w:pPr>
      <w:r w:rsidRPr="00A913E0">
        <w:t xml:space="preserve">A </w:t>
      </w:r>
      <w:r>
        <w:t xml:space="preserve">staff member </w:t>
      </w:r>
      <w:r w:rsidRPr="00A913E0">
        <w:t xml:space="preserve">who is unclear whether particular circumstances constitute (or may in the future constitute) an apparent conflict of interest should discuss the matter with their Manager, General Manager or Head of Division in a timely manner, to clarify matters and ensure appropriate procedures are followed. This is an important protection, both for the reputation of the department and the </w:t>
      </w:r>
      <w:r>
        <w:t>staff member</w:t>
      </w:r>
      <w:r w:rsidRPr="00A913E0">
        <w:t xml:space="preserve">, and would help to provide a response to any subsequent allegations of misconduct. </w:t>
      </w:r>
    </w:p>
    <w:p w14:paraId="1BAFFB83" w14:textId="77777777" w:rsidR="00793242" w:rsidRPr="00A913E0" w:rsidRDefault="00793242" w:rsidP="00793242">
      <w:pPr>
        <w:pStyle w:val="Heading2"/>
        <w:ind w:left="11" w:hanging="11"/>
      </w:pPr>
      <w:bookmarkStart w:id="26" w:name="_Toc112417232"/>
      <w:bookmarkStart w:id="27" w:name="_Toc113914028"/>
      <w:r w:rsidRPr="00A913E0">
        <w:lastRenderedPageBreak/>
        <w:t>Immediate family</w:t>
      </w:r>
      <w:bookmarkEnd w:id="26"/>
      <w:bookmarkEnd w:id="27"/>
      <w:r w:rsidRPr="00A913E0">
        <w:t xml:space="preserve"> </w:t>
      </w:r>
    </w:p>
    <w:p w14:paraId="349BE72C" w14:textId="34F97BEC" w:rsidR="00793242" w:rsidRPr="00A913E0" w:rsidRDefault="00793242" w:rsidP="00B756F6">
      <w:pPr>
        <w:ind w:right="11"/>
      </w:pPr>
      <w:r w:rsidRPr="00A913E0">
        <w:t xml:space="preserve">For the purpose of this policy, immediate family is defined as the employee’s spouse/partner and/or children. The obligation on </w:t>
      </w:r>
      <w:r>
        <w:t>staff</w:t>
      </w:r>
      <w:r w:rsidRPr="00A913E0">
        <w:t xml:space="preserve"> to disclose the </w:t>
      </w:r>
      <w:r w:rsidR="006357CB">
        <w:t>material personal interests</w:t>
      </w:r>
      <w:r w:rsidRPr="00A913E0">
        <w:t xml:space="preserve"> of their immediate family is limited by the extent to which the </w:t>
      </w:r>
      <w:r>
        <w:t>staff member</w:t>
      </w:r>
      <w:r w:rsidRPr="00A913E0">
        <w:t xml:space="preserve"> can reasonably be expected to know such interests and the consent of the relevant family member(s) to disclose any personal information. </w:t>
      </w:r>
    </w:p>
    <w:p w14:paraId="5C004B24" w14:textId="79F111F8" w:rsidR="00793242" w:rsidRPr="00A913E0" w:rsidRDefault="00793242" w:rsidP="00793242">
      <w:pPr>
        <w:pStyle w:val="Heading2"/>
        <w:ind w:left="11" w:hanging="11"/>
      </w:pPr>
      <w:bookmarkStart w:id="28" w:name="_Toc112417233"/>
      <w:bookmarkStart w:id="29" w:name="_Toc113914029"/>
      <w:r w:rsidRPr="00A913E0">
        <w:t>Personal relationships</w:t>
      </w:r>
      <w:bookmarkEnd w:id="28"/>
      <w:bookmarkEnd w:id="29"/>
      <w:r w:rsidR="004232DD">
        <w:t>, connections or affiliations</w:t>
      </w:r>
      <w:r w:rsidRPr="00A913E0">
        <w:t xml:space="preserve"> </w:t>
      </w:r>
    </w:p>
    <w:p w14:paraId="0E289759" w14:textId="775BD133" w:rsidR="00793242" w:rsidRPr="00A913E0" w:rsidRDefault="00793242" w:rsidP="00B756F6">
      <w:pPr>
        <w:ind w:right="11"/>
      </w:pPr>
      <w:r>
        <w:t>Staff</w:t>
      </w:r>
      <w:r w:rsidRPr="00A913E0">
        <w:t xml:space="preserve"> may have personal relationships</w:t>
      </w:r>
      <w:r w:rsidR="004232DD">
        <w:t>, connections or affiliations</w:t>
      </w:r>
      <w:r w:rsidRPr="00A913E0">
        <w:t xml:space="preserve"> (including family and friendships) with people who are engaged in activities that could have an interest in issues with which the </w:t>
      </w:r>
      <w:r w:rsidR="004232DD">
        <w:t>staff member</w:t>
      </w:r>
      <w:r w:rsidRPr="00A913E0">
        <w:t xml:space="preserve"> deals</w:t>
      </w:r>
      <w:r w:rsidR="00FC32A7">
        <w:t>,</w:t>
      </w:r>
      <w:r w:rsidRPr="00A913E0">
        <w:t xml:space="preserve"> or over which the employee has influence</w:t>
      </w:r>
      <w:r w:rsidR="00FC32A7">
        <w:t>,</w:t>
      </w:r>
      <w:r w:rsidR="004232DD">
        <w:t xml:space="preserve"> in connection with the affairs of the department</w:t>
      </w:r>
      <w:r w:rsidRPr="00A913E0">
        <w:t>. Examples could include journalists, lobbyists (see below) or people who have business dealings with the</w:t>
      </w:r>
      <w:r w:rsidR="004232DD">
        <w:t xml:space="preserve"> department</w:t>
      </w:r>
      <w:r w:rsidRPr="00A913E0">
        <w:t xml:space="preserve">. </w:t>
      </w:r>
      <w:r>
        <w:t>Staff</w:t>
      </w:r>
      <w:r w:rsidRPr="00A913E0">
        <w:t xml:space="preserve"> </w:t>
      </w:r>
      <w:r>
        <w:t>may</w:t>
      </w:r>
      <w:r w:rsidRPr="00A913E0">
        <w:t xml:space="preserve"> have such relationships </w:t>
      </w:r>
      <w:r>
        <w:t>h</w:t>
      </w:r>
      <w:r w:rsidRPr="00A913E0">
        <w:t xml:space="preserve">owever, in the interests of transparency, </w:t>
      </w:r>
      <w:r>
        <w:t>staff</w:t>
      </w:r>
      <w:r w:rsidRPr="00A913E0">
        <w:t xml:space="preserve"> should disclose the </w:t>
      </w:r>
      <w:r w:rsidR="004232DD">
        <w:t xml:space="preserve">relationship </w:t>
      </w:r>
      <w:r w:rsidRPr="00A913E0">
        <w:t>and activities</w:t>
      </w:r>
      <w:r w:rsidR="004232DD">
        <w:t xml:space="preserve"> that</w:t>
      </w:r>
      <w:r w:rsidRPr="00A913E0">
        <w:t xml:space="preserve"> could be seen to impact upon the</w:t>
      </w:r>
      <w:r>
        <w:t>ir</w:t>
      </w:r>
      <w:r w:rsidRPr="00A913E0">
        <w:t xml:space="preserve"> responsibilities</w:t>
      </w:r>
      <w:r w:rsidR="004232DD">
        <w:t xml:space="preserve"> or work at the department</w:t>
      </w:r>
      <w:r w:rsidRPr="00A913E0">
        <w:t xml:space="preserve">. </w:t>
      </w:r>
    </w:p>
    <w:p w14:paraId="4642F3DE" w14:textId="77777777" w:rsidR="00793242" w:rsidRPr="00A913E0" w:rsidRDefault="00793242" w:rsidP="00793242">
      <w:pPr>
        <w:pStyle w:val="Heading2"/>
        <w:ind w:left="11" w:hanging="11"/>
      </w:pPr>
      <w:bookmarkStart w:id="30" w:name="_Toc112417234"/>
      <w:bookmarkStart w:id="31" w:name="_Toc113914030"/>
      <w:r w:rsidRPr="00A913E0">
        <w:t>Relationships with lobbyists</w:t>
      </w:r>
      <w:bookmarkEnd w:id="30"/>
      <w:bookmarkEnd w:id="31"/>
      <w:r w:rsidRPr="00A913E0">
        <w:t xml:space="preserve"> </w:t>
      </w:r>
    </w:p>
    <w:p w14:paraId="119270E1" w14:textId="77777777" w:rsidR="00793242" w:rsidRPr="00A913E0" w:rsidRDefault="00793242" w:rsidP="00B756F6">
      <w:pPr>
        <w:ind w:right="11"/>
      </w:pPr>
      <w:r>
        <w:t>Staff</w:t>
      </w:r>
      <w:r w:rsidRPr="00A913E0">
        <w:t xml:space="preserve"> need to be aware of and manage any real or apparent conflict of interest between their official duties and their relationships with lobbyists, including personal or social relationships with lobbyists. </w:t>
      </w:r>
    </w:p>
    <w:p w14:paraId="59C56466" w14:textId="59918232" w:rsidR="00793242" w:rsidRDefault="00793242" w:rsidP="00B756F6">
      <w:pPr>
        <w:tabs>
          <w:tab w:val="left" w:pos="1161"/>
        </w:tabs>
        <w:ind w:left="11" w:right="11" w:hanging="11"/>
      </w:pPr>
      <w:r w:rsidRPr="00A913E0">
        <w:t xml:space="preserve">The </w:t>
      </w:r>
      <w:hyperlink r:id="rId15">
        <w:r w:rsidRPr="007646A6">
          <w:t xml:space="preserve">Lobbying Code of Conduct </w:t>
        </w:r>
      </w:hyperlink>
      <w:hyperlink r:id="rId16">
        <w:r w:rsidRPr="00A913E0">
          <w:t>s</w:t>
        </w:r>
      </w:hyperlink>
      <w:r w:rsidRPr="00A913E0">
        <w:t xml:space="preserve">ets out the Government’s policies for all APS employees in relation to contact with professional lobbyists and seeks to ensure that such contact is conducted in accordance with public expectations of transparency, integrity and honesty. All APS employees should familiarise themselves with the requirements of the </w:t>
      </w:r>
      <w:hyperlink r:id="rId17">
        <w:r w:rsidRPr="00A913E0">
          <w:rPr>
            <w:color w:val="0000FF"/>
            <w:u w:val="single" w:color="0000FF"/>
          </w:rPr>
          <w:t>Lobbying Code of Conduct</w:t>
        </w:r>
      </w:hyperlink>
      <w:hyperlink r:id="rId18">
        <w:r w:rsidRPr="00A913E0">
          <w:t>.</w:t>
        </w:r>
      </w:hyperlink>
      <w:r w:rsidRPr="00A913E0">
        <w:t xml:space="preserve"> Any lobbyist who acts on behalf of third-party clients for the purposes of lobbying Government representatives must be registered on the </w:t>
      </w:r>
      <w:hyperlink r:id="rId19">
        <w:r w:rsidRPr="00A913E0">
          <w:rPr>
            <w:color w:val="0000FF"/>
            <w:u w:val="single" w:color="0000FF"/>
          </w:rPr>
          <w:t>Register of Lobbyists</w:t>
        </w:r>
      </w:hyperlink>
      <w:hyperlink r:id="rId20">
        <w:r w:rsidRPr="00A913E0">
          <w:t>.</w:t>
        </w:r>
      </w:hyperlink>
      <w:r w:rsidRPr="00A913E0">
        <w:t xml:space="preserve"> </w:t>
      </w:r>
    </w:p>
    <w:p w14:paraId="754E54D5" w14:textId="77777777" w:rsidR="00793242" w:rsidRPr="00A913E0" w:rsidRDefault="00793242" w:rsidP="00793242">
      <w:pPr>
        <w:pStyle w:val="Heading2"/>
        <w:ind w:left="11" w:hanging="11"/>
      </w:pPr>
      <w:bookmarkStart w:id="32" w:name="_Toc112417235"/>
      <w:bookmarkStart w:id="33" w:name="_Toc113914031"/>
      <w:r w:rsidRPr="00A913E0">
        <w:t>Acceptance of gifts</w:t>
      </w:r>
      <w:bookmarkEnd w:id="32"/>
      <w:bookmarkEnd w:id="33"/>
      <w:r w:rsidRPr="00A913E0">
        <w:t xml:space="preserve"> </w:t>
      </w:r>
    </w:p>
    <w:p w14:paraId="3FD79915" w14:textId="41DFF797" w:rsidR="00793242" w:rsidRPr="00A913E0" w:rsidRDefault="00793242" w:rsidP="00B456D4">
      <w:pPr>
        <w:ind w:right="11"/>
      </w:pPr>
      <w:r>
        <w:t>Staff</w:t>
      </w:r>
      <w:r w:rsidRPr="00A913E0">
        <w:t xml:space="preserve"> are expected to apply high standards of probity and ethical behaviour when accepting gifts or benefits (Accountable Authority Instructions 2.4 refer). Gifts or benefits should not be accepted by an employee or a member of their immediate family if acceptance could, in any way, be construed as an attempt to influence an administrative, regulatory or contractual decision, or create the appearance of a conflict of interest. </w:t>
      </w:r>
    </w:p>
    <w:p w14:paraId="3FE85517" w14:textId="10BFBFA6" w:rsidR="00793242" w:rsidRPr="00A913E0" w:rsidRDefault="00793242" w:rsidP="00B756F6">
      <w:pPr>
        <w:ind w:right="11"/>
      </w:pPr>
      <w:r w:rsidRPr="00A913E0">
        <w:t>If a</w:t>
      </w:r>
      <w:r>
        <w:t xml:space="preserve"> staff member</w:t>
      </w:r>
      <w:r w:rsidRPr="00A913E0">
        <w:t xml:space="preserve"> has any doubts about the propriety of accepting a gift or benefit, then the gift or benefit should not be accepted, or the matter raised with their Disclosure Officer for guidance. </w:t>
      </w:r>
    </w:p>
    <w:p w14:paraId="4F152361" w14:textId="77777777" w:rsidR="00793242" w:rsidRPr="00A913E0" w:rsidRDefault="00793242" w:rsidP="00B456D4">
      <w:pPr>
        <w:pStyle w:val="Heading1"/>
        <w:ind w:left="22" w:hanging="11"/>
      </w:pPr>
      <w:bookmarkStart w:id="34" w:name="_Toc112417236"/>
      <w:bookmarkStart w:id="35" w:name="_Toc113914032"/>
      <w:r w:rsidRPr="00A913E0">
        <w:t>Insider Trading</w:t>
      </w:r>
      <w:bookmarkEnd w:id="34"/>
      <w:bookmarkEnd w:id="35"/>
      <w:r w:rsidRPr="00A913E0">
        <w:t xml:space="preserve"> </w:t>
      </w:r>
    </w:p>
    <w:p w14:paraId="2C878B39" w14:textId="1CC08ACC" w:rsidR="00B456D4" w:rsidRPr="00B456D4" w:rsidRDefault="00793242" w:rsidP="00B456D4">
      <w:pPr>
        <w:pStyle w:val="Heading2"/>
        <w:ind w:left="22" w:hanging="11"/>
      </w:pPr>
      <w:bookmarkStart w:id="36" w:name="_Toc112417238"/>
      <w:bookmarkStart w:id="37" w:name="_Toc113914033"/>
      <w:r w:rsidRPr="00A913E0">
        <w:t>Recognising ‘insider trading’ information</w:t>
      </w:r>
      <w:bookmarkEnd w:id="36"/>
      <w:bookmarkEnd w:id="37"/>
      <w:r w:rsidRPr="00A913E0">
        <w:t xml:space="preserve"> </w:t>
      </w:r>
    </w:p>
    <w:p w14:paraId="77915E4C" w14:textId="79035ACF" w:rsidR="00793242" w:rsidRPr="00A913E0" w:rsidRDefault="00793242" w:rsidP="00B456D4">
      <w:pPr>
        <w:ind w:right="11"/>
      </w:pPr>
      <w:r>
        <w:t>Staff</w:t>
      </w:r>
      <w:r w:rsidRPr="00A913E0">
        <w:t xml:space="preserve"> should be aware that the information they access </w:t>
      </w:r>
      <w:r>
        <w:t>in the department</w:t>
      </w:r>
      <w:r w:rsidRPr="00A913E0">
        <w:t xml:space="preserve"> may be inside or commercially sensitive information. Employees must not trade in shares or other financial products, or induce others to do so, on the basis of such information. It is the responsibility of each employee to form a judgment as to whether the information they access in the course of their APS employment would be considered inside material information. </w:t>
      </w:r>
    </w:p>
    <w:p w14:paraId="7B4073A7" w14:textId="77777777" w:rsidR="00E455F1" w:rsidRDefault="00E455F1" w:rsidP="00B456D4">
      <w:pPr>
        <w:spacing w:after="0" w:line="240" w:lineRule="auto"/>
        <w:ind w:left="22" w:right="11" w:hanging="11"/>
      </w:pPr>
    </w:p>
    <w:p w14:paraId="72A1D270" w14:textId="77777777" w:rsidR="00E455F1" w:rsidRDefault="00E455F1" w:rsidP="00B456D4">
      <w:pPr>
        <w:spacing w:after="0" w:line="240" w:lineRule="auto"/>
        <w:ind w:left="22" w:right="11" w:hanging="11"/>
      </w:pPr>
    </w:p>
    <w:p w14:paraId="45130DCB" w14:textId="77777777" w:rsidR="00E455F1" w:rsidRDefault="00E455F1" w:rsidP="00B456D4">
      <w:pPr>
        <w:spacing w:after="0" w:line="240" w:lineRule="auto"/>
        <w:ind w:left="22" w:right="11" w:hanging="11"/>
      </w:pPr>
    </w:p>
    <w:p w14:paraId="1EDB8252" w14:textId="77777777" w:rsidR="00793242" w:rsidRPr="00A913E0" w:rsidRDefault="00793242" w:rsidP="00B456D4">
      <w:pPr>
        <w:spacing w:after="0" w:line="240" w:lineRule="auto"/>
        <w:ind w:left="22" w:right="11" w:hanging="11"/>
      </w:pPr>
      <w:r w:rsidRPr="00A913E0">
        <w:lastRenderedPageBreak/>
        <w:t xml:space="preserve">Key considerations include: </w:t>
      </w:r>
    </w:p>
    <w:p w14:paraId="73A3D3FD" w14:textId="77777777" w:rsidR="00793242" w:rsidRPr="00A913E0" w:rsidRDefault="00793242" w:rsidP="00144BE0">
      <w:pPr>
        <w:pStyle w:val="ListParagraph"/>
        <w:numPr>
          <w:ilvl w:val="0"/>
          <w:numId w:val="3"/>
        </w:numPr>
        <w:spacing w:after="120"/>
        <w:ind w:left="714" w:hanging="357"/>
        <w:contextualSpacing w:val="0"/>
      </w:pPr>
      <w:r w:rsidRPr="00A913E0">
        <w:t xml:space="preserve">Is the information publicly available? </w:t>
      </w:r>
    </w:p>
    <w:p w14:paraId="6F088246" w14:textId="77777777" w:rsidR="00793242" w:rsidRPr="00A913E0" w:rsidRDefault="00793242" w:rsidP="00144BE0">
      <w:pPr>
        <w:pStyle w:val="ListParagraph"/>
        <w:numPr>
          <w:ilvl w:val="0"/>
          <w:numId w:val="3"/>
        </w:numPr>
        <w:spacing w:after="120"/>
        <w:ind w:left="714" w:hanging="357"/>
        <w:contextualSpacing w:val="0"/>
      </w:pPr>
      <w:r w:rsidRPr="00A913E0">
        <w:t xml:space="preserve">How was the information obtained – was it provided with a ‘commercial-in- confidence’ or ‘in-confidence’ classification? </w:t>
      </w:r>
    </w:p>
    <w:p w14:paraId="347AB0E4" w14:textId="77777777" w:rsidR="00793242" w:rsidRPr="00A913E0" w:rsidRDefault="00793242" w:rsidP="00144BE0">
      <w:pPr>
        <w:pStyle w:val="ListParagraph"/>
        <w:numPr>
          <w:ilvl w:val="0"/>
          <w:numId w:val="3"/>
        </w:numPr>
        <w:spacing w:after="120"/>
        <w:ind w:left="714" w:hanging="357"/>
        <w:contextualSpacing w:val="0"/>
      </w:pPr>
      <w:r w:rsidRPr="00A913E0">
        <w:t xml:space="preserve">Do you believe knowing the information would be ‘getting in early’ ahead of the investment market more generally? </w:t>
      </w:r>
    </w:p>
    <w:p w14:paraId="0AE0FAC9" w14:textId="551A173E" w:rsidR="00793242" w:rsidRPr="00A913E0" w:rsidRDefault="00793242" w:rsidP="00144BE0">
      <w:pPr>
        <w:pStyle w:val="ListParagraph"/>
        <w:numPr>
          <w:ilvl w:val="0"/>
          <w:numId w:val="3"/>
        </w:numPr>
        <w:spacing w:after="120"/>
        <w:ind w:left="714" w:hanging="357"/>
        <w:contextualSpacing w:val="0"/>
      </w:pPr>
      <w:r w:rsidRPr="00A913E0">
        <w:t xml:space="preserve">Would you expect the information to have a material effect on the value of the particular financial product? </w:t>
      </w:r>
    </w:p>
    <w:p w14:paraId="7C6700F2" w14:textId="4859C7A5" w:rsidR="00793242" w:rsidRPr="00A913E0" w:rsidRDefault="00793242" w:rsidP="00B456D4">
      <w:pPr>
        <w:ind w:right="11"/>
      </w:pPr>
      <w:r w:rsidRPr="00A913E0">
        <w:t xml:space="preserve">Employees in some areas may have access to material information relating to companies in sectors outside of the Industry and Science portfolio. It is important to note that the absence of direct policy or program responsibility would be no defence to an insider trading allegation. </w:t>
      </w:r>
    </w:p>
    <w:p w14:paraId="169C3FEC" w14:textId="77777777" w:rsidR="00793242" w:rsidRPr="00A913E0" w:rsidRDefault="00793242" w:rsidP="00B456D4">
      <w:pPr>
        <w:pStyle w:val="Heading1"/>
        <w:ind w:left="33" w:hanging="11"/>
      </w:pPr>
      <w:bookmarkStart w:id="38" w:name="_Toc112417239"/>
      <w:bookmarkStart w:id="39" w:name="_Toc113914034"/>
      <w:r w:rsidRPr="00A913E0">
        <w:t>Management Framework</w:t>
      </w:r>
      <w:bookmarkEnd w:id="38"/>
      <w:bookmarkEnd w:id="39"/>
      <w:r w:rsidRPr="00A913E0">
        <w:t xml:space="preserve"> </w:t>
      </w:r>
    </w:p>
    <w:p w14:paraId="682D47BB" w14:textId="3C2A829D" w:rsidR="00793242" w:rsidRPr="005E3251" w:rsidRDefault="00793242" w:rsidP="00B456D4">
      <w:pPr>
        <w:pStyle w:val="Heading2"/>
        <w:ind w:left="33" w:hanging="11"/>
      </w:pPr>
      <w:bookmarkStart w:id="40" w:name="_Toc112417241"/>
      <w:bookmarkStart w:id="41" w:name="_Toc113914035"/>
      <w:r w:rsidRPr="005E3251">
        <w:t>Awareness tutorial</w:t>
      </w:r>
      <w:bookmarkEnd w:id="40"/>
      <w:bookmarkEnd w:id="41"/>
    </w:p>
    <w:p w14:paraId="3E5145DE" w14:textId="5A8EDA98" w:rsidR="00793242" w:rsidRDefault="00793242" w:rsidP="00B456D4">
      <w:pPr>
        <w:ind w:right="11"/>
      </w:pPr>
      <w:r w:rsidRPr="00A913E0">
        <w:t xml:space="preserve">The awareness tutorial is designed to provide guidance and educate employees on what a conflict of interest is, how it can be addressed or managed, how to make a disclosure and what responsibilities all employees have. It is essential that all employees watch the tutorial to assist in making an informed decision on whether or not they have a conflict of interest to disclose. A conflict of interest declaration form should be completed where an employee </w:t>
      </w:r>
      <w:r>
        <w:t>has a material personal interest to disclose</w:t>
      </w:r>
      <w:r w:rsidRPr="00A913E0">
        <w:t>.</w:t>
      </w:r>
    </w:p>
    <w:p w14:paraId="715B5A64" w14:textId="77777777" w:rsidR="00B756F6" w:rsidRPr="00A913E0" w:rsidRDefault="00B756F6" w:rsidP="00B756F6">
      <w:pPr>
        <w:pStyle w:val="Heading2"/>
        <w:ind w:left="33" w:hanging="11"/>
      </w:pPr>
      <w:bookmarkStart w:id="42" w:name="_Toc112417240"/>
      <w:bookmarkStart w:id="43" w:name="_Toc113914036"/>
      <w:bookmarkStart w:id="44" w:name="_Toc112417242"/>
      <w:r w:rsidRPr="00A913E0">
        <w:t xml:space="preserve">Procedure for continuous disclosure of </w:t>
      </w:r>
      <w:r>
        <w:t>material personal</w:t>
      </w:r>
      <w:r w:rsidRPr="00A913E0">
        <w:t xml:space="preserve"> interests</w:t>
      </w:r>
      <w:bookmarkEnd w:id="42"/>
      <w:bookmarkEnd w:id="43"/>
      <w:r w:rsidRPr="00A913E0">
        <w:t xml:space="preserve"> </w:t>
      </w:r>
    </w:p>
    <w:bookmarkEnd w:id="44"/>
    <w:p w14:paraId="7432FB98" w14:textId="77DF2E51" w:rsidR="00B756F6" w:rsidRPr="00A913E0" w:rsidRDefault="00B756F6" w:rsidP="00B756F6">
      <w:pPr>
        <w:ind w:right="11"/>
      </w:pPr>
      <w:r>
        <w:t>Staff</w:t>
      </w:r>
      <w:r w:rsidRPr="00A913E0">
        <w:t xml:space="preserve"> are required to follow the department’s procedure for the continuous disclosure of </w:t>
      </w:r>
      <w:r>
        <w:t>material personal</w:t>
      </w:r>
      <w:r w:rsidRPr="00A913E0">
        <w:t xml:space="preserve"> interests by </w:t>
      </w:r>
      <w:r>
        <w:t>making</w:t>
      </w:r>
      <w:r w:rsidRPr="00A913E0">
        <w:t xml:space="preserve"> annual declarations </w:t>
      </w:r>
      <w:r>
        <w:t xml:space="preserve">(as required) </w:t>
      </w:r>
      <w:r w:rsidRPr="00A913E0">
        <w:t>and</w:t>
      </w:r>
      <w:r w:rsidR="00E455F1">
        <w:t xml:space="preserve"> </w:t>
      </w:r>
      <w:r>
        <w:t>making sure they monitor their circumstances (ongoing disclosure)</w:t>
      </w:r>
      <w:r w:rsidRPr="00A913E0">
        <w:t xml:space="preserve">. </w:t>
      </w:r>
    </w:p>
    <w:p w14:paraId="705869BA" w14:textId="2B81CA01" w:rsidR="00B456D4" w:rsidRPr="00B456D4" w:rsidRDefault="00B456D4" w:rsidP="00B756F6">
      <w:pPr>
        <w:pStyle w:val="Heading3"/>
        <w:spacing w:after="40"/>
        <w:ind w:left="720"/>
        <w:rPr>
          <w:i/>
        </w:rPr>
      </w:pPr>
      <w:r w:rsidRPr="00B456D4">
        <w:rPr>
          <w:i/>
        </w:rPr>
        <w:t>General requirements</w:t>
      </w:r>
    </w:p>
    <w:p w14:paraId="05B678B2" w14:textId="772FFE65" w:rsidR="00793242" w:rsidRPr="00CA343A" w:rsidRDefault="00793242" w:rsidP="00B756F6">
      <w:pPr>
        <w:ind w:left="33" w:right="11" w:hanging="11"/>
      </w:pPr>
      <w:r w:rsidRPr="00E72FD0">
        <w:rPr>
          <w:b/>
        </w:rPr>
        <w:t xml:space="preserve">SES </w:t>
      </w:r>
      <w:r w:rsidRPr="007646A6">
        <w:rPr>
          <w:b/>
        </w:rPr>
        <w:t>e</w:t>
      </w:r>
      <w:r w:rsidRPr="00E72FD0">
        <w:rPr>
          <w:b/>
        </w:rPr>
        <w:t>mployees</w:t>
      </w:r>
      <w:r w:rsidRPr="007646A6">
        <w:t xml:space="preserve"> </w:t>
      </w:r>
      <w:r w:rsidRPr="00A913E0">
        <w:t xml:space="preserve">are </w:t>
      </w:r>
      <w:r w:rsidRPr="00CA343A">
        <w:t>required to complete a</w:t>
      </w:r>
      <w:r w:rsidR="00B756F6" w:rsidRPr="00CA343A">
        <w:t>n annual</w:t>
      </w:r>
      <w:r w:rsidRPr="00CA343A">
        <w:t xml:space="preserve"> conflict of interest declaration form (located in </w:t>
      </w:r>
      <w:proofErr w:type="spellStart"/>
      <w:r w:rsidRPr="00CA343A">
        <w:t>ServiceNow</w:t>
      </w:r>
      <w:proofErr w:type="spellEnd"/>
      <w:r w:rsidRPr="00CA343A">
        <w:t>);</w:t>
      </w:r>
    </w:p>
    <w:p w14:paraId="42DEDCB7" w14:textId="2767EB0F" w:rsidR="00793242" w:rsidRPr="00CA343A" w:rsidRDefault="00793242" w:rsidP="00B756F6">
      <w:pPr>
        <w:ind w:left="33" w:right="11" w:hanging="11"/>
      </w:pPr>
      <w:r w:rsidRPr="00CA343A">
        <w:rPr>
          <w:b/>
        </w:rPr>
        <w:t>Acting SES employees</w:t>
      </w:r>
      <w:r w:rsidRPr="00CA343A">
        <w:t xml:space="preserve"> are required to complete a conflict of interest declaration</w:t>
      </w:r>
      <w:r w:rsidR="004232DD">
        <w:t xml:space="preserve"> (located in </w:t>
      </w:r>
      <w:proofErr w:type="spellStart"/>
      <w:r w:rsidR="004232DD">
        <w:t>ServiceNow</w:t>
      </w:r>
      <w:proofErr w:type="spellEnd"/>
      <w:r w:rsidR="004232DD">
        <w:t>)</w:t>
      </w:r>
      <w:r w:rsidRPr="00CA343A">
        <w:t xml:space="preserve"> form where the period of acting is for three months or more. This is in addition to any declarations they may have disclosed as non-SES employees.</w:t>
      </w:r>
      <w:r w:rsidR="00E455F1">
        <w:t xml:space="preserve"> </w:t>
      </w:r>
    </w:p>
    <w:p w14:paraId="21AA7846" w14:textId="14F67720" w:rsidR="00793242" w:rsidRPr="00CA343A" w:rsidRDefault="00793242" w:rsidP="00B756F6">
      <w:pPr>
        <w:ind w:left="33" w:right="11" w:hanging="11"/>
      </w:pPr>
      <w:r w:rsidRPr="00CA343A">
        <w:rPr>
          <w:b/>
        </w:rPr>
        <w:t>Non-SES employees</w:t>
      </w:r>
      <w:r w:rsidRPr="00CA343A">
        <w:t xml:space="preserve"> should consider whether they have anything to disclose after watching the awareness tutorial located in </w:t>
      </w:r>
      <w:proofErr w:type="spellStart"/>
      <w:r w:rsidRPr="00CA343A">
        <w:t>PageUp</w:t>
      </w:r>
      <w:proofErr w:type="spellEnd"/>
      <w:r w:rsidRPr="00CA343A">
        <w:t xml:space="preserve">. Should employees need to disclose an interest in line with their ongoing requirement to monitor their circumstances, they can do so by completing a conflict of interest declaration form (located in </w:t>
      </w:r>
      <w:proofErr w:type="spellStart"/>
      <w:r w:rsidRPr="00CA343A">
        <w:t>ServiceNow</w:t>
      </w:r>
      <w:proofErr w:type="spellEnd"/>
      <w:r w:rsidRPr="00CA343A">
        <w:t>).</w:t>
      </w:r>
      <w:r w:rsidR="00E455F1">
        <w:t xml:space="preserve"> </w:t>
      </w:r>
    </w:p>
    <w:p w14:paraId="355A3BE3" w14:textId="7A398E69" w:rsidR="00793242" w:rsidRPr="00CA343A" w:rsidRDefault="00793242" w:rsidP="00B756F6">
      <w:pPr>
        <w:ind w:left="33" w:right="11" w:hanging="11"/>
      </w:pPr>
      <w:r w:rsidRPr="00CA343A">
        <w:rPr>
          <w:b/>
        </w:rPr>
        <w:t>New employees</w:t>
      </w:r>
      <w:r w:rsidRPr="00CA343A">
        <w:t xml:space="preserve"> should consider whether they have anything to disclose after watching the awareness tutorial located in </w:t>
      </w:r>
      <w:proofErr w:type="spellStart"/>
      <w:r w:rsidRPr="00CA343A">
        <w:t>PageUp</w:t>
      </w:r>
      <w:proofErr w:type="spellEnd"/>
      <w:r w:rsidRPr="00CA343A">
        <w:t xml:space="preserve">. Should new employees need to disclose an interest, they can do so by completing a conflict of interest declaration form (located in </w:t>
      </w:r>
      <w:proofErr w:type="spellStart"/>
      <w:r w:rsidRPr="00CA343A">
        <w:t>ServiceNow</w:t>
      </w:r>
      <w:proofErr w:type="spellEnd"/>
      <w:r w:rsidRPr="00CA343A">
        <w:t>).</w:t>
      </w:r>
    </w:p>
    <w:p w14:paraId="72476B5F" w14:textId="0D195D97" w:rsidR="00793242" w:rsidRPr="00CA343A" w:rsidRDefault="00793242" w:rsidP="00B756F6">
      <w:pPr>
        <w:ind w:left="33" w:right="11" w:hanging="11"/>
      </w:pPr>
      <w:r w:rsidRPr="00CA343A">
        <w:rPr>
          <w:b/>
        </w:rPr>
        <w:t>Employees who have transferred between divisions</w:t>
      </w:r>
      <w:r w:rsidRPr="00CA343A">
        <w:t xml:space="preserve"> should consider whether they have anything to declare within 4 weeks of commencing in a new division.</w:t>
      </w:r>
    </w:p>
    <w:p w14:paraId="48F8825D" w14:textId="72199C9B" w:rsidR="00793242" w:rsidRPr="00A913E0" w:rsidRDefault="004232DD" w:rsidP="00B756F6">
      <w:pPr>
        <w:ind w:left="33" w:right="11" w:hanging="11"/>
      </w:pPr>
      <w:r>
        <w:rPr>
          <w:b/>
        </w:rPr>
        <w:lastRenderedPageBreak/>
        <w:t>Non-employees (e.g. c</w:t>
      </w:r>
      <w:r w:rsidR="00793242" w:rsidRPr="00CA343A">
        <w:rPr>
          <w:b/>
        </w:rPr>
        <w:t>ontractors and consultants</w:t>
      </w:r>
      <w:r>
        <w:rPr>
          <w:b/>
        </w:rPr>
        <w:t>)</w:t>
      </w:r>
      <w:r w:rsidR="00793242" w:rsidRPr="00CA343A">
        <w:t xml:space="preserve"> accessing the department’s ICT facilities and resources have to abide by the relevant departmental policies and ensure that the security of all department networks are maintained. Any conflicts of interest are to be discussed with the relevant contact in the department and managed in accordance with the relevant contractual arrangement, taking into account this policy. A conflict of interest declaration form can be completed in </w:t>
      </w:r>
      <w:proofErr w:type="spellStart"/>
      <w:r w:rsidR="00793242" w:rsidRPr="00CA343A">
        <w:t>ServiceNow</w:t>
      </w:r>
      <w:proofErr w:type="spellEnd"/>
      <w:r w:rsidR="00793242" w:rsidRPr="00CA343A">
        <w:t xml:space="preserve"> if the contractor or consultant has ICT network access. Alternatively, a paper-based</w:t>
      </w:r>
      <w:r w:rsidR="00793242" w:rsidRPr="00A913E0">
        <w:t xml:space="preserve"> conflict of interest declaration form can be requested from </w:t>
      </w:r>
      <w:hyperlink r:id="rId21" w:history="1">
        <w:r w:rsidR="002C02C7">
          <w:t xml:space="preserve">the Employee Relations </w:t>
        </w:r>
        <w:r w:rsidR="00484226">
          <w:t>T</w:t>
        </w:r>
        <w:r w:rsidR="002C02C7">
          <w:t>eam</w:t>
        </w:r>
        <w:r w:rsidR="00793242" w:rsidRPr="005E3251">
          <w:t>.</w:t>
        </w:r>
      </w:hyperlink>
    </w:p>
    <w:p w14:paraId="00AE093F" w14:textId="16DE902A" w:rsidR="00793242" w:rsidRDefault="00793242" w:rsidP="00B756F6">
      <w:pPr>
        <w:ind w:left="33" w:right="11" w:hanging="11"/>
      </w:pPr>
      <w:r w:rsidRPr="00E72FD0">
        <w:rPr>
          <w:b/>
        </w:rPr>
        <w:t>Questacon casuals and volunteers</w:t>
      </w:r>
      <w:r w:rsidRPr="00A913E0">
        <w:t xml:space="preserve"> who do not have I</w:t>
      </w:r>
      <w:r w:rsidR="00484226">
        <w:t>C</w:t>
      </w:r>
      <w:r w:rsidRPr="00A913E0">
        <w:t>T access are exempt from completing the department’s conflict of interest declaration process.</w:t>
      </w:r>
    </w:p>
    <w:p w14:paraId="3434AA96" w14:textId="77777777" w:rsidR="00B456D4" w:rsidRPr="00B456D4" w:rsidRDefault="00B456D4" w:rsidP="00B756F6">
      <w:pPr>
        <w:pStyle w:val="Heading3"/>
        <w:spacing w:after="40"/>
        <w:ind w:left="720"/>
        <w:rPr>
          <w:i/>
        </w:rPr>
      </w:pPr>
      <w:r w:rsidRPr="00B456D4">
        <w:rPr>
          <w:i/>
        </w:rPr>
        <w:t>Activity based requirements</w:t>
      </w:r>
    </w:p>
    <w:p w14:paraId="671AD0E4" w14:textId="5B99D68D" w:rsidR="00B456D4" w:rsidRPr="00B456D4" w:rsidRDefault="00B456D4" w:rsidP="00B456D4">
      <w:pPr>
        <w:ind w:right="11"/>
      </w:pPr>
      <w:r w:rsidRPr="00B456D4">
        <w:t>In carrying out the department’s work, staff may be required to complete conflict of interest declarations when involved in specific activities. For example, staff involved in procurement activities should complete activity based conflict of interest declarations (regardless of whether there is a conflict to disclos</w:t>
      </w:r>
      <w:r w:rsidR="00484226">
        <w:t>e</w:t>
      </w:r>
      <w:r w:rsidRPr="00B456D4">
        <w:t>) commensurate with risk.</w:t>
      </w:r>
      <w:r w:rsidR="00E455F1">
        <w:t xml:space="preserve"> </w:t>
      </w:r>
    </w:p>
    <w:p w14:paraId="66700A48" w14:textId="7079A9FE" w:rsidR="00B456D4" w:rsidRPr="00B456D4" w:rsidRDefault="00B456D4" w:rsidP="00B456D4">
      <w:pPr>
        <w:ind w:right="11"/>
      </w:pPr>
      <w:r w:rsidRPr="00B456D4">
        <w:t xml:space="preserve">All </w:t>
      </w:r>
      <w:r w:rsidR="0050544E">
        <w:t xml:space="preserve">program </w:t>
      </w:r>
      <w:r w:rsidRPr="00B456D4">
        <w:t xml:space="preserve">staff involved in grants activities are to complete activity based conflict of interest declarations (regardless of whether there is a conflict to disclose). A conflict of interest register reflecting these declarations is to be maintained for each grant program (or equivalent). </w:t>
      </w:r>
    </w:p>
    <w:p w14:paraId="12CA9CFD" w14:textId="77777777" w:rsidR="00B456D4" w:rsidRDefault="00B456D4" w:rsidP="00B456D4">
      <w:pPr>
        <w:ind w:right="11"/>
      </w:pPr>
      <w:r w:rsidRPr="00B456D4">
        <w:t xml:space="preserve">Activity based conflict of interest declaration processes and reporting formats are managed by the relevant business areas. If any interests are disclosed during these activities, staff should consider how they are meeting the general requirements of this policy (e.g. whether a conflict of interest form in </w:t>
      </w:r>
      <w:proofErr w:type="spellStart"/>
      <w:r w:rsidRPr="00B456D4">
        <w:t>ServiceNow</w:t>
      </w:r>
      <w:proofErr w:type="spellEnd"/>
      <w:r w:rsidRPr="00B456D4">
        <w:t xml:space="preserve"> should also be completed).</w:t>
      </w:r>
    </w:p>
    <w:p w14:paraId="7A238B4C" w14:textId="77777777" w:rsidR="00793242" w:rsidRPr="00A913E0" w:rsidRDefault="00793242" w:rsidP="00B756F6">
      <w:pPr>
        <w:pStyle w:val="Heading1"/>
        <w:ind w:left="431" w:hanging="431"/>
      </w:pPr>
      <w:bookmarkStart w:id="45" w:name="_Toc480794882"/>
      <w:bookmarkStart w:id="46" w:name="_Toc112417243"/>
      <w:bookmarkStart w:id="47" w:name="_Toc113914037"/>
      <w:r w:rsidRPr="00A913E0">
        <w:t>Managing conflicts of interest</w:t>
      </w:r>
      <w:bookmarkEnd w:id="45"/>
      <w:bookmarkEnd w:id="46"/>
      <w:bookmarkEnd w:id="47"/>
      <w:r w:rsidRPr="00A913E0">
        <w:t xml:space="preserve"> </w:t>
      </w:r>
    </w:p>
    <w:p w14:paraId="40A3D86F" w14:textId="2B05E5C3" w:rsidR="00793242" w:rsidRDefault="00793242" w:rsidP="00B456D4">
      <w:pPr>
        <w:ind w:right="11"/>
      </w:pPr>
      <w:r w:rsidRPr="00B456D4">
        <w:t>Under the general requirements for staff conflict of interest declarations</w:t>
      </w:r>
      <w:r w:rsidR="00484226">
        <w:t>,</w:t>
      </w:r>
      <w:r w:rsidRPr="00B456D4">
        <w:t xml:space="preserve"> the</w:t>
      </w:r>
      <w:r w:rsidRPr="00A913E0">
        <w:t xml:space="preserve"> </w:t>
      </w:r>
      <w:r>
        <w:t>D</w:t>
      </w:r>
      <w:r w:rsidRPr="00A913E0">
        <w:t xml:space="preserve">isclosure </w:t>
      </w:r>
      <w:r>
        <w:t>O</w:t>
      </w:r>
      <w:r w:rsidRPr="00A913E0">
        <w:t xml:space="preserve">fficer is responsible for assessing declarations and determining whether a real or apparent conflict of interest exists. Managers assist the </w:t>
      </w:r>
      <w:r>
        <w:t>D</w:t>
      </w:r>
      <w:r w:rsidRPr="00A913E0">
        <w:t xml:space="preserve">isclosure </w:t>
      </w:r>
      <w:r>
        <w:t>O</w:t>
      </w:r>
      <w:r w:rsidRPr="00A913E0">
        <w:t>fficer by obtaining and providing relevant information.</w:t>
      </w:r>
      <w:r w:rsidR="00E455F1">
        <w:t xml:space="preserve"> </w:t>
      </w:r>
      <w:r w:rsidRPr="00A913E0">
        <w:t xml:space="preserve">In the event that a conflict of interest is identified, the </w:t>
      </w:r>
      <w:r>
        <w:t>staff member</w:t>
      </w:r>
      <w:r w:rsidRPr="00A913E0">
        <w:t xml:space="preserve"> will be advised of any actions required to manage the conflict. The </w:t>
      </w:r>
      <w:r>
        <w:t>D</w:t>
      </w:r>
      <w:r w:rsidRPr="00A913E0">
        <w:t xml:space="preserve">isclosure </w:t>
      </w:r>
      <w:r>
        <w:t>O</w:t>
      </w:r>
      <w:r w:rsidRPr="00A913E0">
        <w:t xml:space="preserve">fficer is responsible for </w:t>
      </w:r>
      <w:r>
        <w:t>addressing</w:t>
      </w:r>
      <w:r w:rsidRPr="00A913E0">
        <w:t xml:space="preserve"> conflicts of interests by:</w:t>
      </w:r>
    </w:p>
    <w:p w14:paraId="35113823" w14:textId="39C6D579" w:rsidR="00793242" w:rsidRPr="00A913E0" w:rsidRDefault="00793242" w:rsidP="00144BE0">
      <w:pPr>
        <w:pStyle w:val="ListParagraph"/>
        <w:numPr>
          <w:ilvl w:val="0"/>
          <w:numId w:val="3"/>
        </w:numPr>
        <w:spacing w:after="120"/>
        <w:ind w:left="714" w:hanging="357"/>
        <w:contextualSpacing w:val="0"/>
      </w:pPr>
      <w:r w:rsidRPr="00A913E0">
        <w:t xml:space="preserve">having a conversation with the </w:t>
      </w:r>
      <w:r>
        <w:t xml:space="preserve">staff member </w:t>
      </w:r>
      <w:r w:rsidRPr="00A913E0">
        <w:t>who discloses</w:t>
      </w:r>
      <w:r w:rsidR="004232DD">
        <w:t xml:space="preserve"> the</w:t>
      </w:r>
      <w:r w:rsidRPr="00A913E0">
        <w:t xml:space="preserve"> conflict and/or their </w:t>
      </w:r>
      <w:r>
        <w:t>M</w:t>
      </w:r>
      <w:r w:rsidRPr="00A913E0">
        <w:t>anager to obtain details of the disclosure;</w:t>
      </w:r>
      <w:r w:rsidR="00551B86">
        <w:t xml:space="preserve"> and</w:t>
      </w:r>
    </w:p>
    <w:p w14:paraId="70A3646A" w14:textId="5A8F6FC8" w:rsidR="00793242" w:rsidRPr="00A913E0" w:rsidRDefault="00793242" w:rsidP="00144BE0">
      <w:pPr>
        <w:pStyle w:val="ListParagraph"/>
        <w:numPr>
          <w:ilvl w:val="0"/>
          <w:numId w:val="3"/>
        </w:numPr>
        <w:spacing w:after="120"/>
        <w:ind w:left="714" w:hanging="357"/>
        <w:contextualSpacing w:val="0"/>
      </w:pPr>
      <w:proofErr w:type="gramStart"/>
      <w:r>
        <w:t>agreeing</w:t>
      </w:r>
      <w:proofErr w:type="gramEnd"/>
      <w:r w:rsidR="001C5062">
        <w:t xml:space="preserve"> on</w:t>
      </w:r>
      <w:r w:rsidRPr="00A913E0">
        <w:t xml:space="preserve"> a management strategy with the </w:t>
      </w:r>
      <w:r>
        <w:t>staff member</w:t>
      </w:r>
      <w:r w:rsidRPr="00A913E0">
        <w:t xml:space="preserve"> who discloses</w:t>
      </w:r>
      <w:r w:rsidR="00484226">
        <w:t xml:space="preserve"> the conflict</w:t>
      </w:r>
      <w:r w:rsidRPr="00A913E0">
        <w:t xml:space="preserve"> and/or their </w:t>
      </w:r>
      <w:r>
        <w:t>M</w:t>
      </w:r>
      <w:r w:rsidRPr="00A913E0">
        <w:t>anager by using the five ‘R’s.</w:t>
      </w:r>
    </w:p>
    <w:p w14:paraId="67A3C014" w14:textId="77777777" w:rsidR="00793242" w:rsidRPr="00A913E0" w:rsidRDefault="00793242" w:rsidP="00B456D4">
      <w:pPr>
        <w:ind w:right="11"/>
      </w:pPr>
      <w:r w:rsidRPr="00A913E0">
        <w:t>Disclosure Officers are as follows:</w:t>
      </w:r>
    </w:p>
    <w:p w14:paraId="4F040ADA" w14:textId="77777777" w:rsidR="00793242" w:rsidRPr="00A913E0" w:rsidRDefault="00793242" w:rsidP="00144BE0">
      <w:pPr>
        <w:pStyle w:val="ListParagraph"/>
        <w:numPr>
          <w:ilvl w:val="0"/>
          <w:numId w:val="3"/>
        </w:numPr>
        <w:spacing w:after="120"/>
        <w:ind w:left="714" w:hanging="357"/>
        <w:contextualSpacing w:val="0"/>
      </w:pPr>
      <w:r w:rsidRPr="00A913E0">
        <w:t xml:space="preserve">Secretary – </w:t>
      </w:r>
      <w:r>
        <w:t>D</w:t>
      </w:r>
      <w:r w:rsidRPr="00A913E0">
        <w:t xml:space="preserve">isclosure </w:t>
      </w:r>
      <w:r>
        <w:t>O</w:t>
      </w:r>
      <w:r w:rsidRPr="00A913E0">
        <w:t>fficer for SES Band 3</w:t>
      </w:r>
    </w:p>
    <w:p w14:paraId="6921199F" w14:textId="77777777" w:rsidR="00793242" w:rsidRPr="00A913E0" w:rsidRDefault="00793242" w:rsidP="00144BE0">
      <w:pPr>
        <w:pStyle w:val="ListParagraph"/>
        <w:numPr>
          <w:ilvl w:val="0"/>
          <w:numId w:val="3"/>
        </w:numPr>
        <w:spacing w:after="120"/>
        <w:ind w:left="714" w:hanging="357"/>
        <w:contextualSpacing w:val="0"/>
      </w:pPr>
      <w:r w:rsidRPr="00A913E0">
        <w:t xml:space="preserve">Deputy Secretary – </w:t>
      </w:r>
      <w:r>
        <w:t>D</w:t>
      </w:r>
      <w:r w:rsidRPr="00A913E0">
        <w:t xml:space="preserve">isclosure </w:t>
      </w:r>
      <w:r>
        <w:t>O</w:t>
      </w:r>
      <w:r w:rsidRPr="00A913E0">
        <w:t>fficer for SES Band 2 and SES Band 1</w:t>
      </w:r>
    </w:p>
    <w:p w14:paraId="35E0CD17" w14:textId="1C4C2CC1" w:rsidR="00793242" w:rsidRPr="00A913E0" w:rsidRDefault="00793242" w:rsidP="00144BE0">
      <w:pPr>
        <w:pStyle w:val="ListParagraph"/>
        <w:numPr>
          <w:ilvl w:val="0"/>
          <w:numId w:val="3"/>
        </w:numPr>
        <w:spacing w:after="120"/>
        <w:ind w:left="714" w:hanging="357"/>
        <w:contextualSpacing w:val="0"/>
      </w:pPr>
      <w:r w:rsidRPr="00A913E0">
        <w:t xml:space="preserve">General Manager – </w:t>
      </w:r>
      <w:r>
        <w:t>D</w:t>
      </w:r>
      <w:r w:rsidRPr="00A913E0">
        <w:t xml:space="preserve">isclosure </w:t>
      </w:r>
      <w:r>
        <w:t>O</w:t>
      </w:r>
      <w:r w:rsidRPr="00A913E0">
        <w:t xml:space="preserve">fficer for </w:t>
      </w:r>
      <w:r>
        <w:t>non-SES staff</w:t>
      </w:r>
      <w:r w:rsidR="004232DD">
        <w:t>, including</w:t>
      </w:r>
      <w:r w:rsidRPr="00A913E0">
        <w:t xml:space="preserve"> EL and APS employees</w:t>
      </w:r>
    </w:p>
    <w:p w14:paraId="0C28CD84" w14:textId="44ED3177" w:rsidR="00793242" w:rsidRPr="00A913E0" w:rsidRDefault="00793242" w:rsidP="00144BE0">
      <w:pPr>
        <w:pStyle w:val="ListParagraph"/>
        <w:numPr>
          <w:ilvl w:val="0"/>
          <w:numId w:val="3"/>
        </w:numPr>
        <w:spacing w:after="120"/>
        <w:ind w:left="714" w:hanging="357"/>
        <w:contextualSpacing w:val="0"/>
      </w:pPr>
      <w:r w:rsidRPr="00A913E0">
        <w:t>Managers</w:t>
      </w:r>
      <w:r w:rsidR="00484226">
        <w:t>/Directors</w:t>
      </w:r>
      <w:r w:rsidRPr="00A913E0">
        <w:t xml:space="preserve"> – are not </w:t>
      </w:r>
      <w:r>
        <w:t>D</w:t>
      </w:r>
      <w:r w:rsidRPr="00A913E0">
        <w:t xml:space="preserve">isclosure </w:t>
      </w:r>
      <w:r>
        <w:t>O</w:t>
      </w:r>
      <w:r w:rsidRPr="00A913E0">
        <w:t xml:space="preserve">fficers but assist with the assessment </w:t>
      </w:r>
      <w:r>
        <w:t xml:space="preserve">and management </w:t>
      </w:r>
      <w:r w:rsidRPr="00A913E0">
        <w:t xml:space="preserve">of disclosures </w:t>
      </w:r>
      <w:r>
        <w:t>as appropriate</w:t>
      </w:r>
      <w:r w:rsidRPr="00A913E0">
        <w:t>.</w:t>
      </w:r>
    </w:p>
    <w:p w14:paraId="664334FE" w14:textId="0258D017" w:rsidR="00793242" w:rsidRDefault="00793242" w:rsidP="00B456D4">
      <w:pPr>
        <w:ind w:right="11"/>
      </w:pPr>
      <w:r w:rsidRPr="00A913E0">
        <w:t xml:space="preserve">Disclosure </w:t>
      </w:r>
      <w:r>
        <w:t>O</w:t>
      </w:r>
      <w:r w:rsidRPr="00A913E0">
        <w:t xml:space="preserve">fficers and </w:t>
      </w:r>
      <w:r>
        <w:t>M</w:t>
      </w:r>
      <w:r w:rsidRPr="00A913E0">
        <w:t xml:space="preserve">anagers are encouraged to contact the </w:t>
      </w:r>
      <w:hyperlink r:id="rId22" w:history="1">
        <w:r w:rsidR="002C02C7">
          <w:t>Employee Relations</w:t>
        </w:r>
        <w:r w:rsidRPr="00B456D4">
          <w:t xml:space="preserve"> Team</w:t>
        </w:r>
        <w:r w:rsidRPr="007646A6">
          <w:t xml:space="preserve"> </w:t>
        </w:r>
      </w:hyperlink>
      <w:r w:rsidRPr="00A913E0">
        <w:t>for advice on managing conflicts and disclosures.</w:t>
      </w:r>
    </w:p>
    <w:p w14:paraId="43F1CC7A" w14:textId="77777777" w:rsidR="00793242" w:rsidRPr="00A913E0" w:rsidRDefault="00793242" w:rsidP="00B756F6">
      <w:pPr>
        <w:pStyle w:val="Heading1"/>
      </w:pPr>
      <w:bookmarkStart w:id="48" w:name="_Toc112417244"/>
      <w:bookmarkStart w:id="49" w:name="_Toc113914038"/>
      <w:r w:rsidRPr="00A913E0">
        <w:lastRenderedPageBreak/>
        <w:t>Strategies to manage a conflict of interest - the five “R’s”</w:t>
      </w:r>
      <w:bookmarkEnd w:id="48"/>
      <w:bookmarkEnd w:id="49"/>
    </w:p>
    <w:p w14:paraId="2E3E3EE9" w14:textId="77777777" w:rsidR="00793242" w:rsidRDefault="00793242" w:rsidP="00B456D4">
      <w:pPr>
        <w:ind w:right="11"/>
      </w:pPr>
      <w:r w:rsidRPr="00A913E0">
        <w:t xml:space="preserve">Disclosure </w:t>
      </w:r>
      <w:r>
        <w:t>O</w:t>
      </w:r>
      <w:r w:rsidRPr="00A913E0">
        <w:t xml:space="preserve">fficers will receive </w:t>
      </w:r>
      <w:r>
        <w:t xml:space="preserve">automated </w:t>
      </w:r>
      <w:r w:rsidRPr="00A913E0">
        <w:t>notification in their inbox when a</w:t>
      </w:r>
      <w:r>
        <w:t xml:space="preserve"> staff member </w:t>
      </w:r>
      <w:r w:rsidRPr="00A913E0">
        <w:t>has completed a conflict of interest declaration</w:t>
      </w:r>
      <w:r>
        <w:t xml:space="preserve"> </w:t>
      </w:r>
      <w:r w:rsidRPr="00B456D4">
        <w:t xml:space="preserve">in </w:t>
      </w:r>
      <w:proofErr w:type="spellStart"/>
      <w:r w:rsidRPr="00B456D4">
        <w:t>ServiceNow</w:t>
      </w:r>
      <w:proofErr w:type="spellEnd"/>
      <w:r w:rsidRPr="00A913E0">
        <w:t xml:space="preserve">. </w:t>
      </w:r>
    </w:p>
    <w:p w14:paraId="26BA9C6E" w14:textId="77BC9FF3" w:rsidR="00793242" w:rsidRPr="00A913E0" w:rsidRDefault="00793242" w:rsidP="00B756F6">
      <w:pPr>
        <w:ind w:right="11"/>
      </w:pPr>
      <w:r w:rsidRPr="00A913E0">
        <w:t xml:space="preserve">Disclosure Officers must develop a </w:t>
      </w:r>
      <w:r w:rsidR="00484226">
        <w:t>m</w:t>
      </w:r>
      <w:r w:rsidRPr="00A913E0">
        <w:t xml:space="preserve">anagement </w:t>
      </w:r>
      <w:r w:rsidR="00484226">
        <w:t>s</w:t>
      </w:r>
      <w:r w:rsidRPr="00A913E0">
        <w:t xml:space="preserve">trategy with </w:t>
      </w:r>
      <w:r>
        <w:t>staff who make disclosures</w:t>
      </w:r>
      <w:r w:rsidRPr="00A913E0">
        <w:t xml:space="preserve"> by utilising one or numerous management strategies based on the five “R’s” framework, as follows:</w:t>
      </w:r>
    </w:p>
    <w:tbl>
      <w:tblPr>
        <w:tblStyle w:val="TableGrid"/>
        <w:tblpPr w:leftFromText="180" w:rightFromText="180" w:vertAnchor="text" w:horzAnchor="page" w:tblpX="1336" w:tblpY="129"/>
        <w:tblW w:w="9663" w:type="dxa"/>
        <w:tblLayout w:type="fixed"/>
        <w:tblLook w:val="04A0" w:firstRow="1" w:lastRow="0" w:firstColumn="1" w:lastColumn="0" w:noHBand="0" w:noVBand="1"/>
      </w:tblPr>
      <w:tblGrid>
        <w:gridCol w:w="2412"/>
        <w:gridCol w:w="2986"/>
        <w:gridCol w:w="4265"/>
      </w:tblGrid>
      <w:tr w:rsidR="00793242" w:rsidRPr="00A913E0" w14:paraId="09840387" w14:textId="77777777" w:rsidTr="00CA343A">
        <w:trPr>
          <w:trHeight w:val="746"/>
        </w:trPr>
        <w:tc>
          <w:tcPr>
            <w:tcW w:w="2412" w:type="dxa"/>
            <w:shd w:val="clear" w:color="auto" w:fill="D9D9D9"/>
            <w:vAlign w:val="center"/>
          </w:tcPr>
          <w:p w14:paraId="600FF6DC" w14:textId="21823248" w:rsidR="00793242" w:rsidRPr="00A913E0" w:rsidRDefault="00E455F1" w:rsidP="00CA343A">
            <w:pPr>
              <w:widowControl w:val="0"/>
              <w:kinsoku w:val="0"/>
              <w:overflowPunct w:val="0"/>
              <w:autoSpaceDE w:val="0"/>
              <w:autoSpaceDN w:val="0"/>
              <w:adjustRightInd w:val="0"/>
              <w:ind w:right="231"/>
              <w:rPr>
                <w:rFonts w:eastAsia="Times New Roman"/>
                <w:b/>
                <w:bCs/>
              </w:rPr>
            </w:pPr>
            <w:r>
              <w:rPr>
                <w:rFonts w:eastAsia="Times New Roman"/>
                <w:b/>
                <w:bCs/>
              </w:rPr>
              <w:t xml:space="preserve">  </w:t>
            </w:r>
            <w:r w:rsidR="00793242">
              <w:rPr>
                <w:rFonts w:eastAsia="Times New Roman"/>
                <w:b/>
                <w:bCs/>
              </w:rPr>
              <w:t xml:space="preserve"> </w:t>
            </w:r>
            <w:r w:rsidR="00793242" w:rsidRPr="00A913E0">
              <w:rPr>
                <w:rFonts w:eastAsia="Times New Roman"/>
                <w:b/>
                <w:bCs/>
              </w:rPr>
              <w:t>Strategy</w:t>
            </w:r>
          </w:p>
        </w:tc>
        <w:tc>
          <w:tcPr>
            <w:tcW w:w="2986" w:type="dxa"/>
            <w:shd w:val="clear" w:color="auto" w:fill="D9D9D9"/>
            <w:vAlign w:val="center"/>
          </w:tcPr>
          <w:p w14:paraId="5F7E3A06" w14:textId="77777777" w:rsidR="00793242" w:rsidRPr="00A913E0" w:rsidRDefault="00793242" w:rsidP="00CA343A">
            <w:pPr>
              <w:widowControl w:val="0"/>
              <w:autoSpaceDE w:val="0"/>
              <w:autoSpaceDN w:val="0"/>
              <w:adjustRightInd w:val="0"/>
              <w:rPr>
                <w:rFonts w:eastAsia="Times New Roman"/>
                <w:b/>
              </w:rPr>
            </w:pPr>
            <w:r w:rsidRPr="00A913E0">
              <w:rPr>
                <w:rFonts w:eastAsia="Times New Roman"/>
                <w:b/>
              </w:rPr>
              <w:t>What this strategy means</w:t>
            </w:r>
          </w:p>
        </w:tc>
        <w:tc>
          <w:tcPr>
            <w:tcW w:w="4265" w:type="dxa"/>
            <w:shd w:val="clear" w:color="auto" w:fill="D9D9D9"/>
            <w:vAlign w:val="center"/>
          </w:tcPr>
          <w:p w14:paraId="0884EBCC" w14:textId="77777777" w:rsidR="00793242" w:rsidRPr="00A913E0" w:rsidRDefault="00793242" w:rsidP="00CA343A">
            <w:pPr>
              <w:widowControl w:val="0"/>
              <w:autoSpaceDE w:val="0"/>
              <w:autoSpaceDN w:val="0"/>
              <w:adjustRightInd w:val="0"/>
              <w:rPr>
                <w:rFonts w:eastAsia="Times New Roman"/>
                <w:b/>
              </w:rPr>
            </w:pPr>
          </w:p>
          <w:p w14:paraId="6E56AEFF" w14:textId="77777777" w:rsidR="00793242" w:rsidRPr="00A913E0" w:rsidRDefault="00793242" w:rsidP="00CA343A">
            <w:pPr>
              <w:widowControl w:val="0"/>
              <w:autoSpaceDE w:val="0"/>
              <w:autoSpaceDN w:val="0"/>
              <w:adjustRightInd w:val="0"/>
              <w:rPr>
                <w:rFonts w:eastAsia="Times New Roman"/>
                <w:b/>
              </w:rPr>
            </w:pPr>
            <w:r w:rsidRPr="00A913E0">
              <w:rPr>
                <w:rFonts w:eastAsia="Times New Roman"/>
                <w:b/>
              </w:rPr>
              <w:t>When it is most suitable</w:t>
            </w:r>
          </w:p>
          <w:p w14:paraId="0E846E31" w14:textId="77777777" w:rsidR="00793242" w:rsidRPr="00A913E0" w:rsidRDefault="00793242" w:rsidP="00CA343A">
            <w:pPr>
              <w:widowControl w:val="0"/>
              <w:autoSpaceDE w:val="0"/>
              <w:autoSpaceDN w:val="0"/>
              <w:adjustRightInd w:val="0"/>
              <w:rPr>
                <w:rFonts w:eastAsia="Times New Roman"/>
                <w:b/>
              </w:rPr>
            </w:pPr>
          </w:p>
        </w:tc>
      </w:tr>
      <w:tr w:rsidR="00793242" w:rsidRPr="00A913E0" w14:paraId="7490E70C" w14:textId="77777777" w:rsidTr="00CA343A">
        <w:trPr>
          <w:trHeight w:val="1914"/>
        </w:trPr>
        <w:tc>
          <w:tcPr>
            <w:tcW w:w="2412" w:type="dxa"/>
          </w:tcPr>
          <w:p w14:paraId="28880E96" w14:textId="77777777" w:rsidR="00793242" w:rsidRPr="00A913E0" w:rsidRDefault="00793242" w:rsidP="00CA343A">
            <w:pPr>
              <w:widowControl w:val="0"/>
              <w:kinsoku w:val="0"/>
              <w:overflowPunct w:val="0"/>
              <w:autoSpaceDE w:val="0"/>
              <w:autoSpaceDN w:val="0"/>
              <w:adjustRightInd w:val="0"/>
              <w:ind w:left="720" w:right="231"/>
              <w:jc w:val="both"/>
              <w:rPr>
                <w:rFonts w:eastAsia="Times New Roman"/>
                <w:spacing w:val="-1"/>
              </w:rPr>
            </w:pPr>
          </w:p>
          <w:p w14:paraId="06A46158" w14:textId="77777777" w:rsidR="00793242" w:rsidRPr="00A913E0" w:rsidRDefault="00793242" w:rsidP="00144BE0">
            <w:pPr>
              <w:widowControl w:val="0"/>
              <w:numPr>
                <w:ilvl w:val="0"/>
                <w:numId w:val="7"/>
              </w:numPr>
              <w:kinsoku w:val="0"/>
              <w:overflowPunct w:val="0"/>
              <w:autoSpaceDE w:val="0"/>
              <w:autoSpaceDN w:val="0"/>
              <w:adjustRightInd w:val="0"/>
              <w:ind w:right="231"/>
              <w:jc w:val="both"/>
              <w:rPr>
                <w:rFonts w:eastAsia="Times New Roman"/>
                <w:spacing w:val="-1"/>
              </w:rPr>
            </w:pPr>
            <w:r w:rsidRPr="00A913E0">
              <w:rPr>
                <w:rFonts w:eastAsia="Times New Roman"/>
                <w:b/>
                <w:bCs/>
              </w:rPr>
              <w:t>Register</w:t>
            </w:r>
          </w:p>
        </w:tc>
        <w:tc>
          <w:tcPr>
            <w:tcW w:w="2986" w:type="dxa"/>
          </w:tcPr>
          <w:p w14:paraId="6B372011" w14:textId="77777777" w:rsidR="00793242" w:rsidRPr="00A913E0" w:rsidRDefault="00793242" w:rsidP="00CA343A">
            <w:pPr>
              <w:widowControl w:val="0"/>
              <w:autoSpaceDE w:val="0"/>
              <w:autoSpaceDN w:val="0"/>
              <w:adjustRightInd w:val="0"/>
              <w:rPr>
                <w:rFonts w:eastAsia="Times New Roman"/>
              </w:rPr>
            </w:pPr>
          </w:p>
          <w:p w14:paraId="3CD627BC" w14:textId="452753BA" w:rsidR="00793242" w:rsidRPr="00A913E0" w:rsidRDefault="0050544E" w:rsidP="00CA343A">
            <w:pPr>
              <w:widowControl w:val="0"/>
              <w:autoSpaceDE w:val="0"/>
              <w:autoSpaceDN w:val="0"/>
              <w:adjustRightInd w:val="0"/>
              <w:rPr>
                <w:rFonts w:eastAsia="Times New Roman"/>
              </w:rPr>
            </w:pPr>
            <w:r>
              <w:rPr>
                <w:rFonts w:eastAsia="Times New Roman"/>
              </w:rPr>
              <w:t>The employee</w:t>
            </w:r>
            <w:r w:rsidR="00793242" w:rsidRPr="00A913E0">
              <w:rPr>
                <w:rFonts w:eastAsia="Times New Roman"/>
              </w:rPr>
              <w:t xml:space="preserve"> formally register</w:t>
            </w:r>
            <w:r>
              <w:rPr>
                <w:rFonts w:eastAsia="Times New Roman"/>
              </w:rPr>
              <w:t>s</w:t>
            </w:r>
            <w:r w:rsidR="00793242" w:rsidRPr="00A913E0">
              <w:rPr>
                <w:rFonts w:eastAsia="Times New Roman"/>
              </w:rPr>
              <w:t xml:space="preserve"> details of the existence of a conflict of interest.</w:t>
            </w:r>
          </w:p>
          <w:p w14:paraId="7EBF1F00" w14:textId="77777777" w:rsidR="00793242" w:rsidRPr="00A913E0" w:rsidRDefault="00793242" w:rsidP="00CA343A">
            <w:pPr>
              <w:widowControl w:val="0"/>
              <w:kinsoku w:val="0"/>
              <w:overflowPunct w:val="0"/>
              <w:autoSpaceDE w:val="0"/>
              <w:autoSpaceDN w:val="0"/>
              <w:adjustRightInd w:val="0"/>
              <w:ind w:right="231"/>
              <w:rPr>
                <w:rFonts w:eastAsia="Times New Roman"/>
                <w:spacing w:val="-1"/>
              </w:rPr>
            </w:pPr>
          </w:p>
        </w:tc>
        <w:tc>
          <w:tcPr>
            <w:tcW w:w="4265" w:type="dxa"/>
          </w:tcPr>
          <w:p w14:paraId="05153CB0" w14:textId="77777777" w:rsidR="00793242" w:rsidRPr="00A913E0" w:rsidRDefault="00793242" w:rsidP="00CA343A">
            <w:pPr>
              <w:widowControl w:val="0"/>
              <w:autoSpaceDE w:val="0"/>
              <w:autoSpaceDN w:val="0"/>
              <w:adjustRightInd w:val="0"/>
              <w:ind w:left="720"/>
              <w:rPr>
                <w:rFonts w:eastAsia="Times New Roman"/>
              </w:rPr>
            </w:pPr>
          </w:p>
          <w:p w14:paraId="1AC5DED1" w14:textId="77777777" w:rsidR="00793242" w:rsidRPr="00A913E0" w:rsidRDefault="00793242" w:rsidP="00144BE0">
            <w:pPr>
              <w:widowControl w:val="0"/>
              <w:numPr>
                <w:ilvl w:val="0"/>
                <w:numId w:val="4"/>
              </w:numPr>
              <w:autoSpaceDE w:val="0"/>
              <w:autoSpaceDN w:val="0"/>
              <w:adjustRightInd w:val="0"/>
              <w:rPr>
                <w:rFonts w:eastAsia="Times New Roman"/>
              </w:rPr>
            </w:pPr>
            <w:r w:rsidRPr="00A913E0">
              <w:rPr>
                <w:rFonts w:eastAsia="Times New Roman"/>
              </w:rPr>
              <w:t>For very low-risk conflicts of interest.</w:t>
            </w:r>
          </w:p>
          <w:p w14:paraId="3401B837" w14:textId="77777777" w:rsidR="00793242" w:rsidRPr="00A913E0" w:rsidRDefault="00793242" w:rsidP="00144BE0">
            <w:pPr>
              <w:widowControl w:val="0"/>
              <w:numPr>
                <w:ilvl w:val="0"/>
                <w:numId w:val="4"/>
              </w:numPr>
              <w:autoSpaceDE w:val="0"/>
              <w:autoSpaceDN w:val="0"/>
              <w:adjustRightInd w:val="0"/>
              <w:rPr>
                <w:rFonts w:eastAsia="Times New Roman"/>
              </w:rPr>
            </w:pPr>
            <w:r w:rsidRPr="00A913E0">
              <w:rPr>
                <w:rFonts w:eastAsia="Times New Roman"/>
              </w:rPr>
              <w:t>Where recording the conflict of interest is sufficient to maintain transparency.</w:t>
            </w:r>
          </w:p>
          <w:p w14:paraId="4104E9FA" w14:textId="77777777" w:rsidR="00793242" w:rsidRPr="00A913E0" w:rsidRDefault="00793242" w:rsidP="00CA343A">
            <w:pPr>
              <w:widowControl w:val="0"/>
              <w:autoSpaceDE w:val="0"/>
              <w:autoSpaceDN w:val="0"/>
              <w:adjustRightInd w:val="0"/>
              <w:ind w:left="720"/>
              <w:rPr>
                <w:rFonts w:eastAsia="Times New Roman"/>
              </w:rPr>
            </w:pPr>
          </w:p>
        </w:tc>
      </w:tr>
      <w:tr w:rsidR="00793242" w:rsidRPr="00A913E0" w14:paraId="7303FED4" w14:textId="77777777" w:rsidTr="00CA343A">
        <w:trPr>
          <w:trHeight w:val="1791"/>
        </w:trPr>
        <w:tc>
          <w:tcPr>
            <w:tcW w:w="2412" w:type="dxa"/>
          </w:tcPr>
          <w:p w14:paraId="75FC9F48" w14:textId="77777777" w:rsidR="00793242" w:rsidRPr="00A913E0" w:rsidRDefault="00793242" w:rsidP="00CA343A">
            <w:pPr>
              <w:widowControl w:val="0"/>
              <w:kinsoku w:val="0"/>
              <w:overflowPunct w:val="0"/>
              <w:autoSpaceDE w:val="0"/>
              <w:autoSpaceDN w:val="0"/>
              <w:adjustRightInd w:val="0"/>
              <w:ind w:left="720" w:right="231"/>
              <w:jc w:val="both"/>
              <w:rPr>
                <w:rFonts w:eastAsia="Times New Roman"/>
                <w:spacing w:val="-1"/>
              </w:rPr>
            </w:pPr>
          </w:p>
          <w:p w14:paraId="77778AF5" w14:textId="77777777" w:rsidR="00793242" w:rsidRPr="00A913E0" w:rsidRDefault="00793242" w:rsidP="00144BE0">
            <w:pPr>
              <w:widowControl w:val="0"/>
              <w:numPr>
                <w:ilvl w:val="0"/>
                <w:numId w:val="7"/>
              </w:numPr>
              <w:kinsoku w:val="0"/>
              <w:overflowPunct w:val="0"/>
              <w:autoSpaceDE w:val="0"/>
              <w:autoSpaceDN w:val="0"/>
              <w:adjustRightInd w:val="0"/>
              <w:ind w:right="231"/>
              <w:jc w:val="both"/>
              <w:rPr>
                <w:rFonts w:eastAsia="Times New Roman"/>
                <w:spacing w:val="-1"/>
              </w:rPr>
            </w:pPr>
            <w:r w:rsidRPr="00A913E0">
              <w:rPr>
                <w:rFonts w:eastAsia="Times New Roman"/>
                <w:b/>
                <w:bCs/>
              </w:rPr>
              <w:t>Restrict</w:t>
            </w:r>
          </w:p>
        </w:tc>
        <w:tc>
          <w:tcPr>
            <w:tcW w:w="2986" w:type="dxa"/>
          </w:tcPr>
          <w:p w14:paraId="401AD84F" w14:textId="77777777" w:rsidR="00793242" w:rsidRPr="00A913E0" w:rsidRDefault="00793242" w:rsidP="00CA343A">
            <w:pPr>
              <w:widowControl w:val="0"/>
              <w:autoSpaceDE w:val="0"/>
              <w:autoSpaceDN w:val="0"/>
              <w:adjustRightInd w:val="0"/>
              <w:rPr>
                <w:rFonts w:eastAsia="Times New Roman"/>
              </w:rPr>
            </w:pPr>
          </w:p>
          <w:p w14:paraId="60E9198D" w14:textId="77777777" w:rsidR="00793242" w:rsidRPr="00A913E0" w:rsidRDefault="00793242" w:rsidP="00CA343A">
            <w:pPr>
              <w:widowControl w:val="0"/>
              <w:autoSpaceDE w:val="0"/>
              <w:autoSpaceDN w:val="0"/>
              <w:adjustRightInd w:val="0"/>
              <w:rPr>
                <w:rFonts w:eastAsia="Times New Roman"/>
              </w:rPr>
            </w:pPr>
            <w:r w:rsidRPr="00A913E0">
              <w:rPr>
                <w:rFonts w:eastAsia="Times New Roman"/>
              </w:rPr>
              <w:t>Restrictions are placed on the employee’s involvement in the matter to oversee part or all of the process that deals with the matter.</w:t>
            </w:r>
          </w:p>
          <w:p w14:paraId="698621AB" w14:textId="77777777" w:rsidR="00793242" w:rsidRPr="00A913E0" w:rsidRDefault="00793242" w:rsidP="00CA343A">
            <w:pPr>
              <w:widowControl w:val="0"/>
              <w:kinsoku w:val="0"/>
              <w:overflowPunct w:val="0"/>
              <w:autoSpaceDE w:val="0"/>
              <w:autoSpaceDN w:val="0"/>
              <w:adjustRightInd w:val="0"/>
              <w:ind w:right="231"/>
              <w:rPr>
                <w:rFonts w:eastAsia="Times New Roman"/>
                <w:spacing w:val="-1"/>
              </w:rPr>
            </w:pPr>
          </w:p>
        </w:tc>
        <w:tc>
          <w:tcPr>
            <w:tcW w:w="4265" w:type="dxa"/>
          </w:tcPr>
          <w:p w14:paraId="59C68917" w14:textId="77777777" w:rsidR="00793242" w:rsidRPr="00A913E0" w:rsidRDefault="00793242" w:rsidP="00CA343A">
            <w:pPr>
              <w:widowControl w:val="0"/>
              <w:autoSpaceDE w:val="0"/>
              <w:autoSpaceDN w:val="0"/>
              <w:adjustRightInd w:val="0"/>
              <w:ind w:left="720"/>
              <w:rPr>
                <w:rFonts w:eastAsia="Times New Roman"/>
              </w:rPr>
            </w:pPr>
          </w:p>
          <w:p w14:paraId="30862DBE" w14:textId="77777777" w:rsidR="00793242" w:rsidRPr="00A913E0" w:rsidRDefault="00793242" w:rsidP="00144BE0">
            <w:pPr>
              <w:widowControl w:val="0"/>
              <w:numPr>
                <w:ilvl w:val="0"/>
                <w:numId w:val="5"/>
              </w:numPr>
              <w:autoSpaceDE w:val="0"/>
              <w:autoSpaceDN w:val="0"/>
              <w:adjustRightInd w:val="0"/>
              <w:rPr>
                <w:rFonts w:eastAsia="Times New Roman"/>
              </w:rPr>
            </w:pPr>
            <w:r w:rsidRPr="00A913E0">
              <w:rPr>
                <w:rFonts w:eastAsia="Times New Roman"/>
              </w:rPr>
              <w:t>The employee can be effectively separated from parts of the activity or process.</w:t>
            </w:r>
          </w:p>
          <w:p w14:paraId="2695AB91" w14:textId="77777777" w:rsidR="00793242" w:rsidRPr="00A913E0" w:rsidRDefault="00793242" w:rsidP="00144BE0">
            <w:pPr>
              <w:widowControl w:val="0"/>
              <w:numPr>
                <w:ilvl w:val="0"/>
                <w:numId w:val="5"/>
              </w:numPr>
              <w:autoSpaceDE w:val="0"/>
              <w:autoSpaceDN w:val="0"/>
              <w:adjustRightInd w:val="0"/>
              <w:rPr>
                <w:rFonts w:eastAsia="Times New Roman"/>
                <w:spacing w:val="-1"/>
              </w:rPr>
            </w:pPr>
            <w:r w:rsidRPr="00A913E0">
              <w:rPr>
                <w:rFonts w:eastAsia="Times New Roman"/>
              </w:rPr>
              <w:t>The conflict of interest is not likely to arise frequently.</w:t>
            </w:r>
          </w:p>
          <w:p w14:paraId="56E38F79" w14:textId="77777777" w:rsidR="00793242" w:rsidRPr="00A913E0" w:rsidRDefault="00793242" w:rsidP="00CA343A">
            <w:pPr>
              <w:widowControl w:val="0"/>
              <w:autoSpaceDE w:val="0"/>
              <w:autoSpaceDN w:val="0"/>
              <w:adjustRightInd w:val="0"/>
              <w:ind w:left="720"/>
              <w:rPr>
                <w:rFonts w:eastAsia="Times New Roman"/>
                <w:spacing w:val="-1"/>
              </w:rPr>
            </w:pPr>
          </w:p>
        </w:tc>
      </w:tr>
      <w:tr w:rsidR="00793242" w:rsidRPr="00A913E0" w14:paraId="6968BC2D" w14:textId="77777777" w:rsidTr="00CA343A">
        <w:trPr>
          <w:trHeight w:val="1523"/>
        </w:trPr>
        <w:tc>
          <w:tcPr>
            <w:tcW w:w="2412" w:type="dxa"/>
          </w:tcPr>
          <w:p w14:paraId="7B53FE1A" w14:textId="77777777" w:rsidR="00793242" w:rsidRPr="00A913E0" w:rsidRDefault="00793242" w:rsidP="00CA343A">
            <w:pPr>
              <w:widowControl w:val="0"/>
              <w:kinsoku w:val="0"/>
              <w:overflowPunct w:val="0"/>
              <w:autoSpaceDE w:val="0"/>
              <w:autoSpaceDN w:val="0"/>
              <w:adjustRightInd w:val="0"/>
              <w:ind w:left="720" w:right="231"/>
              <w:jc w:val="both"/>
              <w:rPr>
                <w:rFonts w:eastAsia="Times New Roman"/>
                <w:spacing w:val="-1"/>
              </w:rPr>
            </w:pPr>
          </w:p>
          <w:p w14:paraId="60482BA5" w14:textId="77777777" w:rsidR="00793242" w:rsidRPr="00A913E0" w:rsidRDefault="00793242" w:rsidP="00144BE0">
            <w:pPr>
              <w:widowControl w:val="0"/>
              <w:numPr>
                <w:ilvl w:val="0"/>
                <w:numId w:val="7"/>
              </w:numPr>
              <w:kinsoku w:val="0"/>
              <w:overflowPunct w:val="0"/>
              <w:autoSpaceDE w:val="0"/>
              <w:autoSpaceDN w:val="0"/>
              <w:adjustRightInd w:val="0"/>
              <w:ind w:right="231"/>
              <w:jc w:val="both"/>
              <w:rPr>
                <w:rFonts w:eastAsia="Times New Roman"/>
                <w:spacing w:val="-1"/>
              </w:rPr>
            </w:pPr>
            <w:r w:rsidRPr="00A913E0">
              <w:rPr>
                <w:rFonts w:eastAsia="Times New Roman"/>
                <w:b/>
                <w:bCs/>
              </w:rPr>
              <w:t>Remove</w:t>
            </w:r>
          </w:p>
        </w:tc>
        <w:tc>
          <w:tcPr>
            <w:tcW w:w="2986" w:type="dxa"/>
          </w:tcPr>
          <w:p w14:paraId="4BBF510D" w14:textId="77777777" w:rsidR="00793242" w:rsidRPr="00A913E0" w:rsidRDefault="00793242" w:rsidP="00CA343A">
            <w:pPr>
              <w:widowControl w:val="0"/>
              <w:autoSpaceDE w:val="0"/>
              <w:autoSpaceDN w:val="0"/>
              <w:adjustRightInd w:val="0"/>
              <w:rPr>
                <w:rFonts w:eastAsia="Times New Roman"/>
              </w:rPr>
            </w:pPr>
          </w:p>
          <w:p w14:paraId="05954016" w14:textId="77777777" w:rsidR="00793242" w:rsidRPr="00A913E0" w:rsidRDefault="00793242" w:rsidP="00CA343A">
            <w:pPr>
              <w:widowControl w:val="0"/>
              <w:autoSpaceDE w:val="0"/>
              <w:autoSpaceDN w:val="0"/>
              <w:adjustRightInd w:val="0"/>
              <w:rPr>
                <w:rFonts w:eastAsia="Times New Roman"/>
              </w:rPr>
            </w:pPr>
            <w:r w:rsidRPr="00A913E0">
              <w:rPr>
                <w:rFonts w:eastAsia="Times New Roman"/>
              </w:rPr>
              <w:t>You choose to remove the employee completely from the matter.</w:t>
            </w:r>
          </w:p>
          <w:p w14:paraId="49C82FBC" w14:textId="77777777" w:rsidR="00793242" w:rsidRPr="00A913E0" w:rsidRDefault="00793242" w:rsidP="00CA343A">
            <w:pPr>
              <w:widowControl w:val="0"/>
              <w:kinsoku w:val="0"/>
              <w:overflowPunct w:val="0"/>
              <w:autoSpaceDE w:val="0"/>
              <w:autoSpaceDN w:val="0"/>
              <w:adjustRightInd w:val="0"/>
              <w:ind w:right="231"/>
              <w:rPr>
                <w:rFonts w:eastAsia="Times New Roman"/>
                <w:spacing w:val="-1"/>
              </w:rPr>
            </w:pPr>
          </w:p>
        </w:tc>
        <w:tc>
          <w:tcPr>
            <w:tcW w:w="4265" w:type="dxa"/>
          </w:tcPr>
          <w:p w14:paraId="1FDC0B6D" w14:textId="77777777" w:rsidR="00793242" w:rsidRPr="00A913E0" w:rsidRDefault="00793242" w:rsidP="00CA343A">
            <w:pPr>
              <w:widowControl w:val="0"/>
              <w:autoSpaceDE w:val="0"/>
              <w:autoSpaceDN w:val="0"/>
              <w:adjustRightInd w:val="0"/>
              <w:ind w:left="720"/>
              <w:rPr>
                <w:rFonts w:eastAsia="Times New Roman"/>
              </w:rPr>
            </w:pPr>
          </w:p>
          <w:p w14:paraId="57AF1D0D" w14:textId="77777777" w:rsidR="00793242" w:rsidRPr="00A913E0" w:rsidRDefault="00793242" w:rsidP="00144BE0">
            <w:pPr>
              <w:widowControl w:val="0"/>
              <w:numPr>
                <w:ilvl w:val="0"/>
                <w:numId w:val="6"/>
              </w:numPr>
              <w:autoSpaceDE w:val="0"/>
              <w:autoSpaceDN w:val="0"/>
              <w:adjustRightInd w:val="0"/>
              <w:rPr>
                <w:rFonts w:eastAsia="Times New Roman"/>
              </w:rPr>
            </w:pPr>
            <w:r w:rsidRPr="00A913E0">
              <w:rPr>
                <w:rFonts w:eastAsia="Times New Roman"/>
              </w:rPr>
              <w:t>For ongoing serious conflicts of interest, where restriction or recruitment of others is not appropriate.</w:t>
            </w:r>
          </w:p>
          <w:p w14:paraId="73FA6E5C" w14:textId="77777777" w:rsidR="00793242" w:rsidRPr="00A913E0" w:rsidRDefault="00793242" w:rsidP="00CA343A">
            <w:pPr>
              <w:widowControl w:val="0"/>
              <w:autoSpaceDE w:val="0"/>
              <w:autoSpaceDN w:val="0"/>
              <w:adjustRightInd w:val="0"/>
              <w:ind w:left="720"/>
              <w:rPr>
                <w:rFonts w:eastAsia="Times New Roman"/>
              </w:rPr>
            </w:pPr>
          </w:p>
        </w:tc>
      </w:tr>
      <w:tr w:rsidR="00793242" w:rsidRPr="00A913E0" w14:paraId="4209A6B5" w14:textId="77777777" w:rsidTr="00CA343A">
        <w:trPr>
          <w:trHeight w:val="1523"/>
        </w:trPr>
        <w:tc>
          <w:tcPr>
            <w:tcW w:w="2412" w:type="dxa"/>
          </w:tcPr>
          <w:p w14:paraId="7207F4D1" w14:textId="77777777" w:rsidR="00793242" w:rsidRPr="00A913E0" w:rsidRDefault="00793242" w:rsidP="00CA343A">
            <w:pPr>
              <w:widowControl w:val="0"/>
              <w:kinsoku w:val="0"/>
              <w:overflowPunct w:val="0"/>
              <w:autoSpaceDE w:val="0"/>
              <w:autoSpaceDN w:val="0"/>
              <w:adjustRightInd w:val="0"/>
              <w:ind w:left="720" w:right="231"/>
              <w:jc w:val="both"/>
              <w:rPr>
                <w:rFonts w:eastAsia="Times New Roman"/>
                <w:spacing w:val="-1"/>
              </w:rPr>
            </w:pPr>
          </w:p>
          <w:p w14:paraId="3647FA66" w14:textId="77777777" w:rsidR="00793242" w:rsidRPr="00A913E0" w:rsidRDefault="00793242" w:rsidP="00144BE0">
            <w:pPr>
              <w:widowControl w:val="0"/>
              <w:numPr>
                <w:ilvl w:val="0"/>
                <w:numId w:val="7"/>
              </w:numPr>
              <w:kinsoku w:val="0"/>
              <w:overflowPunct w:val="0"/>
              <w:autoSpaceDE w:val="0"/>
              <w:autoSpaceDN w:val="0"/>
              <w:adjustRightInd w:val="0"/>
              <w:ind w:right="231"/>
              <w:jc w:val="both"/>
              <w:rPr>
                <w:rFonts w:eastAsia="Times New Roman"/>
                <w:spacing w:val="-1"/>
              </w:rPr>
            </w:pPr>
            <w:r w:rsidRPr="00A913E0">
              <w:rPr>
                <w:rFonts w:eastAsia="Times New Roman"/>
                <w:b/>
                <w:bCs/>
              </w:rPr>
              <w:t>Relinquish</w:t>
            </w:r>
          </w:p>
        </w:tc>
        <w:tc>
          <w:tcPr>
            <w:tcW w:w="2986" w:type="dxa"/>
          </w:tcPr>
          <w:p w14:paraId="025DFA4B" w14:textId="77777777" w:rsidR="00793242" w:rsidRPr="00A913E0" w:rsidRDefault="00793242" w:rsidP="00CA343A">
            <w:pPr>
              <w:widowControl w:val="0"/>
              <w:autoSpaceDE w:val="0"/>
              <w:autoSpaceDN w:val="0"/>
              <w:adjustRightInd w:val="0"/>
              <w:rPr>
                <w:rFonts w:eastAsia="Times New Roman"/>
              </w:rPr>
            </w:pPr>
          </w:p>
          <w:p w14:paraId="6A57BD8D" w14:textId="77777777" w:rsidR="00793242" w:rsidRPr="00A913E0" w:rsidRDefault="00793242" w:rsidP="00CA343A">
            <w:pPr>
              <w:widowControl w:val="0"/>
              <w:autoSpaceDE w:val="0"/>
              <w:autoSpaceDN w:val="0"/>
              <w:adjustRightInd w:val="0"/>
              <w:rPr>
                <w:rFonts w:eastAsia="Times New Roman"/>
              </w:rPr>
            </w:pPr>
            <w:r w:rsidRPr="00A913E0">
              <w:rPr>
                <w:rFonts w:eastAsia="Times New Roman"/>
              </w:rPr>
              <w:t>You request the employee relinquishes the private interest that is creating the conflict.</w:t>
            </w:r>
          </w:p>
        </w:tc>
        <w:tc>
          <w:tcPr>
            <w:tcW w:w="4265" w:type="dxa"/>
          </w:tcPr>
          <w:p w14:paraId="430FADCE" w14:textId="77777777" w:rsidR="00793242" w:rsidRPr="00A913E0" w:rsidRDefault="00793242" w:rsidP="00CA343A">
            <w:pPr>
              <w:widowControl w:val="0"/>
              <w:autoSpaceDE w:val="0"/>
              <w:autoSpaceDN w:val="0"/>
              <w:adjustRightInd w:val="0"/>
              <w:ind w:left="720"/>
              <w:rPr>
                <w:rFonts w:eastAsia="Times New Roman"/>
              </w:rPr>
            </w:pPr>
          </w:p>
          <w:p w14:paraId="4B8B91AD" w14:textId="77777777" w:rsidR="00793242" w:rsidRPr="00A913E0" w:rsidRDefault="00793242" w:rsidP="00144BE0">
            <w:pPr>
              <w:widowControl w:val="0"/>
              <w:numPr>
                <w:ilvl w:val="0"/>
                <w:numId w:val="6"/>
              </w:numPr>
              <w:autoSpaceDE w:val="0"/>
              <w:autoSpaceDN w:val="0"/>
              <w:adjustRightInd w:val="0"/>
              <w:rPr>
                <w:rFonts w:eastAsia="Times New Roman"/>
              </w:rPr>
            </w:pPr>
            <w:r w:rsidRPr="00A913E0">
              <w:rPr>
                <w:rFonts w:eastAsia="Times New Roman"/>
              </w:rPr>
              <w:t>Where the employee’s commitment to public duty outweighs their attachment to their private interest.</w:t>
            </w:r>
          </w:p>
          <w:p w14:paraId="44606B85" w14:textId="77777777" w:rsidR="00793242" w:rsidRPr="00A913E0" w:rsidRDefault="00793242" w:rsidP="00CA343A">
            <w:pPr>
              <w:widowControl w:val="0"/>
              <w:autoSpaceDE w:val="0"/>
              <w:autoSpaceDN w:val="0"/>
              <w:adjustRightInd w:val="0"/>
              <w:ind w:left="720"/>
              <w:rPr>
                <w:rFonts w:eastAsia="Times New Roman"/>
              </w:rPr>
            </w:pPr>
          </w:p>
        </w:tc>
      </w:tr>
      <w:tr w:rsidR="00793242" w:rsidRPr="00A913E0" w14:paraId="08D29C28" w14:textId="77777777" w:rsidTr="00CA343A">
        <w:trPr>
          <w:trHeight w:val="2299"/>
        </w:trPr>
        <w:tc>
          <w:tcPr>
            <w:tcW w:w="2412" w:type="dxa"/>
          </w:tcPr>
          <w:p w14:paraId="074D3BFC" w14:textId="77777777" w:rsidR="00793242" w:rsidRPr="00A913E0" w:rsidRDefault="00793242" w:rsidP="00CA343A">
            <w:pPr>
              <w:widowControl w:val="0"/>
              <w:kinsoku w:val="0"/>
              <w:overflowPunct w:val="0"/>
              <w:autoSpaceDE w:val="0"/>
              <w:autoSpaceDN w:val="0"/>
              <w:adjustRightInd w:val="0"/>
              <w:ind w:left="720" w:right="231"/>
              <w:jc w:val="both"/>
              <w:rPr>
                <w:rFonts w:eastAsia="Times New Roman"/>
                <w:spacing w:val="-1"/>
              </w:rPr>
            </w:pPr>
          </w:p>
          <w:p w14:paraId="3902D7F0" w14:textId="77777777" w:rsidR="00793242" w:rsidRPr="00A913E0" w:rsidRDefault="00793242" w:rsidP="00144BE0">
            <w:pPr>
              <w:widowControl w:val="0"/>
              <w:numPr>
                <w:ilvl w:val="0"/>
                <w:numId w:val="7"/>
              </w:numPr>
              <w:kinsoku w:val="0"/>
              <w:overflowPunct w:val="0"/>
              <w:autoSpaceDE w:val="0"/>
              <w:autoSpaceDN w:val="0"/>
              <w:adjustRightInd w:val="0"/>
              <w:ind w:right="231"/>
              <w:jc w:val="both"/>
              <w:rPr>
                <w:rFonts w:eastAsia="Times New Roman"/>
                <w:spacing w:val="-1"/>
              </w:rPr>
            </w:pPr>
            <w:r w:rsidRPr="00A913E0">
              <w:rPr>
                <w:rFonts w:eastAsia="Times New Roman"/>
                <w:b/>
                <w:bCs/>
              </w:rPr>
              <w:t>Resign</w:t>
            </w:r>
          </w:p>
        </w:tc>
        <w:tc>
          <w:tcPr>
            <w:tcW w:w="2986" w:type="dxa"/>
          </w:tcPr>
          <w:p w14:paraId="3D22DE2A" w14:textId="77777777" w:rsidR="00793242" w:rsidRPr="00A913E0" w:rsidRDefault="00793242" w:rsidP="00CA343A">
            <w:pPr>
              <w:widowControl w:val="0"/>
              <w:autoSpaceDE w:val="0"/>
              <w:autoSpaceDN w:val="0"/>
              <w:adjustRightInd w:val="0"/>
              <w:rPr>
                <w:rFonts w:eastAsia="Times New Roman"/>
              </w:rPr>
            </w:pPr>
          </w:p>
          <w:p w14:paraId="7DB1D223" w14:textId="77777777" w:rsidR="00793242" w:rsidRPr="00A913E0" w:rsidRDefault="00793242" w:rsidP="00CA343A">
            <w:pPr>
              <w:widowControl w:val="0"/>
              <w:autoSpaceDE w:val="0"/>
              <w:autoSpaceDN w:val="0"/>
              <w:adjustRightInd w:val="0"/>
              <w:rPr>
                <w:rFonts w:eastAsia="Times New Roman"/>
              </w:rPr>
            </w:pPr>
            <w:r w:rsidRPr="00A913E0">
              <w:rPr>
                <w:rFonts w:eastAsia="Times New Roman"/>
              </w:rPr>
              <w:t>The employee should resign from their position within the agency.</w:t>
            </w:r>
          </w:p>
        </w:tc>
        <w:tc>
          <w:tcPr>
            <w:tcW w:w="4265" w:type="dxa"/>
          </w:tcPr>
          <w:p w14:paraId="29D78399" w14:textId="77777777" w:rsidR="00793242" w:rsidRPr="00A913E0" w:rsidRDefault="00793242" w:rsidP="00CA343A">
            <w:pPr>
              <w:widowControl w:val="0"/>
              <w:autoSpaceDE w:val="0"/>
              <w:autoSpaceDN w:val="0"/>
              <w:adjustRightInd w:val="0"/>
              <w:ind w:left="720"/>
              <w:rPr>
                <w:rFonts w:eastAsia="Times New Roman"/>
              </w:rPr>
            </w:pPr>
          </w:p>
          <w:p w14:paraId="4BE05A3A" w14:textId="77777777" w:rsidR="00793242" w:rsidRPr="00A913E0" w:rsidRDefault="00793242" w:rsidP="00144BE0">
            <w:pPr>
              <w:widowControl w:val="0"/>
              <w:numPr>
                <w:ilvl w:val="0"/>
                <w:numId w:val="6"/>
              </w:numPr>
              <w:autoSpaceDE w:val="0"/>
              <w:autoSpaceDN w:val="0"/>
              <w:adjustRightInd w:val="0"/>
              <w:rPr>
                <w:rFonts w:eastAsia="Times New Roman"/>
              </w:rPr>
            </w:pPr>
            <w:r w:rsidRPr="00A913E0">
              <w:rPr>
                <w:rFonts w:eastAsia="Times New Roman"/>
              </w:rPr>
              <w:t>No other options are workable.</w:t>
            </w:r>
          </w:p>
          <w:p w14:paraId="78F22E25" w14:textId="1A5122FE" w:rsidR="00793242" w:rsidRPr="00A913E0" w:rsidRDefault="00793242" w:rsidP="00144BE0">
            <w:pPr>
              <w:widowControl w:val="0"/>
              <w:numPr>
                <w:ilvl w:val="0"/>
                <w:numId w:val="6"/>
              </w:numPr>
              <w:autoSpaceDE w:val="0"/>
              <w:autoSpaceDN w:val="0"/>
              <w:adjustRightInd w:val="0"/>
              <w:rPr>
                <w:rFonts w:eastAsia="Times New Roman"/>
              </w:rPr>
            </w:pPr>
            <w:r w:rsidRPr="00A913E0">
              <w:rPr>
                <w:rFonts w:eastAsia="Times New Roman"/>
              </w:rPr>
              <w:t xml:space="preserve">Where the employee cannot or will not relinquish their conflicting private </w:t>
            </w:r>
            <w:r w:rsidR="00484226">
              <w:rPr>
                <w:rFonts w:eastAsia="Times New Roman"/>
              </w:rPr>
              <w:t>interests</w:t>
            </w:r>
            <w:r w:rsidRPr="00A913E0">
              <w:rPr>
                <w:rFonts w:eastAsia="Times New Roman"/>
              </w:rPr>
              <w:t>.</w:t>
            </w:r>
          </w:p>
          <w:p w14:paraId="7DE141CA" w14:textId="77777777" w:rsidR="00793242" w:rsidRPr="00A913E0" w:rsidRDefault="00793242" w:rsidP="00144BE0">
            <w:pPr>
              <w:widowControl w:val="0"/>
              <w:numPr>
                <w:ilvl w:val="0"/>
                <w:numId w:val="6"/>
              </w:numPr>
              <w:autoSpaceDE w:val="0"/>
              <w:autoSpaceDN w:val="0"/>
              <w:adjustRightInd w:val="0"/>
              <w:rPr>
                <w:rFonts w:eastAsia="Times New Roman"/>
              </w:rPr>
            </w:pPr>
            <w:r w:rsidRPr="00A913E0">
              <w:rPr>
                <w:rFonts w:eastAsia="Times New Roman"/>
              </w:rPr>
              <w:t>Where the employee prefers this course as a matter of personal principle.</w:t>
            </w:r>
          </w:p>
          <w:p w14:paraId="45A5E86E" w14:textId="77777777" w:rsidR="00793242" w:rsidRPr="00A913E0" w:rsidRDefault="00793242" w:rsidP="00CA343A">
            <w:pPr>
              <w:widowControl w:val="0"/>
              <w:autoSpaceDE w:val="0"/>
              <w:autoSpaceDN w:val="0"/>
              <w:adjustRightInd w:val="0"/>
              <w:ind w:left="720"/>
              <w:rPr>
                <w:rFonts w:eastAsia="Times New Roman"/>
              </w:rPr>
            </w:pPr>
          </w:p>
        </w:tc>
      </w:tr>
    </w:tbl>
    <w:p w14:paraId="12BD55FE" w14:textId="77777777" w:rsidR="00793242" w:rsidRDefault="00793242" w:rsidP="00793242">
      <w:pPr>
        <w:spacing w:after="0" w:line="240" w:lineRule="auto"/>
        <w:ind w:right="11"/>
      </w:pPr>
    </w:p>
    <w:p w14:paraId="70FA9424" w14:textId="77777777" w:rsidR="00793242" w:rsidRPr="00A913E0" w:rsidRDefault="00793242" w:rsidP="00B756F6">
      <w:pPr>
        <w:pStyle w:val="Heading1"/>
      </w:pPr>
      <w:bookmarkStart w:id="50" w:name="_Toc480794883"/>
      <w:bookmarkStart w:id="51" w:name="_Toc112417245"/>
      <w:bookmarkStart w:id="52" w:name="_Toc113914039"/>
      <w:r w:rsidRPr="00A913E0">
        <w:lastRenderedPageBreak/>
        <w:t>Storage and security of declarations</w:t>
      </w:r>
      <w:bookmarkEnd w:id="50"/>
      <w:bookmarkEnd w:id="51"/>
      <w:bookmarkEnd w:id="52"/>
      <w:r w:rsidRPr="00A913E0">
        <w:t xml:space="preserve"> </w:t>
      </w:r>
    </w:p>
    <w:p w14:paraId="49C6D7EC" w14:textId="339B1BF3" w:rsidR="00793242" w:rsidRPr="00A913E0" w:rsidRDefault="00793242" w:rsidP="00B456D4">
      <w:pPr>
        <w:ind w:right="11"/>
      </w:pPr>
      <w:r>
        <w:t xml:space="preserve">Conflict of interest </w:t>
      </w:r>
      <w:r w:rsidRPr="00A913E0">
        <w:t>declarations are stored electronically.</w:t>
      </w:r>
      <w:r>
        <w:t xml:space="preserve"> </w:t>
      </w:r>
      <w:proofErr w:type="spellStart"/>
      <w:r w:rsidRPr="00B456D4">
        <w:t>ServiceNow</w:t>
      </w:r>
      <w:proofErr w:type="spellEnd"/>
      <w:r w:rsidRPr="00B456D4">
        <w:t xml:space="preserve"> is classified at the PROTECTED level for forms submitted in that system.</w:t>
      </w:r>
    </w:p>
    <w:p w14:paraId="6C565DBC" w14:textId="60D2B33D" w:rsidR="00793242" w:rsidRPr="00A913E0" w:rsidRDefault="00793242" w:rsidP="00B756F6">
      <w:pPr>
        <w:pStyle w:val="Heading1"/>
      </w:pPr>
      <w:bookmarkStart w:id="53" w:name="_Toc112417246"/>
      <w:bookmarkStart w:id="54" w:name="_Toc113914040"/>
      <w:r w:rsidRPr="00A913E0">
        <w:t>Intention to trade in financial products relevant to the division</w:t>
      </w:r>
      <w:bookmarkEnd w:id="53"/>
      <w:bookmarkEnd w:id="54"/>
      <w:r w:rsidRPr="00A913E0">
        <w:t xml:space="preserve"> </w:t>
      </w:r>
    </w:p>
    <w:p w14:paraId="4856EFCE" w14:textId="2636C482" w:rsidR="00793242" w:rsidRDefault="00793242" w:rsidP="00B456D4">
      <w:pPr>
        <w:ind w:right="11"/>
      </w:pPr>
      <w:r w:rsidRPr="00A913E0">
        <w:t xml:space="preserve">It is also required that, before making any trades (either purchase or sale) of financial products related to the policy or operational responsibility of the employee’s division, the employee should discuss the matter with the relevant </w:t>
      </w:r>
      <w:r w:rsidR="006178DC">
        <w:t>Disclosure Officer</w:t>
      </w:r>
      <w:r w:rsidRPr="00A913E0">
        <w:t xml:space="preserve">. This includes trading by the employee and by the employee’s immediate family (to the extent known by the employee). Employees are reminded that such proposed trading may give rise to potential conflicts of interest or insider trading and early discussion with the relevant </w:t>
      </w:r>
      <w:r w:rsidR="006178DC">
        <w:t>Disclosure Officer</w:t>
      </w:r>
      <w:r w:rsidRPr="00A913E0">
        <w:t xml:space="preserve"> is encouraged. Employees should note that any such discussion shall not be construed as the provision of investment advice or recommending one course of action over another. The purpose of the discussion will be to explore the principles of conflicts of interest and insider trading as they may apply to the proposed trade. </w:t>
      </w:r>
    </w:p>
    <w:p w14:paraId="42F63E8E" w14:textId="77777777" w:rsidR="00793242" w:rsidRPr="00A913E0" w:rsidRDefault="00793242" w:rsidP="00B756F6">
      <w:pPr>
        <w:pStyle w:val="Heading1"/>
      </w:pPr>
      <w:bookmarkStart w:id="55" w:name="_Toc112417247"/>
      <w:bookmarkStart w:id="56" w:name="_Toc113914041"/>
      <w:r w:rsidRPr="00A913E0">
        <w:t>After leaving the department</w:t>
      </w:r>
      <w:bookmarkEnd w:id="55"/>
      <w:bookmarkEnd w:id="56"/>
      <w:r w:rsidRPr="00A913E0">
        <w:t xml:space="preserve"> </w:t>
      </w:r>
    </w:p>
    <w:p w14:paraId="7BCAA194" w14:textId="77777777" w:rsidR="00793242" w:rsidRPr="00A913E0" w:rsidRDefault="00793242" w:rsidP="00B456D4">
      <w:pPr>
        <w:ind w:right="11"/>
      </w:pPr>
      <w:r w:rsidRPr="00A913E0">
        <w:t xml:space="preserve">On leaving the department, </w:t>
      </w:r>
      <w:r>
        <w:t>staff</w:t>
      </w:r>
      <w:r w:rsidRPr="00A913E0">
        <w:t xml:space="preserve"> are reminded of their obligation to not disclose, or act upon, information gained as a result of their employment</w:t>
      </w:r>
      <w:r>
        <w:t xml:space="preserve"> or engagement</w:t>
      </w:r>
      <w:r w:rsidRPr="00A913E0">
        <w:t xml:space="preserve"> with the department. The only exemption would be when such information is publicly available. </w:t>
      </w:r>
    </w:p>
    <w:p w14:paraId="176C36FD" w14:textId="663BD627" w:rsidR="00793242" w:rsidRPr="00A913E0" w:rsidRDefault="00793242" w:rsidP="00B456D4">
      <w:pPr>
        <w:ind w:right="11"/>
      </w:pPr>
      <w:r w:rsidRPr="00A913E0">
        <w:t xml:space="preserve">There are additional restrictions on post-separation employment by SES employees who leave the APS after 1 July 2008 whereby they shall not, for a 12 month period, engage in lobbying government representatives on any matters on which they have had official dealings as public servants over their last 12 months of employment. </w:t>
      </w:r>
    </w:p>
    <w:p w14:paraId="11423AE8" w14:textId="209391F4" w:rsidR="00793242" w:rsidRDefault="00793242" w:rsidP="00B456D4">
      <w:pPr>
        <w:ind w:right="11"/>
      </w:pPr>
      <w:r w:rsidRPr="00A913E0">
        <w:t xml:space="preserve">More information on post separation employment can be obtained from the Australian Public Service Commission website. </w:t>
      </w:r>
    </w:p>
    <w:p w14:paraId="41F465D8" w14:textId="77777777" w:rsidR="00793242" w:rsidRPr="00A913E0" w:rsidRDefault="00793242" w:rsidP="00B756F6">
      <w:pPr>
        <w:pStyle w:val="Heading1"/>
      </w:pPr>
      <w:bookmarkStart w:id="57" w:name="_Toc112417248"/>
      <w:bookmarkStart w:id="58" w:name="_Toc113914042"/>
      <w:r w:rsidRPr="00A913E0">
        <w:t>Boards and committees</w:t>
      </w:r>
      <w:bookmarkEnd w:id="57"/>
      <w:bookmarkEnd w:id="58"/>
      <w:r w:rsidRPr="00A913E0">
        <w:t xml:space="preserve"> </w:t>
      </w:r>
    </w:p>
    <w:p w14:paraId="57F3DC58" w14:textId="77777777" w:rsidR="00793242" w:rsidRPr="00A913E0" w:rsidRDefault="00793242" w:rsidP="00B456D4">
      <w:pPr>
        <w:ind w:right="11"/>
      </w:pPr>
      <w:r w:rsidRPr="00A913E0">
        <w:t xml:space="preserve">Government boards and committees play an important strategic role in providing leadership, direction and accountability across the public sector. </w:t>
      </w:r>
    </w:p>
    <w:p w14:paraId="415903BF" w14:textId="77777777" w:rsidR="00793242" w:rsidRDefault="00793242" w:rsidP="00B456D4">
      <w:pPr>
        <w:ind w:right="11"/>
      </w:pPr>
      <w:r w:rsidRPr="00A913E0">
        <w:t xml:space="preserve">There are many types of government boards and committees including: </w:t>
      </w:r>
    </w:p>
    <w:p w14:paraId="61C14F10" w14:textId="77777777" w:rsidR="00793242" w:rsidRPr="00A913E0" w:rsidRDefault="00793242" w:rsidP="00144BE0">
      <w:pPr>
        <w:pStyle w:val="ListParagraph"/>
        <w:numPr>
          <w:ilvl w:val="0"/>
          <w:numId w:val="3"/>
        </w:numPr>
        <w:spacing w:after="120"/>
        <w:ind w:left="714" w:hanging="357"/>
        <w:contextualSpacing w:val="0"/>
      </w:pPr>
      <w:r w:rsidRPr="00A913E0">
        <w:t xml:space="preserve">boards of public trading enterprises </w:t>
      </w:r>
    </w:p>
    <w:p w14:paraId="5003065B" w14:textId="77777777" w:rsidR="00793242" w:rsidRPr="00A913E0" w:rsidRDefault="00793242" w:rsidP="00144BE0">
      <w:pPr>
        <w:pStyle w:val="ListParagraph"/>
        <w:numPr>
          <w:ilvl w:val="0"/>
          <w:numId w:val="3"/>
        </w:numPr>
        <w:spacing w:after="120"/>
        <w:ind w:left="714" w:hanging="357"/>
        <w:contextualSpacing w:val="0"/>
      </w:pPr>
      <w:r w:rsidRPr="00A913E0">
        <w:t xml:space="preserve">boards of statutory authorities </w:t>
      </w:r>
    </w:p>
    <w:p w14:paraId="1F17C054" w14:textId="77777777" w:rsidR="00793242" w:rsidRPr="00A913E0" w:rsidRDefault="00793242" w:rsidP="00144BE0">
      <w:pPr>
        <w:pStyle w:val="ListParagraph"/>
        <w:numPr>
          <w:ilvl w:val="0"/>
          <w:numId w:val="3"/>
        </w:numPr>
        <w:spacing w:after="120"/>
        <w:ind w:left="714" w:hanging="357"/>
        <w:contextualSpacing w:val="0"/>
      </w:pPr>
      <w:r w:rsidRPr="00A913E0">
        <w:t xml:space="preserve">policy coordination committees </w:t>
      </w:r>
    </w:p>
    <w:p w14:paraId="6D3A263D" w14:textId="77777777" w:rsidR="00793242" w:rsidRPr="00A913E0" w:rsidRDefault="00793242" w:rsidP="00144BE0">
      <w:pPr>
        <w:pStyle w:val="ListParagraph"/>
        <w:numPr>
          <w:ilvl w:val="0"/>
          <w:numId w:val="3"/>
        </w:numPr>
        <w:spacing w:after="120"/>
        <w:ind w:left="714" w:hanging="357"/>
        <w:contextualSpacing w:val="0"/>
      </w:pPr>
      <w:r w:rsidRPr="00A913E0">
        <w:t xml:space="preserve">research committees </w:t>
      </w:r>
    </w:p>
    <w:p w14:paraId="6AD9D630" w14:textId="77777777" w:rsidR="00793242" w:rsidRPr="00A913E0" w:rsidRDefault="00793242" w:rsidP="00144BE0">
      <w:pPr>
        <w:pStyle w:val="ListParagraph"/>
        <w:numPr>
          <w:ilvl w:val="0"/>
          <w:numId w:val="3"/>
        </w:numPr>
        <w:spacing w:after="120"/>
        <w:ind w:left="714" w:hanging="357"/>
        <w:contextualSpacing w:val="0"/>
      </w:pPr>
      <w:r w:rsidRPr="00A913E0">
        <w:t xml:space="preserve">tribunals </w:t>
      </w:r>
    </w:p>
    <w:p w14:paraId="41FADC29" w14:textId="77777777" w:rsidR="00793242" w:rsidRPr="00A913E0" w:rsidRDefault="00793242" w:rsidP="00144BE0">
      <w:pPr>
        <w:pStyle w:val="ListParagraph"/>
        <w:numPr>
          <w:ilvl w:val="0"/>
          <w:numId w:val="3"/>
        </w:numPr>
        <w:spacing w:after="120"/>
        <w:ind w:left="714" w:hanging="357"/>
        <w:contextualSpacing w:val="0"/>
      </w:pPr>
      <w:r w:rsidRPr="00A913E0">
        <w:t xml:space="preserve">registration boards </w:t>
      </w:r>
    </w:p>
    <w:p w14:paraId="4FDCD9F3" w14:textId="77777777" w:rsidR="00793242" w:rsidRPr="00A913E0" w:rsidRDefault="00793242" w:rsidP="00144BE0">
      <w:pPr>
        <w:pStyle w:val="ListParagraph"/>
        <w:numPr>
          <w:ilvl w:val="0"/>
          <w:numId w:val="3"/>
        </w:numPr>
        <w:spacing w:after="120"/>
        <w:ind w:left="714" w:hanging="357"/>
        <w:contextualSpacing w:val="0"/>
      </w:pPr>
      <w:r w:rsidRPr="00A913E0">
        <w:t xml:space="preserve">appeal boards </w:t>
      </w:r>
    </w:p>
    <w:p w14:paraId="66A21CF0" w14:textId="77777777" w:rsidR="00793242" w:rsidRPr="00A913E0" w:rsidRDefault="00793242" w:rsidP="00144BE0">
      <w:pPr>
        <w:pStyle w:val="ListParagraph"/>
        <w:numPr>
          <w:ilvl w:val="0"/>
          <w:numId w:val="3"/>
        </w:numPr>
        <w:spacing w:after="120"/>
        <w:ind w:left="714" w:hanging="357"/>
        <w:contextualSpacing w:val="0"/>
      </w:pPr>
      <w:r w:rsidRPr="00A913E0">
        <w:lastRenderedPageBreak/>
        <w:t xml:space="preserve">public trusts </w:t>
      </w:r>
    </w:p>
    <w:p w14:paraId="743CFEF9" w14:textId="77777777" w:rsidR="00793242" w:rsidRPr="00A913E0" w:rsidRDefault="00793242" w:rsidP="00144BE0">
      <w:pPr>
        <w:pStyle w:val="ListParagraph"/>
        <w:numPr>
          <w:ilvl w:val="0"/>
          <w:numId w:val="3"/>
        </w:numPr>
        <w:spacing w:after="120"/>
        <w:ind w:left="714" w:hanging="357"/>
        <w:contextualSpacing w:val="0"/>
      </w:pPr>
      <w:r w:rsidRPr="00A913E0">
        <w:t>advisory committees</w:t>
      </w:r>
    </w:p>
    <w:p w14:paraId="630E83DA" w14:textId="77777777" w:rsidR="00793242" w:rsidRPr="00A913E0" w:rsidRDefault="00793242" w:rsidP="00793242">
      <w:pPr>
        <w:spacing w:after="0"/>
        <w:ind w:left="1680"/>
      </w:pPr>
    </w:p>
    <w:p w14:paraId="3EE52387" w14:textId="77777777" w:rsidR="00793242" w:rsidRPr="00A913E0" w:rsidRDefault="00793242" w:rsidP="00B456D4">
      <w:pPr>
        <w:ind w:right="11"/>
      </w:pPr>
      <w:r w:rsidRPr="00A913E0">
        <w:t xml:space="preserve">The potential exists for conflicts of interest for duty in committees or boards established by the department, particularly where a Minister appoints the chair and/or members and the committee or board can significantly influence decisions. </w:t>
      </w:r>
    </w:p>
    <w:p w14:paraId="08A29203" w14:textId="77777777" w:rsidR="00793242" w:rsidRPr="00A913E0" w:rsidRDefault="00793242" w:rsidP="00B456D4">
      <w:pPr>
        <w:ind w:right="11"/>
      </w:pPr>
      <w:r w:rsidRPr="00A913E0">
        <w:t>It is important for divisions to establish procedures to alert committee members to the need to identify and avoid conflicts of interest. This may include committee members providing written declarations of interests that relate to activities of the committee, and making conflicts of interest a standing agenda item for committee meetings.</w:t>
      </w:r>
    </w:p>
    <w:p w14:paraId="5FC82420" w14:textId="77777777" w:rsidR="00793242" w:rsidRPr="00A913E0" w:rsidRDefault="00793242" w:rsidP="00B456D4">
      <w:pPr>
        <w:ind w:right="11"/>
      </w:pPr>
    </w:p>
    <w:p w14:paraId="72DD2A1F" w14:textId="5218D3BE" w:rsidR="00A70888" w:rsidRDefault="00A70888" w:rsidP="00A70888">
      <w:pPr>
        <w:pStyle w:val="Heading1"/>
        <w:spacing w:before="200" w:after="40"/>
        <w:ind w:left="709" w:hanging="709"/>
        <w:rPr>
          <w:sz w:val="40"/>
        </w:rPr>
      </w:pPr>
      <w:bookmarkStart w:id="59" w:name="_Toc113914043"/>
      <w:r>
        <w:rPr>
          <w:sz w:val="40"/>
        </w:rPr>
        <w:t>Further Information</w:t>
      </w:r>
      <w:bookmarkEnd w:id="59"/>
    </w:p>
    <w:p w14:paraId="2A4985EF" w14:textId="2B2C1CB3" w:rsidR="001541D4" w:rsidRDefault="00A70888" w:rsidP="001541D4">
      <w:r>
        <w:t xml:space="preserve">For further information about </w:t>
      </w:r>
      <w:r w:rsidR="007840E5">
        <w:t>conflict of interest</w:t>
      </w:r>
      <w:r>
        <w:t xml:space="preserve"> visit the </w:t>
      </w:r>
      <w:hyperlink r:id="rId23" w:history="1">
        <w:r w:rsidR="00144BE0">
          <w:rPr>
            <w:rStyle w:val="Hyperlink"/>
          </w:rPr>
          <w:t xml:space="preserve">Conflict of Interest </w:t>
        </w:r>
        <w:proofErr w:type="spellStart"/>
        <w:r w:rsidR="001541D4">
          <w:rPr>
            <w:rStyle w:val="Hyperlink"/>
          </w:rPr>
          <w:t>iCentral</w:t>
        </w:r>
        <w:proofErr w:type="spellEnd"/>
        <w:r w:rsidR="001541D4">
          <w:rPr>
            <w:rStyle w:val="Hyperlink"/>
          </w:rPr>
          <w:t xml:space="preserve"> page</w:t>
        </w:r>
      </w:hyperlink>
      <w:bookmarkStart w:id="60" w:name="_GoBack"/>
      <w:bookmarkEnd w:id="60"/>
      <w:r w:rsidR="001541D4">
        <w:rPr>
          <w:rStyle w:val="Hyperlink"/>
        </w:rPr>
        <w:t>,</w:t>
      </w:r>
      <w:r>
        <w:t xml:space="preserve"> or </w:t>
      </w:r>
      <w:r w:rsidR="0025320C">
        <w:t>contact the Employee Relations Team via Service Now (People and Payroll &gt; Employment Conditions Query)</w:t>
      </w:r>
      <w:r w:rsidR="00144BE0">
        <w:t>.</w:t>
      </w:r>
      <w:r w:rsidR="0025320C">
        <w:t xml:space="preserve"> </w:t>
      </w:r>
    </w:p>
    <w:p w14:paraId="7DBF581F" w14:textId="77777777" w:rsidR="00246A9A" w:rsidRPr="00497986" w:rsidRDefault="00246A9A" w:rsidP="00B41997">
      <w:pPr>
        <w:pStyle w:val="Heading1"/>
        <w:spacing w:before="200" w:after="40"/>
        <w:ind w:left="709" w:hanging="709"/>
        <w:rPr>
          <w:sz w:val="40"/>
        </w:rPr>
      </w:pPr>
      <w:bookmarkStart w:id="61" w:name="_Toc112668231"/>
      <w:bookmarkStart w:id="62" w:name="_Toc113260074"/>
      <w:bookmarkStart w:id="63" w:name="_Toc95464812"/>
      <w:bookmarkStart w:id="64" w:name="_Toc95464813"/>
      <w:bookmarkStart w:id="65" w:name="_Toc95464814"/>
      <w:bookmarkStart w:id="66" w:name="_Toc95464815"/>
      <w:bookmarkStart w:id="67" w:name="_Toc95397645"/>
      <w:bookmarkStart w:id="68" w:name="_Toc95464816"/>
      <w:bookmarkStart w:id="69" w:name="_Toc95397646"/>
      <w:bookmarkStart w:id="70" w:name="_Toc95464817"/>
      <w:bookmarkStart w:id="71" w:name="_Toc95464818"/>
      <w:bookmarkStart w:id="72" w:name="_Toc95464819"/>
      <w:bookmarkStart w:id="73" w:name="_Toc95464820"/>
      <w:bookmarkStart w:id="74" w:name="_Toc95464821"/>
      <w:bookmarkStart w:id="75" w:name="_Toc95464826"/>
      <w:bookmarkStart w:id="76" w:name="_Toc95464827"/>
      <w:bookmarkStart w:id="77" w:name="_Toc95464828"/>
      <w:bookmarkStart w:id="78" w:name="_Toc95464829"/>
      <w:bookmarkStart w:id="79" w:name="_Toc95464830"/>
      <w:bookmarkStart w:id="80" w:name="_Toc95464831"/>
      <w:bookmarkStart w:id="81" w:name="_Toc95464832"/>
      <w:bookmarkStart w:id="82" w:name="_Toc95397651"/>
      <w:bookmarkStart w:id="83" w:name="_Toc95464833"/>
      <w:bookmarkStart w:id="84" w:name="_Toc95397652"/>
      <w:bookmarkStart w:id="85" w:name="_Toc95464834"/>
      <w:bookmarkStart w:id="86" w:name="_Toc95397653"/>
      <w:bookmarkStart w:id="87" w:name="_Toc95464835"/>
      <w:bookmarkStart w:id="88" w:name="_Toc95397654"/>
      <w:bookmarkStart w:id="89" w:name="_Toc95464836"/>
      <w:bookmarkStart w:id="90" w:name="_Toc95397664"/>
      <w:bookmarkStart w:id="91" w:name="_Toc95464846"/>
      <w:bookmarkStart w:id="92" w:name="_Toc95397665"/>
      <w:bookmarkStart w:id="93" w:name="_Toc95464847"/>
      <w:bookmarkStart w:id="94" w:name="_Toc95397666"/>
      <w:bookmarkStart w:id="95" w:name="_Toc95464848"/>
      <w:bookmarkStart w:id="96" w:name="_Toc95397667"/>
      <w:bookmarkStart w:id="97" w:name="_Toc95464849"/>
      <w:bookmarkStart w:id="98" w:name="_Toc95397668"/>
      <w:bookmarkStart w:id="99" w:name="_Toc95464850"/>
      <w:bookmarkStart w:id="100" w:name="_Toc95464857"/>
      <w:bookmarkStart w:id="101" w:name="_Toc95464858"/>
      <w:bookmarkStart w:id="102" w:name="_Toc95464859"/>
      <w:bookmarkStart w:id="103" w:name="_Toc95464860"/>
      <w:bookmarkStart w:id="104" w:name="_Toc95464861"/>
      <w:bookmarkStart w:id="105" w:name="_Toc95464862"/>
      <w:bookmarkStart w:id="106" w:name="_Toc95464863"/>
      <w:bookmarkStart w:id="107" w:name="_Toc95464864"/>
      <w:bookmarkStart w:id="108" w:name="_Toc95464865"/>
      <w:bookmarkStart w:id="109" w:name="_Toc11391404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sz w:val="40"/>
        </w:rPr>
        <w:t>Version control</w:t>
      </w:r>
      <w:bookmarkEnd w:id="109"/>
    </w:p>
    <w:tbl>
      <w:tblPr>
        <w:tblStyle w:val="TableGrid"/>
        <w:tblW w:w="0" w:type="auto"/>
        <w:tblLook w:val="04A0" w:firstRow="1" w:lastRow="0" w:firstColumn="1" w:lastColumn="0" w:noHBand="0" w:noVBand="1"/>
      </w:tblPr>
      <w:tblGrid>
        <w:gridCol w:w="1803"/>
        <w:gridCol w:w="1803"/>
        <w:gridCol w:w="1803"/>
        <w:gridCol w:w="1803"/>
        <w:gridCol w:w="1804"/>
      </w:tblGrid>
      <w:tr w:rsidR="006F526C" w14:paraId="46025FCB" w14:textId="77777777" w:rsidTr="006F526C">
        <w:tc>
          <w:tcPr>
            <w:tcW w:w="1803" w:type="dxa"/>
          </w:tcPr>
          <w:p w14:paraId="665781CB" w14:textId="4F2BA37E" w:rsidR="006F526C" w:rsidRPr="00FF51E4" w:rsidRDefault="00FF51E4" w:rsidP="00C114F5">
            <w:pPr>
              <w:spacing w:after="60"/>
              <w:rPr>
                <w:b/>
              </w:rPr>
            </w:pPr>
            <w:r>
              <w:rPr>
                <w:b/>
              </w:rPr>
              <w:t>Version Number</w:t>
            </w:r>
          </w:p>
        </w:tc>
        <w:tc>
          <w:tcPr>
            <w:tcW w:w="1803" w:type="dxa"/>
          </w:tcPr>
          <w:p w14:paraId="461B3086" w14:textId="582BFA41" w:rsidR="006F526C" w:rsidRPr="00FF51E4" w:rsidRDefault="00FF51E4" w:rsidP="00C114F5">
            <w:pPr>
              <w:spacing w:after="60"/>
              <w:rPr>
                <w:b/>
              </w:rPr>
            </w:pPr>
            <w:r w:rsidRPr="00FF51E4">
              <w:rPr>
                <w:b/>
              </w:rPr>
              <w:t>Date of Issue</w:t>
            </w:r>
          </w:p>
        </w:tc>
        <w:tc>
          <w:tcPr>
            <w:tcW w:w="1803" w:type="dxa"/>
          </w:tcPr>
          <w:p w14:paraId="1C214E1D" w14:textId="2A2C7584" w:rsidR="006F526C" w:rsidRPr="00FF51E4" w:rsidRDefault="00FF51E4" w:rsidP="00C114F5">
            <w:pPr>
              <w:spacing w:after="60"/>
              <w:rPr>
                <w:b/>
              </w:rPr>
            </w:pPr>
            <w:r w:rsidRPr="00FF51E4">
              <w:rPr>
                <w:b/>
              </w:rPr>
              <w:t>Author/s</w:t>
            </w:r>
          </w:p>
        </w:tc>
        <w:tc>
          <w:tcPr>
            <w:tcW w:w="1803" w:type="dxa"/>
          </w:tcPr>
          <w:p w14:paraId="44BE6250" w14:textId="06A523FF" w:rsidR="006F526C" w:rsidRPr="00FF51E4" w:rsidRDefault="00FF51E4" w:rsidP="00C114F5">
            <w:pPr>
              <w:spacing w:after="60"/>
              <w:rPr>
                <w:b/>
              </w:rPr>
            </w:pPr>
            <w:r w:rsidRPr="00FF51E4">
              <w:rPr>
                <w:b/>
              </w:rPr>
              <w:t>Brief description of change</w:t>
            </w:r>
          </w:p>
        </w:tc>
        <w:tc>
          <w:tcPr>
            <w:tcW w:w="1804" w:type="dxa"/>
          </w:tcPr>
          <w:p w14:paraId="56CE5E3E" w14:textId="0862955A" w:rsidR="006F526C" w:rsidRPr="00FF51E4" w:rsidRDefault="00FF51E4" w:rsidP="00C114F5">
            <w:pPr>
              <w:spacing w:after="60"/>
              <w:rPr>
                <w:b/>
              </w:rPr>
            </w:pPr>
            <w:r w:rsidRPr="00FF51E4">
              <w:rPr>
                <w:b/>
              </w:rPr>
              <w:t>Next review date</w:t>
            </w:r>
          </w:p>
        </w:tc>
      </w:tr>
      <w:tr w:rsidR="006F526C" w14:paraId="7A845B48" w14:textId="77777777" w:rsidTr="006F526C">
        <w:tc>
          <w:tcPr>
            <w:tcW w:w="1803" w:type="dxa"/>
          </w:tcPr>
          <w:p w14:paraId="6421BE78" w14:textId="49085B83" w:rsidR="006F526C" w:rsidRDefault="00FF51E4" w:rsidP="00C114F5">
            <w:pPr>
              <w:spacing w:after="60"/>
            </w:pPr>
            <w:r>
              <w:t>1.0</w:t>
            </w:r>
          </w:p>
        </w:tc>
        <w:tc>
          <w:tcPr>
            <w:tcW w:w="1803" w:type="dxa"/>
          </w:tcPr>
          <w:p w14:paraId="7D94E59F" w14:textId="4DE2273B" w:rsidR="006F526C" w:rsidRDefault="000C1676" w:rsidP="00144BE0">
            <w:pPr>
              <w:spacing w:after="60"/>
            </w:pPr>
            <w:r>
              <w:t>5 October</w:t>
            </w:r>
            <w:r w:rsidR="00FF51E4">
              <w:t xml:space="preserve"> 202</w:t>
            </w:r>
            <w:r w:rsidR="00144BE0">
              <w:t>2</w:t>
            </w:r>
          </w:p>
        </w:tc>
        <w:tc>
          <w:tcPr>
            <w:tcW w:w="1803" w:type="dxa"/>
          </w:tcPr>
          <w:p w14:paraId="5439F168" w14:textId="2F12D955" w:rsidR="006F526C" w:rsidRDefault="00FF51E4" w:rsidP="00C114F5">
            <w:pPr>
              <w:spacing w:after="60"/>
            </w:pPr>
            <w:r>
              <w:t>People Branch</w:t>
            </w:r>
          </w:p>
        </w:tc>
        <w:tc>
          <w:tcPr>
            <w:tcW w:w="1803" w:type="dxa"/>
          </w:tcPr>
          <w:p w14:paraId="4DEF0B4E" w14:textId="048E274D" w:rsidR="006F526C" w:rsidRDefault="00FF51E4" w:rsidP="00C114F5">
            <w:pPr>
              <w:spacing w:after="60"/>
            </w:pPr>
            <w:r>
              <w:t>Policy</w:t>
            </w:r>
            <w:r w:rsidR="00144BE0">
              <w:t xml:space="preserve"> into new format, with changes</w:t>
            </w:r>
          </w:p>
        </w:tc>
        <w:tc>
          <w:tcPr>
            <w:tcW w:w="1804" w:type="dxa"/>
          </w:tcPr>
          <w:p w14:paraId="66919815" w14:textId="6230A30A" w:rsidR="006F526C" w:rsidRDefault="000C1676" w:rsidP="00C114F5">
            <w:pPr>
              <w:spacing w:after="60"/>
            </w:pPr>
            <w:r>
              <w:t>October</w:t>
            </w:r>
            <w:r w:rsidR="00144BE0">
              <w:t xml:space="preserve"> 2024</w:t>
            </w:r>
          </w:p>
        </w:tc>
      </w:tr>
    </w:tbl>
    <w:p w14:paraId="7DBF5822" w14:textId="721B1E99" w:rsidR="00246A9A" w:rsidRPr="00AA740C" w:rsidRDefault="00246A9A" w:rsidP="00C114F5">
      <w:pPr>
        <w:spacing w:after="60"/>
      </w:pPr>
    </w:p>
    <w:sectPr w:rsidR="00246A9A" w:rsidRPr="00AA740C" w:rsidSect="000A2E7A">
      <w:headerReference w:type="default" r:id="rId24"/>
      <w:footerReference w:type="default" r:id="rId25"/>
      <w:headerReference w:type="first" r:id="rId26"/>
      <w:footerReference w:type="first" r:id="rId27"/>
      <w:pgSz w:w="11906" w:h="16838"/>
      <w:pgMar w:top="1135" w:right="1440" w:bottom="567" w:left="1440" w:header="851" w:footer="48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A8237" w14:textId="77777777" w:rsidR="00CA343A" w:rsidRDefault="00CA343A" w:rsidP="00B251DB">
      <w:pPr>
        <w:spacing w:after="0" w:line="240" w:lineRule="auto"/>
      </w:pPr>
      <w:r>
        <w:separator/>
      </w:r>
    </w:p>
  </w:endnote>
  <w:endnote w:type="continuationSeparator" w:id="0">
    <w:p w14:paraId="00301431" w14:textId="77777777" w:rsidR="00CA343A" w:rsidRDefault="00CA343A" w:rsidP="00B251DB">
      <w:pPr>
        <w:spacing w:after="0" w:line="240" w:lineRule="auto"/>
      </w:pPr>
      <w:r>
        <w:continuationSeparator/>
      </w:r>
    </w:p>
  </w:endnote>
  <w:endnote w:type="continuationNotice" w:id="1">
    <w:p w14:paraId="7D0C16E0" w14:textId="77777777" w:rsidR="00CA343A" w:rsidRDefault="00CA3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5828" w14:textId="3C9872E1" w:rsidR="00CA343A" w:rsidRDefault="009C705F" w:rsidP="007C7C68">
    <w:pPr>
      <w:pStyle w:val="Footer"/>
      <w:rPr>
        <w:noProof/>
      </w:rPr>
    </w:pPr>
    <w:sdt>
      <w:sdtPr>
        <w:alias w:val="Title"/>
        <w:tag w:val=""/>
        <w:id w:val="-1763831434"/>
        <w:placeholder>
          <w:docPart w:val="F2FACF1A8F4D432F885F4D2EF83D3185"/>
        </w:placeholder>
        <w:dataBinding w:prefixMappings="xmlns:ns0='http://purl.org/dc/elements/1.1/' xmlns:ns1='http://schemas.openxmlformats.org/package/2006/metadata/core-properties' " w:xpath="/ns1:coreProperties[1]/ns0:title[1]" w:storeItemID="{6C3C8BC8-F283-45AE-878A-BAB7291924A1}"/>
        <w:text/>
      </w:sdtPr>
      <w:sdtEndPr/>
      <w:sdtContent>
        <w:r w:rsidR="00CA343A">
          <w:t>Conflict of Interest Policy</w:t>
        </w:r>
      </w:sdtContent>
    </w:sdt>
    <w:r w:rsidR="00CA343A">
      <w:tab/>
    </w:r>
    <w:sdt>
      <w:sdtPr>
        <w:id w:val="668685071"/>
        <w:docPartObj>
          <w:docPartGallery w:val="Page Numbers (Bottom of Page)"/>
          <w:docPartUnique/>
        </w:docPartObj>
      </w:sdtPr>
      <w:sdtEndPr>
        <w:rPr>
          <w:noProof/>
        </w:rPr>
      </w:sdtEndPr>
      <w:sdtContent>
        <w:r w:rsidR="00CA343A">
          <w:tab/>
        </w:r>
        <w:r w:rsidR="00CA343A">
          <w:fldChar w:fldCharType="begin"/>
        </w:r>
        <w:r w:rsidR="00CA343A">
          <w:instrText xml:space="preserve"> PAGE   \* MERGEFORMAT </w:instrText>
        </w:r>
        <w:r w:rsidR="00CA343A">
          <w:fldChar w:fldCharType="separate"/>
        </w:r>
        <w:r>
          <w:rPr>
            <w:noProof/>
          </w:rPr>
          <w:t>9</w:t>
        </w:r>
        <w:r w:rsidR="00CA343A">
          <w:rPr>
            <w:noProof/>
          </w:rPr>
          <w:fldChar w:fldCharType="end"/>
        </w:r>
      </w:sdtContent>
    </w:sdt>
  </w:p>
  <w:p w14:paraId="7DBF5829" w14:textId="77777777" w:rsidR="00CA343A" w:rsidRDefault="00CA343A" w:rsidP="00CC5F88">
    <w:pPr>
      <w:pStyle w:val="Header"/>
      <w:jc w:val="center"/>
      <w:rPr>
        <w:b/>
        <w:color w:val="FF0000"/>
        <w:sz w:val="28"/>
        <w:szCs w:val="28"/>
      </w:rPr>
    </w:pPr>
    <w:r>
      <w:rPr>
        <w:b/>
        <w:color w:val="FF0000"/>
        <w:sz w:val="28"/>
        <w:szCs w:val="28"/>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582C" w14:textId="77777777" w:rsidR="00CA343A" w:rsidRDefault="00CA343A">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p w14:paraId="7DBF582D" w14:textId="5AC350C1" w:rsidR="00CA343A" w:rsidRPr="00CC5F88" w:rsidRDefault="00CA343A" w:rsidP="00CC5F88">
    <w:pPr>
      <w:pStyle w:val="Header"/>
      <w:jc w:val="center"/>
      <w:rPr>
        <w:b/>
        <w:color w:val="FF0000"/>
        <w:sz w:val="28"/>
        <w:szCs w:val="28"/>
      </w:rPr>
    </w:pPr>
    <w:r>
      <w:rPr>
        <w:b/>
        <w:color w:val="FF0000"/>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9E6BB" w14:textId="77777777" w:rsidR="00CA343A" w:rsidRDefault="00CA343A" w:rsidP="00B251DB">
      <w:pPr>
        <w:spacing w:after="0" w:line="240" w:lineRule="auto"/>
      </w:pPr>
      <w:r>
        <w:separator/>
      </w:r>
    </w:p>
  </w:footnote>
  <w:footnote w:type="continuationSeparator" w:id="0">
    <w:p w14:paraId="6FB969AB" w14:textId="77777777" w:rsidR="00CA343A" w:rsidRDefault="00CA343A" w:rsidP="00B251DB">
      <w:pPr>
        <w:spacing w:after="0" w:line="240" w:lineRule="auto"/>
      </w:pPr>
      <w:r>
        <w:continuationSeparator/>
      </w:r>
    </w:p>
  </w:footnote>
  <w:footnote w:type="continuationNotice" w:id="1">
    <w:p w14:paraId="24C360DE" w14:textId="77777777" w:rsidR="00CA343A" w:rsidRDefault="00CA34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5827" w14:textId="70FDA3E7" w:rsidR="00CA343A" w:rsidRDefault="00CA343A" w:rsidP="00CC5F88">
    <w:pPr>
      <w:pStyle w:val="Header"/>
      <w:jc w:val="center"/>
      <w:rPr>
        <w:b/>
        <w:color w:val="FF0000"/>
        <w:sz w:val="28"/>
        <w:szCs w:val="28"/>
      </w:rPr>
    </w:pPr>
    <w:r>
      <w:rPr>
        <w:b/>
        <w:color w:val="FF0000"/>
        <w:sz w:val="28"/>
        <w:szCs w:val="28"/>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582A" w14:textId="16862324" w:rsidR="00CA343A" w:rsidRPr="00CC5F88" w:rsidRDefault="00CA343A" w:rsidP="00CC5F88">
    <w:pPr>
      <w:pStyle w:val="Header"/>
      <w:jc w:val="center"/>
      <w:rPr>
        <w:b/>
        <w:color w:val="FF0000"/>
        <w:sz w:val="28"/>
        <w:szCs w:val="28"/>
      </w:rPr>
    </w:pPr>
    <w:r>
      <w:rPr>
        <w:b/>
        <w:color w:val="FF0000"/>
        <w:sz w:val="28"/>
        <w:szCs w:val="28"/>
      </w:rPr>
      <w:t>OFFICIAL</w:t>
    </w:r>
  </w:p>
  <w:p w14:paraId="7DBF582B" w14:textId="6DE9E7DE" w:rsidR="00CA343A" w:rsidRDefault="00CA343A">
    <w:pPr>
      <w:pStyle w:val="Header"/>
    </w:pPr>
    <w:r w:rsidRPr="001A04C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A04CC">
      <w:rPr>
        <w:noProof/>
        <w:lang w:eastAsia="en-AU"/>
      </w:rPr>
      <w:drawing>
        <wp:inline distT="0" distB="0" distL="0" distR="0" wp14:anchorId="068AA8E9" wp14:editId="1E56B077">
          <wp:extent cx="2315183" cy="673819"/>
          <wp:effectExtent l="0" t="0" r="9525" b="0"/>
          <wp:docPr id="1" name="Picture 1" descr="\\prod.protected.ind\user\User01\jz7171\my Documents\DISR_hires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1\jz7171\my Documents\DISR_hires_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293" cy="6787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E14"/>
    <w:multiLevelType w:val="hybridMultilevel"/>
    <w:tmpl w:val="7FF2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E24319"/>
    <w:multiLevelType w:val="multilevel"/>
    <w:tmpl w:val="D6ECA194"/>
    <w:lvl w:ilvl="0">
      <w:start w:val="1"/>
      <w:numFmt w:val="decimal"/>
      <w:pStyle w:val="Heading1"/>
      <w:lvlText w:val="%1"/>
      <w:lvlJc w:val="left"/>
      <w:pPr>
        <w:ind w:left="432" w:hanging="432"/>
      </w:pPr>
      <w:rPr>
        <w:i w:val="0"/>
      </w:rPr>
    </w:lvl>
    <w:lvl w:ilvl="1">
      <w:start w:val="1"/>
      <w:numFmt w:val="decimal"/>
      <w:pStyle w:val="Heading2"/>
      <w:lvlText w:val="%1.%2"/>
      <w:lvlJc w:val="left"/>
      <w:pPr>
        <w:ind w:left="2136" w:hanging="576"/>
      </w:pPr>
    </w:lvl>
    <w:lvl w:ilvl="2">
      <w:start w:val="1"/>
      <w:numFmt w:val="decimal"/>
      <w:pStyle w:val="Heading3"/>
      <w:lvlText w:val="%1.%2.%3"/>
      <w:lvlJc w:val="left"/>
      <w:pPr>
        <w:ind w:left="979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BF3938"/>
    <w:multiLevelType w:val="hybridMultilevel"/>
    <w:tmpl w:val="C9A0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549F2"/>
    <w:multiLevelType w:val="hybridMultilevel"/>
    <w:tmpl w:val="662E7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62984"/>
    <w:multiLevelType w:val="hybridMultilevel"/>
    <w:tmpl w:val="080AA808"/>
    <w:lvl w:ilvl="0" w:tplc="AE9C0604">
      <w:start w:val="1"/>
      <w:numFmt w:val="decimal"/>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806021"/>
    <w:multiLevelType w:val="multilevel"/>
    <w:tmpl w:val="2708D202"/>
    <w:lvl w:ilvl="0">
      <w:start w:val="4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AD1348"/>
    <w:multiLevelType w:val="hybridMultilevel"/>
    <w:tmpl w:val="E9B2E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2"/>
  </w:num>
  <w:num w:numId="6">
    <w:abstractNumId w:val="0"/>
  </w:num>
  <w:num w:numId="7">
    <w:abstractNumId w:val="5"/>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4B"/>
    <w:rsid w:val="00002EA2"/>
    <w:rsid w:val="00012297"/>
    <w:rsid w:val="00016887"/>
    <w:rsid w:val="00025831"/>
    <w:rsid w:val="00026E97"/>
    <w:rsid w:val="00027A67"/>
    <w:rsid w:val="00030C27"/>
    <w:rsid w:val="00032995"/>
    <w:rsid w:val="00043E7B"/>
    <w:rsid w:val="00045461"/>
    <w:rsid w:val="0005157C"/>
    <w:rsid w:val="000517FF"/>
    <w:rsid w:val="00053730"/>
    <w:rsid w:val="000552B3"/>
    <w:rsid w:val="00060BD0"/>
    <w:rsid w:val="000614E2"/>
    <w:rsid w:val="00062580"/>
    <w:rsid w:val="0006381F"/>
    <w:rsid w:val="00065D40"/>
    <w:rsid w:val="0006623C"/>
    <w:rsid w:val="00066468"/>
    <w:rsid w:val="00067AD6"/>
    <w:rsid w:val="0007067B"/>
    <w:rsid w:val="00070CB3"/>
    <w:rsid w:val="00080AD2"/>
    <w:rsid w:val="00081D07"/>
    <w:rsid w:val="00081EBA"/>
    <w:rsid w:val="00090190"/>
    <w:rsid w:val="000901A5"/>
    <w:rsid w:val="00092648"/>
    <w:rsid w:val="00095120"/>
    <w:rsid w:val="0009743D"/>
    <w:rsid w:val="000A2E7A"/>
    <w:rsid w:val="000A6087"/>
    <w:rsid w:val="000A69C4"/>
    <w:rsid w:val="000B0BFE"/>
    <w:rsid w:val="000C1676"/>
    <w:rsid w:val="000C3494"/>
    <w:rsid w:val="000C4493"/>
    <w:rsid w:val="000D529F"/>
    <w:rsid w:val="000E13FE"/>
    <w:rsid w:val="000E2BFD"/>
    <w:rsid w:val="000E599A"/>
    <w:rsid w:val="000E5C1F"/>
    <w:rsid w:val="000E5C38"/>
    <w:rsid w:val="000F1B35"/>
    <w:rsid w:val="000F2564"/>
    <w:rsid w:val="000F2D50"/>
    <w:rsid w:val="000F3F82"/>
    <w:rsid w:val="000F4792"/>
    <w:rsid w:val="000F6218"/>
    <w:rsid w:val="00101511"/>
    <w:rsid w:val="0010505B"/>
    <w:rsid w:val="001102D9"/>
    <w:rsid w:val="00111CAD"/>
    <w:rsid w:val="00112197"/>
    <w:rsid w:val="0011336A"/>
    <w:rsid w:val="001200A0"/>
    <w:rsid w:val="001209DF"/>
    <w:rsid w:val="00121B5A"/>
    <w:rsid w:val="00124769"/>
    <w:rsid w:val="00131607"/>
    <w:rsid w:val="001359F7"/>
    <w:rsid w:val="001362B9"/>
    <w:rsid w:val="001423BE"/>
    <w:rsid w:val="0014373D"/>
    <w:rsid w:val="001442D6"/>
    <w:rsid w:val="001445DE"/>
    <w:rsid w:val="00144BE0"/>
    <w:rsid w:val="00147528"/>
    <w:rsid w:val="0015279E"/>
    <w:rsid w:val="00153C15"/>
    <w:rsid w:val="001541D4"/>
    <w:rsid w:val="00154964"/>
    <w:rsid w:val="001555D0"/>
    <w:rsid w:val="00156652"/>
    <w:rsid w:val="00163DF7"/>
    <w:rsid w:val="00164899"/>
    <w:rsid w:val="001963CE"/>
    <w:rsid w:val="00197D23"/>
    <w:rsid w:val="001A04CC"/>
    <w:rsid w:val="001A65FD"/>
    <w:rsid w:val="001B02CE"/>
    <w:rsid w:val="001B297F"/>
    <w:rsid w:val="001B3BC0"/>
    <w:rsid w:val="001C1F13"/>
    <w:rsid w:val="001C27B7"/>
    <w:rsid w:val="001C41DF"/>
    <w:rsid w:val="001C5062"/>
    <w:rsid w:val="001D216A"/>
    <w:rsid w:val="001D2E82"/>
    <w:rsid w:val="001D51DA"/>
    <w:rsid w:val="001D5D18"/>
    <w:rsid w:val="001D7402"/>
    <w:rsid w:val="001E0BC1"/>
    <w:rsid w:val="001E316B"/>
    <w:rsid w:val="001F39BF"/>
    <w:rsid w:val="001F5380"/>
    <w:rsid w:val="001F5AB1"/>
    <w:rsid w:val="001F748D"/>
    <w:rsid w:val="00203599"/>
    <w:rsid w:val="00205DF3"/>
    <w:rsid w:val="00206B2D"/>
    <w:rsid w:val="00212DAE"/>
    <w:rsid w:val="0021533D"/>
    <w:rsid w:val="00215B5E"/>
    <w:rsid w:val="00216370"/>
    <w:rsid w:val="0022083E"/>
    <w:rsid w:val="00220CBB"/>
    <w:rsid w:val="00222D0B"/>
    <w:rsid w:val="00233A69"/>
    <w:rsid w:val="002342F9"/>
    <w:rsid w:val="00235764"/>
    <w:rsid w:val="00236363"/>
    <w:rsid w:val="0024195B"/>
    <w:rsid w:val="00241D3D"/>
    <w:rsid w:val="0024406B"/>
    <w:rsid w:val="00246A9A"/>
    <w:rsid w:val="002479FD"/>
    <w:rsid w:val="0025320C"/>
    <w:rsid w:val="00253719"/>
    <w:rsid w:val="00253BD9"/>
    <w:rsid w:val="00253BF1"/>
    <w:rsid w:val="00254DA8"/>
    <w:rsid w:val="002605F3"/>
    <w:rsid w:val="00261469"/>
    <w:rsid w:val="00261F5C"/>
    <w:rsid w:val="00263CC2"/>
    <w:rsid w:val="002703E5"/>
    <w:rsid w:val="00272B04"/>
    <w:rsid w:val="00280938"/>
    <w:rsid w:val="002813BD"/>
    <w:rsid w:val="00290196"/>
    <w:rsid w:val="00297199"/>
    <w:rsid w:val="002A39CD"/>
    <w:rsid w:val="002A57F4"/>
    <w:rsid w:val="002A6048"/>
    <w:rsid w:val="002B1A5C"/>
    <w:rsid w:val="002B3A3A"/>
    <w:rsid w:val="002B491C"/>
    <w:rsid w:val="002B4D8A"/>
    <w:rsid w:val="002B5C69"/>
    <w:rsid w:val="002B72D3"/>
    <w:rsid w:val="002B7B5A"/>
    <w:rsid w:val="002C02C7"/>
    <w:rsid w:val="002C1F0E"/>
    <w:rsid w:val="002C4BE0"/>
    <w:rsid w:val="002D230B"/>
    <w:rsid w:val="002D279D"/>
    <w:rsid w:val="002D5963"/>
    <w:rsid w:val="002D7C86"/>
    <w:rsid w:val="002E0345"/>
    <w:rsid w:val="002E4FF6"/>
    <w:rsid w:val="002E72C6"/>
    <w:rsid w:val="002E7AE4"/>
    <w:rsid w:val="002F483B"/>
    <w:rsid w:val="002F52DB"/>
    <w:rsid w:val="002F58A5"/>
    <w:rsid w:val="002F688D"/>
    <w:rsid w:val="002F6B9E"/>
    <w:rsid w:val="00301F80"/>
    <w:rsid w:val="0030594A"/>
    <w:rsid w:val="0030630A"/>
    <w:rsid w:val="00306643"/>
    <w:rsid w:val="003069E7"/>
    <w:rsid w:val="003105B6"/>
    <w:rsid w:val="00315BFB"/>
    <w:rsid w:val="00315E3C"/>
    <w:rsid w:val="0032185E"/>
    <w:rsid w:val="00323510"/>
    <w:rsid w:val="003321BE"/>
    <w:rsid w:val="00343FA7"/>
    <w:rsid w:val="00352194"/>
    <w:rsid w:val="00352FB8"/>
    <w:rsid w:val="00363278"/>
    <w:rsid w:val="00371D91"/>
    <w:rsid w:val="00381433"/>
    <w:rsid w:val="00381C7C"/>
    <w:rsid w:val="00382EFE"/>
    <w:rsid w:val="00385CBA"/>
    <w:rsid w:val="00392984"/>
    <w:rsid w:val="003936FC"/>
    <w:rsid w:val="0039447E"/>
    <w:rsid w:val="0039538F"/>
    <w:rsid w:val="003974EF"/>
    <w:rsid w:val="003A2316"/>
    <w:rsid w:val="003A341C"/>
    <w:rsid w:val="003A7961"/>
    <w:rsid w:val="003B460C"/>
    <w:rsid w:val="003B6989"/>
    <w:rsid w:val="003C3B96"/>
    <w:rsid w:val="003C69D3"/>
    <w:rsid w:val="003D10F5"/>
    <w:rsid w:val="003D19F2"/>
    <w:rsid w:val="003D38ED"/>
    <w:rsid w:val="003D7F1E"/>
    <w:rsid w:val="003E4021"/>
    <w:rsid w:val="003E5FA1"/>
    <w:rsid w:val="003F03AF"/>
    <w:rsid w:val="003F527C"/>
    <w:rsid w:val="003F60C3"/>
    <w:rsid w:val="003F711C"/>
    <w:rsid w:val="004030C2"/>
    <w:rsid w:val="00404434"/>
    <w:rsid w:val="00406535"/>
    <w:rsid w:val="00414FA5"/>
    <w:rsid w:val="004150B3"/>
    <w:rsid w:val="004177E5"/>
    <w:rsid w:val="004202D9"/>
    <w:rsid w:val="004208BC"/>
    <w:rsid w:val="004232DD"/>
    <w:rsid w:val="004238BF"/>
    <w:rsid w:val="004301AB"/>
    <w:rsid w:val="00445BB9"/>
    <w:rsid w:val="00451FE6"/>
    <w:rsid w:val="00452425"/>
    <w:rsid w:val="004632E9"/>
    <w:rsid w:val="0046678C"/>
    <w:rsid w:val="004678B0"/>
    <w:rsid w:val="00470D54"/>
    <w:rsid w:val="00473E9D"/>
    <w:rsid w:val="004748C2"/>
    <w:rsid w:val="00475EE9"/>
    <w:rsid w:val="00477024"/>
    <w:rsid w:val="004771E4"/>
    <w:rsid w:val="00477CE5"/>
    <w:rsid w:val="00480B89"/>
    <w:rsid w:val="00484226"/>
    <w:rsid w:val="004842C5"/>
    <w:rsid w:val="00485C97"/>
    <w:rsid w:val="00486DE9"/>
    <w:rsid w:val="004936EF"/>
    <w:rsid w:val="004951EF"/>
    <w:rsid w:val="00495FF7"/>
    <w:rsid w:val="0049673E"/>
    <w:rsid w:val="00496B45"/>
    <w:rsid w:val="00497986"/>
    <w:rsid w:val="004A0AEE"/>
    <w:rsid w:val="004A32F7"/>
    <w:rsid w:val="004B4254"/>
    <w:rsid w:val="004B5255"/>
    <w:rsid w:val="004B5840"/>
    <w:rsid w:val="004C0D7B"/>
    <w:rsid w:val="004C1657"/>
    <w:rsid w:val="004C395D"/>
    <w:rsid w:val="004C7D03"/>
    <w:rsid w:val="004D2493"/>
    <w:rsid w:val="004D279C"/>
    <w:rsid w:val="004D3B0F"/>
    <w:rsid w:val="004D794C"/>
    <w:rsid w:val="004E2FE4"/>
    <w:rsid w:val="004E40BE"/>
    <w:rsid w:val="004E75D2"/>
    <w:rsid w:val="004F1C26"/>
    <w:rsid w:val="004F2D78"/>
    <w:rsid w:val="004F559A"/>
    <w:rsid w:val="004F5E75"/>
    <w:rsid w:val="004F693B"/>
    <w:rsid w:val="00504877"/>
    <w:rsid w:val="0050544E"/>
    <w:rsid w:val="005056C9"/>
    <w:rsid w:val="0051106D"/>
    <w:rsid w:val="00514469"/>
    <w:rsid w:val="0051607C"/>
    <w:rsid w:val="00516B0E"/>
    <w:rsid w:val="005227C3"/>
    <w:rsid w:val="005378DB"/>
    <w:rsid w:val="0054000D"/>
    <w:rsid w:val="00544F73"/>
    <w:rsid w:val="00544FAD"/>
    <w:rsid w:val="0055137E"/>
    <w:rsid w:val="00551B86"/>
    <w:rsid w:val="005556EB"/>
    <w:rsid w:val="005566D4"/>
    <w:rsid w:val="00557323"/>
    <w:rsid w:val="00563004"/>
    <w:rsid w:val="0056472B"/>
    <w:rsid w:val="0057128E"/>
    <w:rsid w:val="00573D58"/>
    <w:rsid w:val="005754F0"/>
    <w:rsid w:val="00575664"/>
    <w:rsid w:val="00575898"/>
    <w:rsid w:val="0057637E"/>
    <w:rsid w:val="00580C14"/>
    <w:rsid w:val="00584B74"/>
    <w:rsid w:val="005903BE"/>
    <w:rsid w:val="005A0A90"/>
    <w:rsid w:val="005A1B5C"/>
    <w:rsid w:val="005A7726"/>
    <w:rsid w:val="005B6FC8"/>
    <w:rsid w:val="005C2919"/>
    <w:rsid w:val="005C3730"/>
    <w:rsid w:val="005D709A"/>
    <w:rsid w:val="005E3B66"/>
    <w:rsid w:val="005E5272"/>
    <w:rsid w:val="005E536D"/>
    <w:rsid w:val="005E7ECD"/>
    <w:rsid w:val="005F20A7"/>
    <w:rsid w:val="005F60AF"/>
    <w:rsid w:val="005F6A3A"/>
    <w:rsid w:val="00600B85"/>
    <w:rsid w:val="00603DDF"/>
    <w:rsid w:val="00607188"/>
    <w:rsid w:val="00610CA0"/>
    <w:rsid w:val="0061151D"/>
    <w:rsid w:val="00615A65"/>
    <w:rsid w:val="0061612D"/>
    <w:rsid w:val="006178DC"/>
    <w:rsid w:val="00617B26"/>
    <w:rsid w:val="00626E7D"/>
    <w:rsid w:val="00630C55"/>
    <w:rsid w:val="00632C89"/>
    <w:rsid w:val="00634E0F"/>
    <w:rsid w:val="006357CB"/>
    <w:rsid w:val="006373E1"/>
    <w:rsid w:val="0064068F"/>
    <w:rsid w:val="00656D87"/>
    <w:rsid w:val="00671D1D"/>
    <w:rsid w:val="006722F0"/>
    <w:rsid w:val="00673677"/>
    <w:rsid w:val="00673C15"/>
    <w:rsid w:val="0067438A"/>
    <w:rsid w:val="0068286F"/>
    <w:rsid w:val="00693179"/>
    <w:rsid w:val="00696602"/>
    <w:rsid w:val="00697567"/>
    <w:rsid w:val="00697863"/>
    <w:rsid w:val="006A3E20"/>
    <w:rsid w:val="006A7B0B"/>
    <w:rsid w:val="006B3C4A"/>
    <w:rsid w:val="006C0186"/>
    <w:rsid w:val="006C085F"/>
    <w:rsid w:val="006C4C9C"/>
    <w:rsid w:val="006C4D7D"/>
    <w:rsid w:val="006D2221"/>
    <w:rsid w:val="006E1E6A"/>
    <w:rsid w:val="006E4001"/>
    <w:rsid w:val="006E65F7"/>
    <w:rsid w:val="006E69D2"/>
    <w:rsid w:val="006F526C"/>
    <w:rsid w:val="006F58A5"/>
    <w:rsid w:val="007021B3"/>
    <w:rsid w:val="00703EA3"/>
    <w:rsid w:val="00704D79"/>
    <w:rsid w:val="00705D17"/>
    <w:rsid w:val="00711349"/>
    <w:rsid w:val="0071351B"/>
    <w:rsid w:val="00721D4C"/>
    <w:rsid w:val="00723C5D"/>
    <w:rsid w:val="007273E8"/>
    <w:rsid w:val="00730750"/>
    <w:rsid w:val="0073228F"/>
    <w:rsid w:val="007365B2"/>
    <w:rsid w:val="00740579"/>
    <w:rsid w:val="00741A50"/>
    <w:rsid w:val="007429E2"/>
    <w:rsid w:val="00744C2B"/>
    <w:rsid w:val="00762962"/>
    <w:rsid w:val="0076434B"/>
    <w:rsid w:val="00770D16"/>
    <w:rsid w:val="00773201"/>
    <w:rsid w:val="007732CF"/>
    <w:rsid w:val="00776490"/>
    <w:rsid w:val="00777C9A"/>
    <w:rsid w:val="00780F5A"/>
    <w:rsid w:val="007833EE"/>
    <w:rsid w:val="007840E5"/>
    <w:rsid w:val="00784ACB"/>
    <w:rsid w:val="0078555D"/>
    <w:rsid w:val="00793242"/>
    <w:rsid w:val="00794D5F"/>
    <w:rsid w:val="00796B11"/>
    <w:rsid w:val="007B41DB"/>
    <w:rsid w:val="007B553F"/>
    <w:rsid w:val="007B5B01"/>
    <w:rsid w:val="007C273A"/>
    <w:rsid w:val="007C6182"/>
    <w:rsid w:val="007C7C68"/>
    <w:rsid w:val="007D7A05"/>
    <w:rsid w:val="007E2E8B"/>
    <w:rsid w:val="007E7F59"/>
    <w:rsid w:val="007F7FB1"/>
    <w:rsid w:val="00804AE8"/>
    <w:rsid w:val="00805B97"/>
    <w:rsid w:val="00806473"/>
    <w:rsid w:val="008111FD"/>
    <w:rsid w:val="008113C2"/>
    <w:rsid w:val="00814800"/>
    <w:rsid w:val="008149A2"/>
    <w:rsid w:val="008249AE"/>
    <w:rsid w:val="0083120C"/>
    <w:rsid w:val="00833E99"/>
    <w:rsid w:val="00840199"/>
    <w:rsid w:val="008438CF"/>
    <w:rsid w:val="00845206"/>
    <w:rsid w:val="00846DEA"/>
    <w:rsid w:val="00853A7A"/>
    <w:rsid w:val="00855591"/>
    <w:rsid w:val="00857954"/>
    <w:rsid w:val="008646FC"/>
    <w:rsid w:val="00865C3C"/>
    <w:rsid w:val="00867751"/>
    <w:rsid w:val="00875245"/>
    <w:rsid w:val="00884DB1"/>
    <w:rsid w:val="00892B6E"/>
    <w:rsid w:val="00896EDF"/>
    <w:rsid w:val="008A162F"/>
    <w:rsid w:val="008B0F7D"/>
    <w:rsid w:val="008B397A"/>
    <w:rsid w:val="008B63AC"/>
    <w:rsid w:val="008C0FD3"/>
    <w:rsid w:val="008C1B14"/>
    <w:rsid w:val="008C3B21"/>
    <w:rsid w:val="008C45D7"/>
    <w:rsid w:val="008D05AF"/>
    <w:rsid w:val="008D4285"/>
    <w:rsid w:val="008D4A55"/>
    <w:rsid w:val="008D4F2E"/>
    <w:rsid w:val="008D6AEB"/>
    <w:rsid w:val="008E1793"/>
    <w:rsid w:val="008E3FD1"/>
    <w:rsid w:val="008E52BF"/>
    <w:rsid w:val="008E5E4B"/>
    <w:rsid w:val="008E7154"/>
    <w:rsid w:val="008F556F"/>
    <w:rsid w:val="008F6417"/>
    <w:rsid w:val="00903FC6"/>
    <w:rsid w:val="00904434"/>
    <w:rsid w:val="00906865"/>
    <w:rsid w:val="009075CE"/>
    <w:rsid w:val="00914B87"/>
    <w:rsid w:val="00922DF8"/>
    <w:rsid w:val="00925741"/>
    <w:rsid w:val="00925D3C"/>
    <w:rsid w:val="00932D6A"/>
    <w:rsid w:val="00935DB2"/>
    <w:rsid w:val="009369E0"/>
    <w:rsid w:val="00940C04"/>
    <w:rsid w:val="00950151"/>
    <w:rsid w:val="00957DDB"/>
    <w:rsid w:val="0096058E"/>
    <w:rsid w:val="00962E0C"/>
    <w:rsid w:val="00964576"/>
    <w:rsid w:val="00964F89"/>
    <w:rsid w:val="0098666B"/>
    <w:rsid w:val="00986FE2"/>
    <w:rsid w:val="00990E10"/>
    <w:rsid w:val="00993B6B"/>
    <w:rsid w:val="00993B9C"/>
    <w:rsid w:val="00995488"/>
    <w:rsid w:val="009A549D"/>
    <w:rsid w:val="009A5EB9"/>
    <w:rsid w:val="009B4062"/>
    <w:rsid w:val="009C250E"/>
    <w:rsid w:val="009C705F"/>
    <w:rsid w:val="009D2E91"/>
    <w:rsid w:val="009D3035"/>
    <w:rsid w:val="009E4BE0"/>
    <w:rsid w:val="009E7EC5"/>
    <w:rsid w:val="009F2D40"/>
    <w:rsid w:val="00A00E55"/>
    <w:rsid w:val="00A03241"/>
    <w:rsid w:val="00A05739"/>
    <w:rsid w:val="00A16B19"/>
    <w:rsid w:val="00A20A58"/>
    <w:rsid w:val="00A27EBA"/>
    <w:rsid w:val="00A306C1"/>
    <w:rsid w:val="00A3085D"/>
    <w:rsid w:val="00A35134"/>
    <w:rsid w:val="00A37A0F"/>
    <w:rsid w:val="00A402B2"/>
    <w:rsid w:val="00A41295"/>
    <w:rsid w:val="00A43857"/>
    <w:rsid w:val="00A45E59"/>
    <w:rsid w:val="00A465BC"/>
    <w:rsid w:val="00A51873"/>
    <w:rsid w:val="00A52DCF"/>
    <w:rsid w:val="00A52F3D"/>
    <w:rsid w:val="00A5412D"/>
    <w:rsid w:val="00A551AD"/>
    <w:rsid w:val="00A55E6E"/>
    <w:rsid w:val="00A602BA"/>
    <w:rsid w:val="00A6159E"/>
    <w:rsid w:val="00A70888"/>
    <w:rsid w:val="00A731BB"/>
    <w:rsid w:val="00A748EE"/>
    <w:rsid w:val="00A76DDC"/>
    <w:rsid w:val="00A773DA"/>
    <w:rsid w:val="00A8042F"/>
    <w:rsid w:val="00A81181"/>
    <w:rsid w:val="00A8204E"/>
    <w:rsid w:val="00A85812"/>
    <w:rsid w:val="00A9392B"/>
    <w:rsid w:val="00A9710D"/>
    <w:rsid w:val="00A97B04"/>
    <w:rsid w:val="00AA740C"/>
    <w:rsid w:val="00AB137C"/>
    <w:rsid w:val="00AB34F3"/>
    <w:rsid w:val="00AB6A06"/>
    <w:rsid w:val="00AC18AC"/>
    <w:rsid w:val="00AC63D5"/>
    <w:rsid w:val="00AD7A63"/>
    <w:rsid w:val="00AE09A6"/>
    <w:rsid w:val="00AE3EAD"/>
    <w:rsid w:val="00AE444D"/>
    <w:rsid w:val="00AE4794"/>
    <w:rsid w:val="00AF0404"/>
    <w:rsid w:val="00AF4218"/>
    <w:rsid w:val="00AF5499"/>
    <w:rsid w:val="00B01F72"/>
    <w:rsid w:val="00B02495"/>
    <w:rsid w:val="00B03CEA"/>
    <w:rsid w:val="00B06DE3"/>
    <w:rsid w:val="00B12EB0"/>
    <w:rsid w:val="00B23B03"/>
    <w:rsid w:val="00B25088"/>
    <w:rsid w:val="00B251DB"/>
    <w:rsid w:val="00B257BA"/>
    <w:rsid w:val="00B26C25"/>
    <w:rsid w:val="00B27145"/>
    <w:rsid w:val="00B31C76"/>
    <w:rsid w:val="00B325DA"/>
    <w:rsid w:val="00B3320B"/>
    <w:rsid w:val="00B35C0C"/>
    <w:rsid w:val="00B36297"/>
    <w:rsid w:val="00B36962"/>
    <w:rsid w:val="00B37C06"/>
    <w:rsid w:val="00B416F5"/>
    <w:rsid w:val="00B41997"/>
    <w:rsid w:val="00B42858"/>
    <w:rsid w:val="00B456D4"/>
    <w:rsid w:val="00B46C47"/>
    <w:rsid w:val="00B544A3"/>
    <w:rsid w:val="00B55D27"/>
    <w:rsid w:val="00B61E95"/>
    <w:rsid w:val="00B626FC"/>
    <w:rsid w:val="00B634E4"/>
    <w:rsid w:val="00B63B29"/>
    <w:rsid w:val="00B63E24"/>
    <w:rsid w:val="00B756F6"/>
    <w:rsid w:val="00B75C08"/>
    <w:rsid w:val="00B80C02"/>
    <w:rsid w:val="00B834E1"/>
    <w:rsid w:val="00B85103"/>
    <w:rsid w:val="00B85238"/>
    <w:rsid w:val="00B93F10"/>
    <w:rsid w:val="00BA4AFB"/>
    <w:rsid w:val="00BA616B"/>
    <w:rsid w:val="00BB43D8"/>
    <w:rsid w:val="00BB4E58"/>
    <w:rsid w:val="00BB6B94"/>
    <w:rsid w:val="00BC1CC1"/>
    <w:rsid w:val="00BD0CDE"/>
    <w:rsid w:val="00BD0F8A"/>
    <w:rsid w:val="00BD3309"/>
    <w:rsid w:val="00BD4EBC"/>
    <w:rsid w:val="00BD619F"/>
    <w:rsid w:val="00BE455E"/>
    <w:rsid w:val="00BE4CDF"/>
    <w:rsid w:val="00BE553E"/>
    <w:rsid w:val="00BE6AA1"/>
    <w:rsid w:val="00BE6EEA"/>
    <w:rsid w:val="00BF4DDA"/>
    <w:rsid w:val="00BF6059"/>
    <w:rsid w:val="00BF709F"/>
    <w:rsid w:val="00C014A4"/>
    <w:rsid w:val="00C05DF5"/>
    <w:rsid w:val="00C114F5"/>
    <w:rsid w:val="00C11DBC"/>
    <w:rsid w:val="00C12D3F"/>
    <w:rsid w:val="00C1437D"/>
    <w:rsid w:val="00C15E75"/>
    <w:rsid w:val="00C22E76"/>
    <w:rsid w:val="00C3180E"/>
    <w:rsid w:val="00C371C9"/>
    <w:rsid w:val="00C41C7C"/>
    <w:rsid w:val="00C44676"/>
    <w:rsid w:val="00C511B5"/>
    <w:rsid w:val="00C541C4"/>
    <w:rsid w:val="00C55EC8"/>
    <w:rsid w:val="00C60515"/>
    <w:rsid w:val="00C664E4"/>
    <w:rsid w:val="00C66C35"/>
    <w:rsid w:val="00C707B5"/>
    <w:rsid w:val="00C73825"/>
    <w:rsid w:val="00C74741"/>
    <w:rsid w:val="00C74DE9"/>
    <w:rsid w:val="00C80EF9"/>
    <w:rsid w:val="00C90295"/>
    <w:rsid w:val="00C90345"/>
    <w:rsid w:val="00C95D14"/>
    <w:rsid w:val="00CA097D"/>
    <w:rsid w:val="00CA1AA1"/>
    <w:rsid w:val="00CA25C9"/>
    <w:rsid w:val="00CA343A"/>
    <w:rsid w:val="00CA7830"/>
    <w:rsid w:val="00CB7499"/>
    <w:rsid w:val="00CC1068"/>
    <w:rsid w:val="00CC1BCD"/>
    <w:rsid w:val="00CC5F88"/>
    <w:rsid w:val="00CC6091"/>
    <w:rsid w:val="00CC67E6"/>
    <w:rsid w:val="00CC7037"/>
    <w:rsid w:val="00CD05C0"/>
    <w:rsid w:val="00CD19FA"/>
    <w:rsid w:val="00CD340A"/>
    <w:rsid w:val="00CD570D"/>
    <w:rsid w:val="00CD61E3"/>
    <w:rsid w:val="00CE1A53"/>
    <w:rsid w:val="00CF0DB1"/>
    <w:rsid w:val="00CF10CA"/>
    <w:rsid w:val="00CF2524"/>
    <w:rsid w:val="00CF33F0"/>
    <w:rsid w:val="00CF61F2"/>
    <w:rsid w:val="00D02E4E"/>
    <w:rsid w:val="00D13B28"/>
    <w:rsid w:val="00D167C1"/>
    <w:rsid w:val="00D220CF"/>
    <w:rsid w:val="00D314FB"/>
    <w:rsid w:val="00D33405"/>
    <w:rsid w:val="00D34B57"/>
    <w:rsid w:val="00D40957"/>
    <w:rsid w:val="00D411DF"/>
    <w:rsid w:val="00D450E1"/>
    <w:rsid w:val="00D465AF"/>
    <w:rsid w:val="00D47414"/>
    <w:rsid w:val="00D53D8A"/>
    <w:rsid w:val="00D543D1"/>
    <w:rsid w:val="00D669B2"/>
    <w:rsid w:val="00D7085E"/>
    <w:rsid w:val="00D82627"/>
    <w:rsid w:val="00D83ED8"/>
    <w:rsid w:val="00D841E9"/>
    <w:rsid w:val="00D90D2B"/>
    <w:rsid w:val="00D92AA2"/>
    <w:rsid w:val="00D93294"/>
    <w:rsid w:val="00D951CC"/>
    <w:rsid w:val="00D954A0"/>
    <w:rsid w:val="00D95D33"/>
    <w:rsid w:val="00D96AF2"/>
    <w:rsid w:val="00DA1B8F"/>
    <w:rsid w:val="00DA3AD0"/>
    <w:rsid w:val="00DA4461"/>
    <w:rsid w:val="00DA615B"/>
    <w:rsid w:val="00DB2B8D"/>
    <w:rsid w:val="00DB4B3B"/>
    <w:rsid w:val="00DB57D7"/>
    <w:rsid w:val="00DC1738"/>
    <w:rsid w:val="00DC6761"/>
    <w:rsid w:val="00DD2284"/>
    <w:rsid w:val="00DE0FC5"/>
    <w:rsid w:val="00DE4A36"/>
    <w:rsid w:val="00DF1D7D"/>
    <w:rsid w:val="00DF29F3"/>
    <w:rsid w:val="00DF33E9"/>
    <w:rsid w:val="00DF3658"/>
    <w:rsid w:val="00DF36B2"/>
    <w:rsid w:val="00DF3EF2"/>
    <w:rsid w:val="00E0152B"/>
    <w:rsid w:val="00E01D7D"/>
    <w:rsid w:val="00E05D94"/>
    <w:rsid w:val="00E15F5F"/>
    <w:rsid w:val="00E16987"/>
    <w:rsid w:val="00E27EC9"/>
    <w:rsid w:val="00E3027E"/>
    <w:rsid w:val="00E305B2"/>
    <w:rsid w:val="00E32C07"/>
    <w:rsid w:val="00E36EEF"/>
    <w:rsid w:val="00E40380"/>
    <w:rsid w:val="00E455F1"/>
    <w:rsid w:val="00E514E9"/>
    <w:rsid w:val="00E51961"/>
    <w:rsid w:val="00E52147"/>
    <w:rsid w:val="00E526CD"/>
    <w:rsid w:val="00E554DA"/>
    <w:rsid w:val="00E72B3E"/>
    <w:rsid w:val="00E742E7"/>
    <w:rsid w:val="00E74C3D"/>
    <w:rsid w:val="00E74F1A"/>
    <w:rsid w:val="00E80128"/>
    <w:rsid w:val="00E82E89"/>
    <w:rsid w:val="00E84129"/>
    <w:rsid w:val="00E8416A"/>
    <w:rsid w:val="00E92AF4"/>
    <w:rsid w:val="00E93B0D"/>
    <w:rsid w:val="00E93C78"/>
    <w:rsid w:val="00E94C8A"/>
    <w:rsid w:val="00EA1AA3"/>
    <w:rsid w:val="00EA37B9"/>
    <w:rsid w:val="00EA4AE1"/>
    <w:rsid w:val="00EA6B14"/>
    <w:rsid w:val="00EA7DA8"/>
    <w:rsid w:val="00EB1674"/>
    <w:rsid w:val="00EB4660"/>
    <w:rsid w:val="00EB5A7F"/>
    <w:rsid w:val="00EC450B"/>
    <w:rsid w:val="00ED0709"/>
    <w:rsid w:val="00EE14D4"/>
    <w:rsid w:val="00EE14D5"/>
    <w:rsid w:val="00EE2EEE"/>
    <w:rsid w:val="00EE6B82"/>
    <w:rsid w:val="00EF1F59"/>
    <w:rsid w:val="00EF4EF1"/>
    <w:rsid w:val="00F02F11"/>
    <w:rsid w:val="00F062B5"/>
    <w:rsid w:val="00F15DC9"/>
    <w:rsid w:val="00F1731E"/>
    <w:rsid w:val="00F17814"/>
    <w:rsid w:val="00F22B42"/>
    <w:rsid w:val="00F22BB9"/>
    <w:rsid w:val="00F256A7"/>
    <w:rsid w:val="00F269D9"/>
    <w:rsid w:val="00F33C8A"/>
    <w:rsid w:val="00F33EB6"/>
    <w:rsid w:val="00F35EF8"/>
    <w:rsid w:val="00F41A5B"/>
    <w:rsid w:val="00F421C6"/>
    <w:rsid w:val="00F50E49"/>
    <w:rsid w:val="00F568FC"/>
    <w:rsid w:val="00F57D9A"/>
    <w:rsid w:val="00F6073A"/>
    <w:rsid w:val="00F648B7"/>
    <w:rsid w:val="00F64E13"/>
    <w:rsid w:val="00F90648"/>
    <w:rsid w:val="00FA10C9"/>
    <w:rsid w:val="00FA2375"/>
    <w:rsid w:val="00FA37F0"/>
    <w:rsid w:val="00FA52CE"/>
    <w:rsid w:val="00FA6ADD"/>
    <w:rsid w:val="00FB3142"/>
    <w:rsid w:val="00FB6720"/>
    <w:rsid w:val="00FC32A7"/>
    <w:rsid w:val="00FD751D"/>
    <w:rsid w:val="00FE26F6"/>
    <w:rsid w:val="00FE3B97"/>
    <w:rsid w:val="00FE5BB7"/>
    <w:rsid w:val="00FE7DB2"/>
    <w:rsid w:val="00FF07A1"/>
    <w:rsid w:val="00FF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ocId w14:val="7DBF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numPr>
        <w:numId w:val="2"/>
      </w:numPr>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numPr>
        <w:ilvl w:val="1"/>
        <w:numId w:val="2"/>
      </w:numPr>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numPr>
        <w:ilvl w:val="2"/>
        <w:numId w:val="2"/>
      </w:numPr>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numPr>
        <w:ilvl w:val="3"/>
        <w:numId w:val="2"/>
      </w:numPr>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numPr>
        <w:ilvl w:val="4"/>
        <w:numId w:val="2"/>
      </w:numPr>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numPr>
        <w:ilvl w:val="5"/>
        <w:numId w:val="2"/>
      </w:numPr>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semiHidden/>
    <w:unhideWhenUsed/>
    <w:qFormat/>
    <w:rsid w:val="002C1F0E"/>
    <w:pPr>
      <w:keepNext/>
      <w:keepLines/>
      <w:numPr>
        <w:ilvl w:val="6"/>
        <w:numId w:val="2"/>
      </w:numPr>
      <w:spacing w:before="40" w:after="0"/>
      <w:outlineLvl w:val="6"/>
    </w:pPr>
    <w:rPr>
      <w:rFonts w:asciiTheme="majorHAnsi" w:eastAsiaTheme="majorEastAsia" w:hAnsiTheme="majorHAnsi" w:cstheme="majorBidi"/>
      <w:i/>
      <w:iCs/>
      <w:color w:val="484A4C" w:themeColor="accent1" w:themeShade="7F"/>
    </w:rPr>
  </w:style>
  <w:style w:type="paragraph" w:styleId="Heading8">
    <w:name w:val="heading 8"/>
    <w:basedOn w:val="Normal"/>
    <w:next w:val="Normal"/>
    <w:link w:val="Heading8Char"/>
    <w:uiPriority w:val="9"/>
    <w:semiHidden/>
    <w:unhideWhenUsed/>
    <w:qFormat/>
    <w:rsid w:val="002C1F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1F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customStyle="1" w:styleId="Heading7Char">
    <w:name w:val="Heading 7 Char"/>
    <w:basedOn w:val="DefaultParagraphFont"/>
    <w:link w:val="Heading7"/>
    <w:uiPriority w:val="9"/>
    <w:semiHidden/>
    <w:rsid w:val="002C1F0E"/>
    <w:rPr>
      <w:rFonts w:asciiTheme="majorHAnsi" w:eastAsiaTheme="majorEastAsia" w:hAnsiTheme="majorHAnsi" w:cstheme="majorBidi"/>
      <w:i/>
      <w:iCs/>
      <w:color w:val="484A4C" w:themeColor="accent1" w:themeShade="7F"/>
    </w:rPr>
  </w:style>
  <w:style w:type="character" w:customStyle="1" w:styleId="Heading8Char">
    <w:name w:val="Heading 8 Char"/>
    <w:basedOn w:val="DefaultParagraphFont"/>
    <w:link w:val="Heading8"/>
    <w:uiPriority w:val="9"/>
    <w:semiHidden/>
    <w:rsid w:val="002C1F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1F0E"/>
    <w:rPr>
      <w:rFonts w:asciiTheme="majorHAnsi" w:eastAsiaTheme="majorEastAsia" w:hAnsiTheme="majorHAnsi" w:cstheme="majorBidi"/>
      <w:i/>
      <w:iCs/>
      <w:color w:val="272727" w:themeColor="text1" w:themeTint="D8"/>
      <w:sz w:val="21"/>
      <w:szCs w:val="21"/>
    </w:rPr>
  </w:style>
  <w:style w:type="paragraph" w:customStyle="1" w:styleId="Text">
    <w:name w:val="Text"/>
    <w:basedOn w:val="Normal"/>
    <w:link w:val="TextChar"/>
    <w:qFormat/>
    <w:rsid w:val="005566D4"/>
    <w:pPr>
      <w:spacing w:after="200" w:line="264" w:lineRule="auto"/>
      <w:textAlignment w:val="baseline"/>
    </w:pPr>
    <w:rPr>
      <w:rFonts w:ascii="Arial" w:eastAsia="Arial" w:hAnsi="Arial" w:cs="Times New Roman"/>
      <w:color w:val="000000"/>
      <w:lang w:val="en-US"/>
    </w:rPr>
  </w:style>
  <w:style w:type="character" w:customStyle="1" w:styleId="TextChar">
    <w:name w:val="Text Char"/>
    <w:basedOn w:val="DefaultParagraphFont"/>
    <w:link w:val="Text"/>
    <w:rsid w:val="005566D4"/>
    <w:rPr>
      <w:rFonts w:ascii="Arial" w:eastAsia="Arial" w:hAnsi="Arial" w:cs="Times New Roman"/>
      <w:color w:val="000000"/>
      <w:lang w:val="en-US"/>
    </w:rPr>
  </w:style>
  <w:style w:type="paragraph" w:customStyle="1" w:styleId="Default">
    <w:name w:val="Default"/>
    <w:rsid w:val="00246A9A"/>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efaultParagraphFont"/>
    <w:rsid w:val="00261F5C"/>
  </w:style>
  <w:style w:type="character" w:styleId="CommentReference">
    <w:name w:val="annotation reference"/>
    <w:basedOn w:val="DefaultParagraphFont"/>
    <w:uiPriority w:val="99"/>
    <w:semiHidden/>
    <w:unhideWhenUsed/>
    <w:rsid w:val="00EC450B"/>
    <w:rPr>
      <w:sz w:val="16"/>
      <w:szCs w:val="16"/>
    </w:rPr>
  </w:style>
  <w:style w:type="paragraph" w:styleId="CommentText">
    <w:name w:val="annotation text"/>
    <w:basedOn w:val="Normal"/>
    <w:link w:val="CommentTextChar"/>
    <w:uiPriority w:val="99"/>
    <w:unhideWhenUsed/>
    <w:rsid w:val="00EC450B"/>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EC450B"/>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4660"/>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B4660"/>
    <w:rPr>
      <w:rFonts w:ascii="Times New Roman" w:eastAsia="PMingLiU" w:hAnsi="Times New Roman" w:cs="Times New Roman"/>
      <w:b/>
      <w:bCs/>
      <w:sz w:val="20"/>
      <w:szCs w:val="20"/>
      <w:lang w:val="en-US"/>
    </w:rPr>
  </w:style>
  <w:style w:type="character" w:styleId="FollowedHyperlink">
    <w:name w:val="FollowedHyperlink"/>
    <w:basedOn w:val="DefaultParagraphFont"/>
    <w:uiPriority w:val="99"/>
    <w:semiHidden/>
    <w:unhideWhenUsed/>
    <w:rsid w:val="009E7EC5"/>
    <w:rPr>
      <w:color w:val="551A8B" w:themeColor="followedHyperlink"/>
      <w:u w:val="single"/>
    </w:rPr>
  </w:style>
  <w:style w:type="paragraph" w:styleId="NormalWeb">
    <w:name w:val="Normal (Web)"/>
    <w:basedOn w:val="Normal"/>
    <w:uiPriority w:val="99"/>
    <w:unhideWhenUsed/>
    <w:rsid w:val="00026E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numerate">
    <w:name w:val="enumerate"/>
    <w:basedOn w:val="DefaultParagraphFont"/>
    <w:rsid w:val="00DF3EF2"/>
  </w:style>
  <w:style w:type="paragraph" w:styleId="Revision">
    <w:name w:val="Revision"/>
    <w:hidden/>
    <w:uiPriority w:val="99"/>
    <w:semiHidden/>
    <w:rsid w:val="00630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67101">
      <w:bodyDiv w:val="1"/>
      <w:marLeft w:val="0"/>
      <w:marRight w:val="0"/>
      <w:marTop w:val="0"/>
      <w:marBottom w:val="0"/>
      <w:divBdr>
        <w:top w:val="none" w:sz="0" w:space="0" w:color="auto"/>
        <w:left w:val="none" w:sz="0" w:space="0" w:color="auto"/>
        <w:bottom w:val="none" w:sz="0" w:space="0" w:color="auto"/>
        <w:right w:val="none" w:sz="0" w:space="0" w:color="auto"/>
      </w:divBdr>
    </w:div>
    <w:div w:id="319967382">
      <w:bodyDiv w:val="1"/>
      <w:marLeft w:val="0"/>
      <w:marRight w:val="0"/>
      <w:marTop w:val="0"/>
      <w:marBottom w:val="0"/>
      <w:divBdr>
        <w:top w:val="none" w:sz="0" w:space="0" w:color="auto"/>
        <w:left w:val="none" w:sz="0" w:space="0" w:color="auto"/>
        <w:bottom w:val="none" w:sz="0" w:space="0" w:color="auto"/>
        <w:right w:val="none" w:sz="0" w:space="0" w:color="auto"/>
      </w:divBdr>
    </w:div>
    <w:div w:id="323701933">
      <w:bodyDiv w:val="1"/>
      <w:marLeft w:val="0"/>
      <w:marRight w:val="0"/>
      <w:marTop w:val="0"/>
      <w:marBottom w:val="0"/>
      <w:divBdr>
        <w:top w:val="none" w:sz="0" w:space="0" w:color="auto"/>
        <w:left w:val="none" w:sz="0" w:space="0" w:color="auto"/>
        <w:bottom w:val="none" w:sz="0" w:space="0" w:color="auto"/>
        <w:right w:val="none" w:sz="0" w:space="0" w:color="auto"/>
      </w:divBdr>
    </w:div>
    <w:div w:id="533035643">
      <w:bodyDiv w:val="1"/>
      <w:marLeft w:val="0"/>
      <w:marRight w:val="0"/>
      <w:marTop w:val="0"/>
      <w:marBottom w:val="0"/>
      <w:divBdr>
        <w:top w:val="none" w:sz="0" w:space="0" w:color="auto"/>
        <w:left w:val="none" w:sz="0" w:space="0" w:color="auto"/>
        <w:bottom w:val="none" w:sz="0" w:space="0" w:color="auto"/>
        <w:right w:val="none" w:sz="0" w:space="0" w:color="auto"/>
      </w:divBdr>
    </w:div>
    <w:div w:id="740754436">
      <w:bodyDiv w:val="1"/>
      <w:marLeft w:val="0"/>
      <w:marRight w:val="0"/>
      <w:marTop w:val="0"/>
      <w:marBottom w:val="0"/>
      <w:divBdr>
        <w:top w:val="none" w:sz="0" w:space="0" w:color="auto"/>
        <w:left w:val="none" w:sz="0" w:space="0" w:color="auto"/>
        <w:bottom w:val="none" w:sz="0" w:space="0" w:color="auto"/>
        <w:right w:val="none" w:sz="0" w:space="0" w:color="auto"/>
      </w:divBdr>
    </w:div>
    <w:div w:id="78473816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3576360">
      <w:bodyDiv w:val="1"/>
      <w:marLeft w:val="0"/>
      <w:marRight w:val="0"/>
      <w:marTop w:val="0"/>
      <w:marBottom w:val="0"/>
      <w:divBdr>
        <w:top w:val="none" w:sz="0" w:space="0" w:color="auto"/>
        <w:left w:val="none" w:sz="0" w:space="0" w:color="auto"/>
        <w:bottom w:val="none" w:sz="0" w:space="0" w:color="auto"/>
        <w:right w:val="none" w:sz="0" w:space="0" w:color="auto"/>
      </w:divBdr>
    </w:div>
    <w:div w:id="1415736198">
      <w:bodyDiv w:val="1"/>
      <w:marLeft w:val="0"/>
      <w:marRight w:val="0"/>
      <w:marTop w:val="0"/>
      <w:marBottom w:val="0"/>
      <w:divBdr>
        <w:top w:val="none" w:sz="0" w:space="0" w:color="auto"/>
        <w:left w:val="none" w:sz="0" w:space="0" w:color="auto"/>
        <w:bottom w:val="none" w:sz="0" w:space="0" w:color="auto"/>
        <w:right w:val="none" w:sz="0" w:space="0" w:color="auto"/>
      </w:divBdr>
    </w:div>
    <w:div w:id="1424690211">
      <w:bodyDiv w:val="1"/>
      <w:marLeft w:val="0"/>
      <w:marRight w:val="0"/>
      <w:marTop w:val="0"/>
      <w:marBottom w:val="0"/>
      <w:divBdr>
        <w:top w:val="none" w:sz="0" w:space="0" w:color="auto"/>
        <w:left w:val="none" w:sz="0" w:space="0" w:color="auto"/>
        <w:bottom w:val="none" w:sz="0" w:space="0" w:color="auto"/>
        <w:right w:val="none" w:sz="0" w:space="0" w:color="auto"/>
      </w:divBdr>
    </w:div>
    <w:div w:id="20152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ivacy.gov.au/" TargetMode="External"/><Relationship Id="rId18" Type="http://schemas.openxmlformats.org/officeDocument/2006/relationships/hyperlink" Target="http://lobbyists.pmc.gov.au/conduct_code.cf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oplepolicy@industry.gov.au" TargetMode="External"/><Relationship Id="rId7" Type="http://schemas.openxmlformats.org/officeDocument/2006/relationships/styles" Target="styles.xml"/><Relationship Id="rId12" Type="http://schemas.openxmlformats.org/officeDocument/2006/relationships/hyperlink" Target="https://www.industry.gov.au/data-and-publications/enterprise-agreement-2019-2022" TargetMode="External"/><Relationship Id="rId17" Type="http://schemas.openxmlformats.org/officeDocument/2006/relationships/hyperlink" Target="https://www.ag.gov.au/integrity/australian-government-register-lobbyists/lobbying-code-conduc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obbyists.pmc.gov.au/conduct_code.cfm" TargetMode="External"/><Relationship Id="rId20" Type="http://schemas.openxmlformats.org/officeDocument/2006/relationships/hyperlink" Target="http://lobbyists.pmc.gov.au/index.cf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lobbyists.pmc.gov.au/conduct_code.cfm" TargetMode="External"/><Relationship Id="rId23" Type="http://schemas.openxmlformats.org/officeDocument/2006/relationships/hyperlink" Target="https://ausgov.sharepoint.com/sites/iCentral/SitePages/Working-here/About-the-department/Probity,-governance-and-accountability/Conflict-of-interest.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obbyists.ag.gov.au/regis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ivacy.gov.au/" TargetMode="External"/><Relationship Id="rId22" Type="http://schemas.openxmlformats.org/officeDocument/2006/relationships/hyperlink" Target="mailto:peoplepolicy@industry.gov.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FACF1A8F4D432F885F4D2EF83D3185"/>
        <w:category>
          <w:name w:val="General"/>
          <w:gallery w:val="placeholder"/>
        </w:category>
        <w:types>
          <w:type w:val="bbPlcHdr"/>
        </w:types>
        <w:behaviors>
          <w:behavior w:val="content"/>
        </w:behaviors>
        <w:guid w:val="{EABBAE27-2819-4D98-BC43-0FDB322E88E9}"/>
      </w:docPartPr>
      <w:docPartBody>
        <w:p w:rsidR="00E167A4" w:rsidRDefault="009E6DBC">
          <w:pPr>
            <w:pStyle w:val="F2FACF1A8F4D432F885F4D2EF83D3185"/>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BC"/>
    <w:rsid w:val="000C3BCB"/>
    <w:rsid w:val="001229CA"/>
    <w:rsid w:val="00227E52"/>
    <w:rsid w:val="00352ED4"/>
    <w:rsid w:val="00364B40"/>
    <w:rsid w:val="00394E6E"/>
    <w:rsid w:val="00453706"/>
    <w:rsid w:val="0050544E"/>
    <w:rsid w:val="005C04F9"/>
    <w:rsid w:val="005E3E38"/>
    <w:rsid w:val="00832DA8"/>
    <w:rsid w:val="008571FB"/>
    <w:rsid w:val="00882CAC"/>
    <w:rsid w:val="008B6995"/>
    <w:rsid w:val="008C2E4A"/>
    <w:rsid w:val="008E240C"/>
    <w:rsid w:val="00903115"/>
    <w:rsid w:val="00946564"/>
    <w:rsid w:val="00954862"/>
    <w:rsid w:val="0097628A"/>
    <w:rsid w:val="00992D23"/>
    <w:rsid w:val="009E1F95"/>
    <w:rsid w:val="009E6DBC"/>
    <w:rsid w:val="00A07A13"/>
    <w:rsid w:val="00A70492"/>
    <w:rsid w:val="00AE1351"/>
    <w:rsid w:val="00BA54A5"/>
    <w:rsid w:val="00C6619B"/>
    <w:rsid w:val="00C8147F"/>
    <w:rsid w:val="00D13DF0"/>
    <w:rsid w:val="00E167A4"/>
    <w:rsid w:val="00F00AEC"/>
    <w:rsid w:val="00F6376C"/>
    <w:rsid w:val="00FA4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FACF1A8F4D432F885F4D2EF83D3185">
    <w:name w:val="F2FACF1A8F4D432F885F4D2EF83D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766FAD4C68841A36E3EE28DC2A010" ma:contentTypeVersion="16" ma:contentTypeDescription="Create a new document." ma:contentTypeScope="" ma:versionID="768906cf8dff7df72786995772323be5">
  <xsd:schema xmlns:xsd="http://www.w3.org/2001/XMLSchema" xmlns:xs="http://www.w3.org/2001/XMLSchema" xmlns:p="http://schemas.microsoft.com/office/2006/metadata/properties" xmlns:ns1="http://schemas.microsoft.com/sharepoint/v3" xmlns:ns2="64628879-cb16-4650-8031-de1b8c98cea4" xmlns:ns3="b5e10374-770e-4aa4-99e8-6d9537cc4aad" xmlns:ns4="http://schemas.microsoft.com/sharepoint/v4" targetNamespace="http://schemas.microsoft.com/office/2006/metadata/properties" ma:root="true" ma:fieldsID="29da3e699dedfcd17dc6c8031212c9a0" ns1:_="" ns2:_="" ns3:_="" ns4:_="">
    <xsd:import namespace="http://schemas.microsoft.com/sharepoint/v3"/>
    <xsd:import namespace="64628879-cb16-4650-8031-de1b8c98cea4"/>
    <xsd:import namespace="b5e10374-770e-4aa4-99e8-6d9537cc4aa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f437a08f4e748f2b76b6e6373decc2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f437a08f4e748f2b76b6e6373decc2d" ma:index="24" nillable="true" ma:taxonomy="true" ma:internalName="ef437a08f4e748f2b76b6e6373decc2d" ma:taxonomyFieldName="DocHub_PeoplePolicyTopics" ma:displayName="People Policy Topics" ma:indexed="true" ma:fieldId="{ef437a08-f4e7-48f2-b76b-6e6373decc2d}" ma:sspId="fb0313f7-9433-48c0-866e-9e0bbee59a50" ma:termSetId="ba013dc1-b7d4-4772-94d5-a1fc0d49d0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10374-770e-4aa4-99e8-6d9537cc4aad"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153</Value>
      <Value>3</Value>
    </TaxCatchAll>
    <g7bcb40ba23249a78edca7d43a67c1c9 xmlns="64628879-cb16-4650-8031-de1b8c98cea4">
      <Terms xmlns="http://schemas.microsoft.com/office/infopath/2007/PartnerControl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a71acb41-5483-4112-89f1-43febcdc5f07</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Comments xmlns="http://schemas.microsoft.com/sharepoint/v3" xsi:nil="true"/>
    <_dlc_DocId xmlns="64628879-cb16-4650-8031-de1b8c98cea4">SEF43VY7DDAF-1917793369-8468</_dlc_DocId>
    <_dlc_DocIdUrl xmlns="64628879-cb16-4650-8031-de1b8c98cea4">
      <Url>https://dochub/div/corporate/businessfunctions/humanresources/peoplepolicy/_layouts/15/DocIdRedir.aspx?ID=SEF43VY7DDAF-1917793369-8468</Url>
      <Description>SEF43VY7DDAF-1917793369-8468</Description>
    </_dlc_DocIdUrl>
    <ef437a08f4e748f2b76b6e6373decc2d xmlns="64628879-cb16-4650-8031-de1b8c98cea4">
      <Terms xmlns="http://schemas.microsoft.com/office/infopath/2007/PartnerControls"/>
    </ef437a08f4e748f2b76b6e6373decc2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{D8E97F6D-C07D-40D7-BD42-422C1264474D}</b:Guid>
    <b:Author>
      <b:Author>
        <b:NameList>
          <b:Person>
            <b:Last>https://www.covid19.act.gov.au/stay-safe-and-healthy/symptoms-and-getting-tested/when-to-get-tested</b:Last>
          </b:Person>
        </b:NameList>
      </b:Author>
    </b:Author>
    <b:RefOrder>1</b:RefOrder>
  </b:Source>
</b:Sources>
</file>

<file path=customXml/itemProps1.xml><?xml version="1.0" encoding="utf-8"?>
<ds:datastoreItem xmlns:ds="http://schemas.openxmlformats.org/officeDocument/2006/customXml" ds:itemID="{53668AE0-D709-491E-911E-26014709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b5e10374-770e-4aa4-99e8-6d9537cc4aa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B1952-5C0E-4EB7-BFE8-024C20EE636F}">
  <ds:schemaRefs>
    <ds:schemaRef ds:uri="http://schemas.microsoft.com/sharepoint/v3"/>
    <ds:schemaRef ds:uri="http://schemas.microsoft.com/sharepoint/v4"/>
    <ds:schemaRef ds:uri="http://purl.org/dc/terms/"/>
    <ds:schemaRef ds:uri="http://schemas.openxmlformats.org/package/2006/metadata/core-properties"/>
    <ds:schemaRef ds:uri="b5e10374-770e-4aa4-99e8-6d9537cc4aad"/>
    <ds:schemaRef ds:uri="http://schemas.microsoft.com/office/2006/documentManagement/types"/>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3.xml><?xml version="1.0" encoding="utf-8"?>
<ds:datastoreItem xmlns:ds="http://schemas.openxmlformats.org/officeDocument/2006/customXml" ds:itemID="{62397181-4D67-4757-9FC2-49350E13B4B9}">
  <ds:schemaRefs>
    <ds:schemaRef ds:uri="http://schemas.microsoft.com/sharepoint/v3/contenttype/forms"/>
  </ds:schemaRefs>
</ds:datastoreItem>
</file>

<file path=customXml/itemProps4.xml><?xml version="1.0" encoding="utf-8"?>
<ds:datastoreItem xmlns:ds="http://schemas.openxmlformats.org/officeDocument/2006/customXml" ds:itemID="{A09784AF-7A9E-472A-A64C-0E5526EB6C6F}">
  <ds:schemaRefs>
    <ds:schemaRef ds:uri="http://schemas.microsoft.com/sharepoint/events"/>
  </ds:schemaRefs>
</ds:datastoreItem>
</file>

<file path=customXml/itemProps5.xml><?xml version="1.0" encoding="utf-8"?>
<ds:datastoreItem xmlns:ds="http://schemas.openxmlformats.org/officeDocument/2006/customXml" ds:itemID="{11386760-CAE8-4906-A446-159A0D90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Conflict of Interest Policy</vt:lpstr>
    </vt:vector>
  </TitlesOfParts>
  <Manager/>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subject/>
  <dc:creator/>
  <cp:keywords/>
  <dc:description/>
  <cp:lastModifiedBy/>
  <cp:revision>1</cp:revision>
  <dcterms:created xsi:type="dcterms:W3CDTF">2022-11-10T23:26:00Z</dcterms:created>
  <dcterms:modified xsi:type="dcterms:W3CDTF">2022-11-10T23:27:00Z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0x01010075D766FAD4C68841A36E3EE28DC2A010</vt:lpwstr>
  </property>
  <property fmtid="{D5CDD505-2E9C-101B-9397-08002B2CF9AE}" pid="3" name="DocHub_WorkTopicPeoplePlanningExecutive">
    <vt:lpwstr>11928;#People Policy ＆ Recruitment|ac8b2126-6f76-4c29-8d1e-4d193406ade5</vt:lpwstr>
  </property>
  <property fmtid="{D5CDD505-2E9C-101B-9397-08002B2CF9AE}" pid="4" name="DocHub_Year">
    <vt:lpwstr/>
  </property>
  <property fmtid="{D5CDD505-2E9C-101B-9397-08002B2CF9AE}" pid="5" name="DocHub_DocumentType">
    <vt:lpwstr>153;#Policy|a71acb41-5483-4112-89f1-43febcdc5f07</vt:lpwstr>
  </property>
  <property fmtid="{D5CDD505-2E9C-101B-9397-08002B2CF9AE}" pid="6" name="DocHub_SecurityClassification">
    <vt:lpwstr>3;#OFFICIAL|6106d03b-a1a0-4e30-9d91-d5e9fb4314f9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_dlc_DocIdItemGuid">
    <vt:lpwstr>6345049a-7e86-4441-86c7-667db071ae6e</vt:lpwstr>
  </property>
  <property fmtid="{D5CDD505-2E9C-101B-9397-08002B2CF9AE}" pid="10" name="DocHub_PeoplePolicyTopics">
    <vt:lpwstr/>
  </property>
</Properties>
</file>