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6277937"/>
        <w:docPartObj>
          <w:docPartGallery w:val="Cover Pages"/>
          <w:docPartUnique/>
        </w:docPartObj>
      </w:sdtPr>
      <w:sdtEndPr>
        <w:rPr>
          <w:sz w:val="72"/>
          <w:szCs w:val="72"/>
        </w:rPr>
      </w:sdtEndPr>
      <w:sdtContent>
        <w:p w14:paraId="69DB8B74" w14:textId="7BB3CD8D" w:rsidR="00F915F2" w:rsidRPr="006815C9" w:rsidRDefault="00F915F2"/>
        <w:p w14:paraId="753DCE29" w14:textId="77777777" w:rsidR="00F915F2" w:rsidRPr="006815C9" w:rsidRDefault="00F915F2">
          <w:pPr>
            <w:rPr>
              <w:sz w:val="72"/>
              <w:szCs w:val="72"/>
            </w:rPr>
          </w:pPr>
        </w:p>
        <w:p w14:paraId="5F1AF434" w14:textId="77777777" w:rsidR="00F915F2" w:rsidRPr="006815C9" w:rsidRDefault="00F915F2">
          <w:pPr>
            <w:rPr>
              <w:sz w:val="72"/>
              <w:szCs w:val="72"/>
            </w:rPr>
          </w:pPr>
        </w:p>
        <w:p w14:paraId="28174BBB" w14:textId="77777777" w:rsidR="00F915F2" w:rsidRPr="006815C9" w:rsidRDefault="00F915F2">
          <w:pPr>
            <w:rPr>
              <w:sz w:val="72"/>
              <w:szCs w:val="72"/>
            </w:rPr>
          </w:pPr>
        </w:p>
        <w:p w14:paraId="14B9131D" w14:textId="77777777" w:rsidR="00785685" w:rsidRPr="006815C9" w:rsidRDefault="00F915F2">
          <w:pPr>
            <w:rPr>
              <w:rFonts w:ascii="Arial" w:hAnsi="Arial" w:cs="Arial"/>
              <w:color w:val="1F4E79" w:themeColor="accent1" w:themeShade="80"/>
              <w:sz w:val="72"/>
              <w:szCs w:val="72"/>
            </w:rPr>
          </w:pPr>
          <w:r w:rsidRPr="006815C9">
            <w:rPr>
              <w:rFonts w:ascii="Arial" w:eastAsia="Calibri" w:hAnsi="Arial" w:cs="Arial"/>
              <w:noProof/>
              <w:color w:val="1F4E79" w:themeColor="accent1" w:themeShade="80"/>
              <w:lang w:eastAsia="en-AU"/>
            </w:rPr>
            <w:drawing>
              <wp:anchor distT="0" distB="0" distL="114300" distR="114300" simplePos="0" relativeHeight="251658240" behindDoc="1" locked="0" layoutInCell="1" allowOverlap="1" wp14:anchorId="304BFD39" wp14:editId="6B3B6403">
                <wp:simplePos x="0" y="0"/>
                <wp:positionH relativeFrom="margin">
                  <wp:align>center</wp:align>
                </wp:positionH>
                <wp:positionV relativeFrom="page">
                  <wp:posOffset>3037205</wp:posOffset>
                </wp:positionV>
                <wp:extent cx="7271385" cy="7369680"/>
                <wp:effectExtent l="0" t="0" r="5715" b="3175"/>
                <wp:wrapNone/>
                <wp:docPr id="24" name="Picture 24"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rotWithShape="1">
                        <a:blip r:embed="rId12" cstate="print">
                          <a:extLst>
                            <a:ext uri="{28A0092B-C50C-407E-A947-70E740481C1C}">
                              <a14:useLocalDpi xmlns:a14="http://schemas.microsoft.com/office/drawing/2010/main" val="0"/>
                            </a:ext>
                          </a:extLst>
                        </a:blip>
                        <a:srcRect t="28341"/>
                        <a:stretch/>
                      </pic:blipFill>
                      <pic:spPr bwMode="auto">
                        <a:xfrm>
                          <a:off x="0" y="0"/>
                          <a:ext cx="7271385" cy="736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685" w:rsidRPr="006815C9">
            <w:rPr>
              <w:rFonts w:ascii="Arial" w:hAnsi="Arial" w:cs="Arial"/>
              <w:color w:val="1F4E79" w:themeColor="accent1" w:themeShade="80"/>
              <w:sz w:val="72"/>
              <w:szCs w:val="72"/>
            </w:rPr>
            <w:t>Review of the Australian Domestic Gas Security Mechanism</w:t>
          </w:r>
        </w:p>
        <w:p w14:paraId="78D16D9C" w14:textId="77777777" w:rsidR="00785685" w:rsidRPr="006815C9" w:rsidRDefault="00785685">
          <w:pPr>
            <w:rPr>
              <w:rFonts w:ascii="Arial" w:hAnsi="Arial" w:cs="Arial"/>
              <w:color w:val="A5A5A5" w:themeColor="accent3"/>
              <w:sz w:val="40"/>
              <w:szCs w:val="40"/>
            </w:rPr>
          </w:pPr>
        </w:p>
        <w:p w14:paraId="5468F367" w14:textId="77777777" w:rsidR="00785685" w:rsidRPr="006815C9" w:rsidRDefault="00785685">
          <w:pPr>
            <w:rPr>
              <w:rFonts w:ascii="Arial" w:hAnsi="Arial" w:cs="Arial"/>
              <w:color w:val="A5A5A5" w:themeColor="accent3"/>
              <w:sz w:val="40"/>
              <w:szCs w:val="40"/>
            </w:rPr>
          </w:pPr>
          <w:r w:rsidRPr="006815C9">
            <w:rPr>
              <w:rFonts w:ascii="Arial" w:hAnsi="Arial" w:cs="Arial"/>
              <w:color w:val="A5A5A5" w:themeColor="accent3"/>
              <w:sz w:val="40"/>
              <w:szCs w:val="40"/>
            </w:rPr>
            <w:t>Report by the Department of Industry, Innovation and Science</w:t>
          </w:r>
        </w:p>
        <w:p w14:paraId="348E3655" w14:textId="77777777" w:rsidR="00785685" w:rsidRPr="006815C9" w:rsidRDefault="00785685">
          <w:pPr>
            <w:rPr>
              <w:rFonts w:ascii="Arial" w:hAnsi="Arial" w:cs="Arial"/>
              <w:color w:val="A5A5A5" w:themeColor="accent3"/>
              <w:sz w:val="40"/>
              <w:szCs w:val="40"/>
            </w:rPr>
          </w:pPr>
        </w:p>
        <w:p w14:paraId="1D69901A" w14:textId="169125C0" w:rsidR="002927AE" w:rsidRPr="006815C9" w:rsidRDefault="006D3C97">
          <w:pPr>
            <w:rPr>
              <w:sz w:val="72"/>
              <w:szCs w:val="72"/>
            </w:rPr>
          </w:pPr>
          <w:r>
            <w:rPr>
              <w:rFonts w:ascii="Arial" w:hAnsi="Arial" w:cs="Arial"/>
              <w:color w:val="A5A5A5" w:themeColor="accent3"/>
              <w:sz w:val="40"/>
              <w:szCs w:val="40"/>
            </w:rPr>
            <w:t>January 2020</w:t>
          </w:r>
          <w:r w:rsidR="00F915F2" w:rsidRPr="006815C9">
            <w:rPr>
              <w:sz w:val="72"/>
              <w:szCs w:val="72"/>
            </w:rPr>
            <w:br w:type="page"/>
          </w:r>
        </w:p>
      </w:sdtContent>
    </w:sdt>
    <w:p w14:paraId="48878357" w14:textId="183E8097" w:rsidR="00F15782" w:rsidRPr="006815C9" w:rsidRDefault="00F15782"/>
    <w:p w14:paraId="3B7B9129" w14:textId="4EFD7571" w:rsidR="00962416" w:rsidRPr="006815C9" w:rsidRDefault="00962416"/>
    <w:p w14:paraId="4CF0DA8F" w14:textId="77777777" w:rsidR="00962416" w:rsidRPr="006815C9" w:rsidRDefault="00962416"/>
    <w:p w14:paraId="44FA29E2" w14:textId="77777777" w:rsidR="00962416" w:rsidRPr="006815C9" w:rsidRDefault="00962416"/>
    <w:p w14:paraId="4C25AC13" w14:textId="77777777" w:rsidR="00962416" w:rsidRPr="006815C9" w:rsidRDefault="00962416"/>
    <w:p w14:paraId="5C474119" w14:textId="77777777" w:rsidR="00962416" w:rsidRPr="006815C9" w:rsidRDefault="00962416"/>
    <w:p w14:paraId="34994103" w14:textId="77777777" w:rsidR="00962416" w:rsidRPr="006815C9" w:rsidRDefault="00962416"/>
    <w:p w14:paraId="38E6C5CF" w14:textId="2B1BB64F" w:rsidR="000961C3" w:rsidRPr="006815C9" w:rsidRDefault="000961C3"/>
    <w:p w14:paraId="35FC4CD1" w14:textId="77777777" w:rsidR="000961C3" w:rsidRPr="006815C9" w:rsidRDefault="000961C3"/>
    <w:p w14:paraId="0B0EA641" w14:textId="77777777" w:rsidR="000961C3" w:rsidRPr="006815C9" w:rsidRDefault="000961C3"/>
    <w:p w14:paraId="765FDD43" w14:textId="77777777" w:rsidR="00962416" w:rsidRPr="006815C9" w:rsidRDefault="00962416"/>
    <w:p w14:paraId="1D2D5724" w14:textId="3D9B46A0" w:rsidR="00962416" w:rsidRPr="006815C9" w:rsidRDefault="008D4B7C" w:rsidP="00962416">
      <w:pPr>
        <w:pStyle w:val="NormalWeb"/>
        <w:shd w:val="clear" w:color="auto" w:fill="F4F4F4"/>
        <w:rPr>
          <w:rFonts w:asciiTheme="minorHAnsi" w:hAnsiTheme="minorHAnsi" w:cstheme="minorHAnsi"/>
          <w:color w:val="666666"/>
          <w:sz w:val="18"/>
          <w:szCs w:val="20"/>
          <w:lang w:val="en"/>
        </w:rPr>
      </w:pPr>
      <w:r>
        <w:rPr>
          <w:rFonts w:asciiTheme="minorHAnsi" w:hAnsiTheme="minorHAnsi" w:cstheme="minorHAnsi"/>
          <w:color w:val="666666"/>
          <w:sz w:val="18"/>
          <w:szCs w:val="20"/>
          <w:lang w:val="en"/>
        </w:rPr>
        <w:t>© Commonwealth of Australia 2020</w:t>
      </w:r>
    </w:p>
    <w:p w14:paraId="6F74C589" w14:textId="77777777" w:rsidR="00962416" w:rsidRPr="006815C9" w:rsidRDefault="00962416" w:rsidP="00962416">
      <w:pPr>
        <w:pStyle w:val="NormalWeb"/>
        <w:shd w:val="clear" w:color="auto" w:fill="F4F4F4"/>
        <w:rPr>
          <w:rFonts w:asciiTheme="minorHAnsi" w:hAnsiTheme="minorHAnsi" w:cstheme="minorHAnsi"/>
          <w:b/>
          <w:color w:val="666666"/>
          <w:sz w:val="18"/>
          <w:szCs w:val="20"/>
          <w:lang w:val="en"/>
        </w:rPr>
      </w:pPr>
      <w:r w:rsidRPr="006815C9">
        <w:rPr>
          <w:rFonts w:asciiTheme="minorHAnsi" w:hAnsiTheme="minorHAnsi" w:cstheme="minorHAnsi"/>
          <w:b/>
          <w:color w:val="666666"/>
          <w:sz w:val="18"/>
          <w:szCs w:val="20"/>
          <w:lang w:val="en"/>
        </w:rPr>
        <w:t>Ownership of intellectual property rights</w:t>
      </w:r>
    </w:p>
    <w:p w14:paraId="6DCB0138" w14:textId="77777777" w:rsidR="00962416" w:rsidRPr="006815C9" w:rsidRDefault="00962416" w:rsidP="00962416">
      <w:pPr>
        <w:pStyle w:val="NormalWeb"/>
        <w:shd w:val="clear" w:color="auto" w:fill="F4F4F4"/>
        <w:rPr>
          <w:rFonts w:asciiTheme="minorHAnsi" w:hAnsiTheme="minorHAnsi" w:cstheme="minorHAnsi"/>
          <w:color w:val="666666"/>
          <w:sz w:val="18"/>
          <w:szCs w:val="20"/>
          <w:lang w:val="en"/>
        </w:rPr>
      </w:pPr>
      <w:r w:rsidRPr="006815C9">
        <w:rPr>
          <w:rFonts w:asciiTheme="minorHAnsi" w:hAnsiTheme="minorHAnsi" w:cstheme="minorHAnsi"/>
          <w:color w:val="666666"/>
          <w:sz w:val="18"/>
          <w:szCs w:val="20"/>
          <w:lang w:val="en"/>
        </w:rPr>
        <w:t>Unless otherwise noted, copyright (and any other intellectual property rights, if any) in this publication is owned by the Commonwealth of Australia.</w:t>
      </w:r>
    </w:p>
    <w:p w14:paraId="3B8A857C" w14:textId="77777777" w:rsidR="00AE6356" w:rsidRPr="006815C9" w:rsidRDefault="00AE6356" w:rsidP="00AE6356">
      <w:pPr>
        <w:autoSpaceDE w:val="0"/>
        <w:autoSpaceDN w:val="0"/>
        <w:adjustRightInd w:val="0"/>
        <w:spacing w:after="0" w:line="240" w:lineRule="auto"/>
        <w:rPr>
          <w:rFonts w:eastAsia="Times New Roman" w:cstheme="minorHAnsi"/>
          <w:b/>
          <w:color w:val="666666"/>
          <w:sz w:val="18"/>
          <w:szCs w:val="20"/>
          <w:lang w:val="en" w:eastAsia="en-AU"/>
        </w:rPr>
      </w:pPr>
      <w:r w:rsidRPr="006815C9">
        <w:rPr>
          <w:rFonts w:eastAsia="Times New Roman" w:cstheme="minorHAnsi"/>
          <w:b/>
          <w:color w:val="666666"/>
          <w:sz w:val="18"/>
          <w:szCs w:val="20"/>
          <w:lang w:val="en" w:eastAsia="en-AU"/>
        </w:rPr>
        <w:t xml:space="preserve">Creative Commons licence </w:t>
      </w:r>
    </w:p>
    <w:p w14:paraId="4C2FC3B5" w14:textId="5998F1AD" w:rsidR="00AE6356" w:rsidRPr="006815C9" w:rsidRDefault="00AE6356" w:rsidP="00AE6356">
      <w:pPr>
        <w:autoSpaceDE w:val="0"/>
        <w:autoSpaceDN w:val="0"/>
        <w:adjustRightInd w:val="0"/>
        <w:spacing w:before="100" w:after="0" w:line="241" w:lineRule="atLeast"/>
        <w:rPr>
          <w:rFonts w:eastAsia="Times New Roman" w:cstheme="minorHAnsi"/>
          <w:color w:val="666666"/>
          <w:sz w:val="18"/>
          <w:szCs w:val="20"/>
          <w:lang w:val="en" w:eastAsia="en-AU"/>
        </w:rPr>
      </w:pPr>
      <w:r w:rsidRPr="006815C9">
        <w:rPr>
          <w:rFonts w:eastAsia="Times New Roman" w:cstheme="minorHAnsi"/>
          <w:noProof/>
          <w:color w:val="666666"/>
          <w:sz w:val="18"/>
          <w:szCs w:val="20"/>
          <w:lang w:eastAsia="en-AU"/>
        </w:rPr>
        <w:drawing>
          <wp:inline distT="0" distB="0" distL="0" distR="0" wp14:anchorId="73C2F76B" wp14:editId="256EDD4F">
            <wp:extent cx="985652" cy="342405"/>
            <wp:effectExtent l="0" t="0" r="5080" b="635"/>
            <wp:docPr id="3" name="Picture 3"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309" cy="349234"/>
                    </a:xfrm>
                    <a:prstGeom prst="rect">
                      <a:avLst/>
                    </a:prstGeom>
                    <a:noFill/>
                    <a:ln>
                      <a:noFill/>
                    </a:ln>
                  </pic:spPr>
                </pic:pic>
              </a:graphicData>
            </a:graphic>
          </wp:inline>
        </w:drawing>
      </w:r>
    </w:p>
    <w:p w14:paraId="01F03931" w14:textId="77777777" w:rsidR="00AE6356" w:rsidRPr="006815C9" w:rsidRDefault="00AE6356" w:rsidP="00962416">
      <w:pPr>
        <w:pStyle w:val="NormalWeb"/>
        <w:shd w:val="clear" w:color="auto" w:fill="F4F4F4"/>
        <w:rPr>
          <w:rFonts w:asciiTheme="minorHAnsi" w:hAnsiTheme="minorHAnsi" w:cstheme="minorHAnsi"/>
          <w:color w:val="666666"/>
          <w:sz w:val="18"/>
          <w:szCs w:val="20"/>
          <w:lang w:val="en"/>
        </w:rPr>
      </w:pPr>
      <w:r w:rsidRPr="006815C9">
        <w:rPr>
          <w:rFonts w:asciiTheme="minorHAnsi" w:hAnsiTheme="minorHAnsi" w:cstheme="minorHAnsi"/>
          <w:color w:val="666666"/>
          <w:sz w:val="18"/>
          <w:szCs w:val="20"/>
          <w:lang w:val="en"/>
        </w:rPr>
        <w:t xml:space="preserve">All material in this publication is licensed under a Creative Commons Attribution 4.0 International Licence, save for content supplied by third parties, logos, any material protected by trademark or otherwise noted in this publication, and the Commonwealth Coat of Arms. Creative Commons Attribution 4.0 International Licence is a standard form licence agreement that allows you to copy, distribute, transmit and adapt this publication provided you attribute the work. A summary of the licence terms is available from https://creativecommons.org/licenses/by/4.0/ </w:t>
      </w:r>
    </w:p>
    <w:p w14:paraId="6F1A9247" w14:textId="393084F1" w:rsidR="00B13058" w:rsidRPr="006815C9" w:rsidRDefault="00AE6356" w:rsidP="00962416">
      <w:pPr>
        <w:pStyle w:val="NormalWeb"/>
        <w:shd w:val="clear" w:color="auto" w:fill="F4F4F4"/>
        <w:rPr>
          <w:rFonts w:asciiTheme="minorHAnsi" w:hAnsiTheme="minorHAnsi" w:cstheme="minorHAnsi"/>
          <w:color w:val="666666"/>
          <w:sz w:val="18"/>
          <w:szCs w:val="20"/>
          <w:lang w:val="en"/>
        </w:rPr>
      </w:pPr>
      <w:r w:rsidRPr="006815C9">
        <w:rPr>
          <w:rFonts w:asciiTheme="minorHAnsi" w:hAnsiTheme="minorHAnsi" w:cstheme="minorHAnsi"/>
          <w:color w:val="666666"/>
          <w:sz w:val="18"/>
          <w:szCs w:val="20"/>
          <w:lang w:val="en"/>
        </w:rPr>
        <w:t xml:space="preserve">The full licence terms are available from https://creativecommons.org/licenses/ by/4.0/legalcode </w:t>
      </w:r>
    </w:p>
    <w:p w14:paraId="2D843B75" w14:textId="77777777" w:rsidR="00962416" w:rsidRPr="006815C9" w:rsidRDefault="00962416" w:rsidP="00962416">
      <w:pPr>
        <w:pStyle w:val="NormalWeb"/>
        <w:shd w:val="clear" w:color="auto" w:fill="F4F4F4"/>
        <w:rPr>
          <w:rFonts w:asciiTheme="minorHAnsi" w:hAnsiTheme="minorHAnsi" w:cstheme="minorHAnsi"/>
          <w:color w:val="666666"/>
          <w:sz w:val="18"/>
          <w:szCs w:val="20"/>
          <w:lang w:val="en"/>
        </w:rPr>
      </w:pPr>
      <w:r w:rsidRPr="006815C9">
        <w:rPr>
          <w:rFonts w:asciiTheme="minorHAnsi" w:hAnsiTheme="minorHAnsi" w:cstheme="minorHAnsi"/>
          <w:color w:val="666666"/>
          <w:sz w:val="18"/>
          <w:szCs w:val="20"/>
          <w:lang w:val="en"/>
        </w:rPr>
        <w:t xml:space="preserve">Content contained herein should be attributed as Review of the Australian Domestic Gas Security Mechanism. </w:t>
      </w:r>
    </w:p>
    <w:p w14:paraId="3567A808" w14:textId="77777777" w:rsidR="006D433E" w:rsidRPr="006815C9" w:rsidRDefault="00962416" w:rsidP="00962416">
      <w:pPr>
        <w:shd w:val="clear" w:color="auto" w:fill="F4F4F4"/>
        <w:spacing w:before="100" w:beforeAutospacing="1" w:after="100" w:afterAutospacing="1" w:line="240" w:lineRule="auto"/>
        <w:rPr>
          <w:rFonts w:eastAsia="Times New Roman" w:cstheme="minorHAnsi"/>
          <w:b/>
          <w:color w:val="666666"/>
          <w:sz w:val="18"/>
          <w:szCs w:val="24"/>
          <w:lang w:val="en" w:eastAsia="en-AU"/>
        </w:rPr>
      </w:pPr>
      <w:r w:rsidRPr="006815C9">
        <w:rPr>
          <w:rFonts w:eastAsia="Times New Roman" w:cstheme="minorHAnsi"/>
          <w:b/>
          <w:color w:val="666666"/>
          <w:sz w:val="18"/>
          <w:szCs w:val="24"/>
          <w:lang w:val="en" w:eastAsia="en-AU"/>
        </w:rPr>
        <w:t>Disclaimer:</w:t>
      </w:r>
    </w:p>
    <w:p w14:paraId="59980890" w14:textId="64A60B27" w:rsidR="00962416" w:rsidRPr="006815C9" w:rsidRDefault="00962416" w:rsidP="00962416">
      <w:pPr>
        <w:shd w:val="clear" w:color="auto" w:fill="F4F4F4"/>
        <w:spacing w:before="100" w:beforeAutospacing="1" w:after="100" w:afterAutospacing="1" w:line="240" w:lineRule="auto"/>
        <w:rPr>
          <w:rFonts w:eastAsia="Times New Roman" w:cstheme="minorHAnsi"/>
          <w:color w:val="666666"/>
          <w:sz w:val="18"/>
          <w:szCs w:val="20"/>
          <w:lang w:val="en" w:eastAsia="en-AU"/>
        </w:rPr>
      </w:pPr>
      <w:r w:rsidRPr="006815C9">
        <w:rPr>
          <w:rFonts w:eastAsia="Times New Roman" w:cstheme="minorHAnsi"/>
          <w:color w:val="666666"/>
          <w:sz w:val="18"/>
          <w:szCs w:val="20"/>
          <w:lang w:val="en" w:eastAsia="en-AU"/>
        </w:rPr>
        <w:t>The Australian Government as represented by the Department of Industry, Innovation and Science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30D7EBC9" w14:textId="77777777" w:rsidR="00F15782" w:rsidRPr="006815C9" w:rsidRDefault="00F15782">
      <w:r w:rsidRPr="006815C9">
        <w:br w:type="page"/>
      </w:r>
    </w:p>
    <w:p w14:paraId="1F79A1BD" w14:textId="77777777" w:rsidR="00207168" w:rsidRPr="006815C9" w:rsidRDefault="00207168"/>
    <w:bookmarkStart w:id="0" w:name="_Toc29823298" w:displacedByCustomXml="next"/>
    <w:bookmarkStart w:id="1" w:name="_Toc26454509" w:displacedByCustomXml="next"/>
    <w:bookmarkStart w:id="2" w:name="_Toc26448227" w:displacedByCustomXml="next"/>
    <w:bookmarkStart w:id="3" w:name="_Toc21705332" w:displacedByCustomXml="next"/>
    <w:bookmarkStart w:id="4" w:name="_Toc20469257" w:displacedByCustomXml="next"/>
    <w:bookmarkStart w:id="5" w:name="_Toc20410638" w:displacedByCustomXml="next"/>
    <w:bookmarkStart w:id="6" w:name="_Toc20412164" w:displacedByCustomXml="next"/>
    <w:bookmarkStart w:id="7" w:name="_Toc19803023" w:displacedByCustomXml="next"/>
    <w:bookmarkStart w:id="8" w:name="_Toc19804070" w:displacedByCustomXml="next"/>
    <w:bookmarkStart w:id="9" w:name="_Toc19804270" w:displacedByCustomXml="next"/>
    <w:bookmarkStart w:id="10" w:name="_Toc19804516" w:displacedByCustomXml="next"/>
    <w:bookmarkStart w:id="11" w:name="_Toc19720109" w:displacedByCustomXml="next"/>
    <w:bookmarkStart w:id="12" w:name="_Toc19717422" w:displacedByCustomXml="next"/>
    <w:bookmarkStart w:id="13" w:name="_Toc19537945" w:displacedByCustomXml="next"/>
    <w:bookmarkStart w:id="14" w:name="_Toc19545351" w:displacedByCustomXml="next"/>
    <w:bookmarkStart w:id="15" w:name="_Toc19611824" w:displacedByCustomXml="next"/>
    <w:bookmarkStart w:id="16" w:name="_Toc19628617" w:displacedByCustomXml="next"/>
    <w:bookmarkStart w:id="17" w:name="_Toc19628577" w:displacedByCustomXml="next"/>
    <w:bookmarkStart w:id="18" w:name="_Toc19789952" w:displacedByCustomXml="next"/>
    <w:bookmarkStart w:id="19" w:name="_Toc19889147" w:displacedByCustomXml="next"/>
    <w:bookmarkStart w:id="20" w:name="_Toc19888520" w:displacedByCustomXml="next"/>
    <w:bookmarkStart w:id="21" w:name="_Toc20232919" w:displacedByCustomXml="next"/>
    <w:bookmarkStart w:id="22" w:name="_Toc20237729" w:displacedByCustomXml="next"/>
    <w:bookmarkStart w:id="23" w:name="_Toc20322433" w:displacedByCustomXml="next"/>
    <w:bookmarkStart w:id="24" w:name="_Toc20322015" w:displacedByCustomXml="next"/>
    <w:bookmarkStart w:id="25" w:name="_Toc20397999" w:displacedByCustomXml="next"/>
    <w:bookmarkStart w:id="26" w:name="_Toc20401000" w:displacedByCustomXml="next"/>
    <w:bookmarkStart w:id="27" w:name="_Toc26349910" w:displacedByCustomXml="next"/>
    <w:sdt>
      <w:sdtPr>
        <w:rPr>
          <w:rFonts w:asciiTheme="minorHAnsi" w:eastAsiaTheme="minorHAnsi" w:hAnsiTheme="minorHAnsi" w:cstheme="minorBidi"/>
          <w:spacing w:val="0"/>
          <w:kern w:val="0"/>
          <w:sz w:val="22"/>
          <w:szCs w:val="22"/>
        </w:rPr>
        <w:id w:val="1884445954"/>
        <w:docPartObj>
          <w:docPartGallery w:val="Table of Contents"/>
          <w:docPartUnique/>
        </w:docPartObj>
      </w:sdtPr>
      <w:sdtEndPr>
        <w:rPr>
          <w:b/>
          <w:bCs/>
          <w:noProof/>
        </w:rPr>
      </w:sdtEndPr>
      <w:sdtContent>
        <w:p w14:paraId="63B720C2" w14:textId="76911D9A" w:rsidR="00F35895" w:rsidRPr="006815C9" w:rsidRDefault="00F35895" w:rsidP="00300949">
          <w:pPr>
            <w:pStyle w:val="Title"/>
          </w:pPr>
          <w:r w:rsidRPr="006815C9">
            <w:t>Contents</w:t>
          </w:r>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p w14:paraId="260401B3" w14:textId="77777777" w:rsidR="00991B03" w:rsidRDefault="00F35895">
          <w:pPr>
            <w:pStyle w:val="TOC1"/>
            <w:rPr>
              <w:rFonts w:eastAsiaTheme="minorEastAsia"/>
              <w:b w:val="0"/>
              <w:lang w:eastAsia="en-AU"/>
            </w:rPr>
          </w:pPr>
          <w:r w:rsidRPr="006815C9">
            <w:fldChar w:fldCharType="begin"/>
          </w:r>
          <w:r w:rsidRPr="006815C9">
            <w:rPr>
              <w:b w:val="0"/>
              <w:bCs/>
            </w:rPr>
            <w:instrText xml:space="preserve"> TOC \o "1-3" \h \z \u </w:instrText>
          </w:r>
          <w:r w:rsidRPr="006815C9">
            <w:fldChar w:fldCharType="separate"/>
          </w:r>
          <w:hyperlink w:anchor="_Toc29823298" w:history="1">
            <w:r w:rsidR="00991B03" w:rsidRPr="00F06A14">
              <w:rPr>
                <w:rStyle w:val="Hyperlink"/>
              </w:rPr>
              <w:t>Contents</w:t>
            </w:r>
            <w:r w:rsidR="00991B03">
              <w:rPr>
                <w:webHidden/>
              </w:rPr>
              <w:tab/>
            </w:r>
            <w:r w:rsidR="00991B03">
              <w:rPr>
                <w:webHidden/>
              </w:rPr>
              <w:fldChar w:fldCharType="begin"/>
            </w:r>
            <w:r w:rsidR="00991B03">
              <w:rPr>
                <w:webHidden/>
              </w:rPr>
              <w:instrText xml:space="preserve"> PAGEREF _Toc29823298 \h </w:instrText>
            </w:r>
            <w:r w:rsidR="00991B03">
              <w:rPr>
                <w:webHidden/>
              </w:rPr>
            </w:r>
            <w:r w:rsidR="00991B03">
              <w:rPr>
                <w:webHidden/>
              </w:rPr>
              <w:fldChar w:fldCharType="separate"/>
            </w:r>
            <w:r w:rsidR="00E41BD3">
              <w:rPr>
                <w:webHidden/>
              </w:rPr>
              <w:t>2</w:t>
            </w:r>
            <w:r w:rsidR="00991B03">
              <w:rPr>
                <w:webHidden/>
              </w:rPr>
              <w:fldChar w:fldCharType="end"/>
            </w:r>
          </w:hyperlink>
        </w:p>
        <w:p w14:paraId="02C1FA6F" w14:textId="77777777" w:rsidR="00991B03" w:rsidRDefault="00E41BD3">
          <w:pPr>
            <w:pStyle w:val="TOC1"/>
            <w:rPr>
              <w:rFonts w:eastAsiaTheme="minorEastAsia"/>
              <w:b w:val="0"/>
              <w:lang w:eastAsia="en-AU"/>
            </w:rPr>
          </w:pPr>
          <w:hyperlink w:anchor="_Toc29823299" w:history="1">
            <w:r w:rsidR="00991B03" w:rsidRPr="00F06A14">
              <w:rPr>
                <w:rStyle w:val="Hyperlink"/>
              </w:rPr>
              <w:t>Executive Summary</w:t>
            </w:r>
            <w:r w:rsidR="00991B03">
              <w:rPr>
                <w:webHidden/>
              </w:rPr>
              <w:tab/>
            </w:r>
            <w:r w:rsidR="00991B03">
              <w:rPr>
                <w:webHidden/>
              </w:rPr>
              <w:fldChar w:fldCharType="begin"/>
            </w:r>
            <w:r w:rsidR="00991B03">
              <w:rPr>
                <w:webHidden/>
              </w:rPr>
              <w:instrText xml:space="preserve"> PAGEREF _Toc29823299 \h </w:instrText>
            </w:r>
            <w:r w:rsidR="00991B03">
              <w:rPr>
                <w:webHidden/>
              </w:rPr>
            </w:r>
            <w:r w:rsidR="00991B03">
              <w:rPr>
                <w:webHidden/>
              </w:rPr>
              <w:fldChar w:fldCharType="separate"/>
            </w:r>
            <w:r>
              <w:rPr>
                <w:webHidden/>
              </w:rPr>
              <w:t>3</w:t>
            </w:r>
            <w:r w:rsidR="00991B03">
              <w:rPr>
                <w:webHidden/>
              </w:rPr>
              <w:fldChar w:fldCharType="end"/>
            </w:r>
          </w:hyperlink>
        </w:p>
        <w:p w14:paraId="66B135F6" w14:textId="77777777" w:rsidR="00991B03" w:rsidRDefault="00E41BD3">
          <w:pPr>
            <w:pStyle w:val="TOC1"/>
            <w:tabs>
              <w:tab w:val="left" w:pos="440"/>
            </w:tabs>
            <w:rPr>
              <w:rFonts w:eastAsiaTheme="minorEastAsia"/>
              <w:b w:val="0"/>
              <w:lang w:eastAsia="en-AU"/>
            </w:rPr>
          </w:pPr>
          <w:hyperlink w:anchor="_Toc29823300" w:history="1">
            <w:r w:rsidR="00991B03" w:rsidRPr="00F06A14">
              <w:rPr>
                <w:rStyle w:val="Hyperlink"/>
              </w:rPr>
              <w:t>1</w:t>
            </w:r>
            <w:r w:rsidR="00991B03">
              <w:rPr>
                <w:rFonts w:eastAsiaTheme="minorEastAsia"/>
                <w:b w:val="0"/>
                <w:lang w:eastAsia="en-AU"/>
              </w:rPr>
              <w:tab/>
            </w:r>
            <w:r w:rsidR="00991B03" w:rsidRPr="00F06A14">
              <w:rPr>
                <w:rStyle w:val="Hyperlink"/>
              </w:rPr>
              <w:t>Introduction</w:t>
            </w:r>
            <w:r w:rsidR="00991B03">
              <w:rPr>
                <w:webHidden/>
              </w:rPr>
              <w:tab/>
            </w:r>
            <w:r w:rsidR="00991B03">
              <w:rPr>
                <w:webHidden/>
              </w:rPr>
              <w:fldChar w:fldCharType="begin"/>
            </w:r>
            <w:r w:rsidR="00991B03">
              <w:rPr>
                <w:webHidden/>
              </w:rPr>
              <w:instrText xml:space="preserve"> PAGEREF _Toc29823300 \h </w:instrText>
            </w:r>
            <w:r w:rsidR="00991B03">
              <w:rPr>
                <w:webHidden/>
              </w:rPr>
            </w:r>
            <w:r w:rsidR="00991B03">
              <w:rPr>
                <w:webHidden/>
              </w:rPr>
              <w:fldChar w:fldCharType="separate"/>
            </w:r>
            <w:r>
              <w:rPr>
                <w:webHidden/>
              </w:rPr>
              <w:t>6</w:t>
            </w:r>
            <w:r w:rsidR="00991B03">
              <w:rPr>
                <w:webHidden/>
              </w:rPr>
              <w:fldChar w:fldCharType="end"/>
            </w:r>
          </w:hyperlink>
        </w:p>
        <w:p w14:paraId="376FFCB5" w14:textId="77777777" w:rsidR="00991B03" w:rsidRDefault="00E41BD3">
          <w:pPr>
            <w:pStyle w:val="TOC2"/>
            <w:tabs>
              <w:tab w:val="left" w:pos="880"/>
              <w:tab w:val="right" w:leader="dot" w:pos="9016"/>
            </w:tabs>
            <w:rPr>
              <w:rFonts w:eastAsiaTheme="minorEastAsia"/>
              <w:noProof/>
              <w:lang w:eastAsia="en-AU"/>
            </w:rPr>
          </w:pPr>
          <w:hyperlink w:anchor="_Toc29823301" w:history="1">
            <w:r w:rsidR="00991B03" w:rsidRPr="00F06A14">
              <w:rPr>
                <w:rStyle w:val="Hyperlink"/>
                <w:noProof/>
              </w:rPr>
              <w:t>1.1</w:t>
            </w:r>
            <w:r w:rsidR="00991B03">
              <w:rPr>
                <w:rFonts w:eastAsiaTheme="minorEastAsia"/>
                <w:noProof/>
                <w:lang w:eastAsia="en-AU"/>
              </w:rPr>
              <w:tab/>
            </w:r>
            <w:r w:rsidR="00991B03" w:rsidRPr="00F06A14">
              <w:rPr>
                <w:rStyle w:val="Hyperlink"/>
                <w:noProof/>
              </w:rPr>
              <w:t>Review purpose</w:t>
            </w:r>
            <w:r w:rsidR="00991B03">
              <w:rPr>
                <w:noProof/>
                <w:webHidden/>
              </w:rPr>
              <w:tab/>
            </w:r>
            <w:r w:rsidR="00991B03">
              <w:rPr>
                <w:noProof/>
                <w:webHidden/>
              </w:rPr>
              <w:fldChar w:fldCharType="begin"/>
            </w:r>
            <w:r w:rsidR="00991B03">
              <w:rPr>
                <w:noProof/>
                <w:webHidden/>
              </w:rPr>
              <w:instrText xml:space="preserve"> PAGEREF _Toc29823301 \h </w:instrText>
            </w:r>
            <w:r w:rsidR="00991B03">
              <w:rPr>
                <w:noProof/>
                <w:webHidden/>
              </w:rPr>
            </w:r>
            <w:r w:rsidR="00991B03">
              <w:rPr>
                <w:noProof/>
                <w:webHidden/>
              </w:rPr>
              <w:fldChar w:fldCharType="separate"/>
            </w:r>
            <w:r>
              <w:rPr>
                <w:noProof/>
                <w:webHidden/>
              </w:rPr>
              <w:t>6</w:t>
            </w:r>
            <w:r w:rsidR="00991B03">
              <w:rPr>
                <w:noProof/>
                <w:webHidden/>
              </w:rPr>
              <w:fldChar w:fldCharType="end"/>
            </w:r>
          </w:hyperlink>
        </w:p>
        <w:p w14:paraId="5E3E6A2B" w14:textId="77777777" w:rsidR="00991B03" w:rsidRDefault="00E41BD3">
          <w:pPr>
            <w:pStyle w:val="TOC2"/>
            <w:tabs>
              <w:tab w:val="left" w:pos="880"/>
              <w:tab w:val="right" w:leader="dot" w:pos="9016"/>
            </w:tabs>
            <w:rPr>
              <w:rFonts w:eastAsiaTheme="minorEastAsia"/>
              <w:noProof/>
              <w:lang w:eastAsia="en-AU"/>
            </w:rPr>
          </w:pPr>
          <w:hyperlink w:anchor="_Toc29823302" w:history="1">
            <w:r w:rsidR="00991B03" w:rsidRPr="00F06A14">
              <w:rPr>
                <w:rStyle w:val="Hyperlink"/>
                <w:noProof/>
              </w:rPr>
              <w:t>1.2</w:t>
            </w:r>
            <w:r w:rsidR="00991B03">
              <w:rPr>
                <w:rFonts w:eastAsiaTheme="minorEastAsia"/>
                <w:noProof/>
                <w:lang w:eastAsia="en-AU"/>
              </w:rPr>
              <w:tab/>
            </w:r>
            <w:r w:rsidR="00991B03" w:rsidRPr="00F06A14">
              <w:rPr>
                <w:rStyle w:val="Hyperlink"/>
                <w:noProof/>
              </w:rPr>
              <w:t>Scope</w:t>
            </w:r>
            <w:r w:rsidR="00991B03">
              <w:rPr>
                <w:noProof/>
                <w:webHidden/>
              </w:rPr>
              <w:tab/>
            </w:r>
            <w:r w:rsidR="00991B03">
              <w:rPr>
                <w:noProof/>
                <w:webHidden/>
              </w:rPr>
              <w:fldChar w:fldCharType="begin"/>
            </w:r>
            <w:r w:rsidR="00991B03">
              <w:rPr>
                <w:noProof/>
                <w:webHidden/>
              </w:rPr>
              <w:instrText xml:space="preserve"> PAGEREF _Toc29823302 \h </w:instrText>
            </w:r>
            <w:r w:rsidR="00991B03">
              <w:rPr>
                <w:noProof/>
                <w:webHidden/>
              </w:rPr>
            </w:r>
            <w:r w:rsidR="00991B03">
              <w:rPr>
                <w:noProof/>
                <w:webHidden/>
              </w:rPr>
              <w:fldChar w:fldCharType="separate"/>
            </w:r>
            <w:r>
              <w:rPr>
                <w:noProof/>
                <w:webHidden/>
              </w:rPr>
              <w:t>6</w:t>
            </w:r>
            <w:r w:rsidR="00991B03">
              <w:rPr>
                <w:noProof/>
                <w:webHidden/>
              </w:rPr>
              <w:fldChar w:fldCharType="end"/>
            </w:r>
          </w:hyperlink>
        </w:p>
        <w:p w14:paraId="1B7BD93A" w14:textId="77777777" w:rsidR="00991B03" w:rsidRDefault="00E41BD3">
          <w:pPr>
            <w:pStyle w:val="TOC1"/>
            <w:tabs>
              <w:tab w:val="left" w:pos="440"/>
            </w:tabs>
            <w:rPr>
              <w:rFonts w:eastAsiaTheme="minorEastAsia"/>
              <w:b w:val="0"/>
              <w:lang w:eastAsia="en-AU"/>
            </w:rPr>
          </w:pPr>
          <w:hyperlink w:anchor="_Toc29823303" w:history="1">
            <w:r w:rsidR="00991B03" w:rsidRPr="00F06A14">
              <w:rPr>
                <w:rStyle w:val="Hyperlink"/>
              </w:rPr>
              <w:t>2</w:t>
            </w:r>
            <w:r w:rsidR="00991B03">
              <w:rPr>
                <w:rFonts w:eastAsiaTheme="minorEastAsia"/>
                <w:b w:val="0"/>
                <w:lang w:eastAsia="en-AU"/>
              </w:rPr>
              <w:tab/>
            </w:r>
            <w:r w:rsidR="00991B03" w:rsidRPr="00F06A14">
              <w:rPr>
                <w:rStyle w:val="Hyperlink"/>
              </w:rPr>
              <w:t>Background</w:t>
            </w:r>
            <w:r w:rsidR="00991B03">
              <w:rPr>
                <w:webHidden/>
              </w:rPr>
              <w:tab/>
            </w:r>
            <w:r w:rsidR="00991B03">
              <w:rPr>
                <w:webHidden/>
              </w:rPr>
              <w:fldChar w:fldCharType="begin"/>
            </w:r>
            <w:r w:rsidR="00991B03">
              <w:rPr>
                <w:webHidden/>
              </w:rPr>
              <w:instrText xml:space="preserve"> PAGEREF _Toc29823303 \h </w:instrText>
            </w:r>
            <w:r w:rsidR="00991B03">
              <w:rPr>
                <w:webHidden/>
              </w:rPr>
            </w:r>
            <w:r w:rsidR="00991B03">
              <w:rPr>
                <w:webHidden/>
              </w:rPr>
              <w:fldChar w:fldCharType="separate"/>
            </w:r>
            <w:r>
              <w:rPr>
                <w:webHidden/>
              </w:rPr>
              <w:t>6</w:t>
            </w:r>
            <w:r w:rsidR="00991B03">
              <w:rPr>
                <w:webHidden/>
              </w:rPr>
              <w:fldChar w:fldCharType="end"/>
            </w:r>
          </w:hyperlink>
        </w:p>
        <w:p w14:paraId="7949453B" w14:textId="77777777" w:rsidR="00991B03" w:rsidRDefault="00E41BD3">
          <w:pPr>
            <w:pStyle w:val="TOC2"/>
            <w:tabs>
              <w:tab w:val="left" w:pos="880"/>
              <w:tab w:val="right" w:leader="dot" w:pos="9016"/>
            </w:tabs>
            <w:rPr>
              <w:rFonts w:eastAsiaTheme="minorEastAsia"/>
              <w:noProof/>
              <w:lang w:eastAsia="en-AU"/>
            </w:rPr>
          </w:pPr>
          <w:hyperlink w:anchor="_Toc29823304" w:history="1">
            <w:r w:rsidR="00991B03" w:rsidRPr="00F06A14">
              <w:rPr>
                <w:rStyle w:val="Hyperlink"/>
                <w:noProof/>
              </w:rPr>
              <w:t>2.1</w:t>
            </w:r>
            <w:r w:rsidR="00991B03">
              <w:rPr>
                <w:rFonts w:eastAsiaTheme="minorEastAsia"/>
                <w:noProof/>
                <w:lang w:eastAsia="en-AU"/>
              </w:rPr>
              <w:tab/>
            </w:r>
            <w:r w:rsidR="00991B03" w:rsidRPr="00F06A14">
              <w:rPr>
                <w:rStyle w:val="Hyperlink"/>
                <w:noProof/>
              </w:rPr>
              <w:t>Gas market history</w:t>
            </w:r>
            <w:r w:rsidR="00991B03">
              <w:rPr>
                <w:noProof/>
                <w:webHidden/>
              </w:rPr>
              <w:tab/>
            </w:r>
            <w:r w:rsidR="00991B03">
              <w:rPr>
                <w:noProof/>
                <w:webHidden/>
              </w:rPr>
              <w:fldChar w:fldCharType="begin"/>
            </w:r>
            <w:r w:rsidR="00991B03">
              <w:rPr>
                <w:noProof/>
                <w:webHidden/>
              </w:rPr>
              <w:instrText xml:space="preserve"> PAGEREF _Toc29823304 \h </w:instrText>
            </w:r>
            <w:r w:rsidR="00991B03">
              <w:rPr>
                <w:noProof/>
                <w:webHidden/>
              </w:rPr>
            </w:r>
            <w:r w:rsidR="00991B03">
              <w:rPr>
                <w:noProof/>
                <w:webHidden/>
              </w:rPr>
              <w:fldChar w:fldCharType="separate"/>
            </w:r>
            <w:r>
              <w:rPr>
                <w:noProof/>
                <w:webHidden/>
              </w:rPr>
              <w:t>6</w:t>
            </w:r>
            <w:r w:rsidR="00991B03">
              <w:rPr>
                <w:noProof/>
                <w:webHidden/>
              </w:rPr>
              <w:fldChar w:fldCharType="end"/>
            </w:r>
          </w:hyperlink>
        </w:p>
        <w:p w14:paraId="0AF1ED5C" w14:textId="77777777" w:rsidR="00991B03" w:rsidRDefault="00E41BD3">
          <w:pPr>
            <w:pStyle w:val="TOC2"/>
            <w:tabs>
              <w:tab w:val="left" w:pos="880"/>
              <w:tab w:val="right" w:leader="dot" w:pos="9016"/>
            </w:tabs>
            <w:rPr>
              <w:rFonts w:eastAsiaTheme="minorEastAsia"/>
              <w:noProof/>
              <w:lang w:eastAsia="en-AU"/>
            </w:rPr>
          </w:pPr>
          <w:hyperlink w:anchor="_Toc29823305" w:history="1">
            <w:r w:rsidR="00991B03" w:rsidRPr="00F06A14">
              <w:rPr>
                <w:rStyle w:val="Hyperlink"/>
                <w:noProof/>
              </w:rPr>
              <w:t>2.2</w:t>
            </w:r>
            <w:r w:rsidR="00991B03">
              <w:rPr>
                <w:rFonts w:eastAsiaTheme="minorEastAsia"/>
                <w:noProof/>
                <w:lang w:eastAsia="en-AU"/>
              </w:rPr>
              <w:tab/>
            </w:r>
            <w:r w:rsidR="00991B03" w:rsidRPr="00F06A14">
              <w:rPr>
                <w:rStyle w:val="Hyperlink"/>
                <w:noProof/>
              </w:rPr>
              <w:t>Introduction of the ADGSM</w:t>
            </w:r>
            <w:r w:rsidR="00991B03">
              <w:rPr>
                <w:noProof/>
                <w:webHidden/>
              </w:rPr>
              <w:tab/>
            </w:r>
            <w:r w:rsidR="00991B03">
              <w:rPr>
                <w:noProof/>
                <w:webHidden/>
              </w:rPr>
              <w:fldChar w:fldCharType="begin"/>
            </w:r>
            <w:r w:rsidR="00991B03">
              <w:rPr>
                <w:noProof/>
                <w:webHidden/>
              </w:rPr>
              <w:instrText xml:space="preserve"> PAGEREF _Toc29823305 \h </w:instrText>
            </w:r>
            <w:r w:rsidR="00991B03">
              <w:rPr>
                <w:noProof/>
                <w:webHidden/>
              </w:rPr>
            </w:r>
            <w:r w:rsidR="00991B03">
              <w:rPr>
                <w:noProof/>
                <w:webHidden/>
              </w:rPr>
              <w:fldChar w:fldCharType="separate"/>
            </w:r>
            <w:r>
              <w:rPr>
                <w:noProof/>
                <w:webHidden/>
              </w:rPr>
              <w:t>7</w:t>
            </w:r>
            <w:r w:rsidR="00991B03">
              <w:rPr>
                <w:noProof/>
                <w:webHidden/>
              </w:rPr>
              <w:fldChar w:fldCharType="end"/>
            </w:r>
          </w:hyperlink>
        </w:p>
        <w:p w14:paraId="7E2B9EE3" w14:textId="77777777" w:rsidR="00991B03" w:rsidRDefault="00E41BD3">
          <w:pPr>
            <w:pStyle w:val="TOC2"/>
            <w:tabs>
              <w:tab w:val="left" w:pos="880"/>
              <w:tab w:val="right" w:leader="dot" w:pos="9016"/>
            </w:tabs>
            <w:rPr>
              <w:rFonts w:eastAsiaTheme="minorEastAsia"/>
              <w:noProof/>
              <w:lang w:eastAsia="en-AU"/>
            </w:rPr>
          </w:pPr>
          <w:hyperlink w:anchor="_Toc29823306" w:history="1">
            <w:r w:rsidR="00991B03" w:rsidRPr="00F06A14">
              <w:rPr>
                <w:rStyle w:val="Hyperlink"/>
                <w:noProof/>
              </w:rPr>
              <w:t>2.3</w:t>
            </w:r>
            <w:r w:rsidR="00991B03">
              <w:rPr>
                <w:rFonts w:eastAsiaTheme="minorEastAsia"/>
                <w:noProof/>
                <w:lang w:eastAsia="en-AU"/>
              </w:rPr>
              <w:tab/>
            </w:r>
            <w:r w:rsidR="00991B03" w:rsidRPr="00F06A14">
              <w:rPr>
                <w:rStyle w:val="Hyperlink"/>
                <w:noProof/>
              </w:rPr>
              <w:t>Operation of the ADGSM</w:t>
            </w:r>
            <w:r w:rsidR="00991B03">
              <w:rPr>
                <w:noProof/>
                <w:webHidden/>
              </w:rPr>
              <w:tab/>
            </w:r>
            <w:r w:rsidR="00991B03">
              <w:rPr>
                <w:noProof/>
                <w:webHidden/>
              </w:rPr>
              <w:fldChar w:fldCharType="begin"/>
            </w:r>
            <w:r w:rsidR="00991B03">
              <w:rPr>
                <w:noProof/>
                <w:webHidden/>
              </w:rPr>
              <w:instrText xml:space="preserve"> PAGEREF _Toc29823306 \h </w:instrText>
            </w:r>
            <w:r w:rsidR="00991B03">
              <w:rPr>
                <w:noProof/>
                <w:webHidden/>
              </w:rPr>
            </w:r>
            <w:r w:rsidR="00991B03">
              <w:rPr>
                <w:noProof/>
                <w:webHidden/>
              </w:rPr>
              <w:fldChar w:fldCharType="separate"/>
            </w:r>
            <w:r>
              <w:rPr>
                <w:noProof/>
                <w:webHidden/>
              </w:rPr>
              <w:t>9</w:t>
            </w:r>
            <w:r w:rsidR="00991B03">
              <w:rPr>
                <w:noProof/>
                <w:webHidden/>
              </w:rPr>
              <w:fldChar w:fldCharType="end"/>
            </w:r>
          </w:hyperlink>
        </w:p>
        <w:p w14:paraId="6A7B5AB5" w14:textId="77777777" w:rsidR="00991B03" w:rsidRDefault="00E41BD3">
          <w:pPr>
            <w:pStyle w:val="TOC2"/>
            <w:tabs>
              <w:tab w:val="left" w:pos="880"/>
              <w:tab w:val="right" w:leader="dot" w:pos="9016"/>
            </w:tabs>
            <w:rPr>
              <w:rFonts w:eastAsiaTheme="minorEastAsia"/>
              <w:noProof/>
              <w:lang w:eastAsia="en-AU"/>
            </w:rPr>
          </w:pPr>
          <w:hyperlink w:anchor="_Toc29823307" w:history="1">
            <w:r w:rsidR="00991B03" w:rsidRPr="00F06A14">
              <w:rPr>
                <w:rStyle w:val="Hyperlink"/>
                <w:noProof/>
              </w:rPr>
              <w:t>2.4</w:t>
            </w:r>
            <w:r w:rsidR="00991B03">
              <w:rPr>
                <w:rFonts w:eastAsiaTheme="minorEastAsia"/>
                <w:noProof/>
                <w:lang w:eastAsia="en-AU"/>
              </w:rPr>
              <w:tab/>
            </w:r>
            <w:r w:rsidR="00991B03" w:rsidRPr="00F06A14">
              <w:rPr>
                <w:rStyle w:val="Hyperlink"/>
                <w:noProof/>
              </w:rPr>
              <w:t>Complementary gas market measures</w:t>
            </w:r>
            <w:r w:rsidR="00991B03">
              <w:rPr>
                <w:noProof/>
                <w:webHidden/>
              </w:rPr>
              <w:tab/>
            </w:r>
            <w:r w:rsidR="00991B03">
              <w:rPr>
                <w:noProof/>
                <w:webHidden/>
              </w:rPr>
              <w:fldChar w:fldCharType="begin"/>
            </w:r>
            <w:r w:rsidR="00991B03">
              <w:rPr>
                <w:noProof/>
                <w:webHidden/>
              </w:rPr>
              <w:instrText xml:space="preserve"> PAGEREF _Toc29823307 \h </w:instrText>
            </w:r>
            <w:r w:rsidR="00991B03">
              <w:rPr>
                <w:noProof/>
                <w:webHidden/>
              </w:rPr>
            </w:r>
            <w:r w:rsidR="00991B03">
              <w:rPr>
                <w:noProof/>
                <w:webHidden/>
              </w:rPr>
              <w:fldChar w:fldCharType="separate"/>
            </w:r>
            <w:r>
              <w:rPr>
                <w:noProof/>
                <w:webHidden/>
              </w:rPr>
              <w:t>10</w:t>
            </w:r>
            <w:r w:rsidR="00991B03">
              <w:rPr>
                <w:noProof/>
                <w:webHidden/>
              </w:rPr>
              <w:fldChar w:fldCharType="end"/>
            </w:r>
          </w:hyperlink>
        </w:p>
        <w:p w14:paraId="1953AF7E" w14:textId="77777777" w:rsidR="00991B03" w:rsidRDefault="00E41BD3">
          <w:pPr>
            <w:pStyle w:val="TOC1"/>
            <w:tabs>
              <w:tab w:val="left" w:pos="440"/>
            </w:tabs>
            <w:rPr>
              <w:rFonts w:eastAsiaTheme="minorEastAsia"/>
              <w:b w:val="0"/>
              <w:lang w:eastAsia="en-AU"/>
            </w:rPr>
          </w:pPr>
          <w:hyperlink w:anchor="_Toc29823308" w:history="1">
            <w:r w:rsidR="00991B03" w:rsidRPr="00F06A14">
              <w:rPr>
                <w:rStyle w:val="Hyperlink"/>
              </w:rPr>
              <w:t>3</w:t>
            </w:r>
            <w:r w:rsidR="00991B03">
              <w:rPr>
                <w:rFonts w:eastAsiaTheme="minorEastAsia"/>
                <w:b w:val="0"/>
                <w:lang w:eastAsia="en-AU"/>
              </w:rPr>
              <w:tab/>
            </w:r>
            <w:r w:rsidR="00991B03" w:rsidRPr="00F06A14">
              <w:rPr>
                <w:rStyle w:val="Hyperlink"/>
              </w:rPr>
              <w:t>Impacts of the ADGSM</w:t>
            </w:r>
            <w:r w:rsidR="00991B03">
              <w:rPr>
                <w:webHidden/>
              </w:rPr>
              <w:tab/>
            </w:r>
            <w:r w:rsidR="00991B03">
              <w:rPr>
                <w:webHidden/>
              </w:rPr>
              <w:fldChar w:fldCharType="begin"/>
            </w:r>
            <w:r w:rsidR="00991B03">
              <w:rPr>
                <w:webHidden/>
              </w:rPr>
              <w:instrText xml:space="preserve"> PAGEREF _Toc29823308 \h </w:instrText>
            </w:r>
            <w:r w:rsidR="00991B03">
              <w:rPr>
                <w:webHidden/>
              </w:rPr>
            </w:r>
            <w:r w:rsidR="00991B03">
              <w:rPr>
                <w:webHidden/>
              </w:rPr>
              <w:fldChar w:fldCharType="separate"/>
            </w:r>
            <w:r>
              <w:rPr>
                <w:webHidden/>
              </w:rPr>
              <w:t>11</w:t>
            </w:r>
            <w:r w:rsidR="00991B03">
              <w:rPr>
                <w:webHidden/>
              </w:rPr>
              <w:fldChar w:fldCharType="end"/>
            </w:r>
          </w:hyperlink>
        </w:p>
        <w:p w14:paraId="3A80312B" w14:textId="77777777" w:rsidR="00991B03" w:rsidRDefault="00E41BD3">
          <w:pPr>
            <w:pStyle w:val="TOC2"/>
            <w:tabs>
              <w:tab w:val="left" w:pos="880"/>
              <w:tab w:val="right" w:leader="dot" w:pos="9016"/>
            </w:tabs>
            <w:rPr>
              <w:rFonts w:eastAsiaTheme="minorEastAsia"/>
              <w:noProof/>
              <w:lang w:eastAsia="en-AU"/>
            </w:rPr>
          </w:pPr>
          <w:hyperlink w:anchor="_Toc29823309" w:history="1">
            <w:r w:rsidR="00991B03" w:rsidRPr="00F06A14">
              <w:rPr>
                <w:rStyle w:val="Hyperlink"/>
                <w:iCs/>
                <w:noProof/>
              </w:rPr>
              <w:t>3.1</w:t>
            </w:r>
            <w:r w:rsidR="00991B03">
              <w:rPr>
                <w:rFonts w:eastAsiaTheme="minorEastAsia"/>
                <w:noProof/>
                <w:lang w:eastAsia="en-AU"/>
              </w:rPr>
              <w:tab/>
            </w:r>
            <w:r w:rsidR="00991B03" w:rsidRPr="00F06A14">
              <w:rPr>
                <w:rStyle w:val="Hyperlink"/>
                <w:iCs/>
                <w:noProof/>
              </w:rPr>
              <w:t>The ADGSM’s effectiveness</w:t>
            </w:r>
            <w:r w:rsidR="00991B03">
              <w:rPr>
                <w:noProof/>
                <w:webHidden/>
              </w:rPr>
              <w:tab/>
            </w:r>
            <w:r w:rsidR="00991B03">
              <w:rPr>
                <w:noProof/>
                <w:webHidden/>
              </w:rPr>
              <w:fldChar w:fldCharType="begin"/>
            </w:r>
            <w:r w:rsidR="00991B03">
              <w:rPr>
                <w:noProof/>
                <w:webHidden/>
              </w:rPr>
              <w:instrText xml:space="preserve"> PAGEREF _Toc29823309 \h </w:instrText>
            </w:r>
            <w:r w:rsidR="00991B03">
              <w:rPr>
                <w:noProof/>
                <w:webHidden/>
              </w:rPr>
            </w:r>
            <w:r w:rsidR="00991B03">
              <w:rPr>
                <w:noProof/>
                <w:webHidden/>
              </w:rPr>
              <w:fldChar w:fldCharType="separate"/>
            </w:r>
            <w:r>
              <w:rPr>
                <w:noProof/>
                <w:webHidden/>
              </w:rPr>
              <w:t>11</w:t>
            </w:r>
            <w:r w:rsidR="00991B03">
              <w:rPr>
                <w:noProof/>
                <w:webHidden/>
              </w:rPr>
              <w:fldChar w:fldCharType="end"/>
            </w:r>
          </w:hyperlink>
        </w:p>
        <w:p w14:paraId="62EB0188" w14:textId="77777777" w:rsidR="00991B03" w:rsidRDefault="00E41BD3">
          <w:pPr>
            <w:pStyle w:val="TOC2"/>
            <w:tabs>
              <w:tab w:val="left" w:pos="880"/>
              <w:tab w:val="right" w:leader="dot" w:pos="9016"/>
            </w:tabs>
            <w:rPr>
              <w:rFonts w:eastAsiaTheme="minorEastAsia"/>
              <w:noProof/>
              <w:lang w:eastAsia="en-AU"/>
            </w:rPr>
          </w:pPr>
          <w:hyperlink w:anchor="_Toc29823310" w:history="1">
            <w:r w:rsidR="00991B03" w:rsidRPr="00F06A14">
              <w:rPr>
                <w:rStyle w:val="Hyperlink"/>
                <w:noProof/>
              </w:rPr>
              <w:t>3.2</w:t>
            </w:r>
            <w:r w:rsidR="00991B03">
              <w:rPr>
                <w:rFonts w:eastAsiaTheme="minorEastAsia"/>
                <w:noProof/>
                <w:lang w:eastAsia="en-AU"/>
              </w:rPr>
              <w:tab/>
            </w:r>
            <w:r w:rsidR="00991B03" w:rsidRPr="00F06A14">
              <w:rPr>
                <w:rStyle w:val="Hyperlink"/>
                <w:noProof/>
              </w:rPr>
              <w:t>Supply-Demand Balance</w:t>
            </w:r>
            <w:r w:rsidR="00991B03">
              <w:rPr>
                <w:noProof/>
                <w:webHidden/>
              </w:rPr>
              <w:tab/>
            </w:r>
            <w:r w:rsidR="00991B03">
              <w:rPr>
                <w:noProof/>
                <w:webHidden/>
              </w:rPr>
              <w:fldChar w:fldCharType="begin"/>
            </w:r>
            <w:r w:rsidR="00991B03">
              <w:rPr>
                <w:noProof/>
                <w:webHidden/>
              </w:rPr>
              <w:instrText xml:space="preserve"> PAGEREF _Toc29823310 \h </w:instrText>
            </w:r>
            <w:r w:rsidR="00991B03">
              <w:rPr>
                <w:noProof/>
                <w:webHidden/>
              </w:rPr>
            </w:r>
            <w:r w:rsidR="00991B03">
              <w:rPr>
                <w:noProof/>
                <w:webHidden/>
              </w:rPr>
              <w:fldChar w:fldCharType="separate"/>
            </w:r>
            <w:r>
              <w:rPr>
                <w:noProof/>
                <w:webHidden/>
              </w:rPr>
              <w:t>13</w:t>
            </w:r>
            <w:r w:rsidR="00991B03">
              <w:rPr>
                <w:noProof/>
                <w:webHidden/>
              </w:rPr>
              <w:fldChar w:fldCharType="end"/>
            </w:r>
          </w:hyperlink>
        </w:p>
        <w:p w14:paraId="6CA6A01C" w14:textId="77777777" w:rsidR="00991B03" w:rsidRDefault="00E41BD3">
          <w:pPr>
            <w:pStyle w:val="TOC3"/>
            <w:tabs>
              <w:tab w:val="left" w:pos="1320"/>
              <w:tab w:val="right" w:leader="dot" w:pos="9016"/>
            </w:tabs>
            <w:rPr>
              <w:rFonts w:eastAsiaTheme="minorEastAsia"/>
              <w:noProof/>
              <w:lang w:eastAsia="en-AU"/>
            </w:rPr>
          </w:pPr>
          <w:hyperlink w:anchor="_Toc29823311" w:history="1">
            <w:r w:rsidR="00991B03" w:rsidRPr="00F06A14">
              <w:rPr>
                <w:rStyle w:val="Hyperlink"/>
                <w:noProof/>
              </w:rPr>
              <w:t>3.2.1</w:t>
            </w:r>
            <w:r w:rsidR="00991B03">
              <w:rPr>
                <w:rFonts w:eastAsiaTheme="minorEastAsia"/>
                <w:noProof/>
                <w:lang w:eastAsia="en-AU"/>
              </w:rPr>
              <w:tab/>
            </w:r>
            <w:r w:rsidR="00991B03" w:rsidRPr="00F06A14">
              <w:rPr>
                <w:rStyle w:val="Hyperlink"/>
                <w:noProof/>
              </w:rPr>
              <w:t>Short-term supply-demand balance</w:t>
            </w:r>
            <w:r w:rsidR="00991B03">
              <w:rPr>
                <w:noProof/>
                <w:webHidden/>
              </w:rPr>
              <w:tab/>
            </w:r>
            <w:r w:rsidR="00991B03">
              <w:rPr>
                <w:noProof/>
                <w:webHidden/>
              </w:rPr>
              <w:fldChar w:fldCharType="begin"/>
            </w:r>
            <w:r w:rsidR="00991B03">
              <w:rPr>
                <w:noProof/>
                <w:webHidden/>
              </w:rPr>
              <w:instrText xml:space="preserve"> PAGEREF _Toc29823311 \h </w:instrText>
            </w:r>
            <w:r w:rsidR="00991B03">
              <w:rPr>
                <w:noProof/>
                <w:webHidden/>
              </w:rPr>
            </w:r>
            <w:r w:rsidR="00991B03">
              <w:rPr>
                <w:noProof/>
                <w:webHidden/>
              </w:rPr>
              <w:fldChar w:fldCharType="separate"/>
            </w:r>
            <w:r>
              <w:rPr>
                <w:noProof/>
                <w:webHidden/>
              </w:rPr>
              <w:t>13</w:t>
            </w:r>
            <w:r w:rsidR="00991B03">
              <w:rPr>
                <w:noProof/>
                <w:webHidden/>
              </w:rPr>
              <w:fldChar w:fldCharType="end"/>
            </w:r>
          </w:hyperlink>
        </w:p>
        <w:p w14:paraId="4F594CFB" w14:textId="77777777" w:rsidR="00991B03" w:rsidRDefault="00E41BD3">
          <w:pPr>
            <w:pStyle w:val="TOC3"/>
            <w:tabs>
              <w:tab w:val="left" w:pos="1320"/>
              <w:tab w:val="right" w:leader="dot" w:pos="9016"/>
            </w:tabs>
            <w:rPr>
              <w:rFonts w:eastAsiaTheme="minorEastAsia"/>
              <w:noProof/>
              <w:lang w:eastAsia="en-AU"/>
            </w:rPr>
          </w:pPr>
          <w:hyperlink w:anchor="_Toc29823312" w:history="1">
            <w:r w:rsidR="00991B03" w:rsidRPr="00F06A14">
              <w:rPr>
                <w:rStyle w:val="Hyperlink"/>
                <w:noProof/>
              </w:rPr>
              <w:t>3.2.2</w:t>
            </w:r>
            <w:r w:rsidR="00991B03">
              <w:rPr>
                <w:rFonts w:eastAsiaTheme="minorEastAsia"/>
                <w:noProof/>
                <w:lang w:eastAsia="en-AU"/>
              </w:rPr>
              <w:tab/>
            </w:r>
            <w:r w:rsidR="00991B03" w:rsidRPr="00F06A14">
              <w:rPr>
                <w:rStyle w:val="Hyperlink"/>
                <w:noProof/>
              </w:rPr>
              <w:t>Net contribution of LNG exporters</w:t>
            </w:r>
            <w:r w:rsidR="00991B03">
              <w:rPr>
                <w:noProof/>
                <w:webHidden/>
              </w:rPr>
              <w:tab/>
            </w:r>
            <w:r w:rsidR="00991B03">
              <w:rPr>
                <w:noProof/>
                <w:webHidden/>
              </w:rPr>
              <w:fldChar w:fldCharType="begin"/>
            </w:r>
            <w:r w:rsidR="00991B03">
              <w:rPr>
                <w:noProof/>
                <w:webHidden/>
              </w:rPr>
              <w:instrText xml:space="preserve"> PAGEREF _Toc29823312 \h </w:instrText>
            </w:r>
            <w:r w:rsidR="00991B03">
              <w:rPr>
                <w:noProof/>
                <w:webHidden/>
              </w:rPr>
            </w:r>
            <w:r w:rsidR="00991B03">
              <w:rPr>
                <w:noProof/>
                <w:webHidden/>
              </w:rPr>
              <w:fldChar w:fldCharType="separate"/>
            </w:r>
            <w:r>
              <w:rPr>
                <w:noProof/>
                <w:webHidden/>
              </w:rPr>
              <w:t>14</w:t>
            </w:r>
            <w:r w:rsidR="00991B03">
              <w:rPr>
                <w:noProof/>
                <w:webHidden/>
              </w:rPr>
              <w:fldChar w:fldCharType="end"/>
            </w:r>
          </w:hyperlink>
        </w:p>
        <w:p w14:paraId="2FEB07EF" w14:textId="77777777" w:rsidR="00991B03" w:rsidRDefault="00E41BD3">
          <w:pPr>
            <w:pStyle w:val="TOC3"/>
            <w:tabs>
              <w:tab w:val="left" w:pos="1320"/>
              <w:tab w:val="right" w:leader="dot" w:pos="9016"/>
            </w:tabs>
            <w:rPr>
              <w:rFonts w:eastAsiaTheme="minorEastAsia"/>
              <w:noProof/>
              <w:lang w:eastAsia="en-AU"/>
            </w:rPr>
          </w:pPr>
          <w:hyperlink w:anchor="_Toc29823313" w:history="1">
            <w:r w:rsidR="00991B03" w:rsidRPr="00F06A14">
              <w:rPr>
                <w:rStyle w:val="Hyperlink"/>
                <w:noProof/>
              </w:rPr>
              <w:t>3.2.3</w:t>
            </w:r>
            <w:r w:rsidR="00991B03">
              <w:rPr>
                <w:rFonts w:eastAsiaTheme="minorEastAsia"/>
                <w:noProof/>
                <w:lang w:eastAsia="en-AU"/>
              </w:rPr>
              <w:tab/>
            </w:r>
            <w:r w:rsidR="00991B03" w:rsidRPr="00F06A14">
              <w:rPr>
                <w:rStyle w:val="Hyperlink"/>
                <w:noProof/>
              </w:rPr>
              <w:t>Pipeline flows</w:t>
            </w:r>
            <w:r w:rsidR="00991B03">
              <w:rPr>
                <w:noProof/>
                <w:webHidden/>
              </w:rPr>
              <w:tab/>
            </w:r>
            <w:r w:rsidR="00991B03">
              <w:rPr>
                <w:noProof/>
                <w:webHidden/>
              </w:rPr>
              <w:fldChar w:fldCharType="begin"/>
            </w:r>
            <w:r w:rsidR="00991B03">
              <w:rPr>
                <w:noProof/>
                <w:webHidden/>
              </w:rPr>
              <w:instrText xml:space="preserve"> PAGEREF _Toc29823313 \h </w:instrText>
            </w:r>
            <w:r w:rsidR="00991B03">
              <w:rPr>
                <w:noProof/>
                <w:webHidden/>
              </w:rPr>
            </w:r>
            <w:r w:rsidR="00991B03">
              <w:rPr>
                <w:noProof/>
                <w:webHidden/>
              </w:rPr>
              <w:fldChar w:fldCharType="separate"/>
            </w:r>
            <w:r>
              <w:rPr>
                <w:noProof/>
                <w:webHidden/>
              </w:rPr>
              <w:t>16</w:t>
            </w:r>
            <w:r w:rsidR="00991B03">
              <w:rPr>
                <w:noProof/>
                <w:webHidden/>
              </w:rPr>
              <w:fldChar w:fldCharType="end"/>
            </w:r>
          </w:hyperlink>
        </w:p>
        <w:p w14:paraId="669C31FD" w14:textId="77777777" w:rsidR="00991B03" w:rsidRDefault="00E41BD3">
          <w:pPr>
            <w:pStyle w:val="TOC2"/>
            <w:tabs>
              <w:tab w:val="left" w:pos="880"/>
              <w:tab w:val="right" w:leader="dot" w:pos="9016"/>
            </w:tabs>
            <w:rPr>
              <w:rFonts w:eastAsiaTheme="minorEastAsia"/>
              <w:noProof/>
              <w:lang w:eastAsia="en-AU"/>
            </w:rPr>
          </w:pPr>
          <w:hyperlink w:anchor="_Toc29823314" w:history="1">
            <w:r w:rsidR="00991B03" w:rsidRPr="00F06A14">
              <w:rPr>
                <w:rStyle w:val="Hyperlink"/>
                <w:noProof/>
              </w:rPr>
              <w:t>3.3</w:t>
            </w:r>
            <w:r w:rsidR="00991B03">
              <w:rPr>
                <w:rFonts w:eastAsiaTheme="minorEastAsia"/>
                <w:noProof/>
                <w:lang w:eastAsia="en-AU"/>
              </w:rPr>
              <w:tab/>
            </w:r>
            <w:r w:rsidR="00991B03" w:rsidRPr="00F06A14">
              <w:rPr>
                <w:rStyle w:val="Hyperlink"/>
                <w:noProof/>
              </w:rPr>
              <w:t>Domestic prices</w:t>
            </w:r>
            <w:r w:rsidR="00991B03">
              <w:rPr>
                <w:noProof/>
                <w:webHidden/>
              </w:rPr>
              <w:tab/>
            </w:r>
            <w:r w:rsidR="00991B03">
              <w:rPr>
                <w:noProof/>
                <w:webHidden/>
              </w:rPr>
              <w:fldChar w:fldCharType="begin"/>
            </w:r>
            <w:r w:rsidR="00991B03">
              <w:rPr>
                <w:noProof/>
                <w:webHidden/>
              </w:rPr>
              <w:instrText xml:space="preserve"> PAGEREF _Toc29823314 \h </w:instrText>
            </w:r>
            <w:r w:rsidR="00991B03">
              <w:rPr>
                <w:noProof/>
                <w:webHidden/>
              </w:rPr>
            </w:r>
            <w:r w:rsidR="00991B03">
              <w:rPr>
                <w:noProof/>
                <w:webHidden/>
              </w:rPr>
              <w:fldChar w:fldCharType="separate"/>
            </w:r>
            <w:r>
              <w:rPr>
                <w:noProof/>
                <w:webHidden/>
              </w:rPr>
              <w:t>19</w:t>
            </w:r>
            <w:r w:rsidR="00991B03">
              <w:rPr>
                <w:noProof/>
                <w:webHidden/>
              </w:rPr>
              <w:fldChar w:fldCharType="end"/>
            </w:r>
          </w:hyperlink>
        </w:p>
        <w:p w14:paraId="1136B2C5" w14:textId="77777777" w:rsidR="00991B03" w:rsidRDefault="00E41BD3">
          <w:pPr>
            <w:pStyle w:val="TOC3"/>
            <w:tabs>
              <w:tab w:val="left" w:pos="1320"/>
              <w:tab w:val="right" w:leader="dot" w:pos="9016"/>
            </w:tabs>
            <w:rPr>
              <w:rFonts w:eastAsiaTheme="minorEastAsia"/>
              <w:noProof/>
              <w:lang w:eastAsia="en-AU"/>
            </w:rPr>
          </w:pPr>
          <w:hyperlink w:anchor="_Toc29823315" w:history="1">
            <w:r w:rsidR="00991B03" w:rsidRPr="00F06A14">
              <w:rPr>
                <w:rStyle w:val="Hyperlink"/>
                <w:noProof/>
              </w:rPr>
              <w:t>3.3.1</w:t>
            </w:r>
            <w:r w:rsidR="00991B03">
              <w:rPr>
                <w:rFonts w:eastAsiaTheme="minorEastAsia"/>
                <w:noProof/>
                <w:lang w:eastAsia="en-AU"/>
              </w:rPr>
              <w:tab/>
            </w:r>
            <w:r w:rsidR="00991B03" w:rsidRPr="00F06A14">
              <w:rPr>
                <w:rStyle w:val="Hyperlink"/>
                <w:noProof/>
              </w:rPr>
              <w:t>C&amp;I gas user experience</w:t>
            </w:r>
            <w:r w:rsidR="00991B03">
              <w:rPr>
                <w:noProof/>
                <w:webHidden/>
              </w:rPr>
              <w:tab/>
            </w:r>
            <w:r w:rsidR="00991B03">
              <w:rPr>
                <w:noProof/>
                <w:webHidden/>
              </w:rPr>
              <w:fldChar w:fldCharType="begin"/>
            </w:r>
            <w:r w:rsidR="00991B03">
              <w:rPr>
                <w:noProof/>
                <w:webHidden/>
              </w:rPr>
              <w:instrText xml:space="preserve"> PAGEREF _Toc29823315 \h </w:instrText>
            </w:r>
            <w:r w:rsidR="00991B03">
              <w:rPr>
                <w:noProof/>
                <w:webHidden/>
              </w:rPr>
            </w:r>
            <w:r w:rsidR="00991B03">
              <w:rPr>
                <w:noProof/>
                <w:webHidden/>
              </w:rPr>
              <w:fldChar w:fldCharType="separate"/>
            </w:r>
            <w:r>
              <w:rPr>
                <w:noProof/>
                <w:webHidden/>
              </w:rPr>
              <w:t>21</w:t>
            </w:r>
            <w:r w:rsidR="00991B03">
              <w:rPr>
                <w:noProof/>
                <w:webHidden/>
              </w:rPr>
              <w:fldChar w:fldCharType="end"/>
            </w:r>
          </w:hyperlink>
        </w:p>
        <w:p w14:paraId="7A74ECB4" w14:textId="77777777" w:rsidR="00991B03" w:rsidRDefault="00E41BD3">
          <w:pPr>
            <w:pStyle w:val="TOC3"/>
            <w:tabs>
              <w:tab w:val="left" w:pos="1320"/>
              <w:tab w:val="right" w:leader="dot" w:pos="9016"/>
            </w:tabs>
            <w:rPr>
              <w:rFonts w:eastAsiaTheme="minorEastAsia"/>
              <w:noProof/>
              <w:lang w:eastAsia="en-AU"/>
            </w:rPr>
          </w:pPr>
          <w:hyperlink w:anchor="_Toc29823316" w:history="1">
            <w:r w:rsidR="00991B03" w:rsidRPr="00F06A14">
              <w:rPr>
                <w:rStyle w:val="Hyperlink"/>
                <w:rFonts w:eastAsia="Times New Roman"/>
                <w:noProof/>
                <w:lang w:eastAsia="en-AU"/>
              </w:rPr>
              <w:t>3.3.2</w:t>
            </w:r>
            <w:r w:rsidR="00991B03">
              <w:rPr>
                <w:rFonts w:eastAsiaTheme="minorEastAsia"/>
                <w:noProof/>
                <w:lang w:eastAsia="en-AU"/>
              </w:rPr>
              <w:tab/>
            </w:r>
            <w:r w:rsidR="00991B03" w:rsidRPr="00F06A14">
              <w:rPr>
                <w:rStyle w:val="Hyperlink"/>
                <w:rFonts w:eastAsia="Times New Roman"/>
                <w:noProof/>
                <w:lang w:eastAsia="en-AU"/>
              </w:rPr>
              <w:t>Comparison of global gas prices</w:t>
            </w:r>
            <w:r w:rsidR="00991B03">
              <w:rPr>
                <w:noProof/>
                <w:webHidden/>
              </w:rPr>
              <w:tab/>
            </w:r>
            <w:r w:rsidR="00991B03">
              <w:rPr>
                <w:noProof/>
                <w:webHidden/>
              </w:rPr>
              <w:fldChar w:fldCharType="begin"/>
            </w:r>
            <w:r w:rsidR="00991B03">
              <w:rPr>
                <w:noProof/>
                <w:webHidden/>
              </w:rPr>
              <w:instrText xml:space="preserve"> PAGEREF _Toc29823316 \h </w:instrText>
            </w:r>
            <w:r w:rsidR="00991B03">
              <w:rPr>
                <w:noProof/>
                <w:webHidden/>
              </w:rPr>
            </w:r>
            <w:r w:rsidR="00991B03">
              <w:rPr>
                <w:noProof/>
                <w:webHidden/>
              </w:rPr>
              <w:fldChar w:fldCharType="separate"/>
            </w:r>
            <w:r>
              <w:rPr>
                <w:noProof/>
                <w:webHidden/>
              </w:rPr>
              <w:t>23</w:t>
            </w:r>
            <w:r w:rsidR="00991B03">
              <w:rPr>
                <w:noProof/>
                <w:webHidden/>
              </w:rPr>
              <w:fldChar w:fldCharType="end"/>
            </w:r>
          </w:hyperlink>
        </w:p>
        <w:p w14:paraId="72A9BDFB" w14:textId="77777777" w:rsidR="00991B03" w:rsidRDefault="00E41BD3">
          <w:pPr>
            <w:pStyle w:val="TOC2"/>
            <w:tabs>
              <w:tab w:val="left" w:pos="880"/>
              <w:tab w:val="right" w:leader="dot" w:pos="9016"/>
            </w:tabs>
            <w:rPr>
              <w:rFonts w:eastAsiaTheme="minorEastAsia"/>
              <w:noProof/>
              <w:lang w:eastAsia="en-AU"/>
            </w:rPr>
          </w:pPr>
          <w:hyperlink w:anchor="_Toc29823317" w:history="1">
            <w:r w:rsidR="00991B03" w:rsidRPr="00F06A14">
              <w:rPr>
                <w:rStyle w:val="Hyperlink"/>
                <w:rFonts w:eastAsia="Times New Roman"/>
                <w:noProof/>
                <w:lang w:eastAsia="en-AU"/>
              </w:rPr>
              <w:t>3.4</w:t>
            </w:r>
            <w:r w:rsidR="00991B03">
              <w:rPr>
                <w:rFonts w:eastAsiaTheme="minorEastAsia"/>
                <w:noProof/>
                <w:lang w:eastAsia="en-AU"/>
              </w:rPr>
              <w:tab/>
            </w:r>
            <w:r w:rsidR="00991B03" w:rsidRPr="00F06A14">
              <w:rPr>
                <w:rStyle w:val="Hyperlink"/>
                <w:rFonts w:eastAsia="Times New Roman"/>
                <w:noProof/>
                <w:lang w:eastAsia="en-AU"/>
              </w:rPr>
              <w:t>Market Function</w:t>
            </w:r>
            <w:r w:rsidR="00991B03">
              <w:rPr>
                <w:noProof/>
                <w:webHidden/>
              </w:rPr>
              <w:tab/>
            </w:r>
            <w:r w:rsidR="00991B03">
              <w:rPr>
                <w:noProof/>
                <w:webHidden/>
              </w:rPr>
              <w:fldChar w:fldCharType="begin"/>
            </w:r>
            <w:r w:rsidR="00991B03">
              <w:rPr>
                <w:noProof/>
                <w:webHidden/>
              </w:rPr>
              <w:instrText xml:space="preserve"> PAGEREF _Toc29823317 \h </w:instrText>
            </w:r>
            <w:r w:rsidR="00991B03">
              <w:rPr>
                <w:noProof/>
                <w:webHidden/>
              </w:rPr>
            </w:r>
            <w:r w:rsidR="00991B03">
              <w:rPr>
                <w:noProof/>
                <w:webHidden/>
              </w:rPr>
              <w:fldChar w:fldCharType="separate"/>
            </w:r>
            <w:r>
              <w:rPr>
                <w:noProof/>
                <w:webHidden/>
              </w:rPr>
              <w:t>23</w:t>
            </w:r>
            <w:r w:rsidR="00991B03">
              <w:rPr>
                <w:noProof/>
                <w:webHidden/>
              </w:rPr>
              <w:fldChar w:fldCharType="end"/>
            </w:r>
          </w:hyperlink>
        </w:p>
        <w:p w14:paraId="74EA4B7A" w14:textId="77777777" w:rsidR="00991B03" w:rsidRDefault="00E41BD3">
          <w:pPr>
            <w:pStyle w:val="TOC3"/>
            <w:tabs>
              <w:tab w:val="left" w:pos="1320"/>
              <w:tab w:val="right" w:leader="dot" w:pos="9016"/>
            </w:tabs>
            <w:rPr>
              <w:rFonts w:eastAsiaTheme="minorEastAsia"/>
              <w:noProof/>
              <w:lang w:eastAsia="en-AU"/>
            </w:rPr>
          </w:pPr>
          <w:hyperlink w:anchor="_Toc29823318" w:history="1">
            <w:r w:rsidR="00991B03" w:rsidRPr="00F06A14">
              <w:rPr>
                <w:rStyle w:val="Hyperlink"/>
                <w:noProof/>
                <w:lang w:eastAsia="en-AU"/>
              </w:rPr>
              <w:t>3.4.1</w:t>
            </w:r>
            <w:r w:rsidR="00991B03">
              <w:rPr>
                <w:rFonts w:eastAsiaTheme="minorEastAsia"/>
                <w:noProof/>
                <w:lang w:eastAsia="en-AU"/>
              </w:rPr>
              <w:tab/>
            </w:r>
            <w:r w:rsidR="00991B03" w:rsidRPr="00F06A14">
              <w:rPr>
                <w:rStyle w:val="Hyperlink"/>
                <w:noProof/>
                <w:lang w:eastAsia="en-AU"/>
              </w:rPr>
              <w:t>Market Liquidity</w:t>
            </w:r>
            <w:r w:rsidR="00991B03">
              <w:rPr>
                <w:noProof/>
                <w:webHidden/>
              </w:rPr>
              <w:tab/>
            </w:r>
            <w:r w:rsidR="00991B03">
              <w:rPr>
                <w:noProof/>
                <w:webHidden/>
              </w:rPr>
              <w:fldChar w:fldCharType="begin"/>
            </w:r>
            <w:r w:rsidR="00991B03">
              <w:rPr>
                <w:noProof/>
                <w:webHidden/>
              </w:rPr>
              <w:instrText xml:space="preserve"> PAGEREF _Toc29823318 \h </w:instrText>
            </w:r>
            <w:r w:rsidR="00991B03">
              <w:rPr>
                <w:noProof/>
                <w:webHidden/>
              </w:rPr>
            </w:r>
            <w:r w:rsidR="00991B03">
              <w:rPr>
                <w:noProof/>
                <w:webHidden/>
              </w:rPr>
              <w:fldChar w:fldCharType="separate"/>
            </w:r>
            <w:r>
              <w:rPr>
                <w:noProof/>
                <w:webHidden/>
              </w:rPr>
              <w:t>23</w:t>
            </w:r>
            <w:r w:rsidR="00991B03">
              <w:rPr>
                <w:noProof/>
                <w:webHidden/>
              </w:rPr>
              <w:fldChar w:fldCharType="end"/>
            </w:r>
          </w:hyperlink>
        </w:p>
        <w:p w14:paraId="5B5E8CEB" w14:textId="77777777" w:rsidR="00991B03" w:rsidRDefault="00E41BD3">
          <w:pPr>
            <w:pStyle w:val="TOC3"/>
            <w:tabs>
              <w:tab w:val="left" w:pos="1320"/>
              <w:tab w:val="right" w:leader="dot" w:pos="9016"/>
            </w:tabs>
            <w:rPr>
              <w:rFonts w:eastAsiaTheme="minorEastAsia"/>
              <w:noProof/>
              <w:lang w:eastAsia="en-AU"/>
            </w:rPr>
          </w:pPr>
          <w:hyperlink w:anchor="_Toc29823319" w:history="1">
            <w:r w:rsidR="00991B03" w:rsidRPr="00F06A14">
              <w:rPr>
                <w:rStyle w:val="Hyperlink"/>
                <w:noProof/>
              </w:rPr>
              <w:t>3.4.2</w:t>
            </w:r>
            <w:r w:rsidR="00991B03">
              <w:rPr>
                <w:rFonts w:eastAsiaTheme="minorEastAsia"/>
                <w:noProof/>
                <w:lang w:eastAsia="en-AU"/>
              </w:rPr>
              <w:tab/>
            </w:r>
            <w:r w:rsidR="00991B03" w:rsidRPr="00F06A14">
              <w:rPr>
                <w:rStyle w:val="Hyperlink"/>
                <w:noProof/>
              </w:rPr>
              <w:t>Market concentration</w:t>
            </w:r>
            <w:r w:rsidR="00991B03">
              <w:rPr>
                <w:noProof/>
                <w:webHidden/>
              </w:rPr>
              <w:tab/>
            </w:r>
            <w:r w:rsidR="00991B03">
              <w:rPr>
                <w:noProof/>
                <w:webHidden/>
              </w:rPr>
              <w:fldChar w:fldCharType="begin"/>
            </w:r>
            <w:r w:rsidR="00991B03">
              <w:rPr>
                <w:noProof/>
                <w:webHidden/>
              </w:rPr>
              <w:instrText xml:space="preserve"> PAGEREF _Toc29823319 \h </w:instrText>
            </w:r>
            <w:r w:rsidR="00991B03">
              <w:rPr>
                <w:noProof/>
                <w:webHidden/>
              </w:rPr>
            </w:r>
            <w:r w:rsidR="00991B03">
              <w:rPr>
                <w:noProof/>
                <w:webHidden/>
              </w:rPr>
              <w:fldChar w:fldCharType="separate"/>
            </w:r>
            <w:r>
              <w:rPr>
                <w:noProof/>
                <w:webHidden/>
              </w:rPr>
              <w:t>25</w:t>
            </w:r>
            <w:r w:rsidR="00991B03">
              <w:rPr>
                <w:noProof/>
                <w:webHidden/>
              </w:rPr>
              <w:fldChar w:fldCharType="end"/>
            </w:r>
          </w:hyperlink>
        </w:p>
        <w:p w14:paraId="5550E81D" w14:textId="77777777" w:rsidR="00991B03" w:rsidRDefault="00E41BD3">
          <w:pPr>
            <w:pStyle w:val="TOC2"/>
            <w:tabs>
              <w:tab w:val="left" w:pos="880"/>
              <w:tab w:val="right" w:leader="dot" w:pos="9016"/>
            </w:tabs>
            <w:rPr>
              <w:rFonts w:eastAsiaTheme="minorEastAsia"/>
              <w:noProof/>
              <w:lang w:eastAsia="en-AU"/>
            </w:rPr>
          </w:pPr>
          <w:hyperlink w:anchor="_Toc29823320" w:history="1">
            <w:r w:rsidR="00991B03" w:rsidRPr="00F06A14">
              <w:rPr>
                <w:rStyle w:val="Hyperlink"/>
                <w:rFonts w:eastAsia="Times New Roman"/>
                <w:noProof/>
                <w:lang w:eastAsia="en-AU"/>
              </w:rPr>
              <w:t>3.5</w:t>
            </w:r>
            <w:r w:rsidR="00991B03">
              <w:rPr>
                <w:rFonts w:eastAsiaTheme="minorEastAsia"/>
                <w:noProof/>
                <w:lang w:eastAsia="en-AU"/>
              </w:rPr>
              <w:tab/>
            </w:r>
            <w:r w:rsidR="00991B03" w:rsidRPr="00F06A14">
              <w:rPr>
                <w:rStyle w:val="Hyperlink"/>
                <w:rFonts w:eastAsia="Times New Roman"/>
                <w:noProof/>
                <w:lang w:eastAsia="en-AU"/>
              </w:rPr>
              <w:t>Long-term supply</w:t>
            </w:r>
            <w:r w:rsidR="00991B03">
              <w:rPr>
                <w:noProof/>
                <w:webHidden/>
              </w:rPr>
              <w:tab/>
            </w:r>
            <w:r w:rsidR="00991B03">
              <w:rPr>
                <w:noProof/>
                <w:webHidden/>
              </w:rPr>
              <w:fldChar w:fldCharType="begin"/>
            </w:r>
            <w:r w:rsidR="00991B03">
              <w:rPr>
                <w:noProof/>
                <w:webHidden/>
              </w:rPr>
              <w:instrText xml:space="preserve"> PAGEREF _Toc29823320 \h </w:instrText>
            </w:r>
            <w:r w:rsidR="00991B03">
              <w:rPr>
                <w:noProof/>
                <w:webHidden/>
              </w:rPr>
            </w:r>
            <w:r w:rsidR="00991B03">
              <w:rPr>
                <w:noProof/>
                <w:webHidden/>
              </w:rPr>
              <w:fldChar w:fldCharType="separate"/>
            </w:r>
            <w:r>
              <w:rPr>
                <w:noProof/>
                <w:webHidden/>
              </w:rPr>
              <w:t>26</w:t>
            </w:r>
            <w:r w:rsidR="00991B03">
              <w:rPr>
                <w:noProof/>
                <w:webHidden/>
              </w:rPr>
              <w:fldChar w:fldCharType="end"/>
            </w:r>
          </w:hyperlink>
        </w:p>
        <w:p w14:paraId="1BE58B16" w14:textId="77777777" w:rsidR="00991B03" w:rsidRDefault="00E41BD3">
          <w:pPr>
            <w:pStyle w:val="TOC2"/>
            <w:tabs>
              <w:tab w:val="left" w:pos="880"/>
              <w:tab w:val="right" w:leader="dot" w:pos="9016"/>
            </w:tabs>
            <w:rPr>
              <w:rFonts w:eastAsiaTheme="minorEastAsia"/>
              <w:noProof/>
              <w:lang w:eastAsia="en-AU"/>
            </w:rPr>
          </w:pPr>
          <w:hyperlink w:anchor="_Toc29823321" w:history="1">
            <w:r w:rsidR="00991B03" w:rsidRPr="00F06A14">
              <w:rPr>
                <w:rStyle w:val="Hyperlink"/>
                <w:noProof/>
              </w:rPr>
              <w:t>3.6</w:t>
            </w:r>
            <w:r w:rsidR="00991B03">
              <w:rPr>
                <w:rFonts w:eastAsiaTheme="minorEastAsia"/>
                <w:noProof/>
                <w:lang w:eastAsia="en-AU"/>
              </w:rPr>
              <w:tab/>
            </w:r>
            <w:r w:rsidR="00991B03" w:rsidRPr="00F06A14">
              <w:rPr>
                <w:rStyle w:val="Hyperlink"/>
                <w:noProof/>
              </w:rPr>
              <w:t>LNG sector impacts</w:t>
            </w:r>
            <w:r w:rsidR="00991B03">
              <w:rPr>
                <w:noProof/>
                <w:webHidden/>
              </w:rPr>
              <w:tab/>
            </w:r>
            <w:r w:rsidR="00991B03">
              <w:rPr>
                <w:noProof/>
                <w:webHidden/>
              </w:rPr>
              <w:fldChar w:fldCharType="begin"/>
            </w:r>
            <w:r w:rsidR="00991B03">
              <w:rPr>
                <w:noProof/>
                <w:webHidden/>
              </w:rPr>
              <w:instrText xml:space="preserve"> PAGEREF _Toc29823321 \h </w:instrText>
            </w:r>
            <w:r w:rsidR="00991B03">
              <w:rPr>
                <w:noProof/>
                <w:webHidden/>
              </w:rPr>
            </w:r>
            <w:r w:rsidR="00991B03">
              <w:rPr>
                <w:noProof/>
                <w:webHidden/>
              </w:rPr>
              <w:fldChar w:fldCharType="separate"/>
            </w:r>
            <w:r>
              <w:rPr>
                <w:noProof/>
                <w:webHidden/>
              </w:rPr>
              <w:t>28</w:t>
            </w:r>
            <w:r w:rsidR="00991B03">
              <w:rPr>
                <w:noProof/>
                <w:webHidden/>
              </w:rPr>
              <w:fldChar w:fldCharType="end"/>
            </w:r>
          </w:hyperlink>
        </w:p>
        <w:p w14:paraId="501589B5" w14:textId="77777777" w:rsidR="00991B03" w:rsidRDefault="00E41BD3">
          <w:pPr>
            <w:pStyle w:val="TOC1"/>
            <w:tabs>
              <w:tab w:val="left" w:pos="440"/>
            </w:tabs>
            <w:rPr>
              <w:rFonts w:eastAsiaTheme="minorEastAsia"/>
              <w:b w:val="0"/>
              <w:lang w:eastAsia="en-AU"/>
            </w:rPr>
          </w:pPr>
          <w:hyperlink w:anchor="_Toc29823322" w:history="1">
            <w:r w:rsidR="00991B03" w:rsidRPr="00F06A14">
              <w:rPr>
                <w:rStyle w:val="Hyperlink"/>
              </w:rPr>
              <w:t>4</w:t>
            </w:r>
            <w:r w:rsidR="00991B03">
              <w:rPr>
                <w:rFonts w:eastAsiaTheme="minorEastAsia"/>
                <w:b w:val="0"/>
                <w:lang w:eastAsia="en-AU"/>
              </w:rPr>
              <w:tab/>
            </w:r>
            <w:r w:rsidR="00991B03" w:rsidRPr="00F06A14">
              <w:rPr>
                <w:rStyle w:val="Hyperlink"/>
              </w:rPr>
              <w:t>Future of the ADGSM</w:t>
            </w:r>
            <w:r w:rsidR="00991B03">
              <w:rPr>
                <w:webHidden/>
              </w:rPr>
              <w:tab/>
            </w:r>
            <w:r w:rsidR="00991B03">
              <w:rPr>
                <w:webHidden/>
              </w:rPr>
              <w:fldChar w:fldCharType="begin"/>
            </w:r>
            <w:r w:rsidR="00991B03">
              <w:rPr>
                <w:webHidden/>
              </w:rPr>
              <w:instrText xml:space="preserve"> PAGEREF _Toc29823322 \h </w:instrText>
            </w:r>
            <w:r w:rsidR="00991B03">
              <w:rPr>
                <w:webHidden/>
              </w:rPr>
            </w:r>
            <w:r w:rsidR="00991B03">
              <w:rPr>
                <w:webHidden/>
              </w:rPr>
              <w:fldChar w:fldCharType="separate"/>
            </w:r>
            <w:r>
              <w:rPr>
                <w:webHidden/>
              </w:rPr>
              <w:t>29</w:t>
            </w:r>
            <w:r w:rsidR="00991B03">
              <w:rPr>
                <w:webHidden/>
              </w:rPr>
              <w:fldChar w:fldCharType="end"/>
            </w:r>
          </w:hyperlink>
        </w:p>
        <w:p w14:paraId="6550BFDD" w14:textId="77777777" w:rsidR="00991B03" w:rsidRDefault="00E41BD3">
          <w:pPr>
            <w:pStyle w:val="TOC2"/>
            <w:tabs>
              <w:tab w:val="left" w:pos="880"/>
              <w:tab w:val="right" w:leader="dot" w:pos="9016"/>
            </w:tabs>
            <w:rPr>
              <w:rFonts w:eastAsiaTheme="minorEastAsia"/>
              <w:noProof/>
              <w:lang w:eastAsia="en-AU"/>
            </w:rPr>
          </w:pPr>
          <w:hyperlink w:anchor="_Toc29823323" w:history="1">
            <w:r w:rsidR="00991B03" w:rsidRPr="00F06A14">
              <w:rPr>
                <w:rStyle w:val="Hyperlink"/>
                <w:noProof/>
              </w:rPr>
              <w:t>4.1</w:t>
            </w:r>
            <w:r w:rsidR="00991B03">
              <w:rPr>
                <w:rFonts w:eastAsiaTheme="minorEastAsia"/>
                <w:noProof/>
                <w:lang w:eastAsia="en-AU"/>
              </w:rPr>
              <w:tab/>
            </w:r>
            <w:r w:rsidR="00991B03" w:rsidRPr="00F06A14">
              <w:rPr>
                <w:rStyle w:val="Hyperlink"/>
                <w:noProof/>
              </w:rPr>
              <w:t>Total Market Security Obligation</w:t>
            </w:r>
            <w:r w:rsidR="00991B03">
              <w:rPr>
                <w:noProof/>
                <w:webHidden/>
              </w:rPr>
              <w:tab/>
            </w:r>
            <w:r w:rsidR="00991B03">
              <w:rPr>
                <w:noProof/>
                <w:webHidden/>
              </w:rPr>
              <w:fldChar w:fldCharType="begin"/>
            </w:r>
            <w:r w:rsidR="00991B03">
              <w:rPr>
                <w:noProof/>
                <w:webHidden/>
              </w:rPr>
              <w:instrText xml:space="preserve"> PAGEREF _Toc29823323 \h </w:instrText>
            </w:r>
            <w:r w:rsidR="00991B03">
              <w:rPr>
                <w:noProof/>
                <w:webHidden/>
              </w:rPr>
            </w:r>
            <w:r w:rsidR="00991B03">
              <w:rPr>
                <w:noProof/>
                <w:webHidden/>
              </w:rPr>
              <w:fldChar w:fldCharType="separate"/>
            </w:r>
            <w:r>
              <w:rPr>
                <w:noProof/>
                <w:webHidden/>
              </w:rPr>
              <w:t>29</w:t>
            </w:r>
            <w:r w:rsidR="00991B03">
              <w:rPr>
                <w:noProof/>
                <w:webHidden/>
              </w:rPr>
              <w:fldChar w:fldCharType="end"/>
            </w:r>
          </w:hyperlink>
        </w:p>
        <w:p w14:paraId="65DD7CB1" w14:textId="77777777" w:rsidR="00991B03" w:rsidRDefault="00E41BD3">
          <w:pPr>
            <w:pStyle w:val="TOC3"/>
            <w:tabs>
              <w:tab w:val="left" w:pos="1320"/>
              <w:tab w:val="right" w:leader="dot" w:pos="9016"/>
            </w:tabs>
            <w:rPr>
              <w:rFonts w:eastAsiaTheme="minorEastAsia"/>
              <w:noProof/>
              <w:lang w:eastAsia="en-AU"/>
            </w:rPr>
          </w:pPr>
          <w:hyperlink w:anchor="_Toc29823324" w:history="1">
            <w:r w:rsidR="00991B03" w:rsidRPr="00F06A14">
              <w:rPr>
                <w:rStyle w:val="Hyperlink"/>
                <w:noProof/>
              </w:rPr>
              <w:t>4.1.1</w:t>
            </w:r>
            <w:r w:rsidR="00991B03">
              <w:rPr>
                <w:rFonts w:eastAsiaTheme="minorEastAsia"/>
                <w:noProof/>
                <w:lang w:eastAsia="en-AU"/>
              </w:rPr>
              <w:tab/>
            </w:r>
            <w:r w:rsidR="00991B03" w:rsidRPr="00F06A14">
              <w:rPr>
                <w:rStyle w:val="Hyperlink"/>
                <w:noProof/>
              </w:rPr>
              <w:t>Potential change to the TMSO</w:t>
            </w:r>
            <w:r w:rsidR="00991B03">
              <w:rPr>
                <w:noProof/>
                <w:webHidden/>
              </w:rPr>
              <w:tab/>
            </w:r>
            <w:r w:rsidR="00991B03">
              <w:rPr>
                <w:noProof/>
                <w:webHidden/>
              </w:rPr>
              <w:fldChar w:fldCharType="begin"/>
            </w:r>
            <w:r w:rsidR="00991B03">
              <w:rPr>
                <w:noProof/>
                <w:webHidden/>
              </w:rPr>
              <w:instrText xml:space="preserve"> PAGEREF _Toc29823324 \h </w:instrText>
            </w:r>
            <w:r w:rsidR="00991B03">
              <w:rPr>
                <w:noProof/>
                <w:webHidden/>
              </w:rPr>
            </w:r>
            <w:r w:rsidR="00991B03">
              <w:rPr>
                <w:noProof/>
                <w:webHidden/>
              </w:rPr>
              <w:fldChar w:fldCharType="separate"/>
            </w:r>
            <w:r>
              <w:rPr>
                <w:noProof/>
                <w:webHidden/>
              </w:rPr>
              <w:t>30</w:t>
            </w:r>
            <w:r w:rsidR="00991B03">
              <w:rPr>
                <w:noProof/>
                <w:webHidden/>
              </w:rPr>
              <w:fldChar w:fldCharType="end"/>
            </w:r>
          </w:hyperlink>
        </w:p>
        <w:p w14:paraId="7D05725B" w14:textId="77777777" w:rsidR="00991B03" w:rsidRDefault="00E41BD3">
          <w:pPr>
            <w:pStyle w:val="TOC2"/>
            <w:tabs>
              <w:tab w:val="left" w:pos="880"/>
              <w:tab w:val="right" w:leader="dot" w:pos="9016"/>
            </w:tabs>
            <w:rPr>
              <w:rFonts w:eastAsiaTheme="minorEastAsia"/>
              <w:noProof/>
              <w:lang w:eastAsia="en-AU"/>
            </w:rPr>
          </w:pPr>
          <w:hyperlink w:anchor="_Toc29823325" w:history="1">
            <w:r w:rsidR="00991B03" w:rsidRPr="00F06A14">
              <w:rPr>
                <w:rStyle w:val="Hyperlink"/>
                <w:noProof/>
              </w:rPr>
              <w:t>4.2</w:t>
            </w:r>
            <w:r w:rsidR="00991B03">
              <w:rPr>
                <w:rFonts w:eastAsiaTheme="minorEastAsia"/>
                <w:noProof/>
                <w:lang w:eastAsia="en-AU"/>
              </w:rPr>
              <w:tab/>
            </w:r>
            <w:r w:rsidR="00991B03" w:rsidRPr="00F06A14">
              <w:rPr>
                <w:rStyle w:val="Hyperlink"/>
                <w:noProof/>
              </w:rPr>
              <w:t>LNG Netback Price</w:t>
            </w:r>
            <w:r w:rsidR="00991B03">
              <w:rPr>
                <w:noProof/>
                <w:webHidden/>
              </w:rPr>
              <w:tab/>
            </w:r>
            <w:r w:rsidR="00991B03">
              <w:rPr>
                <w:noProof/>
                <w:webHidden/>
              </w:rPr>
              <w:fldChar w:fldCharType="begin"/>
            </w:r>
            <w:r w:rsidR="00991B03">
              <w:rPr>
                <w:noProof/>
                <w:webHidden/>
              </w:rPr>
              <w:instrText xml:space="preserve"> PAGEREF _Toc29823325 \h </w:instrText>
            </w:r>
            <w:r w:rsidR="00991B03">
              <w:rPr>
                <w:noProof/>
                <w:webHidden/>
              </w:rPr>
            </w:r>
            <w:r w:rsidR="00991B03">
              <w:rPr>
                <w:noProof/>
                <w:webHidden/>
              </w:rPr>
              <w:fldChar w:fldCharType="separate"/>
            </w:r>
            <w:r>
              <w:rPr>
                <w:noProof/>
                <w:webHidden/>
              </w:rPr>
              <w:t>30</w:t>
            </w:r>
            <w:r w:rsidR="00991B03">
              <w:rPr>
                <w:noProof/>
                <w:webHidden/>
              </w:rPr>
              <w:fldChar w:fldCharType="end"/>
            </w:r>
          </w:hyperlink>
        </w:p>
        <w:p w14:paraId="55010804" w14:textId="77777777" w:rsidR="00991B03" w:rsidRDefault="00E41BD3">
          <w:pPr>
            <w:pStyle w:val="TOC2"/>
            <w:tabs>
              <w:tab w:val="left" w:pos="880"/>
              <w:tab w:val="right" w:leader="dot" w:pos="9016"/>
            </w:tabs>
            <w:rPr>
              <w:rFonts w:eastAsiaTheme="minorEastAsia"/>
              <w:noProof/>
              <w:lang w:eastAsia="en-AU"/>
            </w:rPr>
          </w:pPr>
          <w:hyperlink w:anchor="_Toc29823326" w:history="1">
            <w:r w:rsidR="00991B03" w:rsidRPr="00F06A14">
              <w:rPr>
                <w:rStyle w:val="Hyperlink"/>
                <w:noProof/>
              </w:rPr>
              <w:t>4.3</w:t>
            </w:r>
            <w:r w:rsidR="00991B03">
              <w:rPr>
                <w:rFonts w:eastAsiaTheme="minorEastAsia"/>
                <w:noProof/>
                <w:lang w:eastAsia="en-AU"/>
              </w:rPr>
              <w:tab/>
            </w:r>
            <w:r w:rsidR="00991B03" w:rsidRPr="00F06A14">
              <w:rPr>
                <w:rStyle w:val="Hyperlink"/>
                <w:noProof/>
              </w:rPr>
              <w:t>Price trigger</w:t>
            </w:r>
            <w:r w:rsidR="00991B03">
              <w:rPr>
                <w:noProof/>
                <w:webHidden/>
              </w:rPr>
              <w:tab/>
            </w:r>
            <w:r w:rsidR="00991B03">
              <w:rPr>
                <w:noProof/>
                <w:webHidden/>
              </w:rPr>
              <w:fldChar w:fldCharType="begin"/>
            </w:r>
            <w:r w:rsidR="00991B03">
              <w:rPr>
                <w:noProof/>
                <w:webHidden/>
              </w:rPr>
              <w:instrText xml:space="preserve"> PAGEREF _Toc29823326 \h </w:instrText>
            </w:r>
            <w:r w:rsidR="00991B03">
              <w:rPr>
                <w:noProof/>
                <w:webHidden/>
              </w:rPr>
            </w:r>
            <w:r w:rsidR="00991B03">
              <w:rPr>
                <w:noProof/>
                <w:webHidden/>
              </w:rPr>
              <w:fldChar w:fldCharType="separate"/>
            </w:r>
            <w:r>
              <w:rPr>
                <w:noProof/>
                <w:webHidden/>
              </w:rPr>
              <w:t>34</w:t>
            </w:r>
            <w:r w:rsidR="00991B03">
              <w:rPr>
                <w:noProof/>
                <w:webHidden/>
              </w:rPr>
              <w:fldChar w:fldCharType="end"/>
            </w:r>
          </w:hyperlink>
        </w:p>
        <w:p w14:paraId="239D5E24" w14:textId="77777777" w:rsidR="00991B03" w:rsidRDefault="00E41BD3">
          <w:pPr>
            <w:pStyle w:val="TOC1"/>
            <w:tabs>
              <w:tab w:val="left" w:pos="440"/>
            </w:tabs>
            <w:rPr>
              <w:rFonts w:eastAsiaTheme="minorEastAsia"/>
              <w:b w:val="0"/>
              <w:lang w:eastAsia="en-AU"/>
            </w:rPr>
          </w:pPr>
          <w:hyperlink w:anchor="_Toc29823327" w:history="1">
            <w:r w:rsidR="00991B03" w:rsidRPr="00F06A14">
              <w:rPr>
                <w:rStyle w:val="Hyperlink"/>
              </w:rPr>
              <w:t>5</w:t>
            </w:r>
            <w:r w:rsidR="00991B03">
              <w:rPr>
                <w:rFonts w:eastAsiaTheme="minorEastAsia"/>
                <w:b w:val="0"/>
                <w:lang w:eastAsia="en-AU"/>
              </w:rPr>
              <w:tab/>
            </w:r>
            <w:r w:rsidR="00991B03" w:rsidRPr="00F06A14">
              <w:rPr>
                <w:rStyle w:val="Hyperlink"/>
              </w:rPr>
              <w:t>Conclusion and Recommendations</w:t>
            </w:r>
            <w:r w:rsidR="00991B03">
              <w:rPr>
                <w:webHidden/>
              </w:rPr>
              <w:tab/>
            </w:r>
            <w:r w:rsidR="00991B03">
              <w:rPr>
                <w:webHidden/>
              </w:rPr>
              <w:fldChar w:fldCharType="begin"/>
            </w:r>
            <w:r w:rsidR="00991B03">
              <w:rPr>
                <w:webHidden/>
              </w:rPr>
              <w:instrText xml:space="preserve"> PAGEREF _Toc29823327 \h </w:instrText>
            </w:r>
            <w:r w:rsidR="00991B03">
              <w:rPr>
                <w:webHidden/>
              </w:rPr>
            </w:r>
            <w:r w:rsidR="00991B03">
              <w:rPr>
                <w:webHidden/>
              </w:rPr>
              <w:fldChar w:fldCharType="separate"/>
            </w:r>
            <w:r>
              <w:rPr>
                <w:webHidden/>
              </w:rPr>
              <w:t>36</w:t>
            </w:r>
            <w:r w:rsidR="00991B03">
              <w:rPr>
                <w:webHidden/>
              </w:rPr>
              <w:fldChar w:fldCharType="end"/>
            </w:r>
          </w:hyperlink>
        </w:p>
        <w:p w14:paraId="03709CCE" w14:textId="41C9D22F" w:rsidR="00F35895" w:rsidRPr="006815C9" w:rsidRDefault="00F35895">
          <w:r w:rsidRPr="006815C9">
            <w:rPr>
              <w:b/>
              <w:bCs/>
              <w:noProof/>
            </w:rPr>
            <w:fldChar w:fldCharType="end"/>
          </w:r>
        </w:p>
      </w:sdtContent>
    </w:sdt>
    <w:p w14:paraId="0662148D" w14:textId="7E237320" w:rsidR="0028797A" w:rsidRPr="006815C9" w:rsidRDefault="0028797A" w:rsidP="008E7B0C">
      <w:pPr>
        <w:pStyle w:val="Title"/>
      </w:pPr>
      <w:bookmarkStart w:id="28" w:name="_Toc18590650"/>
      <w:bookmarkStart w:id="29" w:name="_Toc18592115"/>
      <w:bookmarkStart w:id="30" w:name="_Toc19109826"/>
      <w:bookmarkStart w:id="31" w:name="_Toc19113869"/>
      <w:bookmarkStart w:id="32" w:name="_Toc19189764"/>
      <w:bookmarkStart w:id="33" w:name="_Toc19271047"/>
      <w:bookmarkStart w:id="34" w:name="_Toc19280625"/>
      <w:bookmarkStart w:id="35" w:name="_Toc19281119"/>
      <w:bookmarkStart w:id="36" w:name="_Toc19537946"/>
      <w:bookmarkStart w:id="37" w:name="_Toc19545352"/>
      <w:bookmarkStart w:id="38" w:name="_Toc19611825"/>
      <w:bookmarkStart w:id="39" w:name="_Toc19628578"/>
      <w:bookmarkStart w:id="40" w:name="_Toc19628618"/>
      <w:bookmarkStart w:id="41" w:name="_Toc19717423"/>
      <w:bookmarkStart w:id="42" w:name="_Toc19720110"/>
      <w:bookmarkStart w:id="43" w:name="_Toc19789953"/>
      <w:bookmarkStart w:id="44" w:name="_Toc19803024"/>
      <w:bookmarkStart w:id="45" w:name="_Toc19804071"/>
      <w:bookmarkStart w:id="46" w:name="_Toc19804271"/>
      <w:bookmarkStart w:id="47" w:name="_Toc19804517"/>
      <w:bookmarkStart w:id="48" w:name="_Toc19888521"/>
      <w:bookmarkStart w:id="49" w:name="_Toc19889148"/>
      <w:bookmarkStart w:id="50" w:name="_Toc20232920"/>
      <w:bookmarkStart w:id="51" w:name="_Toc20237730"/>
      <w:bookmarkStart w:id="52" w:name="_Toc20322016"/>
      <w:bookmarkStart w:id="53" w:name="_Toc20322434"/>
      <w:bookmarkStart w:id="54" w:name="_Toc20398000"/>
      <w:bookmarkStart w:id="55" w:name="_Toc20401001"/>
      <w:bookmarkStart w:id="56" w:name="_Toc20410639"/>
      <w:bookmarkStart w:id="57" w:name="_Toc20412165"/>
      <w:bookmarkStart w:id="58" w:name="_Toc20469258"/>
      <w:bookmarkStart w:id="59" w:name="_Toc21705333"/>
      <w:bookmarkStart w:id="60" w:name="_Toc26349911"/>
      <w:bookmarkStart w:id="61" w:name="_Toc26448228"/>
      <w:bookmarkStart w:id="62" w:name="_Toc26454510"/>
      <w:bookmarkStart w:id="63" w:name="_Toc29823299"/>
      <w:r w:rsidRPr="006815C9">
        <w:lastRenderedPageBreak/>
        <w:t>Executive Summary</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13B5113" w14:textId="35FC0400" w:rsidR="00934146" w:rsidRPr="006815C9" w:rsidRDefault="00934146" w:rsidP="00934146">
      <w:r w:rsidRPr="006815C9">
        <w:t xml:space="preserve">The Australian Government introduced the Australian Domestic Gas Security Mechanism (ADGSM) in July 2017 in response to </w:t>
      </w:r>
      <w:r w:rsidR="00F415C7" w:rsidRPr="006815C9">
        <w:t xml:space="preserve">a </w:t>
      </w:r>
      <w:r w:rsidRPr="006815C9">
        <w:t>forecast gas supply shortfall in the east</w:t>
      </w:r>
      <w:r w:rsidR="00A57578" w:rsidRPr="006815C9">
        <w:t xml:space="preserve">ern </w:t>
      </w:r>
      <w:r w:rsidRPr="006815C9">
        <w:t xml:space="preserve">domestic gas market. The ADGSM </w:t>
      </w:r>
      <w:r w:rsidR="00800F2D" w:rsidRPr="006815C9">
        <w:t>provide</w:t>
      </w:r>
      <w:r w:rsidR="00745942" w:rsidRPr="006815C9">
        <w:t>s</w:t>
      </w:r>
      <w:r w:rsidR="00800F2D" w:rsidRPr="006815C9">
        <w:t xml:space="preserve"> </w:t>
      </w:r>
      <w:r w:rsidRPr="006815C9">
        <w:t>the Government with the ability to restrict LNG exports to secure domestic supply.</w:t>
      </w:r>
    </w:p>
    <w:p w14:paraId="1BA22630" w14:textId="0F41390B" w:rsidR="00934146" w:rsidRPr="006815C9" w:rsidRDefault="00D132DC" w:rsidP="00934146">
      <w:r w:rsidRPr="006815C9">
        <w:t>On 6 August 2019, the Government announced the 2020 statutory</w:t>
      </w:r>
      <w:r w:rsidR="00934146" w:rsidRPr="006815C9">
        <w:t xml:space="preserve"> review of the ADGSM </w:t>
      </w:r>
      <w:r w:rsidRPr="006815C9">
        <w:t>would be</w:t>
      </w:r>
      <w:r w:rsidR="00934146" w:rsidRPr="006815C9">
        <w:t xml:space="preserve"> brought forward</w:t>
      </w:r>
      <w:r w:rsidRPr="006815C9">
        <w:t>.</w:t>
      </w:r>
      <w:r w:rsidR="00934146" w:rsidRPr="006815C9">
        <w:t xml:space="preserve"> Following over two years of operation</w:t>
      </w:r>
      <w:r w:rsidR="00937A2D" w:rsidRPr="006815C9">
        <w:t>,</w:t>
      </w:r>
      <w:r w:rsidR="00934146" w:rsidRPr="006815C9">
        <w:t xml:space="preserve"> it is timely to review the ADGSM. The review assesse</w:t>
      </w:r>
      <w:r w:rsidR="00476C62" w:rsidRPr="006815C9">
        <w:t>s</w:t>
      </w:r>
      <w:r w:rsidR="00934146" w:rsidRPr="006815C9">
        <w:t xml:space="preserve"> the ADGSM’s effectiveness against terms of reference stipulated in the ADGSM’s regulations</w:t>
      </w:r>
      <w:r w:rsidR="00800F2D" w:rsidRPr="006815C9">
        <w:t>.</w:t>
      </w:r>
      <w:r w:rsidR="00934146" w:rsidRPr="006815C9">
        <w:t xml:space="preserve"> Stakeholder consultation has been undertaken largely through a submission process.</w:t>
      </w:r>
    </w:p>
    <w:p w14:paraId="369FC293" w14:textId="5EE731D6" w:rsidR="00934146" w:rsidRPr="006815C9" w:rsidRDefault="00934146" w:rsidP="00934146">
      <w:r w:rsidRPr="006815C9">
        <w:t xml:space="preserve">The </w:t>
      </w:r>
      <w:r w:rsidR="009C3FA8" w:rsidRPr="006815C9">
        <w:t>eastern gas market</w:t>
      </w:r>
      <w:r w:rsidRPr="006815C9">
        <w:t xml:space="preserve"> has undergone significant changes in recent years. Most notably, </w:t>
      </w:r>
      <w:r w:rsidR="00971AD4" w:rsidRPr="006815C9">
        <w:t xml:space="preserve">from 2015 </w:t>
      </w:r>
      <w:r w:rsidRPr="006815C9">
        <w:t xml:space="preserve">the </w:t>
      </w:r>
      <w:r w:rsidR="00BB6B70" w:rsidRPr="006815C9">
        <w:t xml:space="preserve">ramp up in </w:t>
      </w:r>
      <w:r w:rsidRPr="006815C9">
        <w:t>exports from Queensland’s LNG industry transformed the market</w:t>
      </w:r>
      <w:r w:rsidR="00800F2D" w:rsidRPr="006815C9">
        <w:t xml:space="preserve">, </w:t>
      </w:r>
      <w:r w:rsidRPr="006815C9">
        <w:t>with domestic gas prices rising</w:t>
      </w:r>
      <w:r w:rsidR="00BB6B70" w:rsidRPr="006815C9">
        <w:t xml:space="preserve"> to </w:t>
      </w:r>
      <w:r w:rsidR="00006B8A" w:rsidRPr="006815C9">
        <w:t>closer</w:t>
      </w:r>
      <w:r w:rsidR="00BB6B70" w:rsidRPr="006815C9">
        <w:t xml:space="preserve"> align with international prices</w:t>
      </w:r>
      <w:r w:rsidRPr="006815C9">
        <w:t>. Production costs have also risen</w:t>
      </w:r>
      <w:r w:rsidR="007F74DE" w:rsidRPr="006815C9">
        <w:t>,</w:t>
      </w:r>
      <w:r w:rsidRPr="006815C9">
        <w:t xml:space="preserve"> </w:t>
      </w:r>
      <w:r w:rsidR="003750D3" w:rsidRPr="006815C9">
        <w:t xml:space="preserve">reflecting </w:t>
      </w:r>
      <w:r w:rsidRPr="006815C9">
        <w:t>more expensive unconventional coal seam gas production and some declines in offshore production</w:t>
      </w:r>
      <w:r w:rsidR="007F74DE" w:rsidRPr="006815C9">
        <w:t>,</w:t>
      </w:r>
      <w:r w:rsidRPr="006815C9">
        <w:t xml:space="preserve"> requiring new and more expensive gas dev</w:t>
      </w:r>
      <w:r w:rsidR="009E32DF" w:rsidRPr="006815C9">
        <w:t>e</w:t>
      </w:r>
      <w:r w:rsidRPr="006815C9">
        <w:t>lopments.</w:t>
      </w:r>
    </w:p>
    <w:p w14:paraId="29F851A7" w14:textId="6FC5CF48" w:rsidR="00934146" w:rsidRPr="006815C9" w:rsidRDefault="00934146" w:rsidP="00934146">
      <w:r w:rsidRPr="006815C9">
        <w:t xml:space="preserve">It is important to note the ADGSM is </w:t>
      </w:r>
      <w:r w:rsidR="007F74DE" w:rsidRPr="006815C9">
        <w:t xml:space="preserve">a temporary supply security measure and </w:t>
      </w:r>
      <w:r w:rsidRPr="006815C9">
        <w:t xml:space="preserve">not a </w:t>
      </w:r>
      <w:r w:rsidR="00F415C7" w:rsidRPr="006815C9">
        <w:t xml:space="preserve">direct </w:t>
      </w:r>
      <w:r w:rsidRPr="006815C9">
        <w:t xml:space="preserve">price control mechanism. </w:t>
      </w:r>
      <w:r w:rsidR="00A84E9B" w:rsidRPr="006815C9">
        <w:t>I</w:t>
      </w:r>
      <w:r w:rsidRPr="006815C9">
        <w:t xml:space="preserve">t </w:t>
      </w:r>
      <w:r w:rsidR="00A84E9B" w:rsidRPr="006815C9">
        <w:t xml:space="preserve">aims to </w:t>
      </w:r>
      <w:r w:rsidRPr="006815C9">
        <w:t>ensur</w:t>
      </w:r>
      <w:r w:rsidR="00A84E9B" w:rsidRPr="006815C9">
        <w:t>e</w:t>
      </w:r>
      <w:r w:rsidRPr="006815C9">
        <w:t xml:space="preserve"> </w:t>
      </w:r>
      <w:r w:rsidR="008C0AB3" w:rsidRPr="006815C9">
        <w:t>there is sufficient gas supply in the domestic market</w:t>
      </w:r>
      <w:r w:rsidRPr="006815C9">
        <w:t xml:space="preserve">. Increasing domestic gas </w:t>
      </w:r>
      <w:r w:rsidR="00640D14" w:rsidRPr="006815C9">
        <w:t>production</w:t>
      </w:r>
      <w:r w:rsidRPr="006815C9">
        <w:t xml:space="preserve"> remains the most effective method of increasing competition, alleviating market tightness and placing downward pressure on prices.</w:t>
      </w:r>
    </w:p>
    <w:p w14:paraId="698E47CC" w14:textId="49073039" w:rsidR="00943447" w:rsidRPr="006815C9" w:rsidRDefault="00934146" w:rsidP="00934146">
      <w:r w:rsidRPr="006815C9">
        <w:t xml:space="preserve">Since the ADGSM’s introduction in 2017, pressures in the </w:t>
      </w:r>
      <w:r w:rsidR="009C3FA8" w:rsidRPr="006815C9">
        <w:t>eastern gas market</w:t>
      </w:r>
      <w:r w:rsidR="00A84E9B" w:rsidRPr="006815C9">
        <w:t xml:space="preserve"> have moderated</w:t>
      </w:r>
      <w:r w:rsidRPr="006815C9">
        <w:t xml:space="preserve">. The Australian Competition and Consumer Commission’s </w:t>
      </w:r>
      <w:r w:rsidR="00A84E9B" w:rsidRPr="006815C9">
        <w:t xml:space="preserve">(ACCC) </w:t>
      </w:r>
      <w:r w:rsidRPr="006815C9">
        <w:t>m</w:t>
      </w:r>
      <w:r w:rsidR="00FB0A8D" w:rsidRPr="006815C9">
        <w:t>ost recent reporting found that average gas price offers from producers between January and A</w:t>
      </w:r>
      <w:r w:rsidR="00AE7064" w:rsidRPr="006815C9">
        <w:t xml:space="preserve">pril 2019 were mostly below $10 per </w:t>
      </w:r>
      <w:r w:rsidR="00C408D9" w:rsidRPr="006815C9">
        <w:t>gigajoule (</w:t>
      </w:r>
      <w:r w:rsidR="00FB0A8D" w:rsidRPr="006815C9">
        <w:t>GJ</w:t>
      </w:r>
      <w:r w:rsidR="00C408D9" w:rsidRPr="006815C9">
        <w:t>)</w:t>
      </w:r>
      <w:r w:rsidR="00FB0A8D" w:rsidRPr="006815C9">
        <w:t xml:space="preserve">. For the same period, average gas price offers from retailers ranged between $10–12/GJ. These prices are significantly lower than the peak-prices reportedly offered in early 2017 </w:t>
      </w:r>
      <w:r w:rsidR="00A72CC8" w:rsidRPr="006815C9">
        <w:t xml:space="preserve">which ranged to </w:t>
      </w:r>
      <w:r w:rsidR="00FB0A8D" w:rsidRPr="006815C9">
        <w:t xml:space="preserve">over $20/GJ. </w:t>
      </w:r>
      <w:r w:rsidRPr="006815C9">
        <w:t>The recent successful negotiation of gas supply contracts between major gas users and producers reinforces this improvement.</w:t>
      </w:r>
    </w:p>
    <w:p w14:paraId="4B3E048C" w14:textId="54917B83" w:rsidR="00934146" w:rsidRPr="006815C9" w:rsidRDefault="00934146" w:rsidP="00934146">
      <w:r w:rsidRPr="006815C9">
        <w:t>However</w:t>
      </w:r>
      <w:r w:rsidR="007F74DE" w:rsidRPr="006815C9">
        <w:t>,</w:t>
      </w:r>
      <w:r w:rsidRPr="006815C9">
        <w:t xml:space="preserve"> the gas market and underlying supply chains are complex. </w:t>
      </w:r>
      <w:r w:rsidR="00A84E9B" w:rsidRPr="006815C9">
        <w:t>A</w:t>
      </w:r>
      <w:r w:rsidRPr="006815C9">
        <w:t xml:space="preserve"> range of factors, both domestically and internationally, influence the supply</w:t>
      </w:r>
      <w:r w:rsidR="003750D3" w:rsidRPr="006815C9">
        <w:t>-</w:t>
      </w:r>
      <w:r w:rsidRPr="006815C9">
        <w:t xml:space="preserve">demand balance and ultimately prices paid by consumers. These complexities are reflected in Australian governments’ </w:t>
      </w:r>
      <w:r w:rsidR="00A84E9B" w:rsidRPr="006815C9">
        <w:t xml:space="preserve">extensive </w:t>
      </w:r>
      <w:r w:rsidRPr="006815C9">
        <w:t xml:space="preserve">gas market reform agenda. Reforms are being progressed across the gas supply chain, including encouraging more supply and competition, </w:t>
      </w:r>
      <w:r w:rsidR="007B292D" w:rsidRPr="006815C9">
        <w:t xml:space="preserve">improving </w:t>
      </w:r>
      <w:r w:rsidRPr="006815C9">
        <w:t>regulat</w:t>
      </w:r>
      <w:r w:rsidR="007B292D" w:rsidRPr="006815C9">
        <w:t>i</w:t>
      </w:r>
      <w:r w:rsidRPr="006815C9">
        <w:t>o</w:t>
      </w:r>
      <w:r w:rsidR="007B292D" w:rsidRPr="006815C9">
        <w:t>n</w:t>
      </w:r>
      <w:r w:rsidRPr="006815C9">
        <w:t>, and increasing market transparency.</w:t>
      </w:r>
    </w:p>
    <w:p w14:paraId="254159DC" w14:textId="315D2387" w:rsidR="00934146" w:rsidRDefault="00934146" w:rsidP="00934146">
      <w:r w:rsidRPr="006815C9">
        <w:t xml:space="preserve">It is difficult to quantify the impact of specific factors and reforms on market outcomes, including that of the ADGSM. However, the improvement in the domestic supply outlook and subsequent market conditions can </w:t>
      </w:r>
      <w:r w:rsidR="00A72CC8" w:rsidRPr="006815C9">
        <w:t>in part be</w:t>
      </w:r>
      <w:r w:rsidRPr="006815C9">
        <w:t xml:space="preserve"> attributed to the ADGSM. </w:t>
      </w:r>
      <w:r w:rsidR="00DC4CB7" w:rsidRPr="006815C9">
        <w:t>LNG exporters have increased their supply to the domestic market since the ADGSM was introduced and are</w:t>
      </w:r>
      <w:r w:rsidR="00813729">
        <w:t xml:space="preserve"> currently</w:t>
      </w:r>
      <w:r w:rsidR="00DC4CB7" w:rsidRPr="006815C9">
        <w:t>, in aggregate, net contributors to the domestic market.</w:t>
      </w:r>
      <w:r w:rsidRPr="006815C9">
        <w:t xml:space="preserve"> Australia’s energy market bodies and regulators (</w:t>
      </w:r>
      <w:r w:rsidR="00671CB2" w:rsidRPr="006815C9">
        <w:t xml:space="preserve">Australian Energy Market Operator - </w:t>
      </w:r>
      <w:r w:rsidRPr="006815C9">
        <w:t xml:space="preserve">AEMO, </w:t>
      </w:r>
      <w:r w:rsidR="00671CB2" w:rsidRPr="006815C9">
        <w:t xml:space="preserve">Australian Energy Regulator </w:t>
      </w:r>
      <w:r w:rsidR="00813729">
        <w:t>–</w:t>
      </w:r>
      <w:r w:rsidR="00671CB2" w:rsidRPr="006815C9">
        <w:t xml:space="preserve"> </w:t>
      </w:r>
      <w:r w:rsidRPr="006815C9">
        <w:t>AER</w:t>
      </w:r>
      <w:r w:rsidR="00813729">
        <w:t>,</w:t>
      </w:r>
      <w:r w:rsidRPr="006815C9">
        <w:t xml:space="preserve"> and ACCC) have acknowledged the ADGSM’s contribution in this regard.</w:t>
      </w:r>
      <w:r w:rsidR="00DC4CB7" w:rsidRPr="006815C9">
        <w:t xml:space="preserve"> </w:t>
      </w:r>
    </w:p>
    <w:p w14:paraId="00A1339B" w14:textId="65710F09" w:rsidR="008B678F" w:rsidRDefault="00656CA1" w:rsidP="00934146">
      <w:r>
        <w:t>P</w:t>
      </w:r>
      <w:r w:rsidR="00D7347B">
        <w:t xml:space="preserve">rice </w:t>
      </w:r>
      <w:r w:rsidR="000E31BF">
        <w:t>is</w:t>
      </w:r>
      <w:r w:rsidR="00D7347B">
        <w:t xml:space="preserve"> an ongoing concern </w:t>
      </w:r>
      <w:r w:rsidR="00C96B98">
        <w:t>of many gas users</w:t>
      </w:r>
      <w:r w:rsidR="000E31BF">
        <w:t>,</w:t>
      </w:r>
      <w:r>
        <w:t xml:space="preserve"> particularly manufacturers and feedstock users</w:t>
      </w:r>
      <w:r w:rsidR="00D7347B">
        <w:t xml:space="preserve">. </w:t>
      </w:r>
      <w:r w:rsidR="00311E20">
        <w:t>The review found that p</w:t>
      </w:r>
      <w:r w:rsidR="00D7347B">
        <w:t xml:space="preserve">rice formation </w:t>
      </w:r>
      <w:r w:rsidR="008B678F">
        <w:t>is co</w:t>
      </w:r>
      <w:r w:rsidR="00D7347B">
        <w:t xml:space="preserve">mplex </w:t>
      </w:r>
      <w:r w:rsidR="008B678F">
        <w:t>with numerous influences that vary across domestic market</w:t>
      </w:r>
      <w:r w:rsidR="00DD23D3">
        <w:t xml:space="preserve">s, </w:t>
      </w:r>
      <w:r w:rsidR="000E31BF">
        <w:t>including</w:t>
      </w:r>
      <w:r w:rsidR="00DD23D3">
        <w:t xml:space="preserve"> bespoke requirements of individual gas users and the production characteristics and geographic locations of different gas production centres</w:t>
      </w:r>
      <w:r w:rsidR="008B678F">
        <w:t xml:space="preserve">. The review does </w:t>
      </w:r>
      <w:r w:rsidR="00311E20">
        <w:t xml:space="preserve">not </w:t>
      </w:r>
      <w:r w:rsidR="008B678F">
        <w:t xml:space="preserve">therefore </w:t>
      </w:r>
      <w:r w:rsidR="00311E20">
        <w:t xml:space="preserve">recommend adopting a </w:t>
      </w:r>
      <w:r>
        <w:t xml:space="preserve">direct </w:t>
      </w:r>
      <w:r w:rsidR="00311E20">
        <w:t xml:space="preserve">price trigger </w:t>
      </w:r>
      <w:r>
        <w:t>as part of</w:t>
      </w:r>
      <w:r w:rsidR="00311E20">
        <w:t xml:space="preserve"> the ADGSM</w:t>
      </w:r>
      <w:r w:rsidR="00112DA0">
        <w:t xml:space="preserve">. </w:t>
      </w:r>
    </w:p>
    <w:p w14:paraId="6D19FAC0" w14:textId="4B4BDBA8" w:rsidR="00656CA1" w:rsidRPr="006815C9" w:rsidRDefault="00311E20" w:rsidP="00934146">
      <w:r>
        <w:lastRenderedPageBreak/>
        <w:t xml:space="preserve">Nevertheless, price </w:t>
      </w:r>
      <w:r w:rsidR="008B678F">
        <w:t>does</w:t>
      </w:r>
      <w:r>
        <w:t xml:space="preserve"> serve as a signal of how well a</w:t>
      </w:r>
      <w:r w:rsidR="00112DA0">
        <w:t xml:space="preserve"> </w:t>
      </w:r>
      <w:r>
        <w:t xml:space="preserve">market is functioning and </w:t>
      </w:r>
      <w:r w:rsidR="00656CA1">
        <w:t>is</w:t>
      </w:r>
      <w:r>
        <w:t xml:space="preserve"> an important input </w:t>
      </w:r>
      <w:r w:rsidR="00656CA1">
        <w:t>(along with other signals including production levels</w:t>
      </w:r>
      <w:r w:rsidR="008B678F">
        <w:t xml:space="preserve"> and the number of producers</w:t>
      </w:r>
      <w:r w:rsidR="00656CA1">
        <w:t>, exploration activity</w:t>
      </w:r>
      <w:r w:rsidR="008B678F">
        <w:t>, number and range of offers, export levels</w:t>
      </w:r>
      <w:r w:rsidR="00656CA1">
        <w:t xml:space="preserve">) </w:t>
      </w:r>
      <w:r>
        <w:t xml:space="preserve">in establishing whether there are </w:t>
      </w:r>
      <w:r w:rsidR="00656CA1">
        <w:t xml:space="preserve">real </w:t>
      </w:r>
      <w:r>
        <w:t xml:space="preserve">supply constraints for Australian gas users. The review </w:t>
      </w:r>
      <w:r w:rsidR="00656CA1">
        <w:t>recognises</w:t>
      </w:r>
      <w:r>
        <w:t xml:space="preserve"> that the LNG netback price series </w:t>
      </w:r>
      <w:r w:rsidR="00C96B98">
        <w:t xml:space="preserve">released </w:t>
      </w:r>
      <w:r w:rsidR="000849CD">
        <w:t xml:space="preserve">regularly </w:t>
      </w:r>
      <w:r w:rsidR="00C96B98">
        <w:t xml:space="preserve">by the ACCC </w:t>
      </w:r>
      <w:r>
        <w:t xml:space="preserve">is the most relevant series for Australian gas users, noting </w:t>
      </w:r>
      <w:r w:rsidR="00656CA1">
        <w:t xml:space="preserve">the </w:t>
      </w:r>
      <w:r>
        <w:t>limitations</w:t>
      </w:r>
      <w:r w:rsidR="000849CD">
        <w:t xml:space="preserve"> identified by the ACCC</w:t>
      </w:r>
      <w:r w:rsidR="00DD23D3">
        <w:t xml:space="preserve"> on the use of this series</w:t>
      </w:r>
      <w:r>
        <w:t xml:space="preserve">.  </w:t>
      </w:r>
    </w:p>
    <w:p w14:paraId="57210F15" w14:textId="2C6EA9C0" w:rsidR="00934146" w:rsidRPr="006815C9" w:rsidRDefault="00934146" w:rsidP="00934146">
      <w:r w:rsidRPr="006815C9">
        <w:t>Submissions to this review have ranged from the general view of gas producers that the ADGSM is no longer required, to calls from gas users for stronger interventions in the gas market. There has been a level of acknowledgement from gas users and producers that the ADGSM has been effective</w:t>
      </w:r>
      <w:r w:rsidR="003750D3" w:rsidRPr="006815C9">
        <w:t>,</w:t>
      </w:r>
      <w:r w:rsidRPr="006815C9">
        <w:t xml:space="preserve"> at least </w:t>
      </w:r>
      <w:r w:rsidR="00937A2D" w:rsidRPr="006815C9">
        <w:t xml:space="preserve">to </w:t>
      </w:r>
      <w:r w:rsidRPr="006815C9">
        <w:t>some extent</w:t>
      </w:r>
      <w:r w:rsidR="003750D3" w:rsidRPr="006815C9">
        <w:t>,</w:t>
      </w:r>
      <w:r w:rsidRPr="006815C9">
        <w:t xml:space="preserve"> in compelling more domestic supply. Stakeholders have also acknowledged that the ADGSM is only one of a suite of reforms and is not in itself a standalone so</w:t>
      </w:r>
      <w:r w:rsidR="00C266FA" w:rsidRPr="006815C9">
        <w:t>lution to gas market pressures.</w:t>
      </w:r>
    </w:p>
    <w:p w14:paraId="469C63D7" w14:textId="5F90CE7D" w:rsidR="00EF0D66" w:rsidRPr="006815C9" w:rsidRDefault="00EF0D66" w:rsidP="005F5EDC">
      <w:r w:rsidRPr="006815C9">
        <w:t xml:space="preserve">Sitting alongside the ADGSM, the review acknowledges the important role the Heads of Agreement between the Government and LNG exporters has played in encouraging more gas into the domestic market and safeguarding against a shortfall. </w:t>
      </w:r>
      <w:r w:rsidR="005432DC" w:rsidRPr="006815C9">
        <w:t>The Heads of Agreement has provided both an incentive and a mechanism for an industry-led initiative to ensure gas is available in the domestic market</w:t>
      </w:r>
      <w:r w:rsidR="003243F0" w:rsidRPr="006815C9">
        <w:t>,</w:t>
      </w:r>
      <w:r w:rsidR="005432DC" w:rsidRPr="006815C9">
        <w:t xml:space="preserve"> with new gas supply agreements being made between exporters and some industrial users.  </w:t>
      </w:r>
    </w:p>
    <w:p w14:paraId="3699CAE5" w14:textId="77777777" w:rsidR="00D32222" w:rsidRDefault="00D32222">
      <w:pPr>
        <w:rPr>
          <w:b/>
        </w:rPr>
      </w:pPr>
      <w:r>
        <w:rPr>
          <w:b/>
        </w:rPr>
        <w:br w:type="page"/>
      </w:r>
    </w:p>
    <w:p w14:paraId="31C1F8DD" w14:textId="18E2245D" w:rsidR="00E844E4" w:rsidRDefault="00043EA6" w:rsidP="004E1A08">
      <w:r w:rsidRPr="00043EA6">
        <w:rPr>
          <w:b/>
        </w:rPr>
        <w:lastRenderedPageBreak/>
        <w:t>Recommendations:</w:t>
      </w:r>
      <w:r>
        <w:t xml:space="preserve"> </w:t>
      </w:r>
    </w:p>
    <w:p w14:paraId="3178D18F" w14:textId="7048CC3D" w:rsidR="005A36D2" w:rsidRDefault="004E1A08" w:rsidP="005A36D2">
      <w:pPr>
        <w:pStyle w:val="ListParagraph"/>
        <w:numPr>
          <w:ilvl w:val="0"/>
          <w:numId w:val="28"/>
        </w:numPr>
      </w:pPr>
      <w:r w:rsidRPr="008E7C7E">
        <w:t>The ADGSM was introduced as a temporary measure alongside a broad suite of gas market reforms aimed at addressing market pressures.</w:t>
      </w:r>
      <w:r>
        <w:t xml:space="preserve"> </w:t>
      </w:r>
      <w:r w:rsidRPr="0037475E">
        <w:t xml:space="preserve">While there have been clear improvements in the eastern gas market, the market remains uncertain and persisting pressures still need to be addressed. </w:t>
      </w:r>
      <w:r w:rsidRPr="001B4F59">
        <w:rPr>
          <w:i/>
        </w:rPr>
        <w:t>As such, the review recommends retaining the ADGSM until its scheduled cessation in 2023.</w:t>
      </w:r>
    </w:p>
    <w:p w14:paraId="33D0235E" w14:textId="77777777" w:rsidR="005A36D2" w:rsidRPr="001D1180" w:rsidRDefault="005A36D2" w:rsidP="005A36D2">
      <w:pPr>
        <w:pStyle w:val="ListParagraph"/>
      </w:pPr>
    </w:p>
    <w:p w14:paraId="1D3F1FCD" w14:textId="6BC065A8" w:rsidR="005A36D2" w:rsidRPr="001D1180" w:rsidRDefault="004E1A08" w:rsidP="001D1180">
      <w:pPr>
        <w:pStyle w:val="ListParagraph"/>
        <w:numPr>
          <w:ilvl w:val="0"/>
          <w:numId w:val="28"/>
        </w:numPr>
        <w:rPr>
          <w:i/>
        </w:rPr>
      </w:pPr>
      <w:r w:rsidRPr="001D1180">
        <w:t xml:space="preserve">Whilst the ADGSM has worked well to date, it is important to ensure its effectiveness </w:t>
      </w:r>
      <w:r w:rsidR="00813729" w:rsidRPr="001D1180">
        <w:t>should it</w:t>
      </w:r>
      <w:r w:rsidR="00813729">
        <w:t xml:space="preserve"> be required</w:t>
      </w:r>
      <w:r w:rsidRPr="006815C9">
        <w:t xml:space="preserve">. This review has examined the </w:t>
      </w:r>
      <w:r w:rsidR="00813729">
        <w:t>Total Market Security Obligation (</w:t>
      </w:r>
      <w:r w:rsidRPr="006815C9">
        <w:t>TMSO</w:t>
      </w:r>
      <w:r w:rsidR="00813729">
        <w:t>)</w:t>
      </w:r>
      <w:r w:rsidRPr="006815C9">
        <w:t xml:space="preserve"> and found that it may not be able to recover sufficient domestic gas to address a market shortfall. </w:t>
      </w:r>
      <w:r w:rsidRPr="001D1180">
        <w:rPr>
          <w:i/>
        </w:rPr>
        <w:t>As such</w:t>
      </w:r>
      <w:r w:rsidR="006F429A" w:rsidRPr="001D1180">
        <w:rPr>
          <w:i/>
        </w:rPr>
        <w:t>,</w:t>
      </w:r>
      <w:r w:rsidRPr="001D1180">
        <w:rPr>
          <w:i/>
        </w:rPr>
        <w:t xml:space="preserve"> the review recommends consideration be given to changing the TMSO from the current ‘net-deficit’ test to a ‘50/50’ hybrid model which</w:t>
      </w:r>
      <w:r w:rsidR="00E5068D" w:rsidRPr="001D1180">
        <w:rPr>
          <w:i/>
        </w:rPr>
        <w:t xml:space="preserve"> allocates</w:t>
      </w:r>
      <w:r w:rsidRPr="001D1180">
        <w:rPr>
          <w:i/>
        </w:rPr>
        <w:t>:</w:t>
      </w:r>
      <w:r w:rsidR="005A36D2" w:rsidRPr="001D1180">
        <w:rPr>
          <w:i/>
          <w:sz w:val="8"/>
        </w:rPr>
        <w:t xml:space="preserve"> </w:t>
      </w:r>
    </w:p>
    <w:p w14:paraId="145540A7" w14:textId="77777777" w:rsidR="005A36D2" w:rsidRPr="001B4F59" w:rsidRDefault="005A36D2" w:rsidP="005A36D2">
      <w:pPr>
        <w:pStyle w:val="ListParagraph"/>
        <w:rPr>
          <w:i/>
          <w:sz w:val="12"/>
        </w:rPr>
      </w:pPr>
    </w:p>
    <w:p w14:paraId="54B3BBBD" w14:textId="273513D1" w:rsidR="004E1A08" w:rsidRPr="001B4F59" w:rsidRDefault="004E1A08" w:rsidP="00E844E4">
      <w:pPr>
        <w:pStyle w:val="ListParagraph"/>
        <w:numPr>
          <w:ilvl w:val="1"/>
          <w:numId w:val="29"/>
        </w:numPr>
        <w:rPr>
          <w:i/>
        </w:rPr>
      </w:pPr>
      <w:r w:rsidRPr="001B4F59">
        <w:rPr>
          <w:i/>
        </w:rPr>
        <w:t>half of the identified shortfall volume to applicable LNG projects on a pro-rata basis against LNG production capacity, and</w:t>
      </w:r>
    </w:p>
    <w:p w14:paraId="0E3626F7" w14:textId="64F5EECC" w:rsidR="004E1A08" w:rsidRPr="001B4F59" w:rsidRDefault="004E1A08" w:rsidP="00E844E4">
      <w:pPr>
        <w:pStyle w:val="ListParagraph"/>
        <w:numPr>
          <w:ilvl w:val="1"/>
          <w:numId w:val="29"/>
        </w:numPr>
        <w:rPr>
          <w:i/>
        </w:rPr>
      </w:pPr>
      <w:r w:rsidRPr="001B4F59">
        <w:rPr>
          <w:i/>
        </w:rPr>
        <w:t xml:space="preserve">the remaining half of the shortfall </w:t>
      </w:r>
      <w:r w:rsidR="008E6A7F" w:rsidRPr="001B4F59">
        <w:rPr>
          <w:i/>
        </w:rPr>
        <w:t xml:space="preserve">split in a way that is </w:t>
      </w:r>
      <w:r w:rsidRPr="001B4F59">
        <w:rPr>
          <w:i/>
        </w:rPr>
        <w:t>inversely proportional to the domestic gas contributed by each project.</w:t>
      </w:r>
    </w:p>
    <w:p w14:paraId="21042990" w14:textId="77777777" w:rsidR="00E844E4" w:rsidRPr="00E844E4" w:rsidRDefault="00E844E4" w:rsidP="00E844E4">
      <w:pPr>
        <w:pStyle w:val="ListParagraph"/>
        <w:rPr>
          <w:sz w:val="12"/>
        </w:rPr>
      </w:pPr>
    </w:p>
    <w:p w14:paraId="50E6B00C" w14:textId="183B57A4" w:rsidR="004379D5" w:rsidRDefault="004E1A08" w:rsidP="004379D5">
      <w:pPr>
        <w:pStyle w:val="ListParagraph"/>
      </w:pPr>
      <w:r>
        <w:t>Any change to the TMSO would be developed in consultation with industry and other affected stakeholders to avoid any unintended consequences. The Government’s intent remains to ensure domestic market security while continuing to attract investment in gas exploration and development and remain a reliable LNG supplier.</w:t>
      </w:r>
    </w:p>
    <w:p w14:paraId="1E802403" w14:textId="77777777" w:rsidR="001D1180" w:rsidRDefault="001D1180" w:rsidP="001D1180">
      <w:pPr>
        <w:pStyle w:val="ListParagraph"/>
      </w:pPr>
    </w:p>
    <w:p w14:paraId="711AB378" w14:textId="7788F882" w:rsidR="001D1180" w:rsidRPr="00BE09EE" w:rsidRDefault="00380274" w:rsidP="00BE09EE">
      <w:pPr>
        <w:pStyle w:val="ListParagraph"/>
        <w:numPr>
          <w:ilvl w:val="0"/>
          <w:numId w:val="28"/>
        </w:numPr>
      </w:pPr>
      <w:r>
        <w:t xml:space="preserve">The review </w:t>
      </w:r>
      <w:r w:rsidR="008B678F">
        <w:t>recognises that p</w:t>
      </w:r>
      <w:r>
        <w:t xml:space="preserve">rice </w:t>
      </w:r>
      <w:r w:rsidR="008B678F">
        <w:t xml:space="preserve">is an important indicator </w:t>
      </w:r>
      <w:r>
        <w:t>in establishing whether the domestic market is functioning effectively</w:t>
      </w:r>
      <w:r w:rsidR="00380D95">
        <w:t xml:space="preserve"> and </w:t>
      </w:r>
      <w:r w:rsidR="008641E8" w:rsidRPr="008641E8">
        <w:t>considers that the ACCC’s forward LNG netback price</w:t>
      </w:r>
      <w:r w:rsidR="00DD23D3">
        <w:t xml:space="preserve"> series is the </w:t>
      </w:r>
      <w:r w:rsidR="008641E8" w:rsidRPr="008641E8">
        <w:t xml:space="preserve">most applicable prices when estimating the likelihood and extent of a potential shortfall. </w:t>
      </w:r>
      <w:r w:rsidR="008641E8" w:rsidRPr="00BE09EE">
        <w:rPr>
          <w:i/>
        </w:rPr>
        <w:t xml:space="preserve">As such, the review recommends amending the ADGSM’s guidelines to include </w:t>
      </w:r>
      <w:r w:rsidR="00DD23D3">
        <w:rPr>
          <w:i/>
        </w:rPr>
        <w:t>referencing</w:t>
      </w:r>
      <w:r w:rsidR="008641E8" w:rsidRPr="00BE09EE">
        <w:rPr>
          <w:i/>
        </w:rPr>
        <w:t xml:space="preserve"> the ACCC’s LNG netback price series in estimating a potential shortfall.</w:t>
      </w:r>
      <w:r w:rsidR="008641E8" w:rsidRPr="008641E8">
        <w:t xml:space="preserve"> This amendment clarifies the relevance of the ACCC’s LNG netback price series to considerations under the ADGSM and strengthens the ADGSM’s ability to deliver on its objective of securing domestic gas supply.</w:t>
      </w:r>
    </w:p>
    <w:p w14:paraId="380EFC5F" w14:textId="3706BA81" w:rsidR="008826C7" w:rsidRPr="006815C9" w:rsidRDefault="008826C7" w:rsidP="00BE09EE">
      <w:pPr>
        <w:pStyle w:val="ListParagraph"/>
      </w:pPr>
      <w:r w:rsidRPr="006815C9">
        <w:br w:type="page"/>
      </w:r>
    </w:p>
    <w:bookmarkStart w:id="64" w:name="_ADGSM_Review"/>
    <w:bookmarkEnd w:id="64"/>
    <w:p w14:paraId="199A62F3" w14:textId="7D55C6D1" w:rsidR="00FB2EF7" w:rsidRPr="006815C9" w:rsidRDefault="00D90DE0" w:rsidP="00660855">
      <w:pPr>
        <w:pStyle w:val="Heading1"/>
      </w:pPr>
      <w:r w:rsidRPr="006815C9">
        <w:rPr>
          <w:rStyle w:val="Hyperlink"/>
          <w:color w:val="2E74B5" w:themeColor="accent1" w:themeShade="BF"/>
          <w:u w:val="none"/>
        </w:rPr>
        <w:lastRenderedPageBreak/>
        <w:fldChar w:fldCharType="begin"/>
      </w:r>
      <w:r w:rsidRPr="006815C9">
        <w:instrText xml:space="preserve"> HYPERLINK  \l "Outline" </w:instrText>
      </w:r>
      <w:r w:rsidRPr="006815C9">
        <w:rPr>
          <w:rStyle w:val="Hyperlink"/>
          <w:color w:val="2E74B5" w:themeColor="accent1" w:themeShade="BF"/>
          <w:u w:val="none"/>
        </w:rPr>
        <w:fldChar w:fldCharType="separate"/>
      </w:r>
      <w:bookmarkStart w:id="65" w:name="_Toc26349912"/>
      <w:bookmarkStart w:id="66" w:name="_Toc20401002"/>
      <w:bookmarkStart w:id="67" w:name="_Toc20398001"/>
      <w:bookmarkStart w:id="68" w:name="_Toc20322017"/>
      <w:bookmarkStart w:id="69" w:name="_Toc20322435"/>
      <w:bookmarkStart w:id="70" w:name="_Toc20237731"/>
      <w:bookmarkStart w:id="71" w:name="_Toc20232921"/>
      <w:bookmarkStart w:id="72" w:name="_Toc19888522"/>
      <w:bookmarkStart w:id="73" w:name="_Toc19889149"/>
      <w:bookmarkStart w:id="74" w:name="_Toc19789954"/>
      <w:bookmarkStart w:id="75" w:name="_Toc19628579"/>
      <w:bookmarkStart w:id="76" w:name="_Toc19628619"/>
      <w:bookmarkStart w:id="77" w:name="_Toc19611826"/>
      <w:bookmarkStart w:id="78" w:name="_Toc19545353"/>
      <w:bookmarkStart w:id="79" w:name="_Toc19537947"/>
      <w:bookmarkStart w:id="80" w:name="_Toc19109827"/>
      <w:bookmarkStart w:id="81" w:name="_Toc19113870"/>
      <w:bookmarkStart w:id="82" w:name="_Toc18590651"/>
      <w:bookmarkStart w:id="83" w:name="_Toc18592116"/>
      <w:bookmarkStart w:id="84" w:name="_Toc19189765"/>
      <w:bookmarkStart w:id="85" w:name="_Toc19280626"/>
      <w:bookmarkStart w:id="86" w:name="_Toc19271048"/>
      <w:bookmarkStart w:id="87" w:name="_Toc19281120"/>
      <w:bookmarkStart w:id="88" w:name="_Toc19717424"/>
      <w:bookmarkStart w:id="89" w:name="_Toc19720111"/>
      <w:bookmarkStart w:id="90" w:name="_Toc19804518"/>
      <w:bookmarkStart w:id="91" w:name="_Toc19804272"/>
      <w:bookmarkStart w:id="92" w:name="_Toc19804072"/>
      <w:bookmarkStart w:id="93" w:name="_Toc19803025"/>
      <w:bookmarkStart w:id="94" w:name="_Toc20412166"/>
      <w:bookmarkStart w:id="95" w:name="_Toc20410640"/>
      <w:bookmarkStart w:id="96" w:name="_Toc20469259"/>
      <w:bookmarkStart w:id="97" w:name="_Toc21705334"/>
      <w:bookmarkStart w:id="98" w:name="_Toc26448229"/>
      <w:bookmarkStart w:id="99" w:name="_Toc26454511"/>
      <w:bookmarkStart w:id="100" w:name="_Toc29823300"/>
      <w:r w:rsidR="0082083C" w:rsidRPr="006815C9">
        <w:rPr>
          <w:rStyle w:val="Hyperlink"/>
          <w:color w:val="2E74B5" w:themeColor="accent1" w:themeShade="BF"/>
          <w:u w:val="none"/>
        </w:rPr>
        <w:t>In</w:t>
      </w:r>
      <w:bookmarkStart w:id="101" w:name="_GoBack"/>
      <w:bookmarkEnd w:id="101"/>
      <w:r w:rsidR="0082083C" w:rsidRPr="006815C9">
        <w:rPr>
          <w:rStyle w:val="Hyperlink"/>
          <w:color w:val="2E74B5" w:themeColor="accent1" w:themeShade="BF"/>
          <w:u w:val="none"/>
        </w:rPr>
        <w:t>troduction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815C9">
        <w:rPr>
          <w:rStyle w:val="Hyperlink"/>
          <w:color w:val="2E74B5" w:themeColor="accent1" w:themeShade="BF"/>
          <w:u w:val="none"/>
        </w:rPr>
        <w:fldChar w:fldCharType="end"/>
      </w:r>
    </w:p>
    <w:p w14:paraId="09B52B73" w14:textId="77777777" w:rsidR="00F449A3" w:rsidRPr="006815C9" w:rsidRDefault="00F449A3" w:rsidP="00F449A3">
      <w:pPr>
        <w:pStyle w:val="Heading2"/>
      </w:pPr>
      <w:bookmarkStart w:id="102" w:name="_Gas_Market_History"/>
      <w:bookmarkStart w:id="103" w:name="_Toc18590652"/>
      <w:bookmarkStart w:id="104" w:name="_Toc18592117"/>
      <w:bookmarkStart w:id="105" w:name="_Toc19109828"/>
      <w:bookmarkStart w:id="106" w:name="_Toc19113871"/>
      <w:bookmarkStart w:id="107" w:name="_Toc19189766"/>
      <w:bookmarkStart w:id="108" w:name="_Toc19271049"/>
      <w:bookmarkStart w:id="109" w:name="_Toc19280627"/>
      <w:bookmarkStart w:id="110" w:name="_Toc19281121"/>
      <w:bookmarkStart w:id="111" w:name="_Toc19537948"/>
      <w:bookmarkStart w:id="112" w:name="_Toc19545354"/>
      <w:bookmarkStart w:id="113" w:name="_Toc19611827"/>
      <w:bookmarkStart w:id="114" w:name="_Toc19628580"/>
      <w:bookmarkStart w:id="115" w:name="_Toc19628620"/>
      <w:bookmarkStart w:id="116" w:name="_Toc19717425"/>
      <w:bookmarkStart w:id="117" w:name="_Toc19720112"/>
      <w:bookmarkStart w:id="118" w:name="_Toc19789955"/>
      <w:bookmarkStart w:id="119" w:name="_Toc19803026"/>
      <w:bookmarkStart w:id="120" w:name="_Toc19804073"/>
      <w:bookmarkStart w:id="121" w:name="_Toc19804273"/>
      <w:bookmarkStart w:id="122" w:name="_Toc19804519"/>
      <w:bookmarkStart w:id="123" w:name="_Toc19888523"/>
      <w:bookmarkStart w:id="124" w:name="_Toc19889150"/>
      <w:bookmarkStart w:id="125" w:name="_Toc20232922"/>
      <w:bookmarkStart w:id="126" w:name="_Toc20237732"/>
      <w:bookmarkStart w:id="127" w:name="_Toc20322018"/>
      <w:bookmarkStart w:id="128" w:name="_Toc20322436"/>
      <w:bookmarkStart w:id="129" w:name="_Toc20398002"/>
      <w:bookmarkStart w:id="130" w:name="_Toc20401003"/>
      <w:bookmarkStart w:id="131" w:name="_Toc20410641"/>
      <w:bookmarkStart w:id="132" w:name="_Toc20412167"/>
      <w:bookmarkStart w:id="133" w:name="_Toc20469260"/>
      <w:bookmarkStart w:id="134" w:name="_Toc21705335"/>
      <w:bookmarkStart w:id="135" w:name="_Toc26349913"/>
      <w:bookmarkStart w:id="136" w:name="_Toc26448230"/>
      <w:bookmarkStart w:id="137" w:name="_Toc26454512"/>
      <w:bookmarkStart w:id="138" w:name="_Toc29823301"/>
      <w:bookmarkStart w:id="139" w:name="_Toc18590654"/>
      <w:bookmarkStart w:id="140" w:name="_Toc18592119"/>
      <w:bookmarkStart w:id="141" w:name="_Toc19109830"/>
      <w:bookmarkStart w:id="142" w:name="_Toc19113873"/>
      <w:bookmarkStart w:id="143" w:name="_Toc19189768"/>
      <w:bookmarkStart w:id="144" w:name="_Toc19271051"/>
      <w:bookmarkStart w:id="145" w:name="_Toc19280629"/>
      <w:bookmarkStart w:id="146" w:name="_Toc19281123"/>
      <w:bookmarkEnd w:id="102"/>
      <w:r w:rsidRPr="006815C9">
        <w:t>Review purpose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6508950" w14:textId="5A2DAD4E" w:rsidR="00F449A3" w:rsidRPr="006815C9" w:rsidRDefault="00F449A3" w:rsidP="00F449A3">
      <w:r w:rsidRPr="006815C9">
        <w:t xml:space="preserve">The Australian Government introduced the ADGSM in 2017 to ensure there is sufficient gas supply in the domestic market. As set out in the ADGSM’s regulations - Division 6 of the </w:t>
      </w:r>
      <w:r w:rsidRPr="006815C9">
        <w:rPr>
          <w:i/>
        </w:rPr>
        <w:t>Customs (Prohibited Exports) Regulations 1958</w:t>
      </w:r>
      <w:r w:rsidRPr="006815C9">
        <w:t xml:space="preserve"> - the ADGSM is scheduled to be reviewed in 2020.</w:t>
      </w:r>
    </w:p>
    <w:p w14:paraId="5AB06DD2" w14:textId="255E6786" w:rsidR="00F449A3" w:rsidRPr="006815C9" w:rsidRDefault="00F449A3" w:rsidP="00F449A3">
      <w:r w:rsidRPr="006815C9">
        <w:t>On 6 August</w:t>
      </w:r>
      <w:r w:rsidRPr="006815C9" w:rsidDel="00474E11">
        <w:t xml:space="preserve"> 2019</w:t>
      </w:r>
      <w:r w:rsidRPr="006815C9">
        <w:t>, the Government announced, as part of a suite of gas market measures, its decision to bring this review forward to 2019. The review is intended to determine whether the ADGSM remains fit for purpose to deliver the desired market and investment outcomes.</w:t>
      </w:r>
    </w:p>
    <w:p w14:paraId="3D71EE20" w14:textId="77777777" w:rsidR="00F449A3" w:rsidRPr="006815C9" w:rsidRDefault="00F449A3" w:rsidP="00F449A3">
      <w:pPr>
        <w:pStyle w:val="Heading2"/>
      </w:pPr>
      <w:bookmarkStart w:id="147" w:name="_Toc18590653"/>
      <w:bookmarkStart w:id="148" w:name="_Toc18592118"/>
      <w:bookmarkStart w:id="149" w:name="_Toc19109829"/>
      <w:bookmarkStart w:id="150" w:name="_Toc19113872"/>
      <w:bookmarkStart w:id="151" w:name="_Toc19189767"/>
      <w:bookmarkStart w:id="152" w:name="_Toc19271050"/>
      <w:bookmarkStart w:id="153" w:name="_Toc19280628"/>
      <w:bookmarkStart w:id="154" w:name="_Toc19281122"/>
      <w:bookmarkStart w:id="155" w:name="_Toc19537949"/>
      <w:bookmarkStart w:id="156" w:name="_Toc19545355"/>
      <w:bookmarkStart w:id="157" w:name="_Toc19611828"/>
      <w:bookmarkStart w:id="158" w:name="_Toc19628581"/>
      <w:bookmarkStart w:id="159" w:name="_Toc19628621"/>
      <w:bookmarkStart w:id="160" w:name="_Toc19717426"/>
      <w:bookmarkStart w:id="161" w:name="_Toc19720113"/>
      <w:bookmarkStart w:id="162" w:name="_Toc19789956"/>
      <w:bookmarkStart w:id="163" w:name="_Toc19803027"/>
      <w:bookmarkStart w:id="164" w:name="_Toc19804074"/>
      <w:bookmarkStart w:id="165" w:name="_Toc19804274"/>
      <w:bookmarkStart w:id="166" w:name="_Toc19804520"/>
      <w:bookmarkStart w:id="167" w:name="_Toc19888524"/>
      <w:bookmarkStart w:id="168" w:name="_Toc19889151"/>
      <w:bookmarkStart w:id="169" w:name="_Toc20232923"/>
      <w:bookmarkStart w:id="170" w:name="_Toc20237733"/>
      <w:bookmarkStart w:id="171" w:name="_Toc20322019"/>
      <w:bookmarkStart w:id="172" w:name="_Toc20322437"/>
      <w:bookmarkStart w:id="173" w:name="_Toc20398003"/>
      <w:bookmarkStart w:id="174" w:name="_Toc20401004"/>
      <w:bookmarkStart w:id="175" w:name="_Toc20410642"/>
      <w:bookmarkStart w:id="176" w:name="_Toc20412168"/>
      <w:bookmarkStart w:id="177" w:name="_Toc20469261"/>
      <w:bookmarkStart w:id="178" w:name="_Toc21705336"/>
      <w:bookmarkStart w:id="179" w:name="_Toc26349914"/>
      <w:bookmarkStart w:id="180" w:name="_Toc26448231"/>
      <w:bookmarkStart w:id="181" w:name="_Toc26454513"/>
      <w:bookmarkStart w:id="182" w:name="_Toc29823302"/>
      <w:r w:rsidRPr="006815C9">
        <w:t>Scope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3B6BBF53" w14:textId="3363ACCE" w:rsidR="00B97923" w:rsidRPr="006815C9" w:rsidRDefault="00F449A3" w:rsidP="00F449A3">
      <w:r w:rsidRPr="006815C9">
        <w:t xml:space="preserve">The review has assessed the ADGSM against the terms of reference stipulated in the ADGSM regulations (Regulation 13.GG). </w:t>
      </w:r>
      <w:r w:rsidR="00B97923" w:rsidRPr="006815C9">
        <w:t>The six terms of reference include:</w:t>
      </w:r>
    </w:p>
    <w:p w14:paraId="5ED76CDE" w14:textId="67681D4F" w:rsidR="00B97923" w:rsidRPr="006815C9" w:rsidRDefault="00B97923" w:rsidP="00B97923">
      <w:pPr>
        <w:pStyle w:val="ListParagraph"/>
        <w:numPr>
          <w:ilvl w:val="0"/>
          <w:numId w:val="18"/>
        </w:numPr>
      </w:pPr>
      <w:r w:rsidRPr="006815C9">
        <w:t>The effectiveness and efficiency of the ADGSM in ensuring a sufficient supply of natural gas for Australian consumers with minimum disruption to Australia’s liquefied natural gas export industry</w:t>
      </w:r>
      <w:r w:rsidR="00062985" w:rsidRPr="006815C9">
        <w:t>.</w:t>
      </w:r>
    </w:p>
    <w:p w14:paraId="0978723E" w14:textId="7B8E8C81" w:rsidR="00B97923" w:rsidRPr="006815C9" w:rsidRDefault="00B97923" w:rsidP="00B97923">
      <w:pPr>
        <w:pStyle w:val="ListParagraph"/>
        <w:numPr>
          <w:ilvl w:val="0"/>
          <w:numId w:val="18"/>
        </w:numPr>
      </w:pPr>
      <w:r w:rsidRPr="006815C9">
        <w:t xml:space="preserve">The impact of the ADGSM on the competiveness of Australia’s </w:t>
      </w:r>
      <w:r w:rsidR="00813729">
        <w:t>LNG</w:t>
      </w:r>
      <w:r w:rsidRPr="006815C9">
        <w:t xml:space="preserve"> export industry, Australia’s investment reputation and Australia’s international reputation for quality and reliability</w:t>
      </w:r>
      <w:r w:rsidR="00062985" w:rsidRPr="006815C9">
        <w:t>.</w:t>
      </w:r>
    </w:p>
    <w:p w14:paraId="6CC37615" w14:textId="38A2D1D7" w:rsidR="00B97923" w:rsidRPr="006815C9" w:rsidRDefault="00B97923" w:rsidP="00B97923">
      <w:pPr>
        <w:pStyle w:val="ListParagraph"/>
        <w:numPr>
          <w:ilvl w:val="0"/>
          <w:numId w:val="18"/>
        </w:numPr>
      </w:pPr>
      <w:r w:rsidRPr="006815C9">
        <w:t>The impact of the ADGSM on the Australian domestic gas market, including the development of new and additional gas resources and market functions</w:t>
      </w:r>
      <w:r w:rsidR="00062985" w:rsidRPr="006815C9">
        <w:t>.</w:t>
      </w:r>
    </w:p>
    <w:p w14:paraId="2196015C" w14:textId="0F70E777" w:rsidR="00B97923" w:rsidRPr="006815C9" w:rsidRDefault="00B97923" w:rsidP="00B97923">
      <w:pPr>
        <w:pStyle w:val="ListParagraph"/>
        <w:numPr>
          <w:ilvl w:val="0"/>
          <w:numId w:val="18"/>
        </w:numPr>
      </w:pPr>
      <w:r w:rsidRPr="006815C9">
        <w:t>Whether improvements can be made to the operation of the ADGSM and whether there are appropriate alternative mechanisms to achieve the objectives of the ADGSM</w:t>
      </w:r>
      <w:r w:rsidR="00062985" w:rsidRPr="006815C9">
        <w:t>.</w:t>
      </w:r>
    </w:p>
    <w:p w14:paraId="12BEF879" w14:textId="181B95A0" w:rsidR="00B97923" w:rsidRPr="006815C9" w:rsidRDefault="00B97923" w:rsidP="00B97923">
      <w:pPr>
        <w:pStyle w:val="ListParagraph"/>
        <w:numPr>
          <w:ilvl w:val="0"/>
          <w:numId w:val="18"/>
        </w:numPr>
      </w:pPr>
      <w:r w:rsidRPr="006815C9">
        <w:t>Whether the ADGSM should be amended or repealed before 1 January 2023 and the timing of any such amendment or repeal</w:t>
      </w:r>
      <w:r w:rsidR="00062985" w:rsidRPr="006815C9">
        <w:t>.</w:t>
      </w:r>
    </w:p>
    <w:p w14:paraId="2F97B41C" w14:textId="32125FC1" w:rsidR="00B97923" w:rsidRPr="006815C9" w:rsidRDefault="00B97923" w:rsidP="00B97923">
      <w:pPr>
        <w:pStyle w:val="ListParagraph"/>
        <w:numPr>
          <w:ilvl w:val="0"/>
          <w:numId w:val="18"/>
        </w:numPr>
      </w:pPr>
      <w:r w:rsidRPr="006815C9">
        <w:t>The review will examine other relevant considerations, including investigating the ongoing appropriateness of the ADGSM’s Total Market Security Obligation arrangements and the ACCC’s Netback Price series.</w:t>
      </w:r>
    </w:p>
    <w:p w14:paraId="71C03648" w14:textId="7A141A26" w:rsidR="000F3C2B" w:rsidRPr="006815C9" w:rsidRDefault="00F449A3" w:rsidP="00F449A3">
      <w:r w:rsidRPr="006815C9">
        <w:t xml:space="preserve">Consultation occurred as part of the review with stakeholders invited to provide submissions addressing the terms of reference </w:t>
      </w:r>
      <w:r w:rsidR="00103948" w:rsidRPr="006815C9">
        <w:t>over the</w:t>
      </w:r>
      <w:r w:rsidRPr="006815C9">
        <w:t xml:space="preserve"> period from 7 to 31 August 2019.</w:t>
      </w:r>
      <w:r w:rsidR="0087387F" w:rsidRPr="006815C9">
        <w:t xml:space="preserve"> </w:t>
      </w:r>
      <w:r w:rsidR="000F3C2B" w:rsidRPr="006815C9">
        <w:t xml:space="preserve">A total of </w:t>
      </w:r>
      <w:r w:rsidR="005C671A" w:rsidRPr="006815C9">
        <w:t>2</w:t>
      </w:r>
      <w:r w:rsidR="00444B6E">
        <w:t>5</w:t>
      </w:r>
      <w:r w:rsidR="000F3C2B" w:rsidRPr="006815C9">
        <w:t xml:space="preserve"> submissions were received, </w:t>
      </w:r>
      <w:r w:rsidR="00DC4CB7" w:rsidRPr="006815C9">
        <w:t>around half</w:t>
      </w:r>
      <w:r w:rsidR="00AD650A" w:rsidRPr="006815C9">
        <w:t xml:space="preserve"> of which were provided confidentially. </w:t>
      </w:r>
      <w:r w:rsidR="000F3C2B" w:rsidRPr="006815C9">
        <w:t xml:space="preserve"> </w:t>
      </w:r>
    </w:p>
    <w:p w14:paraId="5D5EBA67" w14:textId="51D68023" w:rsidR="0028780A" w:rsidRPr="006815C9" w:rsidRDefault="0028780A" w:rsidP="00F449A3">
      <w:r w:rsidRPr="006815C9">
        <w:t xml:space="preserve">While the ADGSM is applicable nationally, </w:t>
      </w:r>
      <w:r w:rsidR="000D5365" w:rsidRPr="006815C9">
        <w:t xml:space="preserve">only </w:t>
      </w:r>
      <w:r w:rsidR="00B07551">
        <w:t xml:space="preserve">the eastern gas market </w:t>
      </w:r>
      <w:r w:rsidR="000D5365" w:rsidRPr="006815C9">
        <w:t>has experience</w:t>
      </w:r>
      <w:r w:rsidR="005671C1" w:rsidRPr="006815C9">
        <w:t>d</w:t>
      </w:r>
      <w:r w:rsidR="000D5365" w:rsidRPr="006815C9">
        <w:t xml:space="preserve"> </w:t>
      </w:r>
      <w:r w:rsidR="00B07551">
        <w:t xml:space="preserve">recent </w:t>
      </w:r>
      <w:r w:rsidR="000D5365" w:rsidRPr="006815C9">
        <w:t xml:space="preserve">supply security concerns. </w:t>
      </w:r>
      <w:r w:rsidR="004C1BBA" w:rsidRPr="006815C9">
        <w:t xml:space="preserve">Given the identified pressures, the </w:t>
      </w:r>
      <w:r w:rsidRPr="006815C9">
        <w:t xml:space="preserve">review </w:t>
      </w:r>
      <w:r w:rsidR="004C1BBA" w:rsidRPr="006815C9">
        <w:t>focuses mostly on</w:t>
      </w:r>
      <w:r w:rsidRPr="006815C9">
        <w:t xml:space="preserve"> th</w:t>
      </w:r>
      <w:r w:rsidR="004C1BBA" w:rsidRPr="006815C9">
        <w:t xml:space="preserve">is </w:t>
      </w:r>
      <w:r w:rsidR="009C3FA8" w:rsidRPr="006815C9">
        <w:t>market</w:t>
      </w:r>
      <w:r w:rsidRPr="006815C9">
        <w:t>.</w:t>
      </w:r>
    </w:p>
    <w:p w14:paraId="343B6CF0" w14:textId="7D8ED2F9" w:rsidR="006824D8" w:rsidRPr="006815C9" w:rsidRDefault="006824D8" w:rsidP="006824D8">
      <w:pPr>
        <w:pStyle w:val="Heading1"/>
      </w:pPr>
      <w:bookmarkStart w:id="183" w:name="_Toc19537950"/>
      <w:bookmarkStart w:id="184" w:name="_Toc19545356"/>
      <w:bookmarkStart w:id="185" w:name="_Toc19611829"/>
      <w:bookmarkStart w:id="186" w:name="_Toc19628582"/>
      <w:bookmarkStart w:id="187" w:name="_Toc19628622"/>
      <w:bookmarkStart w:id="188" w:name="_Toc19717427"/>
      <w:bookmarkStart w:id="189" w:name="_Toc19720114"/>
      <w:bookmarkStart w:id="190" w:name="_Toc19789957"/>
      <w:bookmarkStart w:id="191" w:name="_Toc19803028"/>
      <w:bookmarkStart w:id="192" w:name="_Toc19804075"/>
      <w:bookmarkStart w:id="193" w:name="_Toc19804275"/>
      <w:bookmarkStart w:id="194" w:name="_Toc19804521"/>
      <w:bookmarkStart w:id="195" w:name="_Toc19888525"/>
      <w:bookmarkStart w:id="196" w:name="_Toc19889152"/>
      <w:bookmarkStart w:id="197" w:name="_Toc20232924"/>
      <w:bookmarkStart w:id="198" w:name="_Toc20237734"/>
      <w:bookmarkStart w:id="199" w:name="_Toc20322020"/>
      <w:bookmarkStart w:id="200" w:name="_Toc20322438"/>
      <w:bookmarkStart w:id="201" w:name="_Toc20398004"/>
      <w:bookmarkStart w:id="202" w:name="_Toc20401005"/>
      <w:bookmarkStart w:id="203" w:name="_Toc20410643"/>
      <w:bookmarkStart w:id="204" w:name="_Toc20412169"/>
      <w:bookmarkStart w:id="205" w:name="_Toc20469262"/>
      <w:bookmarkStart w:id="206" w:name="_Toc21705337"/>
      <w:bookmarkStart w:id="207" w:name="_Toc26349915"/>
      <w:bookmarkStart w:id="208" w:name="_Toc26448232"/>
      <w:bookmarkStart w:id="209" w:name="_Toc26454514"/>
      <w:bookmarkStart w:id="210" w:name="_Toc29823303"/>
      <w:r w:rsidRPr="006815C9">
        <w:t>Background</w:t>
      </w:r>
      <w:bookmarkEnd w:id="139"/>
      <w:bookmarkEnd w:id="140"/>
      <w:bookmarkEnd w:id="141"/>
      <w:bookmarkEnd w:id="142"/>
      <w:bookmarkEnd w:id="143"/>
      <w:bookmarkEnd w:id="144"/>
      <w:bookmarkEnd w:id="145"/>
      <w:bookmarkEnd w:id="146"/>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bookmarkStart w:id="211" w:name="_Introduction_of_ADGSM"/>
    <w:bookmarkEnd w:id="211"/>
    <w:p w14:paraId="301143BB" w14:textId="77777777" w:rsidR="00CA3D0F" w:rsidRPr="006815C9" w:rsidRDefault="00CA3D0F" w:rsidP="00CA3D0F">
      <w:pPr>
        <w:pStyle w:val="Heading2"/>
      </w:pPr>
      <w:r w:rsidRPr="006815C9">
        <w:rPr>
          <w:rStyle w:val="Hyperlink"/>
          <w:u w:val="none"/>
        </w:rPr>
        <w:fldChar w:fldCharType="begin"/>
      </w:r>
      <w:r w:rsidRPr="006815C9">
        <w:rPr>
          <w:rStyle w:val="Hyperlink"/>
          <w:u w:val="none"/>
        </w:rPr>
        <w:instrText xml:space="preserve"> HYPERLINK \l "Outline" </w:instrText>
      </w:r>
      <w:r w:rsidRPr="006815C9">
        <w:rPr>
          <w:rStyle w:val="Hyperlink"/>
          <w:u w:val="none"/>
        </w:rPr>
        <w:fldChar w:fldCharType="separate"/>
      </w:r>
      <w:bookmarkStart w:id="212" w:name="_Toc26349916"/>
      <w:bookmarkStart w:id="213" w:name="_Toc20401006"/>
      <w:bookmarkStart w:id="214" w:name="_Toc20398005"/>
      <w:bookmarkStart w:id="215" w:name="_Toc20322021"/>
      <w:bookmarkStart w:id="216" w:name="_Toc20322439"/>
      <w:bookmarkStart w:id="217" w:name="_Toc20237735"/>
      <w:bookmarkStart w:id="218" w:name="_Toc20232925"/>
      <w:bookmarkStart w:id="219" w:name="_Toc19888526"/>
      <w:bookmarkStart w:id="220" w:name="_Toc19889153"/>
      <w:bookmarkStart w:id="221" w:name="_Toc19789958"/>
      <w:bookmarkStart w:id="222" w:name="_Toc19628583"/>
      <w:bookmarkStart w:id="223" w:name="_Toc19628623"/>
      <w:bookmarkStart w:id="224" w:name="_Toc19611830"/>
      <w:bookmarkStart w:id="225" w:name="_Toc19545357"/>
      <w:bookmarkStart w:id="226" w:name="_Toc19537951"/>
      <w:bookmarkStart w:id="227" w:name="_Toc18590655"/>
      <w:bookmarkStart w:id="228" w:name="_Toc18592120"/>
      <w:bookmarkStart w:id="229" w:name="_Toc19109831"/>
      <w:bookmarkStart w:id="230" w:name="_Toc19113874"/>
      <w:bookmarkStart w:id="231" w:name="_Toc19189769"/>
      <w:bookmarkStart w:id="232" w:name="_Toc19271052"/>
      <w:bookmarkStart w:id="233" w:name="_Toc19280630"/>
      <w:bookmarkStart w:id="234" w:name="_Toc19281124"/>
      <w:bookmarkStart w:id="235" w:name="_Toc19717428"/>
      <w:bookmarkStart w:id="236" w:name="_Toc19720115"/>
      <w:bookmarkStart w:id="237" w:name="_Toc19804522"/>
      <w:bookmarkStart w:id="238" w:name="_Toc19804276"/>
      <w:bookmarkStart w:id="239" w:name="_Toc19804076"/>
      <w:bookmarkStart w:id="240" w:name="_Toc19803029"/>
      <w:bookmarkStart w:id="241" w:name="_Toc20412170"/>
      <w:bookmarkStart w:id="242" w:name="_Toc20410644"/>
      <w:bookmarkStart w:id="243" w:name="_Toc20469263"/>
      <w:bookmarkStart w:id="244" w:name="_Toc21705338"/>
      <w:bookmarkStart w:id="245" w:name="_Toc26448233"/>
      <w:bookmarkStart w:id="246" w:name="_Toc26454515"/>
      <w:bookmarkStart w:id="247" w:name="_Toc29823304"/>
      <w:r w:rsidRPr="006815C9">
        <w:rPr>
          <w:rStyle w:val="Hyperlink"/>
          <w:u w:val="none"/>
        </w:rPr>
        <w:t>Gas market history</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815C9">
        <w:rPr>
          <w:rStyle w:val="Hyperlink"/>
          <w:u w:val="none"/>
        </w:rPr>
        <w:fldChar w:fldCharType="end"/>
      </w:r>
    </w:p>
    <w:p w14:paraId="03786EBB" w14:textId="58FDBE99" w:rsidR="00CA3D0F" w:rsidRPr="006815C9" w:rsidRDefault="00CA3D0F" w:rsidP="00CA3D0F">
      <w:r w:rsidRPr="006815C9">
        <w:t xml:space="preserve">Recent developments have changed dynamics in Australia’s </w:t>
      </w:r>
      <w:r w:rsidR="009C3FA8" w:rsidRPr="006815C9">
        <w:t>eastern gas market</w:t>
      </w:r>
      <w:r w:rsidRPr="006815C9">
        <w:t xml:space="preserve">. Historically, most gas has come from conventional sources, which </w:t>
      </w:r>
      <w:r w:rsidR="00D4713C" w:rsidRPr="006815C9">
        <w:t xml:space="preserve">is </w:t>
      </w:r>
      <w:r w:rsidRPr="006815C9">
        <w:t xml:space="preserve">easier and cheaper to produce. As those more accessible resources are exploited </w:t>
      </w:r>
      <w:r w:rsidR="0050242E" w:rsidRPr="006815C9">
        <w:t>first</w:t>
      </w:r>
      <w:r w:rsidRPr="006815C9">
        <w:t>, remaining resources are more difficult to access, increasing production</w:t>
      </w:r>
      <w:r w:rsidR="0050242E" w:rsidRPr="006815C9">
        <w:t xml:space="preserve"> costs</w:t>
      </w:r>
      <w:r w:rsidRPr="006815C9">
        <w:t xml:space="preserve">. As such, gas prices </w:t>
      </w:r>
      <w:r w:rsidR="00A57578" w:rsidRPr="006815C9">
        <w:t>i</w:t>
      </w:r>
      <w:r w:rsidRPr="006815C9">
        <w:t>n Australia’s east</w:t>
      </w:r>
      <w:r w:rsidR="00A57578" w:rsidRPr="006815C9">
        <w:t>ern market</w:t>
      </w:r>
      <w:r w:rsidRPr="006815C9">
        <w:t xml:space="preserve"> have risen from historical </w:t>
      </w:r>
      <w:r w:rsidR="00AE536D" w:rsidRPr="006815C9">
        <w:t>level</w:t>
      </w:r>
      <w:r w:rsidRPr="006815C9">
        <w:t xml:space="preserve">s of below $4 per </w:t>
      </w:r>
      <w:r w:rsidR="00887841">
        <w:t>gigajoule (</w:t>
      </w:r>
      <w:r w:rsidRPr="006815C9">
        <w:t>GJ</w:t>
      </w:r>
      <w:r w:rsidR="00887841">
        <w:t>)</w:t>
      </w:r>
      <w:r w:rsidRPr="006815C9">
        <w:t xml:space="preserve"> when gas was largely a by-product of oil produced in the Bass Strait and the Cooper Basin.</w:t>
      </w:r>
      <w:r w:rsidR="0050242E" w:rsidRPr="006815C9">
        <w:t xml:space="preserve"> </w:t>
      </w:r>
      <w:r w:rsidRPr="006815C9">
        <w:t xml:space="preserve">Other constraints, </w:t>
      </w:r>
      <w:r w:rsidR="00573844">
        <w:t xml:space="preserve">including </w:t>
      </w:r>
      <w:r w:rsidRPr="006815C9">
        <w:t xml:space="preserve">state and territory </w:t>
      </w:r>
      <w:r w:rsidR="00573844">
        <w:t xml:space="preserve">restrictions </w:t>
      </w:r>
      <w:r w:rsidRPr="006815C9">
        <w:t xml:space="preserve">on gas exploration and development have exacerbated tightening supply. </w:t>
      </w:r>
    </w:p>
    <w:p w14:paraId="24EE0540" w14:textId="2BA611C3" w:rsidR="00D650EF" w:rsidRPr="006815C9" w:rsidRDefault="00CA3D0F" w:rsidP="00CA3D0F">
      <w:r w:rsidRPr="006815C9">
        <w:t xml:space="preserve">While Australia has substantial developed and undeveloped unconventional gas resources, this has traditionally been an uneconomic alternative to conventional gas. However, advances in technology </w:t>
      </w:r>
      <w:r w:rsidRPr="006815C9">
        <w:lastRenderedPageBreak/>
        <w:t xml:space="preserve">associated with developing coal seam gas (CSG) and high growth in gas demand in Asia has led to substantial investment in Queensland’s CSG industry, </w:t>
      </w:r>
      <w:r w:rsidR="00573844">
        <w:t xml:space="preserve">mainly </w:t>
      </w:r>
      <w:r w:rsidRPr="006815C9">
        <w:t>for the purpose of LNG exports.</w:t>
      </w:r>
    </w:p>
    <w:p w14:paraId="366D5FFC" w14:textId="5F6D8974" w:rsidR="00CA3D0F" w:rsidRPr="006815C9" w:rsidRDefault="00CA3D0F" w:rsidP="00CA3D0F">
      <w:r w:rsidRPr="006815C9">
        <w:t xml:space="preserve">The development of Queensland’s CSG to LNG industry, with first exports in 2015, transformed the </w:t>
      </w:r>
      <w:r w:rsidR="009C3FA8" w:rsidRPr="006815C9">
        <w:t>eastern gas market</w:t>
      </w:r>
      <w:r w:rsidR="00920E21" w:rsidRPr="006815C9">
        <w:t xml:space="preserve"> by</w:t>
      </w:r>
      <w:r w:rsidRPr="006815C9">
        <w:t xml:space="preserve"> partially linking </w:t>
      </w:r>
      <w:r w:rsidR="00920E21" w:rsidRPr="006815C9">
        <w:t>domestic and</w:t>
      </w:r>
      <w:r w:rsidRPr="006815C9">
        <w:t xml:space="preserve"> international pricing.</w:t>
      </w:r>
      <w:r w:rsidR="00D87AFE" w:rsidRPr="006815C9">
        <w:rPr>
          <w:rStyle w:val="FootnoteReference"/>
        </w:rPr>
        <w:footnoteReference w:id="2"/>
      </w:r>
      <w:r w:rsidRPr="006815C9">
        <w:rPr>
          <w:color w:val="000000"/>
        </w:rPr>
        <w:t> While gas reserves are currently substantial and gas production has increased, gas supply on the east coast initially struggled to keep pace with the increase in demand</w:t>
      </w:r>
      <w:r w:rsidR="00486C05" w:rsidRPr="006815C9">
        <w:rPr>
          <w:color w:val="000000"/>
        </w:rPr>
        <w:t>, particularly</w:t>
      </w:r>
      <w:r w:rsidRPr="006815C9">
        <w:rPr>
          <w:color w:val="000000"/>
        </w:rPr>
        <w:t xml:space="preserve"> from the </w:t>
      </w:r>
      <w:r w:rsidR="00486C05" w:rsidRPr="006815C9">
        <w:rPr>
          <w:color w:val="000000"/>
        </w:rPr>
        <w:t xml:space="preserve">Queensland </w:t>
      </w:r>
      <w:r w:rsidRPr="006815C9">
        <w:rPr>
          <w:color w:val="000000"/>
        </w:rPr>
        <w:t xml:space="preserve">LNG exporters. </w:t>
      </w:r>
      <w:r w:rsidRPr="006815C9">
        <w:t xml:space="preserve">As LNG exporters were willing to pay up to the export parity price for gas, it is likely that this required domestic gas buyers to compete with prices that were higher than </w:t>
      </w:r>
      <w:r w:rsidR="00920E21" w:rsidRPr="006815C9">
        <w:t>in previous years</w:t>
      </w:r>
      <w:r w:rsidRPr="006815C9">
        <w:t xml:space="preserve">. </w:t>
      </w:r>
      <w:r w:rsidR="005C00D0" w:rsidRPr="006815C9">
        <w:t>However,</w:t>
      </w:r>
      <w:r w:rsidRPr="006815C9">
        <w:t xml:space="preserve"> the </w:t>
      </w:r>
      <w:r w:rsidR="005C00D0" w:rsidRPr="006815C9">
        <w:t>start</w:t>
      </w:r>
      <w:r w:rsidRPr="006815C9">
        <w:t xml:space="preserve"> of </w:t>
      </w:r>
      <w:r w:rsidR="005C00D0" w:rsidRPr="006815C9">
        <w:t xml:space="preserve">Queensland </w:t>
      </w:r>
      <w:r w:rsidRPr="006815C9">
        <w:t>LNG exports is not the only factor behind pressures in the domestic market.</w:t>
      </w:r>
    </w:p>
    <w:p w14:paraId="1D081BAB" w14:textId="7BC5DAE3" w:rsidR="00CA3D0F" w:rsidRPr="006815C9" w:rsidRDefault="00CA3D0F" w:rsidP="00CA3D0F">
      <w:r w:rsidRPr="006815C9">
        <w:t xml:space="preserve">Gas-powered electricity generation </w:t>
      </w:r>
      <w:r w:rsidR="006359F2" w:rsidRPr="006815C9">
        <w:t xml:space="preserve">(GPG) </w:t>
      </w:r>
      <w:r w:rsidRPr="006815C9">
        <w:t>is increasingly important in balancing the National Electricity Market</w:t>
      </w:r>
      <w:r w:rsidR="005C00D0" w:rsidRPr="006815C9">
        <w:t xml:space="preserve"> (NEM)</w:t>
      </w:r>
      <w:r w:rsidRPr="006815C9">
        <w:t>. The rapid response of gas-powered generators make them suitable for peak electricity generation capacity and combined cycle intermediate load generation</w:t>
      </w:r>
      <w:r w:rsidR="005C00D0" w:rsidRPr="006815C9">
        <w:t>.</w:t>
      </w:r>
      <w:r w:rsidRPr="006815C9">
        <w:rPr>
          <w:rStyle w:val="FootnoteReference"/>
        </w:rPr>
        <w:footnoteReference w:id="3"/>
      </w:r>
      <w:r w:rsidRPr="006815C9">
        <w:t xml:space="preserve"> In particular, gas plays an important role in managing the intermittency of wind and solar electricity generation. Demand for gas from this sector is expected to stabilise in the medium term, with growth forecast in the longer term.</w:t>
      </w:r>
    </w:p>
    <w:p w14:paraId="5B1A2FC8" w14:textId="6BE5E46C" w:rsidR="00CA3D0F" w:rsidRPr="006815C9" w:rsidRDefault="00CA3D0F" w:rsidP="00CA3D0F">
      <w:pPr>
        <w:rPr>
          <w:b/>
        </w:rPr>
      </w:pPr>
      <w:r w:rsidRPr="006815C9">
        <w:t xml:space="preserve">On the supply side, geological challenges in producing gas are increasing costs </w:t>
      </w:r>
      <w:r w:rsidR="00442C0E" w:rsidRPr="006815C9">
        <w:t xml:space="preserve">and </w:t>
      </w:r>
      <w:r w:rsidRPr="006815C9">
        <w:t>lower</w:t>
      </w:r>
      <w:r w:rsidR="00D95EF9" w:rsidRPr="006815C9">
        <w:t>-</w:t>
      </w:r>
      <w:r w:rsidRPr="006815C9">
        <w:t xml:space="preserve">cost </w:t>
      </w:r>
      <w:r w:rsidR="00442C0E" w:rsidRPr="006815C9">
        <w:t xml:space="preserve">conventional gas </w:t>
      </w:r>
      <w:r w:rsidRPr="006815C9">
        <w:t>reserves in eastern Australia are in decline.</w:t>
      </w:r>
      <w:r w:rsidRPr="006815C9">
        <w:rPr>
          <w:b/>
        </w:rPr>
        <w:t xml:space="preserve"> </w:t>
      </w:r>
      <w:r w:rsidRPr="006815C9">
        <w:t xml:space="preserve">Concurrently, onshore drilling bans and hydraulic fracturing moratoria have limited the supply response of market participants. If additional gas resources are not developed close to </w:t>
      </w:r>
      <w:r w:rsidR="00971AD4" w:rsidRPr="006815C9">
        <w:t>major markets</w:t>
      </w:r>
      <w:r w:rsidRPr="006815C9">
        <w:t xml:space="preserve">, some regions of Australia will increasingly need to </w:t>
      </w:r>
      <w:r w:rsidR="00374B1F" w:rsidRPr="006815C9">
        <w:t>source</w:t>
      </w:r>
      <w:r w:rsidRPr="006815C9">
        <w:t xml:space="preserve"> gas</w:t>
      </w:r>
      <w:r w:rsidR="00374B1F" w:rsidRPr="006815C9">
        <w:t xml:space="preserve"> from interstate</w:t>
      </w:r>
      <w:r w:rsidR="00B96A13" w:rsidRPr="006815C9">
        <w:t>. This</w:t>
      </w:r>
      <w:r w:rsidRPr="006815C9">
        <w:t xml:space="preserve"> increase</w:t>
      </w:r>
      <w:r w:rsidR="00B57619" w:rsidRPr="006815C9">
        <w:t>s</w:t>
      </w:r>
      <w:r w:rsidRPr="006815C9">
        <w:t xml:space="preserve"> </w:t>
      </w:r>
      <w:r w:rsidR="00442C0E" w:rsidRPr="006815C9">
        <w:t xml:space="preserve">the cost of supply due to </w:t>
      </w:r>
      <w:r w:rsidRPr="006815C9">
        <w:t xml:space="preserve">transportation costs and </w:t>
      </w:r>
      <w:r w:rsidR="002C7739" w:rsidRPr="006815C9">
        <w:t xml:space="preserve">introduces additional </w:t>
      </w:r>
      <w:r w:rsidR="00E11EB0" w:rsidRPr="006815C9">
        <w:t xml:space="preserve">risk </w:t>
      </w:r>
      <w:r w:rsidR="002C7739" w:rsidRPr="006815C9">
        <w:t>to supply reliability if there is</w:t>
      </w:r>
      <w:r w:rsidR="00442C0E" w:rsidRPr="006815C9">
        <w:t xml:space="preserve"> insufficient</w:t>
      </w:r>
      <w:r w:rsidRPr="006815C9">
        <w:t xml:space="preserve"> pipeline capacity</w:t>
      </w:r>
      <w:r w:rsidR="00E11EB0" w:rsidRPr="006815C9">
        <w:t xml:space="preserve"> </w:t>
      </w:r>
      <w:r w:rsidR="002C7739" w:rsidRPr="006815C9">
        <w:t>available during</w:t>
      </w:r>
      <w:r w:rsidR="00E11EB0" w:rsidRPr="006815C9">
        <w:t xml:space="preserve"> </w:t>
      </w:r>
      <w:r w:rsidR="002C7739" w:rsidRPr="006815C9">
        <w:t>peak demand periods</w:t>
      </w:r>
      <w:r w:rsidRPr="006815C9">
        <w:t>.</w:t>
      </w:r>
    </w:p>
    <w:p w14:paraId="16A8027F" w14:textId="7F7BB8F0" w:rsidR="00CA3D0F" w:rsidRPr="006815C9" w:rsidRDefault="00CA3D0F" w:rsidP="00CA3D0F">
      <w:r w:rsidRPr="006815C9">
        <w:t xml:space="preserve">In 2017, </w:t>
      </w:r>
      <w:r w:rsidR="00B57619" w:rsidRPr="006815C9">
        <w:t xml:space="preserve">due to </w:t>
      </w:r>
      <w:r w:rsidRPr="006815C9">
        <w:t xml:space="preserve">these market dynamics, commercial and industrial gas users coming off long-term contracts </w:t>
      </w:r>
      <w:r w:rsidR="00B57619" w:rsidRPr="006815C9">
        <w:t xml:space="preserve">pricing gas at around </w:t>
      </w:r>
      <w:r w:rsidRPr="006815C9">
        <w:t>$3</w:t>
      </w:r>
      <w:r w:rsidR="00B57619" w:rsidRPr="006815C9">
        <w:t xml:space="preserve"> to </w:t>
      </w:r>
      <w:r w:rsidR="00814FF4" w:rsidRPr="006815C9">
        <w:t xml:space="preserve">$4 per </w:t>
      </w:r>
      <w:r w:rsidRPr="006815C9">
        <w:t xml:space="preserve">GJ </w:t>
      </w:r>
      <w:r w:rsidR="00B57619" w:rsidRPr="006815C9">
        <w:t xml:space="preserve">began </w:t>
      </w:r>
      <w:r w:rsidRPr="006815C9">
        <w:t>receiving offers around t</w:t>
      </w:r>
      <w:r w:rsidR="00B57619" w:rsidRPr="006815C9">
        <w:t xml:space="preserve">hree times </w:t>
      </w:r>
      <w:r w:rsidRPr="006815C9">
        <w:t xml:space="preserve">that amount. Some </w:t>
      </w:r>
      <w:r w:rsidR="00B57619" w:rsidRPr="006815C9">
        <w:t xml:space="preserve">users </w:t>
      </w:r>
      <w:r w:rsidRPr="006815C9">
        <w:t xml:space="preserve">were </w:t>
      </w:r>
      <w:r w:rsidR="00B57619" w:rsidRPr="006815C9">
        <w:t xml:space="preserve">also </w:t>
      </w:r>
      <w:r w:rsidRPr="006815C9">
        <w:t>receiving shorter</w:t>
      </w:r>
      <w:r w:rsidR="000362D7" w:rsidRPr="006815C9">
        <w:t>-</w:t>
      </w:r>
      <w:r w:rsidRPr="006815C9">
        <w:t xml:space="preserve">term contracts, </w:t>
      </w:r>
      <w:r w:rsidR="000362D7" w:rsidRPr="006815C9">
        <w:t>with less flexible terms</w:t>
      </w:r>
      <w:r w:rsidRPr="006815C9">
        <w:t xml:space="preserve"> making longer-term planning difficult</w:t>
      </w:r>
      <w:r w:rsidR="000362D7" w:rsidRPr="006815C9">
        <w:t>.</w:t>
      </w:r>
      <w:r w:rsidR="000362D7" w:rsidRPr="006815C9">
        <w:rPr>
          <w:rStyle w:val="FootnoteReference"/>
        </w:rPr>
        <w:footnoteReference w:id="4"/>
      </w:r>
      <w:r w:rsidRPr="006815C9">
        <w:t xml:space="preserve"> For some businesses, this was creating uncertainty around the</w:t>
      </w:r>
      <w:r w:rsidR="00B57619" w:rsidRPr="006815C9">
        <w:t>ir ongoing competitiveness and viability</w:t>
      </w:r>
      <w:r w:rsidRPr="006815C9">
        <w:t xml:space="preserve">. </w:t>
      </w:r>
    </w:p>
    <w:p w14:paraId="71F4F9AD" w14:textId="191EF854" w:rsidR="000342FC" w:rsidRPr="006815C9" w:rsidRDefault="00E41BD3" w:rsidP="006824D8">
      <w:pPr>
        <w:pStyle w:val="Heading2"/>
      </w:pPr>
      <w:hyperlink w:anchor="Outline" w:history="1">
        <w:bookmarkStart w:id="248" w:name="_Toc19628624"/>
        <w:bookmarkStart w:id="249" w:name="_Toc19628584"/>
        <w:bookmarkStart w:id="250" w:name="_Toc19611831"/>
        <w:bookmarkStart w:id="251" w:name="_Toc19545358"/>
        <w:bookmarkStart w:id="252" w:name="_Toc19537952"/>
        <w:bookmarkStart w:id="253" w:name="_Toc19281125"/>
        <w:bookmarkStart w:id="254" w:name="_Toc19271053"/>
        <w:bookmarkStart w:id="255" w:name="_Toc19280631"/>
        <w:bookmarkStart w:id="256" w:name="_Toc19189770"/>
        <w:bookmarkStart w:id="257" w:name="_Toc19109832"/>
        <w:bookmarkStart w:id="258" w:name="_Toc19113875"/>
        <w:bookmarkStart w:id="259" w:name="_Toc18590656"/>
        <w:bookmarkStart w:id="260" w:name="_Toc18592121"/>
        <w:bookmarkStart w:id="261" w:name="_Toc19717429"/>
        <w:bookmarkStart w:id="262" w:name="_Toc19720116"/>
        <w:bookmarkStart w:id="263" w:name="_Toc19789959"/>
        <w:bookmarkStart w:id="264" w:name="_Toc19803030"/>
        <w:bookmarkStart w:id="265" w:name="_Toc19804077"/>
        <w:bookmarkStart w:id="266" w:name="_Toc19804277"/>
        <w:bookmarkStart w:id="267" w:name="_Toc19804523"/>
        <w:bookmarkStart w:id="268" w:name="_Toc19888527"/>
        <w:bookmarkStart w:id="269" w:name="_Toc19889154"/>
        <w:bookmarkStart w:id="270" w:name="_Toc20232926"/>
        <w:bookmarkStart w:id="271" w:name="_Toc20237736"/>
        <w:bookmarkStart w:id="272" w:name="_Toc20322022"/>
        <w:bookmarkStart w:id="273" w:name="_Toc20322440"/>
        <w:bookmarkStart w:id="274" w:name="_Toc20398006"/>
        <w:bookmarkStart w:id="275" w:name="_Toc20401007"/>
        <w:bookmarkStart w:id="276" w:name="_Toc20410645"/>
        <w:bookmarkStart w:id="277" w:name="_Toc20412171"/>
        <w:bookmarkStart w:id="278" w:name="_Toc20469264"/>
        <w:bookmarkStart w:id="279" w:name="_Toc21705339"/>
        <w:bookmarkStart w:id="280" w:name="_Toc26349917"/>
        <w:bookmarkStart w:id="281" w:name="_Toc26448234"/>
        <w:bookmarkStart w:id="282" w:name="_Toc26454516"/>
        <w:bookmarkStart w:id="283" w:name="_Toc29823305"/>
        <w:r w:rsidR="000342FC" w:rsidRPr="006815C9">
          <w:rPr>
            <w:rStyle w:val="Hyperlink"/>
            <w:u w:val="none"/>
          </w:rPr>
          <w:t xml:space="preserve">Introduction of </w:t>
        </w:r>
        <w:r w:rsidR="000C285B" w:rsidRPr="006815C9">
          <w:rPr>
            <w:rStyle w:val="Hyperlink"/>
            <w:u w:val="none"/>
          </w:rPr>
          <w:t xml:space="preserve">the </w:t>
        </w:r>
        <w:r w:rsidR="000342FC" w:rsidRPr="006815C9">
          <w:rPr>
            <w:rStyle w:val="Hyperlink"/>
            <w:u w:val="none"/>
          </w:rPr>
          <w:t>ADGSM</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hyperlink>
    </w:p>
    <w:p w14:paraId="56771703" w14:textId="48DFF332" w:rsidR="007B4216" w:rsidRPr="006815C9" w:rsidRDefault="00065C7B" w:rsidP="00065C7B">
      <w:bookmarkStart w:id="284" w:name="_Toc18590659"/>
      <w:bookmarkStart w:id="285" w:name="_Toc18592124"/>
      <w:bookmarkStart w:id="286" w:name="_Toc19109833"/>
      <w:bookmarkStart w:id="287" w:name="_Toc19113876"/>
      <w:bookmarkStart w:id="288" w:name="_Toc19189771"/>
      <w:bookmarkStart w:id="289" w:name="_Toc19271054"/>
      <w:bookmarkStart w:id="290" w:name="_Toc19280632"/>
      <w:bookmarkStart w:id="291" w:name="_Toc19281126"/>
      <w:r w:rsidRPr="006815C9">
        <w:t xml:space="preserve">In March 2017, AEMO’s Gas Statement of Opportunities (GSOO) forecast that gas shortfalls could emerge in some states from 2019. These shortfalls were estimated to be between 10 and 54 petajoules </w:t>
      </w:r>
      <w:r w:rsidR="00814FF4" w:rsidRPr="006815C9">
        <w:t xml:space="preserve">(PJ) per </w:t>
      </w:r>
      <w:r w:rsidR="006A1D4F" w:rsidRPr="006815C9">
        <w:t xml:space="preserve">year </w:t>
      </w:r>
      <w:r w:rsidRPr="006815C9">
        <w:t>to the end of 2024</w:t>
      </w:r>
      <w:r w:rsidR="00E86BDD" w:rsidRPr="006815C9">
        <w:t xml:space="preserve"> (</w:t>
      </w:r>
      <w:r w:rsidR="006359F2" w:rsidRPr="006815C9">
        <w:fldChar w:fldCharType="begin"/>
      </w:r>
      <w:r w:rsidR="006359F2" w:rsidRPr="006815C9">
        <w:instrText xml:space="preserve"> REF _Ref19268671 \h </w:instrText>
      </w:r>
      <w:r w:rsidR="006815C9">
        <w:instrText xml:space="preserve"> \* MERGEFORMAT </w:instrText>
      </w:r>
      <w:r w:rsidR="006359F2" w:rsidRPr="006815C9">
        <w:fldChar w:fldCharType="separate"/>
      </w:r>
      <w:r w:rsidR="00E41BD3" w:rsidRPr="006815C9">
        <w:t xml:space="preserve">Figure </w:t>
      </w:r>
      <w:r w:rsidR="00E41BD3">
        <w:rPr>
          <w:noProof/>
        </w:rPr>
        <w:t>1</w:t>
      </w:r>
      <w:r w:rsidR="006359F2" w:rsidRPr="006815C9">
        <w:fldChar w:fldCharType="end"/>
      </w:r>
      <w:r w:rsidR="00E86BDD" w:rsidRPr="006815C9">
        <w:t>)</w:t>
      </w:r>
      <w:r w:rsidRPr="006815C9">
        <w:t>.</w:t>
      </w:r>
      <w:r w:rsidRPr="006815C9">
        <w:rPr>
          <w:rStyle w:val="FootnoteReference"/>
        </w:rPr>
        <w:footnoteReference w:id="5"/>
      </w:r>
      <w:r w:rsidRPr="006815C9">
        <w:t xml:space="preserve"> Depending on the year, this represented between 0.5 and 2.7 per cent of expected total </w:t>
      </w:r>
      <w:r w:rsidR="007744AF" w:rsidRPr="006815C9">
        <w:t>gas demand</w:t>
      </w:r>
      <w:r w:rsidR="00787FCF" w:rsidRPr="006815C9">
        <w:t xml:space="preserve"> (</w:t>
      </w:r>
      <w:r w:rsidR="00E86BDD" w:rsidRPr="006815C9">
        <w:t xml:space="preserve">including </w:t>
      </w:r>
      <w:r w:rsidR="00787FCF" w:rsidRPr="006815C9">
        <w:t>LNG exports)</w:t>
      </w:r>
      <w:r w:rsidRPr="006815C9">
        <w:t xml:space="preserve">, </w:t>
      </w:r>
      <w:r w:rsidR="007744AF" w:rsidRPr="006815C9">
        <w:t xml:space="preserve">or between </w:t>
      </w:r>
      <w:r w:rsidR="009254EB" w:rsidRPr="006815C9">
        <w:t>1.8</w:t>
      </w:r>
      <w:r w:rsidR="007744AF" w:rsidRPr="006815C9">
        <w:t xml:space="preserve"> and</w:t>
      </w:r>
      <w:r w:rsidRPr="006815C9">
        <w:t xml:space="preserve"> 10</w:t>
      </w:r>
      <w:r w:rsidR="009254EB" w:rsidRPr="006815C9">
        <w:t>.1</w:t>
      </w:r>
      <w:r w:rsidRPr="006815C9">
        <w:t xml:space="preserve"> per cent of domestic </w:t>
      </w:r>
      <w:r w:rsidR="007744AF" w:rsidRPr="006815C9">
        <w:t>market</w:t>
      </w:r>
      <w:r w:rsidR="0009703C" w:rsidRPr="006815C9">
        <w:t xml:space="preserve"> </w:t>
      </w:r>
      <w:r w:rsidRPr="006815C9">
        <w:t xml:space="preserve">demand. </w:t>
      </w:r>
    </w:p>
    <w:p w14:paraId="44055956" w14:textId="236AD927" w:rsidR="00065C7B" w:rsidRPr="006815C9" w:rsidRDefault="00065C7B" w:rsidP="00065C7B">
      <w:r w:rsidRPr="006815C9">
        <w:t>AEMO concluded that</w:t>
      </w:r>
      <w:r w:rsidR="00B63356" w:rsidRPr="006815C9">
        <w:t xml:space="preserve"> </w:t>
      </w:r>
      <w:r w:rsidRPr="006815C9">
        <w:t>the gas shortages had the potential to result in electricity supply shortfalls and impact industrial</w:t>
      </w:r>
      <w:r w:rsidR="00B63356" w:rsidRPr="006815C9">
        <w:t xml:space="preserve">, </w:t>
      </w:r>
      <w:r w:rsidRPr="006815C9">
        <w:t>commercial and residential customers.</w:t>
      </w:r>
      <w:r w:rsidR="007B4216" w:rsidRPr="006815C9">
        <w:t xml:space="preserve"> </w:t>
      </w:r>
      <w:r w:rsidRPr="006815C9">
        <w:t>AEMO identified the drivers of this potential shortfall to be a reduction in gas production for the domestic market from 600 PJ in 2017 to 478 PJ in 2021, mainly due to a decline from offshore Victoria where production was forecast to reduce by 155 PJ</w:t>
      </w:r>
      <w:r w:rsidR="003354EE" w:rsidRPr="006815C9">
        <w:t>,</w:t>
      </w:r>
      <w:r w:rsidRPr="006815C9">
        <w:t xml:space="preserve"> and an increase in gas for LNG exports to 1,430 PJ</w:t>
      </w:r>
      <w:r w:rsidR="00814FF4" w:rsidRPr="006815C9">
        <w:t xml:space="preserve"> per </w:t>
      </w:r>
      <w:r w:rsidR="006A1D4F" w:rsidRPr="006815C9">
        <w:t xml:space="preserve">year </w:t>
      </w:r>
      <w:r w:rsidRPr="006815C9">
        <w:t>by 2020.</w:t>
      </w:r>
      <w:r w:rsidR="00E70746" w:rsidRPr="006815C9">
        <w:rPr>
          <w:rStyle w:val="FootnoteReference"/>
        </w:rPr>
        <w:footnoteReference w:id="6"/>
      </w:r>
      <w:r w:rsidRPr="006815C9">
        <w:t xml:space="preserve"> </w:t>
      </w:r>
    </w:p>
    <w:p w14:paraId="1C4111EF" w14:textId="6889A067" w:rsidR="00065C7B" w:rsidRPr="006815C9" w:rsidRDefault="00065C7B" w:rsidP="00FA0273">
      <w:pPr>
        <w:pStyle w:val="Caption"/>
      </w:pPr>
      <w:bookmarkStart w:id="292" w:name="_Ref19268671"/>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w:t>
      </w:r>
      <w:r w:rsidRPr="006815C9">
        <w:rPr>
          <w:noProof/>
        </w:rPr>
        <w:fldChar w:fldCharType="end"/>
      </w:r>
      <w:bookmarkEnd w:id="292"/>
      <w:r w:rsidRPr="006815C9">
        <w:t xml:space="preserve">: Forecasts from AEMO’s 2017 </w:t>
      </w:r>
      <w:r w:rsidR="00FF7808" w:rsidRPr="006815C9">
        <w:t>GSOO</w:t>
      </w:r>
      <w:r w:rsidRPr="006815C9">
        <w:t>, 2017–2024</w:t>
      </w:r>
    </w:p>
    <w:p w14:paraId="0759C190" w14:textId="04BC86BA" w:rsidR="00065C7B" w:rsidRPr="006815C9" w:rsidRDefault="00A256BF" w:rsidP="006C769C">
      <w:pPr>
        <w:jc w:val="center"/>
      </w:pPr>
      <w:r w:rsidRPr="006815C9">
        <w:rPr>
          <w:noProof/>
          <w:lang w:eastAsia="en-AU"/>
        </w:rPr>
        <w:drawing>
          <wp:inline distT="0" distB="0" distL="0" distR="0" wp14:anchorId="4F894910" wp14:editId="5A6B3267">
            <wp:extent cx="5400000" cy="3240000"/>
            <wp:effectExtent l="0" t="0" r="0" b="0"/>
            <wp:docPr id="1" name="Chart 1" descr="In 2017, AEMO forecast shortfalls of between 10 and 54 petajoules (PJ) per year to the end of 2024. "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D9FF19" w14:textId="77777777" w:rsidR="00D5462A" w:rsidRPr="006815C9" w:rsidRDefault="00D5462A" w:rsidP="00D5462A">
      <w:pPr>
        <w:rPr>
          <w:sz w:val="18"/>
          <w:szCs w:val="18"/>
        </w:rPr>
      </w:pPr>
      <w:r w:rsidRPr="006815C9">
        <w:rPr>
          <w:sz w:val="18"/>
          <w:szCs w:val="18"/>
        </w:rPr>
        <w:t>Note: Other includes net storage withdrawal and Camden, Cooper/Eromanga, Ironbark and Moranbah gas fields.</w:t>
      </w:r>
    </w:p>
    <w:p w14:paraId="6BD02AF1" w14:textId="79A074EA" w:rsidR="0040351A" w:rsidRPr="006815C9" w:rsidRDefault="0040351A" w:rsidP="00065C7B">
      <w:pPr>
        <w:rPr>
          <w:sz w:val="18"/>
          <w:szCs w:val="18"/>
        </w:rPr>
      </w:pPr>
      <w:r w:rsidRPr="006815C9">
        <w:rPr>
          <w:sz w:val="18"/>
          <w:szCs w:val="18"/>
        </w:rPr>
        <w:t>Source:</w:t>
      </w:r>
      <w:r w:rsidR="00E86BDD" w:rsidRPr="006815C9">
        <w:rPr>
          <w:sz w:val="18"/>
          <w:szCs w:val="18"/>
        </w:rPr>
        <w:t xml:space="preserve"> </w:t>
      </w:r>
      <w:r w:rsidR="00263CDB" w:rsidRPr="006815C9">
        <w:rPr>
          <w:sz w:val="18"/>
          <w:szCs w:val="18"/>
        </w:rPr>
        <w:t>AEMO,</w:t>
      </w:r>
      <w:r w:rsidR="00352928" w:rsidRPr="006815C9">
        <w:rPr>
          <w:sz w:val="18"/>
          <w:szCs w:val="18"/>
        </w:rPr>
        <w:t xml:space="preserve"> 2017 GSOO modelling data - Neutral scenario [</w:t>
      </w:r>
      <w:r w:rsidR="00263CDB" w:rsidRPr="006815C9">
        <w:rPr>
          <w:sz w:val="18"/>
          <w:szCs w:val="18"/>
        </w:rPr>
        <w:t>https://www.aemo.com.au/-/media/Files/Gas/National_Planning_and_Forecasting/GSOO/2017/2017-GSOO-supply-demand-modelling-output-files.zip</w:t>
      </w:r>
      <w:r w:rsidR="00352928" w:rsidRPr="006815C9">
        <w:rPr>
          <w:sz w:val="18"/>
          <w:szCs w:val="18"/>
        </w:rPr>
        <w:t>]</w:t>
      </w:r>
      <w:r w:rsidR="003D2C52" w:rsidRPr="006815C9">
        <w:rPr>
          <w:sz w:val="18"/>
          <w:szCs w:val="18"/>
        </w:rPr>
        <w:t xml:space="preserve"> </w:t>
      </w:r>
    </w:p>
    <w:p w14:paraId="19636C95" w14:textId="2037919B" w:rsidR="00065C7B" w:rsidRPr="006815C9" w:rsidRDefault="00065C7B" w:rsidP="00065C7B">
      <w:r w:rsidRPr="006815C9">
        <w:t xml:space="preserve">Following the release of AEMO’s report, the then Prime Minister met with east coast gas exporters to seek their commitment to increase supply to the domestic market. Ongoing concerns around Australian consumers’ ability to access </w:t>
      </w:r>
      <w:r w:rsidR="005D70B0" w:rsidRPr="006815C9">
        <w:t>suitable</w:t>
      </w:r>
      <w:r w:rsidRPr="006815C9">
        <w:t xml:space="preserve"> gas supply led the Government to consider regulatory measures.</w:t>
      </w:r>
    </w:p>
    <w:p w14:paraId="16495D9C" w14:textId="0D653966" w:rsidR="00065C7B" w:rsidRPr="006815C9" w:rsidRDefault="00065C7B" w:rsidP="00065C7B">
      <w:r w:rsidRPr="006815C9">
        <w:t>To safeguard domestic gas users against a potential supply shortfall, the Government announced the ADGSM in April 2017, with implementation from July 2017. The ADGSM provides the Minister for Resources with the ability to restrict LNG exports on the basis of insufficient domestic supply.</w:t>
      </w:r>
    </w:p>
    <w:p w14:paraId="1798D61B" w14:textId="1BE65BF1" w:rsidR="00065C7B" w:rsidRPr="006815C9" w:rsidRDefault="00C76EC0" w:rsidP="00065C7B">
      <w:r w:rsidRPr="006815C9">
        <w:t xml:space="preserve">The mechanism </w:t>
      </w:r>
      <w:r w:rsidR="00516E43" w:rsidRPr="006815C9">
        <w:t>is</w:t>
      </w:r>
      <w:r w:rsidRPr="006815C9">
        <w:t xml:space="preserve"> designed to alleviate </w:t>
      </w:r>
      <w:r w:rsidR="0033139B" w:rsidRPr="006815C9">
        <w:t xml:space="preserve">domestic </w:t>
      </w:r>
      <w:r w:rsidRPr="006815C9">
        <w:t xml:space="preserve">shortfalls </w:t>
      </w:r>
      <w:r w:rsidR="00D4713C" w:rsidRPr="006815C9">
        <w:t xml:space="preserve">in a way that </w:t>
      </w:r>
      <w:r w:rsidR="00516E43" w:rsidRPr="006815C9">
        <w:t xml:space="preserve">doesn’t </w:t>
      </w:r>
      <w:r w:rsidR="00D4713C" w:rsidRPr="006815C9">
        <w:t>harm</w:t>
      </w:r>
      <w:r w:rsidRPr="006815C9">
        <w:t xml:space="preserve"> Australia’s reputation as an attractive investment destination. </w:t>
      </w:r>
      <w:r w:rsidR="00065C7B" w:rsidRPr="006815C9">
        <w:t>It recognises that ongoing investment in oil and gas exploration and development in Australia is pivotal to unlocking more supply. Throughout the ADGSM’s development, the Government reiterated its pref</w:t>
      </w:r>
      <w:r w:rsidR="006359F2" w:rsidRPr="006815C9">
        <w:t>erence for an industry-</w:t>
      </w:r>
      <w:r w:rsidR="00065C7B" w:rsidRPr="006815C9">
        <w:t>led solution to address any constraints in the domestic gas market.</w:t>
      </w:r>
    </w:p>
    <w:p w14:paraId="5D5A98A2" w14:textId="6D790276" w:rsidR="00065C7B" w:rsidRPr="006815C9" w:rsidRDefault="00DC5A8F" w:rsidP="00065C7B">
      <w:r w:rsidRPr="006815C9">
        <w:t>Under the ADGSM</w:t>
      </w:r>
      <w:r w:rsidR="00065C7B" w:rsidRPr="006815C9">
        <w:t xml:space="preserve">, only those exporters drawing gas out of a market experiencing a shortfall can be subject to restrictions. </w:t>
      </w:r>
      <w:r w:rsidRPr="006815C9">
        <w:t>It</w:t>
      </w:r>
      <w:r w:rsidR="00065C7B" w:rsidRPr="006815C9">
        <w:t xml:space="preserve"> requires the Minister for Resources to make decisions according to a timeframe intended to provide the LNG industry with certainty around their licensed volumes for the following year. </w:t>
      </w:r>
    </w:p>
    <w:bookmarkEnd w:id="284"/>
    <w:bookmarkEnd w:id="285"/>
    <w:bookmarkEnd w:id="286"/>
    <w:bookmarkEnd w:id="287"/>
    <w:bookmarkEnd w:id="288"/>
    <w:bookmarkEnd w:id="289"/>
    <w:bookmarkEnd w:id="290"/>
    <w:bookmarkEnd w:id="291"/>
    <w:p w14:paraId="62A5356A" w14:textId="210A5D04" w:rsidR="00DC5A8F" w:rsidRPr="006815C9" w:rsidRDefault="007078A7" w:rsidP="007078A7">
      <w:r w:rsidRPr="006815C9">
        <w:t>In September 2017, AEMO and the ACCC released reports showing that forecast gas shortfalls in the east</w:t>
      </w:r>
      <w:r w:rsidR="00F501F0" w:rsidRPr="006815C9">
        <w:t>ern</w:t>
      </w:r>
      <w:r w:rsidRPr="006815C9">
        <w:t xml:space="preserve"> gas market were expected to occur in 2018, rather than 2019. The ACCC</w:t>
      </w:r>
      <w:r w:rsidR="00DC5A8F" w:rsidRPr="006815C9">
        <w:t>’s</w:t>
      </w:r>
      <w:r w:rsidRPr="006815C9">
        <w:t xml:space="preserve"> Gas Inquiry identified a </w:t>
      </w:r>
      <w:r w:rsidR="001277AF" w:rsidRPr="006815C9">
        <w:t xml:space="preserve">potential </w:t>
      </w:r>
      <w:r w:rsidRPr="006815C9">
        <w:t>supply shortfall of 55 PJ in 2018, while AEMO’s report suggested a shortage of 54 PJ in 2018 and 48 PJ in 2019 — equivalent to 8 per cent of domestic demand in each year.</w:t>
      </w:r>
    </w:p>
    <w:p w14:paraId="33DEDC3D" w14:textId="52819F3A" w:rsidR="00DC5A8F" w:rsidRPr="006815C9" w:rsidRDefault="007078A7" w:rsidP="007078A7">
      <w:r w:rsidRPr="006815C9">
        <w:t xml:space="preserve">The deterioration in the outlook for the supply-demand balance in 2018 was </w:t>
      </w:r>
      <w:r w:rsidR="00DC5A8F" w:rsidRPr="006815C9">
        <w:t>due to</w:t>
      </w:r>
      <w:r w:rsidRPr="006815C9">
        <w:t xml:space="preserve"> a downward revision to forecast production and an upward revision to GPG demand of over 50 per cent (around </w:t>
      </w:r>
      <w:r w:rsidRPr="006815C9">
        <w:lastRenderedPageBreak/>
        <w:t xml:space="preserve">60 PJ). </w:t>
      </w:r>
      <w:r w:rsidR="00FA0273" w:rsidRPr="006815C9">
        <w:fldChar w:fldCharType="begin"/>
      </w:r>
      <w:r w:rsidR="00FA0273" w:rsidRPr="006815C9">
        <w:instrText xml:space="preserve"> REF _Ref19632077 \h </w:instrText>
      </w:r>
      <w:r w:rsidR="006815C9">
        <w:instrText xml:space="preserve"> \* MERGEFORMAT </w:instrText>
      </w:r>
      <w:r w:rsidR="00FA0273" w:rsidRPr="006815C9">
        <w:fldChar w:fldCharType="separate"/>
      </w:r>
      <w:r w:rsidR="00E41BD3" w:rsidRPr="006815C9">
        <w:t xml:space="preserve">Figure </w:t>
      </w:r>
      <w:r w:rsidR="00E41BD3">
        <w:rPr>
          <w:noProof/>
        </w:rPr>
        <w:t>2</w:t>
      </w:r>
      <w:r w:rsidR="00FA0273" w:rsidRPr="006815C9">
        <w:fldChar w:fldCharType="end"/>
      </w:r>
      <w:r w:rsidR="00CC42E0" w:rsidRPr="006815C9">
        <w:t xml:space="preserve"> shows the forecasts from </w:t>
      </w:r>
      <w:r w:rsidR="00DC5A8F" w:rsidRPr="006815C9">
        <w:t>AEMO’s</w:t>
      </w:r>
      <w:r w:rsidR="00CC42E0" w:rsidRPr="006815C9">
        <w:t xml:space="preserve"> March and September </w:t>
      </w:r>
      <w:r w:rsidR="00DC5A8F" w:rsidRPr="006815C9">
        <w:t xml:space="preserve">2017 </w:t>
      </w:r>
      <w:r w:rsidR="00CC42E0" w:rsidRPr="006815C9">
        <w:t>GSOO, and the upward revision to GPG and downward revision to production that resulted in the projected shortfall being brought forward to 2018.</w:t>
      </w:r>
    </w:p>
    <w:p w14:paraId="77311FFA" w14:textId="244C4AD8" w:rsidR="007078A7" w:rsidRPr="006815C9" w:rsidDel="0007587F" w:rsidRDefault="00A50A18" w:rsidP="007078A7">
      <w:r w:rsidRPr="006815C9">
        <w:t xml:space="preserve">AEMO emphasised that </w:t>
      </w:r>
      <w:r w:rsidR="009E0336" w:rsidRPr="006815C9">
        <w:t xml:space="preserve">forecasting GPG demand is complicated by uncertainties such as reduced rainfall impacting hydro generation, reduced wind speeds that affect wind </w:t>
      </w:r>
      <w:r w:rsidR="00DC5A8F" w:rsidRPr="006815C9">
        <w:t>generation</w:t>
      </w:r>
      <w:r w:rsidR="009E0336" w:rsidRPr="006815C9">
        <w:t xml:space="preserve"> output, delays bringing renewable</w:t>
      </w:r>
      <w:r w:rsidR="00DC5A8F" w:rsidRPr="006815C9">
        <w:t>s</w:t>
      </w:r>
      <w:r w:rsidR="009E0336" w:rsidRPr="006815C9">
        <w:t xml:space="preserve"> online, and outages at coal-fired power plant</w:t>
      </w:r>
      <w:r w:rsidR="0009703C" w:rsidRPr="006815C9">
        <w:t>s</w:t>
      </w:r>
      <w:r w:rsidR="009E0336" w:rsidRPr="006815C9">
        <w:t>.</w:t>
      </w:r>
      <w:r w:rsidR="009A0927" w:rsidRPr="006815C9">
        <w:t xml:space="preserve"> Downward revisions to LNG demand </w:t>
      </w:r>
      <w:r w:rsidR="00374B1F" w:rsidRPr="006815C9">
        <w:t>were</w:t>
      </w:r>
      <w:r w:rsidR="009A0927" w:rsidRPr="006815C9">
        <w:t xml:space="preserve"> </w:t>
      </w:r>
      <w:r w:rsidR="004F01D4" w:rsidRPr="006815C9">
        <w:t>also substantial</w:t>
      </w:r>
      <w:r w:rsidR="009A0927" w:rsidRPr="006815C9">
        <w:t xml:space="preserve">, although </w:t>
      </w:r>
      <w:r w:rsidR="00E20710" w:rsidRPr="006815C9">
        <w:t xml:space="preserve">this </w:t>
      </w:r>
      <w:r w:rsidR="00374B1F" w:rsidRPr="006815C9">
        <w:t>did</w:t>
      </w:r>
      <w:r w:rsidR="00E20710" w:rsidRPr="006815C9">
        <w:t xml:space="preserve"> not result in a supply surplus as</w:t>
      </w:r>
      <w:r w:rsidR="009A0927" w:rsidRPr="006815C9">
        <w:t xml:space="preserve"> lower gas demand for LNG </w:t>
      </w:r>
      <w:r w:rsidR="00E20710" w:rsidRPr="006815C9">
        <w:t>flowed</w:t>
      </w:r>
      <w:r w:rsidR="004F01D4" w:rsidRPr="006815C9">
        <w:t xml:space="preserve"> through to</w:t>
      </w:r>
      <w:r w:rsidR="009A0927" w:rsidRPr="006815C9">
        <w:t xml:space="preserve"> lower gas production.</w:t>
      </w:r>
    </w:p>
    <w:p w14:paraId="44770B35" w14:textId="4A685C37" w:rsidR="00CC42E0" w:rsidRPr="006815C9" w:rsidRDefault="00FA0273" w:rsidP="00FA0273">
      <w:pPr>
        <w:pStyle w:val="Caption"/>
      </w:pPr>
      <w:bookmarkStart w:id="293" w:name="_Ref19632077"/>
      <w:bookmarkStart w:id="294" w:name="_Ref19632068"/>
      <w:r w:rsidRPr="006815C9">
        <w:t xml:space="preserve">Figure </w:t>
      </w:r>
      <w:r w:rsidR="00343A69" w:rsidRPr="006815C9">
        <w:rPr>
          <w:noProof/>
        </w:rPr>
        <w:fldChar w:fldCharType="begin"/>
      </w:r>
      <w:r w:rsidR="00343A69" w:rsidRPr="006815C9">
        <w:rPr>
          <w:noProof/>
        </w:rPr>
        <w:instrText xml:space="preserve"> SEQ Figure \* ARABIC </w:instrText>
      </w:r>
      <w:r w:rsidR="00343A69" w:rsidRPr="006815C9">
        <w:rPr>
          <w:noProof/>
        </w:rPr>
        <w:fldChar w:fldCharType="separate"/>
      </w:r>
      <w:r w:rsidR="00E41BD3">
        <w:rPr>
          <w:noProof/>
        </w:rPr>
        <w:t>2</w:t>
      </w:r>
      <w:r w:rsidR="00343A69" w:rsidRPr="006815C9">
        <w:rPr>
          <w:noProof/>
        </w:rPr>
        <w:fldChar w:fldCharType="end"/>
      </w:r>
      <w:bookmarkEnd w:id="293"/>
      <w:r w:rsidRPr="006815C9">
        <w:t xml:space="preserve">: </w:t>
      </w:r>
      <w:r w:rsidR="00CC42E0" w:rsidRPr="006815C9">
        <w:t>AEMO</w:t>
      </w:r>
      <w:r w:rsidR="00E20EBF" w:rsidRPr="006815C9">
        <w:t xml:space="preserve"> GSOO</w:t>
      </w:r>
      <w:r w:rsidR="00CC42E0" w:rsidRPr="006815C9">
        <w:t xml:space="preserve"> forecasts for 2018 and actuals</w:t>
      </w:r>
      <w:bookmarkEnd w:id="294"/>
    </w:p>
    <w:p w14:paraId="52708BD4" w14:textId="69DC7B4D" w:rsidR="00CC42E0" w:rsidRPr="006815C9" w:rsidRDefault="000F27EA" w:rsidP="006C769C">
      <w:pPr>
        <w:jc w:val="center"/>
      </w:pPr>
      <w:r w:rsidRPr="006815C9">
        <w:rPr>
          <w:noProof/>
          <w:lang w:eastAsia="en-AU"/>
        </w:rPr>
        <w:drawing>
          <wp:inline distT="0" distB="0" distL="0" distR="0" wp14:anchorId="2F5D052C" wp14:editId="78B26402">
            <wp:extent cx="5495925" cy="3297555"/>
            <wp:effectExtent l="0" t="0" r="0" b="0"/>
            <wp:docPr id="11" name="Chart 11" descr="The upward revision to gas powered generation and downward revision to production resulted in AEMO’s projected shortfall being brought forward to 2018."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CF0DA" w14:textId="6AF1CCA4" w:rsidR="00A50A18" w:rsidRPr="006815C9" w:rsidDel="0007587F" w:rsidRDefault="00A50A18" w:rsidP="007078A7">
      <w:pPr>
        <w:rPr>
          <w:sz w:val="18"/>
          <w:szCs w:val="18"/>
        </w:rPr>
      </w:pPr>
      <w:r w:rsidRPr="006815C9">
        <w:rPr>
          <w:sz w:val="18"/>
          <w:szCs w:val="18"/>
        </w:rPr>
        <w:t xml:space="preserve">Source: </w:t>
      </w:r>
      <w:r w:rsidR="008F1D05" w:rsidRPr="006815C9">
        <w:rPr>
          <w:sz w:val="18"/>
          <w:szCs w:val="18"/>
        </w:rPr>
        <w:t>AEMO, Update to Gas Statement of Opportunities, September 2017, p. 8, 9, 11, 13</w:t>
      </w:r>
      <w:r w:rsidRPr="006815C9">
        <w:rPr>
          <w:sz w:val="18"/>
          <w:szCs w:val="18"/>
        </w:rPr>
        <w:t xml:space="preserve">; </w:t>
      </w:r>
      <w:r w:rsidR="00263CDB" w:rsidRPr="006815C9">
        <w:rPr>
          <w:sz w:val="18"/>
          <w:szCs w:val="18"/>
        </w:rPr>
        <w:t xml:space="preserve">AEMO, </w:t>
      </w:r>
      <w:r w:rsidR="008F1D05" w:rsidRPr="006815C9">
        <w:rPr>
          <w:sz w:val="18"/>
          <w:szCs w:val="18"/>
        </w:rPr>
        <w:t>National Electricity Forecasting [http://forecasting.aemo.com.au/]</w:t>
      </w:r>
    </w:p>
    <w:p w14:paraId="0AB33C81" w14:textId="3C00A0FD" w:rsidR="007078A7" w:rsidRPr="006815C9" w:rsidRDefault="007078A7" w:rsidP="007078A7">
      <w:r w:rsidRPr="006815C9">
        <w:t xml:space="preserve">Following the reports, the Australian Government and east coast LNG exporters signed a Heads of Agreement </w:t>
      </w:r>
      <w:r w:rsidR="00F146B7" w:rsidRPr="006815C9">
        <w:t xml:space="preserve">in October 2017 </w:t>
      </w:r>
      <w:r w:rsidRPr="006815C9">
        <w:t xml:space="preserve">designed to ensure secure supply for the </w:t>
      </w:r>
      <w:r w:rsidR="009C3FA8" w:rsidRPr="006815C9">
        <w:t>eastern gas market</w:t>
      </w:r>
      <w:r w:rsidRPr="006815C9">
        <w:t xml:space="preserve">. Under the </w:t>
      </w:r>
      <w:r w:rsidR="00DC5A8F" w:rsidRPr="006815C9">
        <w:t>a</w:t>
      </w:r>
      <w:r w:rsidR="008A3D9E">
        <w:t>greement</w:t>
      </w:r>
      <w:r w:rsidRPr="006815C9">
        <w:t xml:space="preserve"> LNG exporters committed</w:t>
      </w:r>
      <w:r w:rsidR="008A3D9E">
        <w:t>,</w:t>
      </w:r>
      <w:r w:rsidRPr="006815C9">
        <w:t xml:space="preserve"> </w:t>
      </w:r>
      <w:r w:rsidR="007563CD">
        <w:t>in the event of a domestic shortfall</w:t>
      </w:r>
      <w:r w:rsidR="008A3D9E">
        <w:t>,</w:t>
      </w:r>
      <w:r w:rsidR="007563CD">
        <w:t xml:space="preserve"> </w:t>
      </w:r>
      <w:r w:rsidRPr="006815C9">
        <w:t>to offer uncontracted gas to the domestic market before selling this gas internationally.</w:t>
      </w:r>
    </w:p>
    <w:p w14:paraId="7F0F9F0D" w14:textId="11122414" w:rsidR="00B944DD" w:rsidRPr="006815C9" w:rsidRDefault="00B944DD" w:rsidP="006824D8">
      <w:pPr>
        <w:pStyle w:val="Heading2"/>
      </w:pPr>
      <w:bookmarkStart w:id="295" w:name="_Toc18590660"/>
      <w:bookmarkStart w:id="296" w:name="_Toc18592125"/>
      <w:bookmarkStart w:id="297" w:name="_Toc19109834"/>
      <w:bookmarkStart w:id="298" w:name="_Toc19113877"/>
      <w:bookmarkStart w:id="299" w:name="_Toc19189772"/>
      <w:bookmarkStart w:id="300" w:name="_Toc19271055"/>
      <w:bookmarkStart w:id="301" w:name="_Toc19280633"/>
      <w:bookmarkStart w:id="302" w:name="_Toc19281127"/>
      <w:bookmarkStart w:id="303" w:name="_Toc19537954"/>
      <w:bookmarkStart w:id="304" w:name="_Toc19545360"/>
      <w:bookmarkStart w:id="305" w:name="_Toc19611833"/>
      <w:bookmarkStart w:id="306" w:name="_Toc19628586"/>
      <w:bookmarkStart w:id="307" w:name="_Toc19628626"/>
      <w:bookmarkStart w:id="308" w:name="_Toc19717431"/>
      <w:bookmarkStart w:id="309" w:name="_Toc19720118"/>
      <w:bookmarkStart w:id="310" w:name="_Toc19789961"/>
      <w:bookmarkStart w:id="311" w:name="_Toc19803031"/>
      <w:bookmarkStart w:id="312" w:name="_Toc19804078"/>
      <w:bookmarkStart w:id="313" w:name="_Toc19804278"/>
      <w:bookmarkStart w:id="314" w:name="_Toc19804524"/>
      <w:bookmarkStart w:id="315" w:name="_Toc19888528"/>
      <w:bookmarkStart w:id="316" w:name="_Toc19889155"/>
      <w:bookmarkStart w:id="317" w:name="_Toc20232927"/>
      <w:bookmarkStart w:id="318" w:name="_Toc20237737"/>
      <w:bookmarkStart w:id="319" w:name="_Toc20322023"/>
      <w:bookmarkStart w:id="320" w:name="_Toc20322441"/>
      <w:bookmarkStart w:id="321" w:name="_Toc20398007"/>
      <w:bookmarkStart w:id="322" w:name="_Toc20401008"/>
      <w:bookmarkStart w:id="323" w:name="_Toc20410646"/>
      <w:bookmarkStart w:id="324" w:name="_Toc20412172"/>
      <w:bookmarkStart w:id="325" w:name="_Toc20469265"/>
      <w:bookmarkStart w:id="326" w:name="_Toc21705340"/>
      <w:bookmarkStart w:id="327" w:name="_Toc26349918"/>
      <w:bookmarkStart w:id="328" w:name="_Toc26448235"/>
      <w:bookmarkStart w:id="329" w:name="_Toc26454517"/>
      <w:bookmarkStart w:id="330" w:name="_Toc29823306"/>
      <w:r w:rsidRPr="006815C9">
        <w:t>Operation of the ADGSM</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6815C9">
        <w:t xml:space="preserve"> </w:t>
      </w:r>
    </w:p>
    <w:p w14:paraId="4098095A" w14:textId="5D2E142F" w:rsidR="007B2265" w:rsidRPr="006815C9" w:rsidRDefault="007B2265" w:rsidP="007B2265">
      <w:bookmarkStart w:id="331" w:name="_Market_Changes_Since"/>
      <w:bookmarkEnd w:id="331"/>
      <w:r w:rsidRPr="006815C9">
        <w:t xml:space="preserve">Pursuant to the ADGSM guidelines, the Minister for Resources is able to issue a notification of intent to make a determination of the likelihood of a gas supply shortfall in the domestic market. As part of this notification, the Minister would formally seek information on market participants, including gas producers and large gas users, and market analysts and bodies including AEMO and ACCC. </w:t>
      </w:r>
    </w:p>
    <w:p w14:paraId="23AB8FFF" w14:textId="2EA24DF8" w:rsidR="007B2265" w:rsidRPr="006815C9" w:rsidRDefault="007B2265" w:rsidP="007B2265">
      <w:r w:rsidRPr="006815C9">
        <w:t>On the basis of this information, the Minister make</w:t>
      </w:r>
      <w:r w:rsidR="0009703C" w:rsidRPr="006815C9">
        <w:t>s</w:t>
      </w:r>
      <w:r w:rsidRPr="006815C9">
        <w:t xml:space="preserve"> a decision around whether the next calendar year is likely to be a ‘shortfall year</w:t>
      </w:r>
      <w:r w:rsidR="00605990" w:rsidRPr="006815C9">
        <w:t>’</w:t>
      </w:r>
      <w:r w:rsidRPr="006815C9">
        <w:t xml:space="preserve">. If the Minister believes there are grounds to consider this, the Minister will calculate the </w:t>
      </w:r>
      <w:r w:rsidR="0092322D" w:rsidRPr="006815C9">
        <w:t>Total Market Security Obligation (</w:t>
      </w:r>
      <w:r w:rsidRPr="006815C9">
        <w:t>TMSO</w:t>
      </w:r>
      <w:r w:rsidR="0092322D" w:rsidRPr="006815C9">
        <w:t>)</w:t>
      </w:r>
      <w:r w:rsidRPr="006815C9">
        <w:t>. This is the volume of gas that LNG exporters (in aggregate) are drawing out of a domestic market that is in shortfall</w:t>
      </w:r>
      <w:r w:rsidR="00031303" w:rsidRPr="006815C9">
        <w:t xml:space="preserve"> and could</w:t>
      </w:r>
      <w:r w:rsidRPr="006815C9">
        <w:t xml:space="preserve"> be </w:t>
      </w:r>
      <w:r w:rsidR="00031303" w:rsidRPr="006815C9">
        <w:t xml:space="preserve">subject to </w:t>
      </w:r>
      <w:r w:rsidRPr="006815C9">
        <w:t xml:space="preserve">export restrictions. Once this total amount has been calculated, the Minister will then determine each project’s contribution - the Exporter Market Security Obligation (EMSO). </w:t>
      </w:r>
    </w:p>
    <w:p w14:paraId="6943920E" w14:textId="5B878187" w:rsidR="003E3B00" w:rsidRPr="006815C9" w:rsidRDefault="003E3B00" w:rsidP="00A47696">
      <w:r w:rsidRPr="006815C9">
        <w:lastRenderedPageBreak/>
        <w:t xml:space="preserve">The ADGSM has been designed as a measure of last resort in the event of a </w:t>
      </w:r>
      <w:r w:rsidR="0033139B" w:rsidRPr="006815C9">
        <w:t xml:space="preserve">forecast domestic </w:t>
      </w:r>
      <w:r w:rsidRPr="006815C9">
        <w:t>gas shortage. Its policy rationale is that Australia</w:t>
      </w:r>
      <w:r w:rsidR="00BE3CF1">
        <w:t>’s en</w:t>
      </w:r>
      <w:r w:rsidRPr="006815C9">
        <w:t xml:space="preserve">ergy security needs are </w:t>
      </w:r>
      <w:r w:rsidR="00D2591B" w:rsidRPr="006815C9">
        <w:t>met</w:t>
      </w:r>
      <w:r w:rsidR="00F10819" w:rsidRPr="006815C9">
        <w:t xml:space="preserve">. </w:t>
      </w:r>
    </w:p>
    <w:p w14:paraId="1A4E9D52" w14:textId="7BB754D6" w:rsidR="006824D8" w:rsidRPr="006815C9" w:rsidRDefault="00E41BD3" w:rsidP="006824D8">
      <w:pPr>
        <w:pStyle w:val="Heading2"/>
      </w:pPr>
      <w:hyperlink w:anchor="Outline" w:history="1">
        <w:bookmarkStart w:id="332" w:name="_Toc19628627"/>
        <w:bookmarkStart w:id="333" w:name="_Toc19628587"/>
        <w:bookmarkStart w:id="334" w:name="_Ref19622675"/>
        <w:bookmarkStart w:id="335" w:name="_Toc19611834"/>
        <w:bookmarkStart w:id="336" w:name="_Toc19545361"/>
        <w:bookmarkStart w:id="337" w:name="_Toc19537955"/>
        <w:bookmarkStart w:id="338" w:name="_Toc19281128"/>
        <w:bookmarkStart w:id="339" w:name="_Toc19271056"/>
        <w:bookmarkStart w:id="340" w:name="_Toc19280634"/>
        <w:bookmarkStart w:id="341" w:name="_Toc19189773"/>
        <w:bookmarkStart w:id="342" w:name="_Toc19109835"/>
        <w:bookmarkStart w:id="343" w:name="_Toc19113878"/>
        <w:bookmarkStart w:id="344" w:name="_Toc18590661"/>
        <w:bookmarkStart w:id="345" w:name="_Toc18592126"/>
        <w:bookmarkStart w:id="346" w:name="_Toc19717432"/>
        <w:bookmarkStart w:id="347" w:name="_Toc19720119"/>
        <w:bookmarkStart w:id="348" w:name="_Toc19789962"/>
        <w:bookmarkStart w:id="349" w:name="_Toc19803032"/>
        <w:bookmarkStart w:id="350" w:name="_Toc19804079"/>
        <w:bookmarkStart w:id="351" w:name="_Toc19804279"/>
        <w:bookmarkStart w:id="352" w:name="_Toc19804525"/>
        <w:bookmarkStart w:id="353" w:name="_Toc19888529"/>
        <w:bookmarkStart w:id="354" w:name="_Toc19889156"/>
        <w:bookmarkStart w:id="355" w:name="_Toc20232928"/>
        <w:bookmarkStart w:id="356" w:name="_Toc20237738"/>
        <w:bookmarkStart w:id="357" w:name="_Toc20322024"/>
        <w:bookmarkStart w:id="358" w:name="_Toc20322442"/>
        <w:bookmarkStart w:id="359" w:name="_Toc20398008"/>
        <w:bookmarkStart w:id="360" w:name="_Toc20401009"/>
        <w:bookmarkStart w:id="361" w:name="_Toc20410647"/>
        <w:bookmarkStart w:id="362" w:name="_Toc20412173"/>
        <w:bookmarkStart w:id="363" w:name="_Toc20469266"/>
        <w:bookmarkStart w:id="364" w:name="_Toc21705341"/>
        <w:bookmarkStart w:id="365" w:name="_Toc26349919"/>
        <w:bookmarkStart w:id="366" w:name="_Toc26448236"/>
        <w:bookmarkStart w:id="367" w:name="_Toc26454518"/>
        <w:bookmarkStart w:id="368" w:name="_Toc29823307"/>
        <w:r w:rsidR="006824D8" w:rsidRPr="006815C9">
          <w:rPr>
            <w:rStyle w:val="Hyperlink"/>
            <w:u w:val="none"/>
          </w:rPr>
          <w:t xml:space="preserve">Complementary gas market </w:t>
        </w:r>
        <w:r w:rsidR="000B1864" w:rsidRPr="006815C9">
          <w:rPr>
            <w:rStyle w:val="Hyperlink"/>
            <w:u w:val="none"/>
          </w:rPr>
          <w:t>measures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hyperlink>
    </w:p>
    <w:p w14:paraId="716F6967" w14:textId="77777777" w:rsidR="00461E32" w:rsidRPr="006815C9" w:rsidRDefault="00461E32" w:rsidP="00461E32">
      <w:pPr>
        <w:spacing w:after="0" w:line="240" w:lineRule="auto"/>
        <w:rPr>
          <w:rFonts w:cstheme="minorHAnsi"/>
        </w:rPr>
      </w:pPr>
      <w:bookmarkStart w:id="369" w:name="_Impact_of_the"/>
      <w:bookmarkEnd w:id="369"/>
      <w:r w:rsidRPr="006815C9">
        <w:rPr>
          <w:rFonts w:cstheme="minorHAnsi"/>
        </w:rPr>
        <w:t>The ADGSM is one component of a comprehensive suite of market and regulatory reforms and measures aimed at easing pressures in the domestic gas market. The main objectives are to bring on more supply and improve the function of the gas market. These measures are summarised below.</w:t>
      </w:r>
    </w:p>
    <w:p w14:paraId="5A2B9358" w14:textId="77777777" w:rsidR="00461E32" w:rsidRPr="006815C9" w:rsidRDefault="00461E32" w:rsidP="00BE3CF1">
      <w:pPr>
        <w:spacing w:after="0" w:line="240" w:lineRule="auto"/>
        <w:rPr>
          <w:rFonts w:cstheme="minorHAnsi"/>
        </w:rPr>
      </w:pPr>
    </w:p>
    <w:p w14:paraId="54C08BC8" w14:textId="68E42416" w:rsidR="00461E32" w:rsidRPr="006815C9" w:rsidRDefault="00461E32" w:rsidP="00BE3CF1">
      <w:pPr>
        <w:spacing w:after="0" w:line="240" w:lineRule="auto"/>
        <w:rPr>
          <w:rFonts w:cstheme="minorHAnsi"/>
        </w:rPr>
      </w:pPr>
      <w:r w:rsidRPr="006815C9">
        <w:rPr>
          <w:rFonts w:cstheme="minorHAnsi"/>
          <w:u w:val="single"/>
        </w:rPr>
        <w:t>ACCC gas market inquiry</w:t>
      </w:r>
      <w:r w:rsidRPr="006815C9">
        <w:rPr>
          <w:rFonts w:cstheme="minorHAnsi"/>
        </w:rPr>
        <w:t xml:space="preserve"> - In April 2017, the Australian Government directed the ACCC to conduct a wide-ranging inquiry into the supply of</w:t>
      </w:r>
      <w:r w:rsidR="00226620" w:rsidRPr="006815C9">
        <w:rPr>
          <w:rFonts w:cstheme="minorHAnsi"/>
        </w:rPr>
        <w:t>,</w:t>
      </w:r>
      <w:r w:rsidRPr="006815C9">
        <w:rPr>
          <w:rFonts w:cstheme="minorHAnsi"/>
        </w:rPr>
        <w:t xml:space="preserve"> and demand for</w:t>
      </w:r>
      <w:r w:rsidR="00226620" w:rsidRPr="006815C9">
        <w:rPr>
          <w:rFonts w:cstheme="minorHAnsi"/>
        </w:rPr>
        <w:t>,</w:t>
      </w:r>
      <w:r w:rsidRPr="006815C9">
        <w:rPr>
          <w:rFonts w:cstheme="minorHAnsi"/>
        </w:rPr>
        <w:t xml:space="preserve"> wholesale gas in Australia over three years to 2020. Through the inquiry, the ACCC is able to use its inquiry powers, including its ability to compulsorily acquire information, to increase transparency in the gas market.</w:t>
      </w:r>
    </w:p>
    <w:p w14:paraId="79BF5850" w14:textId="77777777" w:rsidR="00461E32" w:rsidRPr="006815C9" w:rsidRDefault="00461E32" w:rsidP="00BE3CF1">
      <w:pPr>
        <w:spacing w:after="0" w:line="240" w:lineRule="auto"/>
        <w:rPr>
          <w:rFonts w:cstheme="minorHAnsi"/>
        </w:rPr>
      </w:pPr>
    </w:p>
    <w:p w14:paraId="367BFF51" w14:textId="77777777" w:rsidR="00053E2F" w:rsidRPr="009557E2" w:rsidRDefault="00053E2F" w:rsidP="00BE3CF1">
      <w:pPr>
        <w:spacing w:line="240" w:lineRule="auto"/>
      </w:pPr>
      <w:r w:rsidRPr="009557E2">
        <w:t>As part of the Inquiry, the ACCC publishes regular interim reports, on the supply and pricing of gas in the eastern gas market. In July 2019, the Australian Government directed the ACCC to extend its inquiry and associated reporting for another five years to 2025.</w:t>
      </w:r>
    </w:p>
    <w:p w14:paraId="7A656D66" w14:textId="77777777" w:rsidR="00A43493" w:rsidRPr="00A43493" w:rsidRDefault="00A43493" w:rsidP="00A43493">
      <w:pPr>
        <w:spacing w:after="0" w:line="240" w:lineRule="auto"/>
        <w:rPr>
          <w:rFonts w:cstheme="minorHAnsi"/>
        </w:rPr>
      </w:pPr>
      <w:r w:rsidRPr="00A43493">
        <w:rPr>
          <w:rFonts w:cstheme="minorHAnsi"/>
          <w:u w:val="single"/>
        </w:rPr>
        <w:t>Gas market transparency measures</w:t>
      </w:r>
      <w:r w:rsidRPr="00A43493">
        <w:rPr>
          <w:rFonts w:cstheme="minorHAnsi"/>
        </w:rPr>
        <w:t xml:space="preserve"> - Governments are working to increase transparency in the gas market. This includes continuing reforms through the COAG Energy Council requiring improved transparency from gas producers and LNG exporters on prices, reserves and resources.</w:t>
      </w:r>
    </w:p>
    <w:p w14:paraId="2022E8DA" w14:textId="77777777" w:rsidR="00A43493" w:rsidRPr="00A43493" w:rsidRDefault="00A43493" w:rsidP="00A43493">
      <w:pPr>
        <w:spacing w:after="0" w:line="240" w:lineRule="auto"/>
        <w:rPr>
          <w:rFonts w:cstheme="minorHAnsi"/>
        </w:rPr>
      </w:pPr>
    </w:p>
    <w:p w14:paraId="53B832F1" w14:textId="4F4A56E4" w:rsidR="00461E32" w:rsidRPr="00A43493" w:rsidRDefault="00A43493" w:rsidP="00A43493">
      <w:pPr>
        <w:spacing w:after="0" w:line="240" w:lineRule="auto"/>
        <w:rPr>
          <w:rFonts w:cstheme="minorHAnsi"/>
        </w:rPr>
      </w:pPr>
      <w:r w:rsidRPr="00A43493">
        <w:rPr>
          <w:rFonts w:cstheme="minorHAnsi"/>
        </w:rPr>
        <w:t>In August 2019, the COAG Energy Council released a consultation Regulation Impact Statement (RIS) examining options to improve transparency in the eastern and northern Australian gas markets. The RIS focuses on addressing information gaps and asymmetries relating to gas and infrastructure prices, supply and availability of gas, gas demand, and infrastructure used to supply gas to end-markets. Feedback received in response to the consultation RIS is being used to inform a Decision RIS and recommendations to Energy Council on which measures to take forward.</w:t>
      </w:r>
    </w:p>
    <w:p w14:paraId="1DE402C1" w14:textId="77777777" w:rsidR="00A43493" w:rsidRPr="006815C9" w:rsidRDefault="00A43493" w:rsidP="00A43493">
      <w:pPr>
        <w:spacing w:after="0" w:line="240" w:lineRule="auto"/>
        <w:rPr>
          <w:rFonts w:cstheme="minorHAnsi"/>
        </w:rPr>
      </w:pPr>
    </w:p>
    <w:p w14:paraId="17416EAB" w14:textId="61570D2C" w:rsidR="00A43493" w:rsidRDefault="00A43493" w:rsidP="00461E32">
      <w:pPr>
        <w:spacing w:after="0" w:line="240" w:lineRule="auto"/>
        <w:rPr>
          <w:rFonts w:cstheme="minorHAnsi"/>
          <w:u w:val="single"/>
        </w:rPr>
      </w:pPr>
      <w:r w:rsidRPr="00A43493">
        <w:rPr>
          <w:rFonts w:cstheme="minorHAnsi"/>
          <w:u w:val="single"/>
        </w:rPr>
        <w:t>Pipeline regulation</w:t>
      </w:r>
      <w:r w:rsidRPr="00A43493">
        <w:rPr>
          <w:rFonts w:cstheme="minorHAnsi"/>
        </w:rPr>
        <w:t xml:space="preserve"> - The Government is also supporting the COAG Energy Council’s review of gas pipeline regulation. A consultation RIS on options to improve pipeli</w:t>
      </w:r>
      <w:r>
        <w:rPr>
          <w:rFonts w:cstheme="minorHAnsi"/>
        </w:rPr>
        <w:t>ne regulation was released on 1 </w:t>
      </w:r>
      <w:r w:rsidRPr="00A43493">
        <w:rPr>
          <w:rFonts w:cstheme="minorHAnsi"/>
        </w:rPr>
        <w:t xml:space="preserve">November 2019. This review builds on previous reforms to pipeline regulation led by the COAG Energy Council. </w:t>
      </w:r>
      <w:r>
        <w:rPr>
          <w:rFonts w:cstheme="minorHAnsi"/>
        </w:rPr>
        <w:t xml:space="preserve">These past reforms include the </w:t>
      </w:r>
      <w:r w:rsidRPr="00A43493">
        <w:rPr>
          <w:rFonts w:cstheme="minorHAnsi"/>
        </w:rPr>
        <w:t>introduction of a day-ahead auction of contracted but un-nominated pipeline capacity, standardisation of provisions in gas transportation agreements to make capacity more tradeable, and development of a capacity trading platform to facilitate sales and publication of information on secondary trades.</w:t>
      </w:r>
      <w:r w:rsidRPr="00A43493">
        <w:rPr>
          <w:rFonts w:cstheme="minorHAnsi"/>
          <w:u w:val="single"/>
        </w:rPr>
        <w:t xml:space="preserve"> </w:t>
      </w:r>
    </w:p>
    <w:p w14:paraId="4C3EF583" w14:textId="77777777" w:rsidR="00A43493" w:rsidRDefault="00A43493" w:rsidP="00461E32">
      <w:pPr>
        <w:spacing w:after="0" w:line="240" w:lineRule="auto"/>
        <w:rPr>
          <w:rFonts w:cstheme="minorHAnsi"/>
          <w:u w:val="single"/>
        </w:rPr>
      </w:pPr>
    </w:p>
    <w:p w14:paraId="49B3ACFF" w14:textId="4217BF66" w:rsidR="00461E32" w:rsidRPr="006815C9" w:rsidRDefault="00461E32" w:rsidP="00461E32">
      <w:pPr>
        <w:spacing w:after="0" w:line="240" w:lineRule="auto"/>
        <w:rPr>
          <w:rFonts w:cstheme="minorHAnsi"/>
        </w:rPr>
      </w:pPr>
      <w:r w:rsidRPr="006815C9">
        <w:rPr>
          <w:rFonts w:cstheme="minorHAnsi"/>
          <w:u w:val="single"/>
        </w:rPr>
        <w:t>Gas Acceleration Program</w:t>
      </w:r>
      <w:r w:rsidRPr="006815C9">
        <w:rPr>
          <w:rFonts w:cstheme="minorHAnsi"/>
        </w:rPr>
        <w:t xml:space="preserve"> - In 2017, the Government announced its $26 million Gas Acceleration Program (GAP) which aims to accelerate the responsible development of onshore gas for domestic consumers. The program encourages direct investment in gas developments. It supports projects with the greatest likelihood of securing new and significant volumes of gas for domestic consumers. GAP has delivered five grants to separate companies to accelerate the development of new gas supplies. </w:t>
      </w:r>
    </w:p>
    <w:p w14:paraId="0D008F07" w14:textId="77777777" w:rsidR="00461E32" w:rsidRDefault="00461E32" w:rsidP="00461E32">
      <w:pPr>
        <w:spacing w:after="0" w:line="240" w:lineRule="auto"/>
        <w:rPr>
          <w:rFonts w:cstheme="minorHAnsi"/>
        </w:rPr>
      </w:pPr>
    </w:p>
    <w:p w14:paraId="0F448028" w14:textId="5400902D" w:rsidR="003B3707" w:rsidRPr="00652261" w:rsidRDefault="003B3707" w:rsidP="00652261">
      <w:r w:rsidRPr="003B3707">
        <w:rPr>
          <w:rFonts w:cstheme="minorHAnsi"/>
          <w:u w:val="single"/>
        </w:rPr>
        <w:t>Emergency supply measures</w:t>
      </w:r>
      <w:r>
        <w:rPr>
          <w:rFonts w:cstheme="minorHAnsi"/>
        </w:rPr>
        <w:t xml:space="preserve"> - </w:t>
      </w:r>
      <w:r w:rsidRPr="006815C9">
        <w:t xml:space="preserve">There are other mechanisms that safeguard the </w:t>
      </w:r>
      <w:r>
        <w:t xml:space="preserve">domestic </w:t>
      </w:r>
      <w:r w:rsidRPr="006815C9">
        <w:t>gas market against sudden supply shortfalls. For example, the COAG National Gas Emergency Response Advisory Committee responds to gas supply interruptions</w:t>
      </w:r>
      <w:r w:rsidR="005B635E">
        <w:t xml:space="preserve"> that affect more than one jurisdiction</w:t>
      </w:r>
      <w:r w:rsidRPr="006815C9">
        <w:t>, managing communication across industry and government during major natural gas supply shortages. AEMO’s Contingency Gas arrangements balance physical supply and demand in short term trading markets in the event that normal market mechanisms are unlikely to achieve this balance.</w:t>
      </w:r>
    </w:p>
    <w:p w14:paraId="697BB198" w14:textId="58FEDD8F" w:rsidR="00461E32" w:rsidRPr="006815C9" w:rsidRDefault="00461E32" w:rsidP="00461E32">
      <w:pPr>
        <w:spacing w:after="0" w:line="240" w:lineRule="auto"/>
        <w:rPr>
          <w:rFonts w:cstheme="minorHAnsi"/>
        </w:rPr>
      </w:pPr>
      <w:r w:rsidRPr="006815C9">
        <w:rPr>
          <w:rFonts w:cstheme="minorHAnsi"/>
          <w:u w:val="single"/>
        </w:rPr>
        <w:t>AEMO Gas Supply Guarantee</w:t>
      </w:r>
      <w:r w:rsidRPr="006815C9">
        <w:rPr>
          <w:rFonts w:cstheme="minorHAnsi"/>
        </w:rPr>
        <w:t xml:space="preserve"> - In March 2017, production facility operators and pipeline operators made commitments to the Australian Government to make gas available to meet peak demand </w:t>
      </w:r>
      <w:r w:rsidRPr="006815C9">
        <w:rPr>
          <w:rFonts w:cstheme="minorHAnsi"/>
        </w:rPr>
        <w:lastRenderedPageBreak/>
        <w:t xml:space="preserve">periods in the </w:t>
      </w:r>
      <w:r w:rsidR="00652261">
        <w:t>National Electricity M</w:t>
      </w:r>
      <w:r w:rsidR="00652261" w:rsidRPr="006815C9">
        <w:t xml:space="preserve">arket </w:t>
      </w:r>
      <w:r w:rsidR="00652261">
        <w:t>(</w:t>
      </w:r>
      <w:r w:rsidRPr="006815C9">
        <w:rPr>
          <w:rFonts w:cstheme="minorHAnsi"/>
        </w:rPr>
        <w:t>N</w:t>
      </w:r>
      <w:r w:rsidR="00897D0D">
        <w:rPr>
          <w:rFonts w:cstheme="minorHAnsi"/>
        </w:rPr>
        <w:t>EM</w:t>
      </w:r>
      <w:r w:rsidR="00652261">
        <w:rPr>
          <w:rFonts w:cstheme="minorHAnsi"/>
        </w:rPr>
        <w:t>)</w:t>
      </w:r>
      <w:r w:rsidRPr="006815C9">
        <w:rPr>
          <w:rFonts w:cstheme="minorHAnsi"/>
        </w:rPr>
        <w:t>. The Gas Supply Guarantee is a mechanism developed by the gas industry to facilitate the delivery of these commitments. It comprises new processes to identify, assess and confirm a potential gas supply shortfall as well as processes to communicate with industry and to call for a response to a shortfall.</w:t>
      </w:r>
    </w:p>
    <w:p w14:paraId="4958FAF2" w14:textId="77777777" w:rsidR="00461E32" w:rsidRPr="006815C9" w:rsidRDefault="00461E32" w:rsidP="00461E32">
      <w:pPr>
        <w:spacing w:after="0" w:line="240" w:lineRule="auto"/>
        <w:rPr>
          <w:rFonts w:cstheme="minorHAnsi"/>
        </w:rPr>
      </w:pPr>
    </w:p>
    <w:p w14:paraId="759FF0E0" w14:textId="77777777" w:rsidR="00461E32" w:rsidRPr="006815C9" w:rsidRDefault="00461E32" w:rsidP="00461E32">
      <w:pPr>
        <w:spacing w:after="0" w:line="240" w:lineRule="auto"/>
        <w:rPr>
          <w:rFonts w:cstheme="minorHAnsi"/>
        </w:rPr>
      </w:pPr>
      <w:r w:rsidRPr="006815C9">
        <w:rPr>
          <w:rFonts w:cstheme="minorHAnsi"/>
          <w:u w:val="single"/>
        </w:rPr>
        <w:t>Additional initiatives</w:t>
      </w:r>
      <w:r w:rsidRPr="006815C9">
        <w:rPr>
          <w:rFonts w:cstheme="minorHAnsi"/>
        </w:rPr>
        <w:t xml:space="preserve"> – In addition to the ADGSM review, the Government announced a series of additional gas market initiatives on 6 August 2019, including:</w:t>
      </w:r>
    </w:p>
    <w:p w14:paraId="13E8AED9" w14:textId="5D79065D" w:rsidR="00461E32" w:rsidRPr="006815C9" w:rsidRDefault="00461E32" w:rsidP="00461E32">
      <w:pPr>
        <w:pStyle w:val="ListParagraph"/>
        <w:numPr>
          <w:ilvl w:val="0"/>
          <w:numId w:val="15"/>
        </w:numPr>
        <w:spacing w:after="0" w:line="240" w:lineRule="auto"/>
        <w:rPr>
          <w:rFonts w:cstheme="minorHAnsi"/>
        </w:rPr>
      </w:pPr>
      <w:r w:rsidRPr="006815C9">
        <w:rPr>
          <w:rFonts w:cstheme="minorHAnsi"/>
        </w:rPr>
        <w:t>Engaging with LNG plants to explore whether some of their processes could be electrified, to free up more gas for domestic use</w:t>
      </w:r>
      <w:r w:rsidR="00AE536D" w:rsidRPr="006815C9">
        <w:rPr>
          <w:rFonts w:cstheme="minorHAnsi"/>
        </w:rPr>
        <w:t>.</w:t>
      </w:r>
    </w:p>
    <w:p w14:paraId="60887CD8" w14:textId="1486AAFE" w:rsidR="00461E32" w:rsidRPr="006815C9" w:rsidRDefault="00461E32" w:rsidP="00461E32">
      <w:pPr>
        <w:pStyle w:val="ListParagraph"/>
        <w:numPr>
          <w:ilvl w:val="0"/>
          <w:numId w:val="15"/>
        </w:numPr>
        <w:spacing w:after="0" w:line="240" w:lineRule="auto"/>
        <w:rPr>
          <w:rFonts w:cstheme="minorHAnsi"/>
        </w:rPr>
      </w:pPr>
      <w:r w:rsidRPr="006815C9">
        <w:rPr>
          <w:rFonts w:cstheme="minorHAnsi"/>
        </w:rPr>
        <w:t>Engaging with the manufacturing sector to explore opportunities to lower gas costs and reduce demand through increased energy efficiency and electrification measures</w:t>
      </w:r>
      <w:r w:rsidR="00AE536D" w:rsidRPr="006815C9">
        <w:rPr>
          <w:rFonts w:cstheme="minorHAnsi"/>
        </w:rPr>
        <w:t>.</w:t>
      </w:r>
    </w:p>
    <w:p w14:paraId="03CF88A5" w14:textId="77777777" w:rsidR="002F054E" w:rsidRDefault="002F054E" w:rsidP="002F054E">
      <w:pPr>
        <w:pStyle w:val="ListParagraph"/>
        <w:numPr>
          <w:ilvl w:val="0"/>
          <w:numId w:val="15"/>
        </w:numPr>
        <w:spacing w:after="0" w:line="240" w:lineRule="auto"/>
        <w:rPr>
          <w:color w:val="000000"/>
        </w:rPr>
      </w:pPr>
      <w:r>
        <w:rPr>
          <w:color w:val="000000"/>
        </w:rPr>
        <w:t>Undertaking a feasibility study to examine mechanisms to facilitate collective bargaining and improve the negotiating position of Commercial and Industrial customers for gas supply.</w:t>
      </w:r>
    </w:p>
    <w:p w14:paraId="4BB9DD82" w14:textId="0F63E1AC" w:rsidR="002F054E" w:rsidRDefault="002F054E" w:rsidP="002F054E">
      <w:pPr>
        <w:pStyle w:val="ListParagraph"/>
        <w:numPr>
          <w:ilvl w:val="0"/>
          <w:numId w:val="15"/>
        </w:numPr>
        <w:spacing w:after="0" w:line="240" w:lineRule="auto"/>
        <w:rPr>
          <w:color w:val="000000"/>
        </w:rPr>
      </w:pPr>
      <w:r>
        <w:rPr>
          <w:color w:val="000000"/>
        </w:rPr>
        <w:t xml:space="preserve">In 2020, the Australian Energy Market Commission will undertake the </w:t>
      </w:r>
      <w:r w:rsidR="003C2229">
        <w:rPr>
          <w:i/>
          <w:iCs/>
          <w:color w:val="000000"/>
        </w:rPr>
        <w:t>2020 Biennial Gas Liquidity R</w:t>
      </w:r>
      <w:r>
        <w:rPr>
          <w:i/>
          <w:iCs/>
          <w:color w:val="000000"/>
        </w:rPr>
        <w:t xml:space="preserve">eview </w:t>
      </w:r>
      <w:r>
        <w:rPr>
          <w:color w:val="000000"/>
        </w:rPr>
        <w:t>that will advise on whether further reforms are required to achieve Energy Council’s vision for a liquid wholesale gas market.</w:t>
      </w:r>
    </w:p>
    <w:p w14:paraId="6DF6E28D" w14:textId="70203E32" w:rsidR="00461E32" w:rsidRPr="006815C9" w:rsidRDefault="00461E32" w:rsidP="002F054E">
      <w:pPr>
        <w:pStyle w:val="ListParagraph"/>
        <w:numPr>
          <w:ilvl w:val="0"/>
          <w:numId w:val="15"/>
        </w:numPr>
        <w:spacing w:after="0" w:line="240" w:lineRule="auto"/>
        <w:rPr>
          <w:rFonts w:cstheme="minorHAnsi"/>
        </w:rPr>
      </w:pPr>
      <w:r w:rsidRPr="006815C9">
        <w:rPr>
          <w:rFonts w:cstheme="minorHAnsi"/>
        </w:rPr>
        <w:t xml:space="preserve">Considering options to establish a prospective national gas reservation scheme. This will require extensive consultation, including with the states and territories, some of which have their own policies on gas reservation. </w:t>
      </w:r>
      <w:r w:rsidR="005570E2" w:rsidRPr="006815C9">
        <w:rPr>
          <w:rFonts w:cstheme="minorHAnsi"/>
        </w:rPr>
        <w:t>W</w:t>
      </w:r>
      <w:r w:rsidR="00FC532D" w:rsidRPr="006815C9">
        <w:rPr>
          <w:rFonts w:cstheme="minorHAnsi"/>
        </w:rPr>
        <w:t>hile s</w:t>
      </w:r>
      <w:r w:rsidR="005570E2" w:rsidRPr="006815C9">
        <w:rPr>
          <w:rFonts w:cstheme="minorHAnsi"/>
        </w:rPr>
        <w:t>ome stakeholders have recommended gas reservation</w:t>
      </w:r>
      <w:r w:rsidR="00FC532D" w:rsidRPr="006815C9">
        <w:rPr>
          <w:rFonts w:cstheme="minorHAnsi"/>
        </w:rPr>
        <w:t xml:space="preserve"> in this ADGSM</w:t>
      </w:r>
      <w:r w:rsidR="005570E2" w:rsidRPr="006815C9">
        <w:rPr>
          <w:rFonts w:cstheme="minorHAnsi"/>
        </w:rPr>
        <w:t xml:space="preserve"> review, </w:t>
      </w:r>
      <w:r w:rsidR="00FC532D" w:rsidRPr="006815C9">
        <w:rPr>
          <w:rFonts w:cstheme="minorHAnsi"/>
        </w:rPr>
        <w:t>it is outside the review’s scope, and will separately be considered by the Government.</w:t>
      </w:r>
      <w:r w:rsidR="00226620" w:rsidRPr="006815C9">
        <w:rPr>
          <w:rFonts w:cstheme="minorHAnsi"/>
        </w:rPr>
        <w:t xml:space="preserve"> The Government will seek to conclude its consideration of options by February 2021.</w:t>
      </w:r>
    </w:p>
    <w:p w14:paraId="1019FDCB" w14:textId="433E8503" w:rsidR="00A046C4" w:rsidRPr="006815C9" w:rsidRDefault="00E41BD3" w:rsidP="00F71C15">
      <w:pPr>
        <w:pStyle w:val="Heading1"/>
      </w:pPr>
      <w:hyperlink w:anchor="Outline" w:history="1">
        <w:bookmarkStart w:id="370" w:name="_Toc19628628"/>
        <w:bookmarkStart w:id="371" w:name="_Toc19628588"/>
        <w:bookmarkStart w:id="372" w:name="_Toc19611835"/>
        <w:bookmarkStart w:id="373" w:name="_Toc19545362"/>
        <w:bookmarkStart w:id="374" w:name="_Toc19537956"/>
        <w:bookmarkStart w:id="375" w:name="_Toc19281129"/>
        <w:bookmarkStart w:id="376" w:name="_Toc19271057"/>
        <w:bookmarkStart w:id="377" w:name="_Toc19280635"/>
        <w:bookmarkStart w:id="378" w:name="_Toc19189774"/>
        <w:bookmarkStart w:id="379" w:name="_Toc19109841"/>
        <w:bookmarkStart w:id="380" w:name="_Toc19113884"/>
        <w:bookmarkStart w:id="381" w:name="_Toc18590667"/>
        <w:bookmarkStart w:id="382" w:name="_Toc18592132"/>
        <w:bookmarkStart w:id="383" w:name="_Toc19717433"/>
        <w:bookmarkStart w:id="384" w:name="_Toc19720120"/>
        <w:bookmarkStart w:id="385" w:name="_Toc19789963"/>
        <w:bookmarkStart w:id="386" w:name="_Toc19803033"/>
        <w:bookmarkStart w:id="387" w:name="_Toc19804080"/>
        <w:bookmarkStart w:id="388" w:name="_Toc19804280"/>
        <w:bookmarkStart w:id="389" w:name="_Toc19804526"/>
        <w:bookmarkStart w:id="390" w:name="_Toc19888530"/>
        <w:bookmarkStart w:id="391" w:name="_Toc19889157"/>
        <w:bookmarkStart w:id="392" w:name="_Toc20232929"/>
        <w:bookmarkStart w:id="393" w:name="_Toc20237739"/>
        <w:bookmarkStart w:id="394" w:name="_Toc20322025"/>
        <w:bookmarkStart w:id="395" w:name="_Toc20322443"/>
        <w:bookmarkStart w:id="396" w:name="_Toc20398009"/>
        <w:bookmarkStart w:id="397" w:name="_Toc20401010"/>
        <w:bookmarkStart w:id="398" w:name="_Toc20410648"/>
        <w:bookmarkStart w:id="399" w:name="_Toc20412174"/>
        <w:bookmarkStart w:id="400" w:name="_Toc20469267"/>
        <w:bookmarkStart w:id="401" w:name="_Toc21705342"/>
        <w:bookmarkStart w:id="402" w:name="_Toc26349920"/>
        <w:bookmarkStart w:id="403" w:name="_Toc26448237"/>
        <w:bookmarkStart w:id="404" w:name="_Toc26454519"/>
        <w:bookmarkStart w:id="405" w:name="_Toc29823308"/>
        <w:r w:rsidR="00AF31C9" w:rsidRPr="006815C9">
          <w:rPr>
            <w:rStyle w:val="Hyperlink"/>
            <w:color w:val="2E74B5" w:themeColor="accent1" w:themeShade="BF"/>
            <w:u w:val="none"/>
          </w:rPr>
          <w:t>Impact</w:t>
        </w:r>
        <w:r w:rsidR="000B1864" w:rsidRPr="006815C9">
          <w:rPr>
            <w:rStyle w:val="Hyperlink"/>
            <w:color w:val="2E74B5" w:themeColor="accent1" w:themeShade="BF"/>
            <w:u w:val="none"/>
          </w:rPr>
          <w:t>s</w:t>
        </w:r>
        <w:r w:rsidR="00AF31C9" w:rsidRPr="006815C9">
          <w:rPr>
            <w:rStyle w:val="Hyperlink"/>
            <w:color w:val="2E74B5" w:themeColor="accent1" w:themeShade="BF"/>
            <w:u w:val="none"/>
          </w:rPr>
          <w:t xml:space="preserve"> of the ADGSM</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hyperlink>
      <w:r w:rsidR="00AF31C9" w:rsidRPr="006815C9">
        <w:t xml:space="preserve"> </w:t>
      </w:r>
    </w:p>
    <w:p w14:paraId="5CEAAD0D" w14:textId="77777777" w:rsidR="00C516CA" w:rsidRPr="006815C9" w:rsidRDefault="00C516CA" w:rsidP="00660855">
      <w:pPr>
        <w:pStyle w:val="Heading2"/>
        <w:rPr>
          <w:rStyle w:val="Emphasis"/>
          <w:i w:val="0"/>
        </w:rPr>
      </w:pPr>
      <w:bookmarkStart w:id="406" w:name="_Toc18590668"/>
      <w:bookmarkStart w:id="407" w:name="_Toc18592133"/>
      <w:bookmarkStart w:id="408" w:name="_Toc19109842"/>
      <w:bookmarkStart w:id="409" w:name="_Toc19113885"/>
      <w:bookmarkStart w:id="410" w:name="_Toc19189775"/>
      <w:bookmarkStart w:id="411" w:name="_Toc19271058"/>
      <w:bookmarkStart w:id="412" w:name="_Toc19280636"/>
      <w:bookmarkStart w:id="413" w:name="_Toc19281130"/>
      <w:bookmarkStart w:id="414" w:name="_Toc19537957"/>
      <w:bookmarkStart w:id="415" w:name="_Toc19545363"/>
      <w:bookmarkStart w:id="416" w:name="_Toc19611836"/>
      <w:bookmarkStart w:id="417" w:name="_Toc19628589"/>
      <w:bookmarkStart w:id="418" w:name="_Toc19628629"/>
      <w:bookmarkStart w:id="419" w:name="_Toc19717434"/>
      <w:bookmarkStart w:id="420" w:name="_Toc19720121"/>
      <w:bookmarkStart w:id="421" w:name="_Toc19789964"/>
      <w:bookmarkStart w:id="422" w:name="_Toc19803034"/>
      <w:bookmarkStart w:id="423" w:name="_Toc19804081"/>
      <w:bookmarkStart w:id="424" w:name="_Toc19804281"/>
      <w:bookmarkStart w:id="425" w:name="_Toc19804527"/>
      <w:bookmarkStart w:id="426" w:name="_Toc19888531"/>
      <w:bookmarkStart w:id="427" w:name="_Toc19889158"/>
      <w:bookmarkStart w:id="428" w:name="_Toc20232930"/>
      <w:bookmarkStart w:id="429" w:name="_Toc20237740"/>
      <w:bookmarkStart w:id="430" w:name="_Toc20322026"/>
      <w:bookmarkStart w:id="431" w:name="_Toc20322444"/>
      <w:bookmarkStart w:id="432" w:name="_Toc20398010"/>
      <w:bookmarkStart w:id="433" w:name="_Toc20401011"/>
      <w:bookmarkStart w:id="434" w:name="_Toc20410649"/>
      <w:bookmarkStart w:id="435" w:name="_Toc20412175"/>
      <w:bookmarkStart w:id="436" w:name="_Toc20469268"/>
      <w:bookmarkStart w:id="437" w:name="_Toc21705343"/>
      <w:bookmarkStart w:id="438" w:name="_Toc26349921"/>
      <w:bookmarkStart w:id="439" w:name="_Toc26448238"/>
      <w:bookmarkStart w:id="440" w:name="_Toc26454520"/>
      <w:bookmarkStart w:id="441" w:name="_Toc29823309"/>
      <w:r w:rsidRPr="006815C9">
        <w:rPr>
          <w:rStyle w:val="Emphasis"/>
          <w:i w:val="0"/>
        </w:rPr>
        <w:t>The ADGSM’s effectiveness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31FDAFAE" w14:textId="08F9DE25" w:rsidR="00C516CA" w:rsidRPr="00531325" w:rsidRDefault="00C516CA" w:rsidP="00C516CA">
      <w:pPr>
        <w:pStyle w:val="ListParagraph"/>
        <w:ind w:left="0"/>
        <w:rPr>
          <w:rFonts w:cstheme="minorHAnsi"/>
          <w:highlight w:val="yellow"/>
        </w:rPr>
      </w:pPr>
      <w:r w:rsidRPr="0046370C">
        <w:rPr>
          <w:rFonts w:cstheme="minorHAnsi"/>
        </w:rPr>
        <w:t xml:space="preserve">There has been continuous change in the </w:t>
      </w:r>
      <w:r w:rsidR="009C3FA8" w:rsidRPr="0046370C">
        <w:rPr>
          <w:rFonts w:cstheme="minorHAnsi"/>
        </w:rPr>
        <w:t>eastern gas market</w:t>
      </w:r>
      <w:r w:rsidRPr="0046370C">
        <w:rPr>
          <w:rFonts w:cstheme="minorHAnsi"/>
        </w:rPr>
        <w:t xml:space="preserve"> since the introduction of the ADGSM in mid-2017. </w:t>
      </w:r>
      <w:r w:rsidR="00531325" w:rsidRPr="0046370C">
        <w:rPr>
          <w:rFonts w:cstheme="minorHAnsi"/>
        </w:rPr>
        <w:t xml:space="preserve">Any change will </w:t>
      </w:r>
      <w:r w:rsidR="000C2A8D" w:rsidRPr="0046370C" w:rsidDel="000C2A8D">
        <w:rPr>
          <w:rFonts w:cstheme="minorHAnsi"/>
        </w:rPr>
        <w:t xml:space="preserve">likely reflect the impact of the ADGSM, but </w:t>
      </w:r>
      <w:r w:rsidR="00531325" w:rsidRPr="0046370C">
        <w:rPr>
          <w:rFonts w:cstheme="minorHAnsi"/>
        </w:rPr>
        <w:t>there are other contributing factors</w:t>
      </w:r>
      <w:r w:rsidR="000C2A8D" w:rsidRPr="0046370C" w:rsidDel="000C2A8D">
        <w:rPr>
          <w:rFonts w:cstheme="minorHAnsi"/>
        </w:rPr>
        <w:t>.</w:t>
      </w:r>
      <w:r w:rsidR="000C2A8D" w:rsidRPr="006815C9" w:rsidDel="000C2A8D">
        <w:rPr>
          <w:rFonts w:cstheme="minorHAnsi"/>
        </w:rPr>
        <w:t xml:space="preserve"> </w:t>
      </w:r>
      <w:r w:rsidRPr="006815C9">
        <w:rPr>
          <w:rFonts w:cstheme="minorHAnsi"/>
        </w:rPr>
        <w:t xml:space="preserve">The ADGSM was introduced during a period of transition in the </w:t>
      </w:r>
      <w:r w:rsidR="009C3FA8" w:rsidRPr="006815C9">
        <w:rPr>
          <w:rFonts w:cstheme="minorHAnsi"/>
        </w:rPr>
        <w:t>eastern gas market</w:t>
      </w:r>
      <w:r w:rsidRPr="006815C9">
        <w:rPr>
          <w:rFonts w:cstheme="minorHAnsi"/>
        </w:rPr>
        <w:t xml:space="preserve">, as the effects of the ramp-up of LNG exports flowed through the gas market. There have been a number of substantial changes in industry structure and other government regulations that have also impacted the functioning of the </w:t>
      </w:r>
      <w:r w:rsidR="009C3FA8" w:rsidRPr="006815C9">
        <w:rPr>
          <w:rFonts w:cstheme="minorHAnsi"/>
        </w:rPr>
        <w:t>eastern gas market</w:t>
      </w:r>
      <w:r w:rsidRPr="006815C9">
        <w:rPr>
          <w:rFonts w:cstheme="minorHAnsi"/>
        </w:rPr>
        <w:t xml:space="preserve">. This section describes the main changes in the </w:t>
      </w:r>
      <w:r w:rsidR="009C3FA8" w:rsidRPr="006815C9">
        <w:rPr>
          <w:rFonts w:cstheme="minorHAnsi"/>
        </w:rPr>
        <w:t>eastern gas market</w:t>
      </w:r>
      <w:r w:rsidRPr="006815C9">
        <w:rPr>
          <w:rFonts w:cstheme="minorHAnsi"/>
        </w:rPr>
        <w:t xml:space="preserve"> since the ADGSM was introduced in June 2017, and points to its likely impacts. </w:t>
      </w:r>
    </w:p>
    <w:p w14:paraId="6C496586" w14:textId="77777777" w:rsidR="00C516CA" w:rsidRPr="006815C9" w:rsidRDefault="00C516CA" w:rsidP="00C516CA">
      <w:pPr>
        <w:pStyle w:val="ListParagraph"/>
        <w:ind w:left="0"/>
        <w:rPr>
          <w:rFonts w:cstheme="minorHAnsi"/>
        </w:rPr>
      </w:pPr>
    </w:p>
    <w:p w14:paraId="133F83EF" w14:textId="6DAC17A9" w:rsidR="00B0230D" w:rsidRPr="006815C9" w:rsidRDefault="00C516CA" w:rsidP="00B0230D">
      <w:pPr>
        <w:pStyle w:val="ListParagraph"/>
        <w:ind w:left="0"/>
        <w:rPr>
          <w:rFonts w:cstheme="minorHAnsi"/>
        </w:rPr>
      </w:pPr>
      <w:r w:rsidRPr="006815C9">
        <w:rPr>
          <w:rFonts w:cstheme="minorHAnsi"/>
        </w:rPr>
        <w:t>To date, it has not been necessary to restrict exports of LNG</w:t>
      </w:r>
      <w:r w:rsidR="004D5353" w:rsidRPr="006815C9">
        <w:rPr>
          <w:rFonts w:cstheme="minorHAnsi"/>
        </w:rPr>
        <w:t>. T</w:t>
      </w:r>
      <w:r w:rsidR="00615012" w:rsidRPr="006815C9">
        <w:rPr>
          <w:rFonts w:cstheme="minorHAnsi"/>
        </w:rPr>
        <w:t>he Heads of Agreement</w:t>
      </w:r>
      <w:r w:rsidR="004D5353" w:rsidRPr="006815C9">
        <w:rPr>
          <w:rFonts w:cstheme="minorHAnsi"/>
        </w:rPr>
        <w:t>s</w:t>
      </w:r>
      <w:r w:rsidR="00615012" w:rsidRPr="006815C9">
        <w:rPr>
          <w:rFonts w:cstheme="minorHAnsi"/>
        </w:rPr>
        <w:t xml:space="preserve"> </w:t>
      </w:r>
      <w:r w:rsidR="0073303A" w:rsidRPr="006815C9">
        <w:rPr>
          <w:rFonts w:cstheme="minorHAnsi"/>
        </w:rPr>
        <w:t xml:space="preserve">of 2017 and 2018 </w:t>
      </w:r>
      <w:r w:rsidRPr="006815C9">
        <w:rPr>
          <w:rFonts w:cstheme="minorHAnsi"/>
        </w:rPr>
        <w:t>ensure</w:t>
      </w:r>
      <w:r w:rsidR="00031303" w:rsidRPr="006815C9">
        <w:rPr>
          <w:rFonts w:cstheme="minorHAnsi"/>
        </w:rPr>
        <w:t>d</w:t>
      </w:r>
      <w:r w:rsidRPr="006815C9">
        <w:rPr>
          <w:rFonts w:cstheme="minorHAnsi"/>
        </w:rPr>
        <w:t xml:space="preserve"> sufficient gas </w:t>
      </w:r>
      <w:r w:rsidR="0073303A" w:rsidRPr="006815C9">
        <w:rPr>
          <w:rFonts w:cstheme="minorHAnsi"/>
        </w:rPr>
        <w:t>wa</w:t>
      </w:r>
      <w:r w:rsidRPr="006815C9">
        <w:rPr>
          <w:rFonts w:cstheme="minorHAnsi"/>
        </w:rPr>
        <w:t xml:space="preserve">s supplied to domestic users. </w:t>
      </w:r>
      <w:r w:rsidR="00B0230D" w:rsidRPr="006815C9">
        <w:rPr>
          <w:rFonts w:cstheme="minorHAnsi"/>
        </w:rPr>
        <w:t xml:space="preserve">In these </w:t>
      </w:r>
      <w:r w:rsidR="0092322D" w:rsidRPr="006815C9">
        <w:rPr>
          <w:rFonts w:cstheme="minorHAnsi"/>
        </w:rPr>
        <w:t>a</w:t>
      </w:r>
      <w:r w:rsidR="00376E6B">
        <w:rPr>
          <w:rFonts w:cstheme="minorHAnsi"/>
        </w:rPr>
        <w:t>greements exporters undertook</w:t>
      </w:r>
      <w:r w:rsidR="00B0230D" w:rsidRPr="006815C9">
        <w:rPr>
          <w:rFonts w:cstheme="minorHAnsi"/>
        </w:rPr>
        <w:t xml:space="preserve"> to provide sufficient gas to meet shortfalls through good faith offers of gas on reasonable terms</w:t>
      </w:r>
      <w:r w:rsidR="0092322D" w:rsidRPr="006815C9">
        <w:rPr>
          <w:rFonts w:cstheme="minorHAnsi"/>
        </w:rPr>
        <w:t>.</w:t>
      </w:r>
      <w:r w:rsidR="002970B8" w:rsidRPr="006815C9">
        <w:rPr>
          <w:rFonts w:cstheme="minorHAnsi"/>
        </w:rPr>
        <w:t xml:space="preserve"> </w:t>
      </w:r>
      <w:r w:rsidR="0092322D" w:rsidRPr="006815C9">
        <w:rPr>
          <w:rFonts w:cstheme="minorHAnsi"/>
        </w:rPr>
        <w:t xml:space="preserve">This would occur </w:t>
      </w:r>
      <w:r w:rsidR="00B0230D" w:rsidRPr="006815C9">
        <w:rPr>
          <w:rFonts w:cstheme="minorHAnsi"/>
        </w:rPr>
        <w:t xml:space="preserve">by </w:t>
      </w:r>
      <w:r w:rsidR="002970B8" w:rsidRPr="006815C9">
        <w:rPr>
          <w:rFonts w:cstheme="minorHAnsi"/>
        </w:rPr>
        <w:t xml:space="preserve">exporters </w:t>
      </w:r>
      <w:r w:rsidR="00B0230D" w:rsidRPr="006815C9">
        <w:rPr>
          <w:rFonts w:cstheme="minorHAnsi"/>
        </w:rPr>
        <w:t>not offering uncontracted gas for export unless equivalent volumes are first offered on competitive terms to domestic consumers.</w:t>
      </w:r>
    </w:p>
    <w:p w14:paraId="06B5353B" w14:textId="77777777" w:rsidR="00B0230D" w:rsidRPr="006815C9" w:rsidRDefault="00B0230D" w:rsidP="00B0230D">
      <w:pPr>
        <w:pStyle w:val="ListParagraph"/>
        <w:ind w:left="0"/>
        <w:rPr>
          <w:rFonts w:cstheme="minorHAnsi"/>
        </w:rPr>
      </w:pPr>
    </w:p>
    <w:p w14:paraId="70C7BDE5" w14:textId="74E3F047" w:rsidR="00B0230D" w:rsidRPr="006815C9" w:rsidRDefault="00B0230D" w:rsidP="00B0230D">
      <w:pPr>
        <w:pStyle w:val="ListParagraph"/>
        <w:ind w:left="0"/>
        <w:rPr>
          <w:rFonts w:cstheme="minorHAnsi"/>
        </w:rPr>
      </w:pPr>
      <w:r w:rsidRPr="006815C9">
        <w:rPr>
          <w:rFonts w:cstheme="minorHAnsi"/>
        </w:rPr>
        <w:t xml:space="preserve">A number of industry participants noted that the Heads of Agreement strengthened confidence in the supply of gas to the eastern market. In their submission, APPEA stated, ‘action by the industry, through the Heads of Agreement, together with significant investment in new supply by the industry, has provided confidence in the market that a sufficient supply of gas will be available to domestic consumers for any purposes required, at </w:t>
      </w:r>
      <w:r w:rsidRPr="006815C9" w:rsidDel="00D23A6C">
        <w:rPr>
          <w:rFonts w:cstheme="minorHAnsi"/>
        </w:rPr>
        <w:t>competitive prices’.</w:t>
      </w:r>
    </w:p>
    <w:p w14:paraId="39CCF380" w14:textId="77777777" w:rsidR="00B0230D" w:rsidRPr="006815C9" w:rsidRDefault="00B0230D" w:rsidP="00B0230D">
      <w:pPr>
        <w:pStyle w:val="ListParagraph"/>
        <w:ind w:left="0"/>
        <w:rPr>
          <w:rFonts w:cstheme="minorHAnsi"/>
        </w:rPr>
      </w:pPr>
    </w:p>
    <w:p w14:paraId="648753E3" w14:textId="66A6F4C5" w:rsidR="007912F1" w:rsidRPr="006815C9" w:rsidRDefault="00C516CA" w:rsidP="00C516CA">
      <w:pPr>
        <w:pStyle w:val="ListParagraph"/>
        <w:ind w:left="0"/>
        <w:rPr>
          <w:rFonts w:cstheme="minorHAnsi"/>
        </w:rPr>
      </w:pPr>
      <w:r w:rsidRPr="006815C9">
        <w:rPr>
          <w:rFonts w:cstheme="minorHAnsi"/>
        </w:rPr>
        <w:t xml:space="preserve">A number of industry stakeholders suggested that since the </w:t>
      </w:r>
      <w:r w:rsidR="00226620" w:rsidRPr="006815C9">
        <w:rPr>
          <w:rFonts w:cstheme="minorHAnsi"/>
        </w:rPr>
        <w:t>ADGSM</w:t>
      </w:r>
      <w:r w:rsidRPr="006815C9">
        <w:rPr>
          <w:rFonts w:cstheme="minorHAnsi"/>
        </w:rPr>
        <w:t xml:space="preserve"> has n</w:t>
      </w:r>
      <w:r w:rsidR="00031303" w:rsidRPr="006815C9">
        <w:rPr>
          <w:rFonts w:cstheme="minorHAnsi"/>
        </w:rPr>
        <w:t>ot</w:t>
      </w:r>
      <w:r w:rsidRPr="006815C9">
        <w:rPr>
          <w:rFonts w:cstheme="minorHAnsi"/>
        </w:rPr>
        <w:t xml:space="preserve"> been triggered, it cannot have had any effect. However, others </w:t>
      </w:r>
      <w:r w:rsidR="006777B1">
        <w:rPr>
          <w:rFonts w:cstheme="minorHAnsi"/>
        </w:rPr>
        <w:t>contend</w:t>
      </w:r>
      <w:r w:rsidRPr="006815C9">
        <w:rPr>
          <w:rFonts w:cstheme="minorHAnsi"/>
        </w:rPr>
        <w:t xml:space="preserve"> the ADGSM has </w:t>
      </w:r>
      <w:r w:rsidR="00031303" w:rsidRPr="006815C9">
        <w:rPr>
          <w:rFonts w:cstheme="minorHAnsi"/>
        </w:rPr>
        <w:t xml:space="preserve">helped </w:t>
      </w:r>
      <w:r w:rsidRPr="006815C9">
        <w:rPr>
          <w:rFonts w:cstheme="minorHAnsi"/>
        </w:rPr>
        <w:t>eliminat</w:t>
      </w:r>
      <w:r w:rsidR="00031303" w:rsidRPr="006815C9">
        <w:rPr>
          <w:rFonts w:cstheme="minorHAnsi"/>
        </w:rPr>
        <w:t>e</w:t>
      </w:r>
      <w:r w:rsidRPr="006815C9">
        <w:rPr>
          <w:rFonts w:cstheme="minorHAnsi"/>
        </w:rPr>
        <w:t xml:space="preserve"> local supply shortages and continues to provide </w:t>
      </w:r>
      <w:r w:rsidR="005021CC" w:rsidRPr="006815C9">
        <w:rPr>
          <w:rFonts w:cstheme="minorHAnsi"/>
        </w:rPr>
        <w:t xml:space="preserve">an </w:t>
      </w:r>
      <w:r w:rsidRPr="006815C9">
        <w:rPr>
          <w:rFonts w:cstheme="minorHAnsi"/>
        </w:rPr>
        <w:t xml:space="preserve">incentive to suppliers to ensure future domestic gas supply. APPEA note that </w:t>
      </w:r>
      <w:r w:rsidR="00031303" w:rsidRPr="006815C9">
        <w:rPr>
          <w:rFonts w:cstheme="minorHAnsi"/>
        </w:rPr>
        <w:t>‘</w:t>
      </w:r>
      <w:r w:rsidRPr="006815C9">
        <w:rPr>
          <w:rFonts w:cstheme="minorHAnsi"/>
        </w:rPr>
        <w:t xml:space="preserve">there have been no shortfalls during the period the ADGSM has been in </w:t>
      </w:r>
      <w:r w:rsidR="00031303" w:rsidRPr="006815C9">
        <w:rPr>
          <w:rFonts w:cstheme="minorHAnsi"/>
        </w:rPr>
        <w:t>operation’</w:t>
      </w:r>
      <w:r w:rsidRPr="006815C9">
        <w:rPr>
          <w:rFonts w:cstheme="minorHAnsi"/>
        </w:rPr>
        <w:t xml:space="preserve">. </w:t>
      </w:r>
      <w:r w:rsidRPr="006815C9">
        <w:rPr>
          <w:rFonts w:cstheme="minorHAnsi"/>
        </w:rPr>
        <w:lastRenderedPageBreak/>
        <w:t>The Australia</w:t>
      </w:r>
      <w:r w:rsidR="0073303A" w:rsidRPr="006815C9">
        <w:rPr>
          <w:rFonts w:cstheme="minorHAnsi"/>
        </w:rPr>
        <w:t>n</w:t>
      </w:r>
      <w:r w:rsidRPr="006815C9">
        <w:rPr>
          <w:rFonts w:cstheme="minorHAnsi"/>
        </w:rPr>
        <w:t xml:space="preserve"> Food and Grocery Council state that </w:t>
      </w:r>
      <w:r w:rsidR="00031303" w:rsidRPr="006815C9">
        <w:rPr>
          <w:rFonts w:cstheme="minorHAnsi"/>
        </w:rPr>
        <w:t>‘</w:t>
      </w:r>
      <w:r w:rsidRPr="006815C9">
        <w:t>it is apparent that the implementation of the ADGSM has resulted in local supply shortages being eliminated</w:t>
      </w:r>
      <w:r w:rsidR="00031303" w:rsidRPr="006815C9">
        <w:rPr>
          <w:rFonts w:cstheme="minorHAnsi"/>
        </w:rPr>
        <w:t>’</w:t>
      </w:r>
      <w:r w:rsidRPr="006815C9">
        <w:rPr>
          <w:rFonts w:cstheme="minorHAnsi"/>
        </w:rPr>
        <w:t xml:space="preserve">. </w:t>
      </w:r>
      <w:r w:rsidR="00B9631C" w:rsidRPr="006815C9">
        <w:rPr>
          <w:rFonts w:cstheme="minorHAnsi"/>
        </w:rPr>
        <w:t xml:space="preserve">While the ADGSM has not been triggered, it seems likely that its </w:t>
      </w:r>
      <w:r w:rsidR="0081154C" w:rsidRPr="006815C9">
        <w:rPr>
          <w:rFonts w:cstheme="minorHAnsi"/>
        </w:rPr>
        <w:t>introduction</w:t>
      </w:r>
      <w:r w:rsidR="00B9631C" w:rsidRPr="006815C9">
        <w:rPr>
          <w:rFonts w:cstheme="minorHAnsi"/>
        </w:rPr>
        <w:t xml:space="preserve"> has had an impact on market dynamics and incentives in the eastern gas market, especially for Queensland’s LNG exporters. </w:t>
      </w:r>
    </w:p>
    <w:p w14:paraId="523ED015" w14:textId="77777777" w:rsidR="007912F1" w:rsidRPr="006815C9" w:rsidRDefault="007912F1" w:rsidP="00C516CA">
      <w:pPr>
        <w:pStyle w:val="ListParagraph"/>
        <w:ind w:left="0"/>
        <w:rPr>
          <w:rFonts w:cstheme="minorHAnsi"/>
        </w:rPr>
      </w:pPr>
    </w:p>
    <w:p w14:paraId="1E43DA4E" w14:textId="77777777" w:rsidR="002970B8" w:rsidRPr="006815C9" w:rsidRDefault="00C516CA" w:rsidP="002970B8">
      <w:pPr>
        <w:pStyle w:val="ListParagraph"/>
        <w:ind w:left="0"/>
        <w:rPr>
          <w:rFonts w:cstheme="minorHAnsi"/>
        </w:rPr>
      </w:pPr>
      <w:r w:rsidRPr="006815C9">
        <w:rPr>
          <w:rFonts w:cstheme="minorHAnsi"/>
        </w:rPr>
        <w:t xml:space="preserve">Given the aim of the ADGSM is to ensure sufficient supply of gas to domestic markets and that, to date, </w:t>
      </w:r>
      <w:r w:rsidR="00160A33" w:rsidRPr="006815C9">
        <w:rPr>
          <w:rFonts w:cstheme="minorHAnsi"/>
        </w:rPr>
        <w:t xml:space="preserve">no gas </w:t>
      </w:r>
      <w:r w:rsidR="00B9631C" w:rsidRPr="006815C9">
        <w:rPr>
          <w:rFonts w:cstheme="minorHAnsi"/>
        </w:rPr>
        <w:t>shortfalls</w:t>
      </w:r>
      <w:r w:rsidR="00160A33" w:rsidRPr="006815C9">
        <w:rPr>
          <w:rFonts w:cstheme="minorHAnsi"/>
        </w:rPr>
        <w:t xml:space="preserve"> have eventuated</w:t>
      </w:r>
      <w:r w:rsidRPr="006815C9">
        <w:rPr>
          <w:rFonts w:cstheme="minorHAnsi"/>
        </w:rPr>
        <w:t xml:space="preserve">, the ADGSM should be considered </w:t>
      </w:r>
      <w:r w:rsidR="00990B64" w:rsidRPr="006815C9">
        <w:rPr>
          <w:rFonts w:cstheme="minorHAnsi"/>
        </w:rPr>
        <w:t>as</w:t>
      </w:r>
      <w:r w:rsidRPr="006815C9">
        <w:rPr>
          <w:rFonts w:cstheme="minorHAnsi"/>
        </w:rPr>
        <w:t xml:space="preserve"> </w:t>
      </w:r>
      <w:r w:rsidR="00D2591B" w:rsidRPr="006815C9">
        <w:rPr>
          <w:rFonts w:cstheme="minorHAnsi"/>
        </w:rPr>
        <w:t xml:space="preserve">largely </w:t>
      </w:r>
      <w:r w:rsidRPr="006815C9">
        <w:rPr>
          <w:rFonts w:cstheme="minorHAnsi"/>
        </w:rPr>
        <w:t>achieving its objective.</w:t>
      </w:r>
    </w:p>
    <w:p w14:paraId="13AA15F6" w14:textId="77777777" w:rsidR="002970B8" w:rsidRPr="006815C9" w:rsidRDefault="002970B8" w:rsidP="002970B8">
      <w:pPr>
        <w:pStyle w:val="ListParagraph"/>
        <w:ind w:left="0"/>
        <w:rPr>
          <w:rFonts w:cstheme="minorHAnsi"/>
        </w:rPr>
      </w:pPr>
    </w:p>
    <w:p w14:paraId="2F2D9CFE" w14:textId="3F705731" w:rsidR="00C516CA" w:rsidRPr="006815C9" w:rsidRDefault="00C516CA" w:rsidP="002970B8">
      <w:pPr>
        <w:pStyle w:val="ListParagraph"/>
        <w:ind w:left="0"/>
        <w:rPr>
          <w:rFonts w:cstheme="minorHAnsi"/>
        </w:rPr>
      </w:pPr>
      <w:r w:rsidRPr="006815C9">
        <w:rPr>
          <w:rFonts w:cstheme="minorHAnsi"/>
        </w:rPr>
        <w:t xml:space="preserve">A number of periodical market and regulatory body reports show how the gas market has developed over the last </w:t>
      </w:r>
      <w:r w:rsidR="00887841">
        <w:rPr>
          <w:rFonts w:cstheme="minorHAnsi"/>
        </w:rPr>
        <w:t>three</w:t>
      </w:r>
      <w:r w:rsidRPr="006815C9">
        <w:rPr>
          <w:rFonts w:cstheme="minorHAnsi"/>
        </w:rPr>
        <w:t xml:space="preserve"> years. </w:t>
      </w:r>
      <w:r w:rsidR="00276119" w:rsidRPr="006815C9">
        <w:rPr>
          <w:rFonts w:cstheme="minorHAnsi"/>
        </w:rPr>
        <w:t>AEMO’s</w:t>
      </w:r>
      <w:r w:rsidRPr="006815C9">
        <w:rPr>
          <w:rFonts w:cstheme="minorHAnsi"/>
        </w:rPr>
        <w:t xml:space="preserve"> GSOO is an annual publication </w:t>
      </w:r>
      <w:r w:rsidR="00276119" w:rsidRPr="006815C9">
        <w:rPr>
          <w:rFonts w:cstheme="minorHAnsi"/>
        </w:rPr>
        <w:t>which forecasts</w:t>
      </w:r>
      <w:r w:rsidRPr="006815C9">
        <w:rPr>
          <w:rFonts w:cstheme="minorHAnsi"/>
        </w:rPr>
        <w:t xml:space="preserve"> annual gas consumption and maximum gas demand, and reports on the adequacy of </w:t>
      </w:r>
      <w:r w:rsidR="00031303" w:rsidRPr="006815C9">
        <w:rPr>
          <w:rFonts w:cstheme="minorHAnsi"/>
        </w:rPr>
        <w:t xml:space="preserve">Australia’s </w:t>
      </w:r>
      <w:r w:rsidRPr="006815C9">
        <w:rPr>
          <w:rFonts w:cstheme="minorHAnsi"/>
        </w:rPr>
        <w:t xml:space="preserve">eastern gas market to supply forecast demand over a 20-year outlook period. The </w:t>
      </w:r>
      <w:r w:rsidR="00276119" w:rsidRPr="006815C9">
        <w:rPr>
          <w:rFonts w:cstheme="minorHAnsi"/>
        </w:rPr>
        <w:t>ACCC’s</w:t>
      </w:r>
      <w:r w:rsidRPr="006815C9">
        <w:rPr>
          <w:rFonts w:cstheme="minorHAnsi"/>
        </w:rPr>
        <w:t xml:space="preserve"> Gas Inquiry 2017-2020 interim reports </w:t>
      </w:r>
      <w:r w:rsidR="00276119" w:rsidRPr="006815C9">
        <w:rPr>
          <w:rFonts w:cstheme="minorHAnsi"/>
        </w:rPr>
        <w:t>provide detail on</w:t>
      </w:r>
      <w:r w:rsidRPr="006815C9">
        <w:rPr>
          <w:rFonts w:cstheme="minorHAnsi"/>
        </w:rPr>
        <w:t xml:space="preserve"> the supply and pricing of gas in </w:t>
      </w:r>
      <w:r w:rsidR="00276119" w:rsidRPr="006815C9">
        <w:rPr>
          <w:rFonts w:cstheme="minorHAnsi"/>
        </w:rPr>
        <w:t xml:space="preserve">eastern </w:t>
      </w:r>
      <w:r w:rsidRPr="006815C9">
        <w:rPr>
          <w:rFonts w:cstheme="minorHAnsi"/>
        </w:rPr>
        <w:t xml:space="preserve">Australia. </w:t>
      </w:r>
      <w:r w:rsidRPr="006815C9">
        <w:rPr>
          <w:lang w:val="en-US"/>
        </w:rPr>
        <w:t xml:space="preserve">The </w:t>
      </w:r>
      <w:r w:rsidR="00276119" w:rsidRPr="006815C9">
        <w:rPr>
          <w:lang w:val="en-US"/>
        </w:rPr>
        <w:t>Australian Energy Regulator’s (AER) annual</w:t>
      </w:r>
      <w:r w:rsidRPr="006815C9">
        <w:rPr>
          <w:lang w:val="en-US"/>
        </w:rPr>
        <w:t xml:space="preserve"> State of the Energy Market reports </w:t>
      </w:r>
      <w:r w:rsidR="00CB4DCE" w:rsidRPr="006815C9">
        <w:rPr>
          <w:lang w:val="en-US"/>
        </w:rPr>
        <w:t>cover</w:t>
      </w:r>
      <w:r w:rsidRPr="006815C9">
        <w:rPr>
          <w:lang w:val="en-US"/>
        </w:rPr>
        <w:t xml:space="preserve"> Australia’s wholesale electricity and gas markets, </w:t>
      </w:r>
      <w:r w:rsidR="00CB4DCE" w:rsidRPr="006815C9">
        <w:rPr>
          <w:lang w:val="en-US"/>
        </w:rPr>
        <w:t xml:space="preserve">and </w:t>
      </w:r>
      <w:r w:rsidRPr="006815C9">
        <w:rPr>
          <w:lang w:val="en-US"/>
        </w:rPr>
        <w:t>the transmission</w:t>
      </w:r>
      <w:r w:rsidR="00CB4DCE" w:rsidRPr="006815C9">
        <w:rPr>
          <w:lang w:val="en-US"/>
        </w:rPr>
        <w:t xml:space="preserve">, </w:t>
      </w:r>
      <w:r w:rsidRPr="006815C9">
        <w:rPr>
          <w:lang w:val="en-US"/>
        </w:rPr>
        <w:t xml:space="preserve">distribution </w:t>
      </w:r>
      <w:r w:rsidR="00CB4DCE" w:rsidRPr="006815C9">
        <w:rPr>
          <w:lang w:val="en-US"/>
        </w:rPr>
        <w:t xml:space="preserve">and </w:t>
      </w:r>
      <w:r w:rsidRPr="006815C9">
        <w:rPr>
          <w:lang w:val="en-US"/>
        </w:rPr>
        <w:t>retail sector</w:t>
      </w:r>
      <w:r w:rsidR="00CB4DCE" w:rsidRPr="006815C9">
        <w:rPr>
          <w:lang w:val="en-US"/>
        </w:rPr>
        <w:t>s</w:t>
      </w:r>
      <w:r w:rsidRPr="006815C9">
        <w:rPr>
          <w:lang w:val="en-US"/>
        </w:rPr>
        <w:t>.</w:t>
      </w:r>
    </w:p>
    <w:p w14:paraId="03EC7F1D" w14:textId="5EEE0083" w:rsidR="00C516CA" w:rsidRPr="006815C9" w:rsidRDefault="00031303" w:rsidP="00C516CA">
      <w:pPr>
        <w:pStyle w:val="ListParagraph"/>
        <w:ind w:left="0"/>
        <w:rPr>
          <w:rFonts w:cstheme="minorHAnsi"/>
        </w:rPr>
      </w:pPr>
      <w:r w:rsidRPr="006815C9">
        <w:rPr>
          <w:rFonts w:cstheme="minorHAnsi"/>
        </w:rPr>
        <w:t>Despite AEMO’s</w:t>
      </w:r>
      <w:r w:rsidR="00C516CA" w:rsidRPr="006815C9">
        <w:rPr>
          <w:rStyle w:val="FootnoteReference"/>
          <w:rFonts w:cstheme="minorHAnsi"/>
        </w:rPr>
        <w:footnoteReference w:id="7"/>
      </w:r>
      <w:r w:rsidR="00C516CA" w:rsidRPr="006815C9">
        <w:rPr>
          <w:rFonts w:cstheme="minorHAnsi"/>
        </w:rPr>
        <w:t xml:space="preserve"> and </w:t>
      </w:r>
      <w:r w:rsidRPr="006815C9">
        <w:rPr>
          <w:rFonts w:cstheme="minorHAnsi"/>
        </w:rPr>
        <w:t>the ACCC’s</w:t>
      </w:r>
      <w:r w:rsidR="00C516CA" w:rsidRPr="006815C9">
        <w:rPr>
          <w:rStyle w:val="FootnoteReference"/>
          <w:rFonts w:cstheme="minorHAnsi"/>
        </w:rPr>
        <w:footnoteReference w:id="8"/>
      </w:r>
      <w:r w:rsidR="00C516CA" w:rsidRPr="006815C9">
        <w:rPr>
          <w:rFonts w:cstheme="minorHAnsi"/>
        </w:rPr>
        <w:t xml:space="preserve"> </w:t>
      </w:r>
      <w:r w:rsidRPr="006815C9">
        <w:rPr>
          <w:rFonts w:cstheme="minorHAnsi"/>
        </w:rPr>
        <w:t>reporting in 2017 of potential</w:t>
      </w:r>
      <w:r w:rsidR="00C516CA" w:rsidRPr="006815C9">
        <w:rPr>
          <w:rFonts w:cstheme="minorHAnsi"/>
        </w:rPr>
        <w:t xml:space="preserve"> domestic gas supply shortfalls in 2018 and 2019</w:t>
      </w:r>
      <w:r w:rsidRPr="006815C9">
        <w:rPr>
          <w:rFonts w:cstheme="minorHAnsi"/>
        </w:rPr>
        <w:t>, their</w:t>
      </w:r>
      <w:r w:rsidR="00C516CA" w:rsidRPr="006815C9">
        <w:rPr>
          <w:rFonts w:cstheme="minorHAnsi"/>
        </w:rPr>
        <w:t xml:space="preserve"> subsequent report</w:t>
      </w:r>
      <w:r w:rsidRPr="006815C9">
        <w:rPr>
          <w:rFonts w:cstheme="minorHAnsi"/>
        </w:rPr>
        <w:t xml:space="preserve">ing </w:t>
      </w:r>
      <w:r w:rsidR="00C516CA" w:rsidRPr="006815C9">
        <w:rPr>
          <w:rFonts w:cstheme="minorHAnsi"/>
        </w:rPr>
        <w:t>ha</w:t>
      </w:r>
      <w:r w:rsidR="00990B64" w:rsidRPr="006815C9">
        <w:rPr>
          <w:rFonts w:cstheme="minorHAnsi"/>
        </w:rPr>
        <w:t>s</w:t>
      </w:r>
      <w:r w:rsidR="00C516CA" w:rsidRPr="006815C9">
        <w:rPr>
          <w:rFonts w:cstheme="minorHAnsi"/>
        </w:rPr>
        <w:t xml:space="preserve"> forecast adequate </w:t>
      </w:r>
      <w:r w:rsidRPr="006815C9">
        <w:rPr>
          <w:rFonts w:cstheme="minorHAnsi"/>
        </w:rPr>
        <w:t xml:space="preserve">domestic </w:t>
      </w:r>
      <w:r w:rsidR="00C516CA" w:rsidRPr="006815C9">
        <w:rPr>
          <w:rFonts w:cstheme="minorHAnsi"/>
        </w:rPr>
        <w:t>supply to meet demand in the near term. As explained in these reports, t</w:t>
      </w:r>
      <w:r w:rsidR="00F13513">
        <w:rPr>
          <w:rFonts w:cstheme="minorHAnsi"/>
        </w:rPr>
        <w:t>he changed projections were due in part</w:t>
      </w:r>
      <w:r w:rsidR="00C516CA" w:rsidRPr="006815C9">
        <w:rPr>
          <w:rFonts w:cstheme="minorHAnsi"/>
        </w:rPr>
        <w:t xml:space="preserve"> to the implementation of the ADGSM.</w:t>
      </w:r>
    </w:p>
    <w:p w14:paraId="22D52FEA" w14:textId="77777777" w:rsidR="00C516CA" w:rsidRPr="006815C9" w:rsidRDefault="00C516CA" w:rsidP="00C516CA">
      <w:pPr>
        <w:pStyle w:val="ListParagraph"/>
        <w:ind w:left="0"/>
        <w:rPr>
          <w:rFonts w:cstheme="minorHAnsi"/>
        </w:rPr>
      </w:pPr>
    </w:p>
    <w:p w14:paraId="679BD635" w14:textId="7722D746" w:rsidR="00C516CA" w:rsidRPr="006815C9" w:rsidRDefault="00C516CA" w:rsidP="00C516CA">
      <w:pPr>
        <w:pStyle w:val="ListParagraph"/>
        <w:ind w:left="0"/>
        <w:rPr>
          <w:rFonts w:cstheme="minorHAnsi"/>
        </w:rPr>
      </w:pPr>
      <w:r w:rsidRPr="006815C9">
        <w:rPr>
          <w:rFonts w:cstheme="minorHAnsi"/>
        </w:rPr>
        <w:t>As stated in AEMO’s 2018 GSOO</w:t>
      </w:r>
      <w:r w:rsidRPr="006815C9">
        <w:rPr>
          <w:rStyle w:val="FootnoteReference"/>
          <w:rFonts w:cstheme="minorHAnsi"/>
        </w:rPr>
        <w:footnoteReference w:id="9"/>
      </w:r>
      <w:r w:rsidRPr="006815C9">
        <w:rPr>
          <w:rFonts w:cstheme="minorHAnsi"/>
        </w:rPr>
        <w:t xml:space="preserve">, the shortfalls for 2019 that were previously projected in 2018 were eliminated due to changes in the energy markets that included </w:t>
      </w:r>
      <w:r w:rsidR="00990B64" w:rsidRPr="006815C9">
        <w:rPr>
          <w:rFonts w:cstheme="minorHAnsi"/>
        </w:rPr>
        <w:t>‘</w:t>
      </w:r>
      <w:r w:rsidRPr="006815C9">
        <w:rPr>
          <w:rFonts w:cstheme="minorHAnsi"/>
        </w:rPr>
        <w:t>the introduction of the ADGSM, resulting in a Heads of Agreement between the Federal Government and LNG producers for domestic gas supply commitments, and a mechanism to restrict exports if required. This provides an incentive for LNG producers to manage their production and exports to ensure adequate domestic supply</w:t>
      </w:r>
      <w:r w:rsidR="00605990" w:rsidRPr="006815C9">
        <w:rPr>
          <w:rFonts w:cstheme="minorHAnsi"/>
        </w:rPr>
        <w:t>’</w:t>
      </w:r>
      <w:r w:rsidRPr="006815C9">
        <w:rPr>
          <w:rFonts w:cstheme="minorHAnsi"/>
        </w:rPr>
        <w:t>.</w:t>
      </w:r>
    </w:p>
    <w:p w14:paraId="6075A3EA" w14:textId="77777777" w:rsidR="00C516CA" w:rsidRPr="006815C9" w:rsidRDefault="00C516CA" w:rsidP="00C516CA">
      <w:pPr>
        <w:pStyle w:val="ListParagraph"/>
        <w:ind w:left="0"/>
        <w:rPr>
          <w:rFonts w:cstheme="minorHAnsi"/>
        </w:rPr>
      </w:pPr>
    </w:p>
    <w:p w14:paraId="1C1E4118" w14:textId="3C8930DE" w:rsidR="00C516CA" w:rsidRPr="006815C9" w:rsidRDefault="00C516CA" w:rsidP="00C516CA">
      <w:pPr>
        <w:pStyle w:val="ListParagraph"/>
        <w:ind w:left="0"/>
        <w:rPr>
          <w:rFonts w:cstheme="minorHAnsi"/>
        </w:rPr>
      </w:pPr>
      <w:r w:rsidRPr="006815C9">
        <w:rPr>
          <w:rFonts w:cstheme="minorHAnsi"/>
        </w:rPr>
        <w:t xml:space="preserve">In their 2017-2020 Gas Inquiry Interim Report </w:t>
      </w:r>
      <w:r w:rsidR="009C5C40" w:rsidRPr="006815C9">
        <w:rPr>
          <w:rFonts w:cstheme="minorHAnsi"/>
        </w:rPr>
        <w:t xml:space="preserve">of </w:t>
      </w:r>
      <w:r w:rsidRPr="006815C9">
        <w:rPr>
          <w:rFonts w:cstheme="minorHAnsi"/>
        </w:rPr>
        <w:t xml:space="preserve">December 2017, the ACCC found that LNG producers had increased gas supply to the domestic market over the last few months of 2017 and the availability of gas and prices offered to gas users in the </w:t>
      </w:r>
      <w:r w:rsidR="009C3FA8" w:rsidRPr="006815C9">
        <w:rPr>
          <w:rFonts w:cstheme="minorHAnsi"/>
        </w:rPr>
        <w:t>eastern gas market</w:t>
      </w:r>
      <w:r w:rsidRPr="006815C9">
        <w:rPr>
          <w:rFonts w:cstheme="minorHAnsi"/>
        </w:rPr>
        <w:t xml:space="preserve"> had improved. In addition, the ACCC’s July 2018 Gas Inquiry Interim Report</w:t>
      </w:r>
      <w:r w:rsidRPr="006815C9">
        <w:rPr>
          <w:rStyle w:val="FootnoteReference"/>
          <w:rFonts w:cstheme="minorHAnsi"/>
        </w:rPr>
        <w:footnoteReference w:id="10"/>
      </w:r>
      <w:r w:rsidRPr="006815C9">
        <w:rPr>
          <w:rFonts w:cstheme="minorHAnsi"/>
        </w:rPr>
        <w:t xml:space="preserve"> found that </w:t>
      </w:r>
      <w:r w:rsidR="003070BF" w:rsidRPr="006815C9">
        <w:rPr>
          <w:rFonts w:cstheme="minorHAnsi"/>
        </w:rPr>
        <w:t>‘</w:t>
      </w:r>
      <w:r w:rsidRPr="006815C9">
        <w:rPr>
          <w:rFonts w:cstheme="minorHAnsi"/>
        </w:rPr>
        <w:t>the LNG producers’ commitment to offer gas to the Australian domestic market at reasonable prices before selling gas in overseas markets is clearly influencing their decisions about supplying gas to domestic customers</w:t>
      </w:r>
      <w:r w:rsidR="00605990" w:rsidRPr="006815C9">
        <w:rPr>
          <w:rFonts w:cstheme="minorHAnsi"/>
        </w:rPr>
        <w:t>’</w:t>
      </w:r>
      <w:r w:rsidR="003070BF" w:rsidRPr="006815C9">
        <w:rPr>
          <w:rFonts w:cstheme="minorHAnsi"/>
        </w:rPr>
        <w:t>.</w:t>
      </w:r>
      <w:r w:rsidRPr="006815C9">
        <w:rPr>
          <w:rFonts w:cstheme="minorHAnsi"/>
        </w:rPr>
        <w:t xml:space="preserve"> </w:t>
      </w:r>
    </w:p>
    <w:p w14:paraId="4FB3FD93" w14:textId="77777777" w:rsidR="00C516CA" w:rsidRPr="006815C9" w:rsidRDefault="00C516CA" w:rsidP="00C516CA">
      <w:pPr>
        <w:pStyle w:val="ListParagraph"/>
        <w:ind w:left="0"/>
        <w:rPr>
          <w:rFonts w:cstheme="minorHAnsi"/>
        </w:rPr>
      </w:pPr>
    </w:p>
    <w:p w14:paraId="4713D1A9" w14:textId="68CBEE10" w:rsidR="00C516CA" w:rsidRPr="006815C9" w:rsidRDefault="00C516CA" w:rsidP="00C516CA">
      <w:pPr>
        <w:pStyle w:val="ListParagraph"/>
        <w:ind w:left="0"/>
        <w:rPr>
          <w:rFonts w:cstheme="minorHAnsi"/>
        </w:rPr>
      </w:pPr>
      <w:r w:rsidRPr="006815C9">
        <w:rPr>
          <w:rFonts w:cstheme="minorHAnsi"/>
        </w:rPr>
        <w:t xml:space="preserve">The AER’s State of the Energy Market 2018, noted that </w:t>
      </w:r>
      <w:r w:rsidR="00990B64" w:rsidRPr="006815C9">
        <w:rPr>
          <w:rFonts w:cstheme="minorHAnsi"/>
        </w:rPr>
        <w:t>‘</w:t>
      </w:r>
      <w:r w:rsidRPr="006815C9">
        <w:rPr>
          <w:rFonts w:cstheme="minorHAnsi"/>
        </w:rPr>
        <w:t>market intervention by the Australian Government in 2017 led LNG producers to commit to increasing gas supplies to the domestic market on reasonable terms</w:t>
      </w:r>
      <w:r w:rsidR="00605990" w:rsidRPr="006815C9">
        <w:rPr>
          <w:rFonts w:cstheme="minorHAnsi"/>
        </w:rPr>
        <w:t>’</w:t>
      </w:r>
      <w:r w:rsidR="00990B64" w:rsidRPr="006815C9">
        <w:rPr>
          <w:rFonts w:cstheme="minorHAnsi"/>
        </w:rPr>
        <w:t>.</w:t>
      </w:r>
      <w:r w:rsidRPr="006815C9">
        <w:rPr>
          <w:rFonts w:cstheme="minorHAnsi"/>
        </w:rPr>
        <w:t xml:space="preserve"> Additionally, </w:t>
      </w:r>
      <w:r w:rsidR="00990B64" w:rsidRPr="006815C9">
        <w:rPr>
          <w:rFonts w:cstheme="minorHAnsi"/>
        </w:rPr>
        <w:t>‘</w:t>
      </w:r>
      <w:r w:rsidRPr="006815C9">
        <w:rPr>
          <w:rFonts w:cstheme="minorHAnsi"/>
        </w:rPr>
        <w:t xml:space="preserve">the </w:t>
      </w:r>
      <w:r w:rsidR="00990B64" w:rsidRPr="006815C9">
        <w:rPr>
          <w:rFonts w:cstheme="minorHAnsi"/>
        </w:rPr>
        <w:t>G</w:t>
      </w:r>
      <w:r w:rsidRPr="006815C9">
        <w:rPr>
          <w:rFonts w:cstheme="minorHAnsi"/>
        </w:rPr>
        <w:t>overnment’s threat to activate the ADGSM has contributed to the improved (supply) outlook</w:t>
      </w:r>
      <w:r w:rsidR="00605990" w:rsidRPr="006815C9">
        <w:rPr>
          <w:rFonts w:cstheme="minorHAnsi"/>
        </w:rPr>
        <w:t>’</w:t>
      </w:r>
      <w:r w:rsidR="00990B64" w:rsidRPr="006815C9">
        <w:rPr>
          <w:rFonts w:cstheme="minorHAnsi"/>
        </w:rPr>
        <w:t>.</w:t>
      </w:r>
      <w:r w:rsidRPr="006815C9">
        <w:rPr>
          <w:rFonts w:cstheme="minorHAnsi"/>
        </w:rPr>
        <w:t xml:space="preserve"> </w:t>
      </w:r>
    </w:p>
    <w:p w14:paraId="5E5F1164" w14:textId="77777777" w:rsidR="00C516CA" w:rsidRPr="006815C9" w:rsidRDefault="00C516CA" w:rsidP="00C516CA">
      <w:pPr>
        <w:pStyle w:val="ListParagraph"/>
        <w:ind w:left="0"/>
        <w:rPr>
          <w:rFonts w:cstheme="minorHAnsi"/>
        </w:rPr>
      </w:pPr>
    </w:p>
    <w:p w14:paraId="002B10BC" w14:textId="77777777" w:rsidR="00C516CA" w:rsidRPr="006815C9" w:rsidRDefault="00C516CA" w:rsidP="00C516CA">
      <w:pPr>
        <w:pStyle w:val="Heading2"/>
      </w:pPr>
      <w:bookmarkStart w:id="442" w:name="_Toc18590671"/>
      <w:bookmarkStart w:id="443" w:name="_Toc18592136"/>
      <w:bookmarkStart w:id="444" w:name="_Toc19109844"/>
      <w:bookmarkStart w:id="445" w:name="_Toc19113887"/>
      <w:bookmarkStart w:id="446" w:name="_Toc19189776"/>
      <w:bookmarkStart w:id="447" w:name="_Toc19271059"/>
      <w:bookmarkStart w:id="448" w:name="_Toc19280637"/>
      <w:bookmarkStart w:id="449" w:name="_Toc19281131"/>
      <w:bookmarkStart w:id="450" w:name="_Toc19537958"/>
      <w:bookmarkStart w:id="451" w:name="_Toc19545364"/>
      <w:bookmarkStart w:id="452" w:name="_Toc19611837"/>
      <w:bookmarkStart w:id="453" w:name="_Toc19628590"/>
      <w:bookmarkStart w:id="454" w:name="_Toc19628630"/>
      <w:bookmarkStart w:id="455" w:name="_Toc19717435"/>
      <w:bookmarkStart w:id="456" w:name="_Toc19720122"/>
      <w:bookmarkStart w:id="457" w:name="_Toc19789965"/>
      <w:bookmarkStart w:id="458" w:name="_Toc19803035"/>
      <w:bookmarkStart w:id="459" w:name="_Toc19804082"/>
      <w:bookmarkStart w:id="460" w:name="_Toc19804282"/>
      <w:bookmarkStart w:id="461" w:name="_Toc19804528"/>
      <w:bookmarkStart w:id="462" w:name="_Toc19888532"/>
      <w:bookmarkStart w:id="463" w:name="_Toc19889159"/>
      <w:bookmarkStart w:id="464" w:name="_Toc20232931"/>
      <w:bookmarkStart w:id="465" w:name="_Toc20237741"/>
      <w:bookmarkStart w:id="466" w:name="_Toc20322027"/>
      <w:bookmarkStart w:id="467" w:name="_Toc20322445"/>
      <w:bookmarkStart w:id="468" w:name="_Toc20398011"/>
      <w:bookmarkStart w:id="469" w:name="_Toc20401012"/>
      <w:bookmarkStart w:id="470" w:name="_Toc20410650"/>
      <w:bookmarkStart w:id="471" w:name="_Toc20412176"/>
      <w:bookmarkStart w:id="472" w:name="_Toc20469269"/>
      <w:bookmarkStart w:id="473" w:name="_Toc21705344"/>
      <w:bookmarkStart w:id="474" w:name="_Toc26349922"/>
      <w:bookmarkStart w:id="475" w:name="_Toc26448239"/>
      <w:bookmarkStart w:id="476" w:name="_Toc26454521"/>
      <w:bookmarkStart w:id="477" w:name="_Toc29823310"/>
      <w:r w:rsidRPr="006815C9">
        <w:lastRenderedPageBreak/>
        <w:t>Supply-Demand Balance</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0F2DA2E3" w14:textId="77777777" w:rsidR="00C516CA" w:rsidRPr="006815C9" w:rsidRDefault="00C516CA" w:rsidP="00C516CA">
      <w:pPr>
        <w:pStyle w:val="Heading3"/>
      </w:pPr>
      <w:bookmarkStart w:id="478" w:name="_Toc18590672"/>
      <w:bookmarkStart w:id="479" w:name="_Toc18592137"/>
      <w:bookmarkStart w:id="480" w:name="_Toc19109845"/>
      <w:bookmarkStart w:id="481" w:name="_Toc19113888"/>
      <w:bookmarkStart w:id="482" w:name="_Toc19189777"/>
      <w:bookmarkStart w:id="483" w:name="_Toc19271060"/>
      <w:bookmarkStart w:id="484" w:name="_Toc19280638"/>
      <w:bookmarkStart w:id="485" w:name="_Toc19281132"/>
      <w:bookmarkStart w:id="486" w:name="_Toc19537959"/>
      <w:bookmarkStart w:id="487" w:name="_Toc19545365"/>
      <w:bookmarkStart w:id="488" w:name="_Toc19611838"/>
      <w:bookmarkStart w:id="489" w:name="_Toc19628591"/>
      <w:bookmarkStart w:id="490" w:name="_Toc19628631"/>
      <w:bookmarkStart w:id="491" w:name="_Toc19717436"/>
      <w:bookmarkStart w:id="492" w:name="_Toc19720123"/>
      <w:bookmarkStart w:id="493" w:name="_Toc19789966"/>
      <w:bookmarkStart w:id="494" w:name="_Toc19803036"/>
      <w:bookmarkStart w:id="495" w:name="_Toc19804083"/>
      <w:bookmarkStart w:id="496" w:name="_Toc19804283"/>
      <w:bookmarkStart w:id="497" w:name="_Toc19804529"/>
      <w:bookmarkStart w:id="498" w:name="_Toc19888533"/>
      <w:bookmarkStart w:id="499" w:name="_Toc19889160"/>
      <w:bookmarkStart w:id="500" w:name="_Toc20232932"/>
      <w:bookmarkStart w:id="501" w:name="_Toc20237742"/>
      <w:bookmarkStart w:id="502" w:name="_Toc20322028"/>
      <w:bookmarkStart w:id="503" w:name="_Toc20322446"/>
      <w:bookmarkStart w:id="504" w:name="_Toc20398012"/>
      <w:bookmarkStart w:id="505" w:name="_Toc20401013"/>
      <w:bookmarkStart w:id="506" w:name="_Toc20410651"/>
      <w:bookmarkStart w:id="507" w:name="_Toc20412177"/>
      <w:bookmarkStart w:id="508" w:name="_Toc20469270"/>
      <w:bookmarkStart w:id="509" w:name="_Toc21705345"/>
      <w:bookmarkStart w:id="510" w:name="_Toc26349923"/>
      <w:bookmarkStart w:id="511" w:name="_Toc26448240"/>
      <w:bookmarkStart w:id="512" w:name="_Toc26454522"/>
      <w:bookmarkStart w:id="513" w:name="_Toc29823311"/>
      <w:r w:rsidRPr="006815C9">
        <w:t>Short-term supply-demand balance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4CEA6D8" w14:textId="51C65AA5" w:rsidR="00C516CA" w:rsidRPr="006815C9" w:rsidRDefault="00C516CA" w:rsidP="00C516CA">
      <w:pPr>
        <w:pStyle w:val="ListParagraph"/>
        <w:ind w:left="0"/>
        <w:rPr>
          <w:rFonts w:cstheme="minorHAnsi"/>
        </w:rPr>
      </w:pPr>
      <w:r w:rsidRPr="006815C9">
        <w:rPr>
          <w:rFonts w:cstheme="minorHAnsi"/>
        </w:rPr>
        <w:fldChar w:fldCharType="begin"/>
      </w:r>
      <w:r w:rsidRPr="006815C9">
        <w:rPr>
          <w:rFonts w:cstheme="minorHAnsi"/>
        </w:rPr>
        <w:instrText xml:space="preserve"> REF _Ref19274908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3</w:t>
      </w:r>
      <w:r w:rsidRPr="006815C9">
        <w:rPr>
          <w:rFonts w:cstheme="minorHAnsi"/>
        </w:rPr>
        <w:fldChar w:fldCharType="end"/>
      </w:r>
      <w:r w:rsidRPr="006815C9">
        <w:rPr>
          <w:rFonts w:cstheme="minorHAnsi"/>
        </w:rPr>
        <w:t xml:space="preserve"> shows actual and forecast trends in gas consumption in </w:t>
      </w:r>
      <w:r w:rsidR="009C5C40" w:rsidRPr="006815C9">
        <w:rPr>
          <w:rFonts w:cstheme="minorHAnsi"/>
        </w:rPr>
        <w:t>Australia’s</w:t>
      </w:r>
      <w:r w:rsidRPr="006815C9">
        <w:rPr>
          <w:rFonts w:cstheme="minorHAnsi"/>
        </w:rPr>
        <w:t xml:space="preserve"> </w:t>
      </w:r>
      <w:r w:rsidR="009C3FA8" w:rsidRPr="006815C9">
        <w:rPr>
          <w:rFonts w:cstheme="minorHAnsi"/>
        </w:rPr>
        <w:t>eastern gas market</w:t>
      </w:r>
      <w:r w:rsidRPr="006815C9">
        <w:rPr>
          <w:rFonts w:cstheme="minorHAnsi"/>
        </w:rPr>
        <w:t xml:space="preserve">. Over the last five years there has been a substantial increase in LNG exports as the three </w:t>
      </w:r>
      <w:r w:rsidR="003070BF" w:rsidRPr="006815C9">
        <w:rPr>
          <w:rFonts w:cstheme="minorHAnsi"/>
        </w:rPr>
        <w:t>Queensland LNG projects</w:t>
      </w:r>
      <w:r w:rsidRPr="006815C9">
        <w:rPr>
          <w:rFonts w:cstheme="minorHAnsi"/>
        </w:rPr>
        <w:t xml:space="preserve"> c</w:t>
      </w:r>
      <w:r w:rsidR="00AE536D" w:rsidRPr="006815C9">
        <w:rPr>
          <w:rFonts w:cstheme="minorHAnsi"/>
        </w:rPr>
        <w:t>a</w:t>
      </w:r>
      <w:r w:rsidRPr="006815C9">
        <w:rPr>
          <w:rFonts w:cstheme="minorHAnsi"/>
        </w:rPr>
        <w:t xml:space="preserve">me online. GPG declined as gas prices </w:t>
      </w:r>
      <w:r w:rsidR="00933435" w:rsidRPr="006815C9">
        <w:rPr>
          <w:rFonts w:cstheme="minorHAnsi"/>
        </w:rPr>
        <w:t>r</w:t>
      </w:r>
      <w:r w:rsidR="00AE536D" w:rsidRPr="006815C9">
        <w:rPr>
          <w:rFonts w:cstheme="minorHAnsi"/>
        </w:rPr>
        <w:t>ose</w:t>
      </w:r>
      <w:r w:rsidRPr="006815C9">
        <w:rPr>
          <w:rFonts w:cstheme="minorHAnsi"/>
        </w:rPr>
        <w:t>, and renewable</w:t>
      </w:r>
      <w:r w:rsidR="003070BF" w:rsidRPr="006815C9">
        <w:rPr>
          <w:rFonts w:cstheme="minorHAnsi"/>
        </w:rPr>
        <w:t>s</w:t>
      </w:r>
      <w:r w:rsidRPr="006815C9">
        <w:rPr>
          <w:rFonts w:cstheme="minorHAnsi"/>
        </w:rPr>
        <w:t xml:space="preserve"> </w:t>
      </w:r>
      <w:r w:rsidR="006359F2" w:rsidRPr="006815C9">
        <w:rPr>
          <w:rFonts w:cstheme="minorHAnsi"/>
        </w:rPr>
        <w:t xml:space="preserve">in the NEM </w:t>
      </w:r>
      <w:r w:rsidRPr="006815C9">
        <w:rPr>
          <w:rFonts w:cstheme="minorHAnsi"/>
        </w:rPr>
        <w:t xml:space="preserve">increased. Residential, commercial and industrial </w:t>
      </w:r>
      <w:r w:rsidR="001928F1" w:rsidRPr="006815C9">
        <w:rPr>
          <w:rFonts w:cstheme="minorHAnsi"/>
        </w:rPr>
        <w:t xml:space="preserve">gas </w:t>
      </w:r>
      <w:r w:rsidRPr="006815C9">
        <w:rPr>
          <w:rFonts w:cstheme="minorHAnsi"/>
        </w:rPr>
        <w:t>demand levels have been relatively constant.</w:t>
      </w:r>
    </w:p>
    <w:p w14:paraId="66E3A682" w14:textId="77777777" w:rsidR="00C516CA" w:rsidRPr="006815C9" w:rsidRDefault="00C516CA" w:rsidP="00C516CA">
      <w:pPr>
        <w:pStyle w:val="ListParagraph"/>
        <w:ind w:left="0"/>
        <w:rPr>
          <w:rFonts w:cstheme="minorHAnsi"/>
        </w:rPr>
      </w:pPr>
    </w:p>
    <w:p w14:paraId="4677A6D0" w14:textId="102584E9" w:rsidR="00C516CA" w:rsidRPr="006815C9" w:rsidRDefault="00C516CA" w:rsidP="00C516CA">
      <w:pPr>
        <w:pStyle w:val="ListParagraph"/>
        <w:ind w:left="0"/>
        <w:rPr>
          <w:rFonts w:cstheme="minorHAnsi"/>
        </w:rPr>
      </w:pPr>
      <w:r w:rsidRPr="006815C9">
        <w:rPr>
          <w:rFonts w:cstheme="minorHAnsi"/>
        </w:rPr>
        <w:t xml:space="preserve">AEMO in their </w:t>
      </w:r>
      <w:r w:rsidR="003070BF" w:rsidRPr="006815C9">
        <w:rPr>
          <w:rFonts w:cstheme="minorHAnsi"/>
        </w:rPr>
        <w:t>2019</w:t>
      </w:r>
      <w:r w:rsidRPr="006815C9">
        <w:rPr>
          <w:rFonts w:cstheme="minorHAnsi"/>
        </w:rPr>
        <w:t xml:space="preserve"> GSOO report, forecast moderate </w:t>
      </w:r>
      <w:r w:rsidR="00081A62" w:rsidRPr="006815C9">
        <w:rPr>
          <w:rFonts w:cstheme="minorHAnsi"/>
        </w:rPr>
        <w:t xml:space="preserve">consumption </w:t>
      </w:r>
      <w:r w:rsidRPr="006815C9">
        <w:rPr>
          <w:rFonts w:cstheme="minorHAnsi"/>
        </w:rPr>
        <w:t xml:space="preserve">growth to 2024 from 1,905 PJ to 2,017 PJ, reflecting modest growth in expected LNG exports and relative stability in residential, commercial, and industrial demand, offsetting reductions from </w:t>
      </w:r>
      <w:r w:rsidR="003070BF" w:rsidRPr="006815C9">
        <w:rPr>
          <w:rFonts w:cstheme="minorHAnsi"/>
        </w:rPr>
        <w:t>GPG</w:t>
      </w:r>
      <w:r w:rsidRPr="006815C9">
        <w:rPr>
          <w:rFonts w:cstheme="minorHAnsi"/>
        </w:rPr>
        <w:t>.</w:t>
      </w:r>
      <w:r w:rsidRPr="006815C9">
        <w:rPr>
          <w:rFonts w:cstheme="minorHAnsi"/>
        </w:rPr>
        <w:cr/>
      </w:r>
    </w:p>
    <w:p w14:paraId="77474E61" w14:textId="71D04ABB" w:rsidR="00C516CA" w:rsidRPr="006815C9" w:rsidRDefault="00C516CA" w:rsidP="00FA0273">
      <w:pPr>
        <w:pStyle w:val="Caption"/>
        <w:rPr>
          <w:rFonts w:cstheme="minorHAnsi"/>
        </w:rPr>
      </w:pPr>
      <w:bookmarkStart w:id="514" w:name="_Ref19274908"/>
      <w:r w:rsidRPr="006815C9">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3</w:t>
      </w:r>
      <w:r w:rsidRPr="006815C9">
        <w:rPr>
          <w:noProof/>
        </w:rPr>
        <w:fldChar w:fldCharType="end"/>
      </w:r>
      <w:bookmarkEnd w:id="514"/>
      <w:r w:rsidR="004E6E0F" w:rsidRPr="006815C9">
        <w:t>: East</w:t>
      </w:r>
      <w:r w:rsidR="00A57578" w:rsidRPr="006815C9">
        <w:t>ern</w:t>
      </w:r>
      <w:r w:rsidR="004E6E0F" w:rsidRPr="006815C9">
        <w:t xml:space="preserve"> gas c</w:t>
      </w:r>
      <w:r w:rsidRPr="006815C9">
        <w:t>onsumption, actual and forecast</w:t>
      </w:r>
    </w:p>
    <w:p w14:paraId="0596D0C2" w14:textId="6F36EA21" w:rsidR="00C516CA" w:rsidRPr="006815C9" w:rsidRDefault="00B26248" w:rsidP="00C516CA">
      <w:pPr>
        <w:pStyle w:val="ListParagraph"/>
        <w:ind w:left="0"/>
        <w:jc w:val="center"/>
        <w:rPr>
          <w:rFonts w:cstheme="minorHAnsi"/>
        </w:rPr>
      </w:pPr>
      <w:r w:rsidRPr="006815C9">
        <w:rPr>
          <w:noProof/>
          <w:lang w:eastAsia="en-AU"/>
        </w:rPr>
        <w:drawing>
          <wp:inline distT="0" distB="0" distL="0" distR="0" wp14:anchorId="28C0E5A8" wp14:editId="4E969CCB">
            <wp:extent cx="5731510" cy="2933700"/>
            <wp:effectExtent l="0" t="0" r="2540" b="0"/>
            <wp:docPr id="21" name="Chart 21" descr="Industrial and residential/commercial gas use has been and will remain stable over the defined period. Gas powered generation declined slightly from 220.1 PJ in 2014 to 139.1 PJ in 2016. It increased slightly in 2017 to 183.8 PJ and declined until approximately the middle of 2018. GPG is expected to remain stable from this point until the end of the forecast period in 2023. &#10;Gas consumption from LNG starts in 2014. Gas consumption from LNG is 1220.2 PJ in 2017 and increases slightly over the defined period. &#10;" title="Figure 3">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DCE1411B-9E67-4A31-98F2-F7E789F115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D35D26" w14:textId="63EF0BE6" w:rsidR="00C516CA" w:rsidRPr="006815C9" w:rsidRDefault="00C516CA" w:rsidP="00C516CA">
      <w:pPr>
        <w:pStyle w:val="ListParagraph"/>
        <w:ind w:left="0"/>
        <w:rPr>
          <w:rFonts w:cstheme="minorHAnsi"/>
          <w:sz w:val="18"/>
          <w:szCs w:val="18"/>
        </w:rPr>
      </w:pPr>
      <w:r w:rsidRPr="006815C9">
        <w:rPr>
          <w:rFonts w:cstheme="minorHAnsi"/>
          <w:sz w:val="18"/>
          <w:szCs w:val="18"/>
        </w:rPr>
        <w:t xml:space="preserve">Source:  </w:t>
      </w:r>
      <w:r w:rsidR="00D6419A" w:rsidRPr="006815C9">
        <w:rPr>
          <w:rFonts w:cstheme="minorHAnsi"/>
          <w:sz w:val="18"/>
          <w:szCs w:val="18"/>
        </w:rPr>
        <w:t>AEMO, Gas Statement of Opportunities, March 2019, p. 4.</w:t>
      </w:r>
    </w:p>
    <w:p w14:paraId="18A936E6" w14:textId="77777777" w:rsidR="00C516CA" w:rsidRPr="006815C9" w:rsidRDefault="00C516CA" w:rsidP="00C516CA">
      <w:pPr>
        <w:pStyle w:val="ListParagraph"/>
        <w:ind w:left="0"/>
        <w:rPr>
          <w:rFonts w:cstheme="minorHAnsi"/>
        </w:rPr>
      </w:pPr>
    </w:p>
    <w:p w14:paraId="2EABE2F5" w14:textId="41905F55" w:rsidR="00C516CA" w:rsidRPr="006815C9" w:rsidRDefault="00C516CA" w:rsidP="00C516CA">
      <w:pPr>
        <w:pStyle w:val="ListParagraph"/>
        <w:ind w:left="0"/>
        <w:rPr>
          <w:rFonts w:cstheme="minorHAnsi"/>
        </w:rPr>
      </w:pPr>
      <w:r w:rsidRPr="006815C9">
        <w:rPr>
          <w:rFonts w:cstheme="minorHAnsi"/>
        </w:rPr>
        <w:fldChar w:fldCharType="begin"/>
      </w:r>
      <w:r w:rsidRPr="006815C9">
        <w:rPr>
          <w:rFonts w:cstheme="minorHAnsi"/>
        </w:rPr>
        <w:instrText xml:space="preserve"> REF _Ref19275053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4</w:t>
      </w:r>
      <w:r w:rsidRPr="006815C9">
        <w:rPr>
          <w:rFonts w:cstheme="minorHAnsi"/>
        </w:rPr>
        <w:fldChar w:fldCharType="end"/>
      </w:r>
      <w:r w:rsidRPr="006815C9">
        <w:rPr>
          <w:rFonts w:cstheme="minorHAnsi"/>
        </w:rPr>
        <w:t xml:space="preserve">, which shows actual and forecast production, indicates that this increased consumption of gas for LNG export has been matched by a commensurate increase in CSG production in Queensland. </w:t>
      </w:r>
      <w:r w:rsidR="00BC72F8" w:rsidRPr="006815C9">
        <w:rPr>
          <w:rFonts w:cstheme="minorHAnsi"/>
        </w:rPr>
        <w:t>It</w:t>
      </w:r>
      <w:r w:rsidRPr="006815C9">
        <w:rPr>
          <w:rFonts w:cstheme="minorHAnsi"/>
        </w:rPr>
        <w:t xml:space="preserve"> also shows that over the near term production in southern gas fields is expected to continue </w:t>
      </w:r>
      <w:r w:rsidR="00AE536D" w:rsidRPr="006815C9">
        <w:rPr>
          <w:rFonts w:cstheme="minorHAnsi"/>
        </w:rPr>
        <w:t>declining</w:t>
      </w:r>
      <w:r w:rsidRPr="006815C9">
        <w:rPr>
          <w:rFonts w:cstheme="minorHAnsi"/>
        </w:rPr>
        <w:t xml:space="preserve"> from its 2017 peak</w:t>
      </w:r>
      <w:r w:rsidR="000205A8" w:rsidRPr="006815C9">
        <w:rPr>
          <w:rFonts w:cstheme="minorHAnsi"/>
        </w:rPr>
        <w:t xml:space="preserve"> if new gas fields are not brought into production</w:t>
      </w:r>
      <w:r w:rsidRPr="006815C9">
        <w:rPr>
          <w:rFonts w:cstheme="minorHAnsi"/>
        </w:rPr>
        <w:t xml:space="preserve">, while </w:t>
      </w:r>
      <w:r w:rsidR="00DF221D" w:rsidRPr="006815C9">
        <w:rPr>
          <w:rFonts w:cstheme="minorHAnsi"/>
        </w:rPr>
        <w:t xml:space="preserve">growth </w:t>
      </w:r>
      <w:r w:rsidRPr="006815C9">
        <w:rPr>
          <w:rFonts w:cstheme="minorHAnsi"/>
        </w:rPr>
        <w:t xml:space="preserve">in Queensland production is expected to continue. </w:t>
      </w:r>
    </w:p>
    <w:p w14:paraId="132E9CD6" w14:textId="10F9DCA2" w:rsidR="00C516CA" w:rsidRPr="006815C9" w:rsidRDefault="00C516CA" w:rsidP="00277FE6">
      <w:pPr>
        <w:pStyle w:val="Caption"/>
        <w:keepNext/>
      </w:pPr>
      <w:bookmarkStart w:id="515" w:name="_Ref19275053"/>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4</w:t>
      </w:r>
      <w:r w:rsidRPr="006815C9">
        <w:rPr>
          <w:noProof/>
        </w:rPr>
        <w:fldChar w:fldCharType="end"/>
      </w:r>
      <w:bookmarkEnd w:id="515"/>
      <w:r w:rsidRPr="006815C9">
        <w:t>: East</w:t>
      </w:r>
      <w:r w:rsidR="00A57578" w:rsidRPr="006815C9">
        <w:t>ern</w:t>
      </w:r>
      <w:r w:rsidRPr="006815C9">
        <w:t xml:space="preserve"> gas production</w:t>
      </w:r>
      <w:r w:rsidR="00280673" w:rsidRPr="006815C9">
        <w:t xml:space="preserve">, actual and forecast, supply from existing projects and committed developments </w:t>
      </w:r>
      <w:r w:rsidRPr="006815C9">
        <w:t xml:space="preserve">and </w:t>
      </w:r>
      <w:r w:rsidR="0068676E" w:rsidRPr="006815C9">
        <w:t xml:space="preserve">LNG </w:t>
      </w:r>
      <w:r w:rsidR="00280673" w:rsidRPr="006815C9">
        <w:t>consumption (PJ)</w:t>
      </w:r>
    </w:p>
    <w:p w14:paraId="7E436A52" w14:textId="0CCA1875" w:rsidR="00C516CA" w:rsidRPr="006815C9" w:rsidRDefault="006E68F4" w:rsidP="00277FE6">
      <w:pPr>
        <w:pStyle w:val="ListParagraph"/>
        <w:keepNext/>
        <w:ind w:left="0"/>
        <w:jc w:val="center"/>
        <w:rPr>
          <w:rFonts w:cstheme="minorHAnsi"/>
        </w:rPr>
      </w:pPr>
      <w:r w:rsidRPr="006815C9">
        <w:rPr>
          <w:noProof/>
          <w:lang w:eastAsia="en-AU"/>
        </w:rPr>
        <w:drawing>
          <wp:inline distT="0" distB="0" distL="0" distR="0" wp14:anchorId="66CB13C4" wp14:editId="2E1EA056">
            <wp:extent cx="4572000" cy="2743200"/>
            <wp:effectExtent l="0" t="0" r="0" b="0"/>
            <wp:docPr id="34" name="Chart 34" descr="The increased consumption of gas for LNG export has been matched by a commensurate increase in CSG production in Queensland."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E91D0F" w14:textId="16D88DA5" w:rsidR="00D6419A" w:rsidRPr="006815C9" w:rsidRDefault="00F17FE3" w:rsidP="00C516CA">
      <w:pPr>
        <w:pStyle w:val="ListParagraph"/>
        <w:ind w:left="0"/>
        <w:rPr>
          <w:rFonts w:cstheme="minorHAnsi"/>
          <w:sz w:val="18"/>
          <w:szCs w:val="18"/>
        </w:rPr>
      </w:pPr>
      <w:r w:rsidRPr="006815C9">
        <w:rPr>
          <w:rFonts w:cstheme="minorHAnsi"/>
          <w:sz w:val="18"/>
          <w:szCs w:val="18"/>
        </w:rPr>
        <w:t>Note</w:t>
      </w:r>
      <w:r w:rsidR="00D6419A" w:rsidRPr="006815C9">
        <w:rPr>
          <w:rFonts w:cstheme="minorHAnsi"/>
          <w:sz w:val="18"/>
          <w:szCs w:val="18"/>
        </w:rPr>
        <w:t>: Cooper/Eromanga production allocated to South</w:t>
      </w:r>
    </w:p>
    <w:p w14:paraId="22BF2A32" w14:textId="77777777" w:rsidR="00D6419A" w:rsidRPr="006815C9" w:rsidRDefault="00D6419A" w:rsidP="00C516CA">
      <w:pPr>
        <w:pStyle w:val="ListParagraph"/>
        <w:ind w:left="0"/>
        <w:rPr>
          <w:rFonts w:cstheme="minorHAnsi"/>
          <w:sz w:val="18"/>
          <w:szCs w:val="18"/>
        </w:rPr>
      </w:pPr>
    </w:p>
    <w:p w14:paraId="7B52CEE9" w14:textId="6A226C0B" w:rsidR="00C516CA" w:rsidRPr="006815C9" w:rsidRDefault="00437BBB" w:rsidP="00C516CA">
      <w:pPr>
        <w:pStyle w:val="ListParagraph"/>
        <w:ind w:left="0"/>
        <w:rPr>
          <w:rFonts w:cstheme="minorHAnsi"/>
        </w:rPr>
      </w:pPr>
      <w:r w:rsidRPr="006815C9">
        <w:rPr>
          <w:rFonts w:cstheme="minorHAnsi"/>
          <w:sz w:val="18"/>
          <w:szCs w:val="18"/>
        </w:rPr>
        <w:t xml:space="preserve">Source: </w:t>
      </w:r>
      <w:r w:rsidR="00D6419A" w:rsidRPr="006815C9">
        <w:rPr>
          <w:rFonts w:cstheme="minorHAnsi"/>
          <w:sz w:val="18"/>
          <w:szCs w:val="18"/>
        </w:rPr>
        <w:t xml:space="preserve">DIIS analysis of data obtained from AER, Average Daily Production for Production Points, AER reference D11/2298801[V4], [https://www.aer.gov.au/wholesale-markets/wholesale-statistics/average-daily-production-for-production-points]; </w:t>
      </w:r>
      <w:r w:rsidR="00AF62B2" w:rsidRPr="006815C9">
        <w:rPr>
          <w:rFonts w:cstheme="minorHAnsi"/>
          <w:sz w:val="18"/>
          <w:szCs w:val="18"/>
        </w:rPr>
        <w:t>AEMO, Gas Statement of Opportunities, March 2019, p. 4, 7, 44.</w:t>
      </w:r>
    </w:p>
    <w:p w14:paraId="27506455" w14:textId="77777777" w:rsidR="002973AC" w:rsidRPr="006815C9" w:rsidRDefault="002973AC" w:rsidP="00C516CA">
      <w:pPr>
        <w:pStyle w:val="ListParagraph"/>
        <w:ind w:left="0"/>
        <w:rPr>
          <w:rFonts w:cstheme="minorHAnsi"/>
        </w:rPr>
      </w:pPr>
    </w:p>
    <w:p w14:paraId="32D8BC0D" w14:textId="42EE3ADD" w:rsidR="00C516CA" w:rsidRPr="006815C9" w:rsidRDefault="00C516CA" w:rsidP="00C516CA">
      <w:pPr>
        <w:pStyle w:val="ListParagraph"/>
        <w:ind w:left="0"/>
        <w:rPr>
          <w:rFonts w:cstheme="minorHAnsi"/>
        </w:rPr>
      </w:pPr>
      <w:r w:rsidRPr="006815C9">
        <w:rPr>
          <w:rFonts w:cstheme="minorHAnsi"/>
        </w:rPr>
        <w:t xml:space="preserve">The shortfalls that were initially forecast by AEMO in </w:t>
      </w:r>
      <w:r w:rsidR="00386F2C" w:rsidRPr="006815C9">
        <w:rPr>
          <w:rFonts w:cstheme="minorHAnsi"/>
        </w:rPr>
        <w:t>its</w:t>
      </w:r>
      <w:r w:rsidRPr="006815C9">
        <w:rPr>
          <w:rFonts w:cstheme="minorHAnsi"/>
        </w:rPr>
        <w:t xml:space="preserve"> 201</w:t>
      </w:r>
      <w:r w:rsidR="00C111E0" w:rsidRPr="006815C9">
        <w:rPr>
          <w:rFonts w:cstheme="minorHAnsi"/>
        </w:rPr>
        <w:t>7</w:t>
      </w:r>
      <w:r w:rsidRPr="006815C9">
        <w:rPr>
          <w:rFonts w:cstheme="minorHAnsi"/>
        </w:rPr>
        <w:t xml:space="preserve"> GSOO for 2019 were no longer forecast </w:t>
      </w:r>
      <w:r w:rsidR="00386F2C" w:rsidRPr="006815C9">
        <w:rPr>
          <w:rFonts w:cstheme="minorHAnsi"/>
        </w:rPr>
        <w:t xml:space="preserve">in its 2018 GSOO </w:t>
      </w:r>
      <w:r w:rsidR="00DF221D" w:rsidRPr="006815C9">
        <w:rPr>
          <w:rFonts w:cstheme="minorHAnsi"/>
        </w:rPr>
        <w:t>due to a</w:t>
      </w:r>
      <w:r w:rsidR="00A57578" w:rsidRPr="006815C9">
        <w:rPr>
          <w:rFonts w:cstheme="minorHAnsi"/>
        </w:rPr>
        <w:t xml:space="preserve"> reduction in east coast</w:t>
      </w:r>
      <w:r w:rsidRPr="006815C9">
        <w:rPr>
          <w:rFonts w:cstheme="minorHAnsi"/>
        </w:rPr>
        <w:t xml:space="preserve"> Australian LNG demand</w:t>
      </w:r>
      <w:r w:rsidR="00714BCD">
        <w:rPr>
          <w:rFonts w:cstheme="minorHAnsi"/>
        </w:rPr>
        <w:t xml:space="preserve"> estimates</w:t>
      </w:r>
      <w:r w:rsidRPr="006815C9">
        <w:rPr>
          <w:rFonts w:cstheme="minorHAnsi"/>
        </w:rPr>
        <w:t xml:space="preserve">, opening of the </w:t>
      </w:r>
      <w:r w:rsidR="001F0D3C">
        <w:rPr>
          <w:rFonts w:cstheme="minorHAnsi"/>
        </w:rPr>
        <w:t>Northern Gas Pipeline (</w:t>
      </w:r>
      <w:r w:rsidRPr="006815C9">
        <w:rPr>
          <w:rFonts w:cstheme="minorHAnsi"/>
        </w:rPr>
        <w:t>NGP</w:t>
      </w:r>
      <w:r w:rsidR="001F0D3C">
        <w:rPr>
          <w:rFonts w:cstheme="minorHAnsi"/>
        </w:rPr>
        <w:t>)</w:t>
      </w:r>
      <w:r w:rsidRPr="006815C9">
        <w:rPr>
          <w:rFonts w:cstheme="minorHAnsi"/>
        </w:rPr>
        <w:t>, fuel substitution away from gas for electricity generation and the introduction of the ADGSM</w:t>
      </w:r>
      <w:r w:rsidR="00C57456" w:rsidRPr="006815C9">
        <w:rPr>
          <w:rFonts w:cstheme="minorHAnsi"/>
        </w:rPr>
        <w:t>.</w:t>
      </w:r>
      <w:r w:rsidRPr="006815C9">
        <w:rPr>
          <w:rStyle w:val="FootnoteReference"/>
          <w:rFonts w:cstheme="minorHAnsi"/>
        </w:rPr>
        <w:footnoteReference w:id="11"/>
      </w:r>
    </w:p>
    <w:p w14:paraId="3FB31EDB" w14:textId="77777777" w:rsidR="00C516CA" w:rsidRPr="006815C9" w:rsidRDefault="00C516CA" w:rsidP="00C516CA">
      <w:pPr>
        <w:pStyle w:val="ListParagraph"/>
        <w:ind w:left="0"/>
        <w:rPr>
          <w:rFonts w:cstheme="minorHAnsi"/>
        </w:rPr>
      </w:pPr>
    </w:p>
    <w:p w14:paraId="08C5119D" w14:textId="0A689053" w:rsidR="006824D8" w:rsidRPr="006815C9" w:rsidRDefault="00C516CA" w:rsidP="00C516CA">
      <w:pPr>
        <w:pStyle w:val="ListParagraph"/>
        <w:ind w:left="0"/>
        <w:rPr>
          <w:rFonts w:cstheme="minorHAnsi"/>
        </w:rPr>
      </w:pPr>
      <w:r w:rsidRPr="006815C9">
        <w:rPr>
          <w:rFonts w:cstheme="minorHAnsi"/>
        </w:rPr>
        <w:t>A</w:t>
      </w:r>
      <w:r w:rsidR="0069697A" w:rsidRPr="006815C9">
        <w:rPr>
          <w:rFonts w:cstheme="minorHAnsi"/>
        </w:rPr>
        <w:t>EM</w:t>
      </w:r>
      <w:r w:rsidRPr="006815C9">
        <w:rPr>
          <w:rFonts w:cstheme="minorHAnsi"/>
        </w:rPr>
        <w:t>O</w:t>
      </w:r>
      <w:r w:rsidR="00386F2C" w:rsidRPr="006815C9">
        <w:rPr>
          <w:rFonts w:cstheme="minorHAnsi"/>
        </w:rPr>
        <w:t xml:space="preserve">’s latest </w:t>
      </w:r>
      <w:r w:rsidR="00AF62B2" w:rsidRPr="006815C9">
        <w:rPr>
          <w:rFonts w:cstheme="minorHAnsi"/>
        </w:rPr>
        <w:t>report</w:t>
      </w:r>
      <w:r w:rsidRPr="006815C9">
        <w:rPr>
          <w:rFonts w:cstheme="minorHAnsi"/>
        </w:rPr>
        <w:t xml:space="preserve"> forecast</w:t>
      </w:r>
      <w:r w:rsidR="00AF62B2" w:rsidRPr="006815C9">
        <w:rPr>
          <w:rFonts w:cstheme="minorHAnsi"/>
        </w:rPr>
        <w:t>s</w:t>
      </w:r>
      <w:r w:rsidRPr="006815C9">
        <w:rPr>
          <w:rFonts w:cstheme="minorHAnsi"/>
        </w:rPr>
        <w:t xml:space="preserve"> no shortfalls in gas supply until </w:t>
      </w:r>
      <w:r w:rsidR="00DF221D" w:rsidRPr="006815C9">
        <w:rPr>
          <w:rFonts w:cstheme="minorHAnsi"/>
        </w:rPr>
        <w:t xml:space="preserve">at least </w:t>
      </w:r>
      <w:r w:rsidRPr="006815C9">
        <w:rPr>
          <w:rFonts w:cstheme="minorHAnsi"/>
        </w:rPr>
        <w:t>2</w:t>
      </w:r>
      <w:r w:rsidR="000205A8" w:rsidRPr="006815C9">
        <w:rPr>
          <w:rFonts w:cstheme="minorHAnsi"/>
        </w:rPr>
        <w:t>024.</w:t>
      </w:r>
      <w:r w:rsidR="00AF62B2" w:rsidRPr="006815C9">
        <w:rPr>
          <w:rStyle w:val="FootnoteReference"/>
          <w:rFonts w:cstheme="minorHAnsi"/>
        </w:rPr>
        <w:footnoteReference w:id="12"/>
      </w:r>
      <w:r w:rsidR="000205A8" w:rsidRPr="006815C9">
        <w:rPr>
          <w:rFonts w:cstheme="minorHAnsi"/>
        </w:rPr>
        <w:t xml:space="preserve"> </w:t>
      </w:r>
      <w:r w:rsidR="00151AC1" w:rsidRPr="006815C9">
        <w:rPr>
          <w:rFonts w:cstheme="minorHAnsi"/>
        </w:rPr>
        <w:t>From</w:t>
      </w:r>
      <w:r w:rsidR="000205A8" w:rsidRPr="006815C9">
        <w:rPr>
          <w:rFonts w:cstheme="minorHAnsi"/>
        </w:rPr>
        <w:t xml:space="preserve"> this point</w:t>
      </w:r>
      <w:r w:rsidR="00151AC1" w:rsidRPr="006815C9">
        <w:rPr>
          <w:rFonts w:cstheme="minorHAnsi"/>
        </w:rPr>
        <w:t xml:space="preserve"> on</w:t>
      </w:r>
      <w:r w:rsidR="000205A8" w:rsidRPr="006815C9">
        <w:rPr>
          <w:rFonts w:cstheme="minorHAnsi"/>
        </w:rPr>
        <w:t xml:space="preserve">, </w:t>
      </w:r>
      <w:r w:rsidR="00151AC1" w:rsidRPr="006815C9">
        <w:rPr>
          <w:rFonts w:cstheme="minorHAnsi"/>
        </w:rPr>
        <w:t>AEMO predict</w:t>
      </w:r>
      <w:r w:rsidR="000205A8" w:rsidRPr="006815C9">
        <w:rPr>
          <w:rFonts w:cstheme="minorHAnsi"/>
        </w:rPr>
        <w:t xml:space="preserve"> gas demand, </w:t>
      </w:r>
      <w:r w:rsidRPr="006815C9">
        <w:rPr>
          <w:rFonts w:cstheme="minorHAnsi"/>
        </w:rPr>
        <w:t>particularly in the southern states</w:t>
      </w:r>
      <w:r w:rsidR="00AE536D" w:rsidRPr="006815C9">
        <w:rPr>
          <w:rFonts w:cstheme="minorHAnsi"/>
        </w:rPr>
        <w:t>,</w:t>
      </w:r>
      <w:r w:rsidRPr="006815C9">
        <w:rPr>
          <w:rFonts w:cstheme="minorHAnsi"/>
        </w:rPr>
        <w:t xml:space="preserve"> will be difficult to meet without either development of new southern </w:t>
      </w:r>
      <w:r w:rsidR="00DF221D" w:rsidRPr="006815C9">
        <w:rPr>
          <w:rFonts w:cstheme="minorHAnsi"/>
        </w:rPr>
        <w:t>gas</w:t>
      </w:r>
      <w:r w:rsidRPr="006815C9">
        <w:rPr>
          <w:rFonts w:cstheme="minorHAnsi"/>
        </w:rPr>
        <w:t xml:space="preserve"> resources or investment in transportation infrastructure allow</w:t>
      </w:r>
      <w:r w:rsidR="00AE536D" w:rsidRPr="006815C9">
        <w:rPr>
          <w:rFonts w:cstheme="minorHAnsi"/>
        </w:rPr>
        <w:t>ing</w:t>
      </w:r>
      <w:r w:rsidRPr="006815C9">
        <w:rPr>
          <w:rFonts w:cstheme="minorHAnsi"/>
        </w:rPr>
        <w:t xml:space="preserve"> increased importation of gas into southern markets.</w:t>
      </w:r>
    </w:p>
    <w:p w14:paraId="4788D77F" w14:textId="77777777" w:rsidR="0020509F" w:rsidRPr="006815C9" w:rsidRDefault="0020509F" w:rsidP="0020509F">
      <w:pPr>
        <w:pStyle w:val="Heading3"/>
      </w:pPr>
      <w:bookmarkStart w:id="516" w:name="_Toc20232933"/>
      <w:bookmarkStart w:id="517" w:name="_Toc20237743"/>
      <w:bookmarkStart w:id="518" w:name="_Toc20322029"/>
      <w:bookmarkStart w:id="519" w:name="_Toc20322447"/>
      <w:bookmarkStart w:id="520" w:name="_Toc20398013"/>
      <w:bookmarkStart w:id="521" w:name="_Toc20401014"/>
      <w:bookmarkStart w:id="522" w:name="_Toc20410652"/>
      <w:bookmarkStart w:id="523" w:name="_Toc20412178"/>
      <w:bookmarkStart w:id="524" w:name="_Toc20469271"/>
      <w:bookmarkStart w:id="525" w:name="_Ref20485387"/>
      <w:bookmarkStart w:id="526" w:name="_Toc21705346"/>
      <w:bookmarkStart w:id="527" w:name="_Toc26349924"/>
      <w:bookmarkStart w:id="528" w:name="_Toc26448241"/>
      <w:bookmarkStart w:id="529" w:name="_Toc26454523"/>
      <w:bookmarkStart w:id="530" w:name="_Toc29823312"/>
      <w:r w:rsidRPr="006815C9">
        <w:t>Net contribution of LNG exporters</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7BFEF7D" w14:textId="36E2CC26" w:rsidR="0020509F" w:rsidRPr="006815C9" w:rsidRDefault="00C10129" w:rsidP="0020509F">
      <w:pPr>
        <w:pStyle w:val="ListParagraph"/>
        <w:ind w:left="0"/>
        <w:rPr>
          <w:rFonts w:cstheme="minorHAnsi"/>
        </w:rPr>
      </w:pPr>
      <w:r w:rsidRPr="006815C9">
        <w:rPr>
          <w:rFonts w:cstheme="minorHAnsi"/>
        </w:rPr>
        <w:fldChar w:fldCharType="begin"/>
      </w:r>
      <w:r w:rsidRPr="006815C9">
        <w:rPr>
          <w:rFonts w:cstheme="minorHAnsi"/>
        </w:rPr>
        <w:instrText xml:space="preserve"> REF _Ref20728364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t>5</w:t>
      </w:r>
      <w:r w:rsidRPr="006815C9">
        <w:rPr>
          <w:rFonts w:cstheme="minorHAnsi"/>
        </w:rPr>
        <w:fldChar w:fldCharType="end"/>
      </w:r>
      <w:r w:rsidR="0020509F" w:rsidRPr="006815C9">
        <w:rPr>
          <w:rFonts w:cstheme="minorHAnsi"/>
        </w:rPr>
        <w:t xml:space="preserve"> shows the 12-month rolling sum of net domestic gas supplied from Queensland </w:t>
      </w:r>
      <w:r w:rsidR="006D7333" w:rsidRPr="006815C9">
        <w:rPr>
          <w:rFonts w:cstheme="minorHAnsi"/>
        </w:rPr>
        <w:t>LNG-</w:t>
      </w:r>
      <w:r w:rsidR="0020509F" w:rsidRPr="006815C9">
        <w:rPr>
          <w:rFonts w:cstheme="minorHAnsi"/>
        </w:rPr>
        <w:t>CSG tenements</w:t>
      </w:r>
      <w:r w:rsidR="00CC701C">
        <w:rPr>
          <w:rFonts w:cstheme="minorHAnsi"/>
        </w:rPr>
        <w:t xml:space="preserve"> from July 2016 to October 2019</w:t>
      </w:r>
      <w:r w:rsidR="0020509F" w:rsidRPr="006815C9">
        <w:rPr>
          <w:rFonts w:cstheme="minorHAnsi"/>
        </w:rPr>
        <w:t xml:space="preserve">. The contribution made by the LNG exporters has increased substantially since the ADGSM came into effect in mid-2017, despite relatively high Asian spot prices over 2018. Most recently, this increased contribution has coincided with historically low gas prices in north Asian spot markets and a substantially lower number of Australian east coast LNG spot cargo deliveries. </w:t>
      </w:r>
    </w:p>
    <w:p w14:paraId="205A4AD9" w14:textId="7388A67A" w:rsidR="0020509F" w:rsidRPr="006815C9" w:rsidRDefault="0020509F" w:rsidP="007C5A1D">
      <w:pPr>
        <w:pStyle w:val="Caption"/>
        <w:keepNext/>
        <w:rPr>
          <w:rFonts w:cstheme="minorHAnsi"/>
        </w:rPr>
      </w:pPr>
      <w:bookmarkStart w:id="531" w:name="_Ref20728364"/>
      <w:r w:rsidRPr="006815C9">
        <w:lastRenderedPageBreak/>
        <w:t xml:space="preserve">Figure </w:t>
      </w:r>
      <w:r w:rsidR="00A43493">
        <w:rPr>
          <w:noProof/>
        </w:rPr>
        <w:fldChar w:fldCharType="begin"/>
      </w:r>
      <w:r w:rsidR="00A43493">
        <w:rPr>
          <w:noProof/>
        </w:rPr>
        <w:instrText xml:space="preserve"> SEQ Figure \* ARABIC </w:instrText>
      </w:r>
      <w:r w:rsidR="00A43493">
        <w:rPr>
          <w:noProof/>
        </w:rPr>
        <w:fldChar w:fldCharType="separate"/>
      </w:r>
      <w:r w:rsidR="00E41BD3">
        <w:rPr>
          <w:noProof/>
        </w:rPr>
        <w:t>5</w:t>
      </w:r>
      <w:r w:rsidR="00A43493">
        <w:rPr>
          <w:noProof/>
        </w:rPr>
        <w:fldChar w:fldCharType="end"/>
      </w:r>
      <w:bookmarkEnd w:id="531"/>
      <w:r w:rsidRPr="006815C9">
        <w:t xml:space="preserve">: </w:t>
      </w:r>
      <w:r w:rsidR="006D7333" w:rsidRPr="006815C9">
        <w:t>Twelve month rolling sum n</w:t>
      </w:r>
      <w:r w:rsidR="00847266" w:rsidRPr="006815C9">
        <w:t>et contribution of LNG</w:t>
      </w:r>
      <w:r w:rsidR="006D7333" w:rsidRPr="006815C9">
        <w:t>-</w:t>
      </w:r>
      <w:r w:rsidR="00847266" w:rsidRPr="006815C9">
        <w:t>CSG fields to the eastern gas market</w:t>
      </w:r>
    </w:p>
    <w:p w14:paraId="42F617FC" w14:textId="2D979DE2" w:rsidR="0020509F" w:rsidRPr="006815C9" w:rsidRDefault="00CC701C" w:rsidP="007C5A1D">
      <w:pPr>
        <w:keepNext/>
        <w:jc w:val="center"/>
      </w:pPr>
      <w:r>
        <w:rPr>
          <w:noProof/>
          <w:lang w:eastAsia="en-AU"/>
        </w:rPr>
        <w:drawing>
          <wp:inline distT="0" distB="0" distL="0" distR="0" wp14:anchorId="08937E24" wp14:editId="72EC0D9E">
            <wp:extent cx="5401310" cy="3243580"/>
            <wp:effectExtent l="0" t="0" r="8890" b="0"/>
            <wp:docPr id="6" name="Picture 6" descr="There was an increase in net domestic gas supplied from Queensland LNG-CSG tenements after the first meeting between the Prime Minister and LNG exporters in March 2017 and after the ADGSM came into effect in July 2017. "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1310" cy="3243580"/>
                    </a:xfrm>
                    <a:prstGeom prst="rect">
                      <a:avLst/>
                    </a:prstGeom>
                    <a:noFill/>
                  </pic:spPr>
                </pic:pic>
              </a:graphicData>
            </a:graphic>
          </wp:inline>
        </w:drawing>
      </w:r>
    </w:p>
    <w:p w14:paraId="7602FE61" w14:textId="253BF83F" w:rsidR="0020509F" w:rsidRPr="006815C9" w:rsidRDefault="005F6150" w:rsidP="0020509F">
      <w:pPr>
        <w:pStyle w:val="ListParagraph"/>
        <w:ind w:left="0"/>
        <w:rPr>
          <w:sz w:val="18"/>
          <w:szCs w:val="18"/>
        </w:rPr>
      </w:pPr>
      <w:r w:rsidRPr="006815C9">
        <w:rPr>
          <w:sz w:val="18"/>
          <w:szCs w:val="18"/>
        </w:rPr>
        <w:t>Source:</w:t>
      </w:r>
      <w:r w:rsidRPr="006815C9">
        <w:rPr>
          <w:rFonts w:cstheme="minorHAnsi"/>
          <w:sz w:val="18"/>
          <w:szCs w:val="18"/>
        </w:rPr>
        <w:t xml:space="preserve"> DIIS analysis of data obtained from AEMO via </w:t>
      </w:r>
      <w:r w:rsidRPr="006815C9">
        <w:rPr>
          <w:sz w:val="18"/>
          <w:szCs w:val="18"/>
        </w:rPr>
        <w:t>Energy Edge, Gas Market Analysis Tool [www.energyedge.com.au/Products/GasMarketAnalysisTool.aspx]</w:t>
      </w:r>
    </w:p>
    <w:p w14:paraId="6BE5B54A" w14:textId="77777777" w:rsidR="0020509F" w:rsidRPr="006815C9" w:rsidRDefault="0020509F" w:rsidP="0020509F">
      <w:pPr>
        <w:pStyle w:val="ListParagraph"/>
        <w:ind w:left="0"/>
        <w:rPr>
          <w:rFonts w:cstheme="minorHAnsi"/>
        </w:rPr>
      </w:pPr>
    </w:p>
    <w:p w14:paraId="6668C101" w14:textId="63FC481F" w:rsidR="0020509F" w:rsidRPr="006815C9" w:rsidRDefault="00C10129" w:rsidP="0020509F">
      <w:pPr>
        <w:pStyle w:val="ListParagraph"/>
        <w:ind w:left="0"/>
        <w:rPr>
          <w:rFonts w:cstheme="minorHAnsi"/>
        </w:rPr>
      </w:pPr>
      <w:r w:rsidRPr="006815C9">
        <w:rPr>
          <w:rFonts w:cstheme="minorHAnsi"/>
        </w:rPr>
        <w:fldChar w:fldCharType="begin"/>
      </w:r>
      <w:r w:rsidRPr="006815C9">
        <w:rPr>
          <w:rFonts w:cstheme="minorHAnsi"/>
        </w:rPr>
        <w:instrText xml:space="preserve"> REF _Ref20728453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t>6</w:t>
      </w:r>
      <w:r w:rsidRPr="006815C9">
        <w:rPr>
          <w:rFonts w:cstheme="minorHAnsi"/>
        </w:rPr>
        <w:fldChar w:fldCharType="end"/>
      </w:r>
      <w:r w:rsidR="0020509F" w:rsidRPr="006815C9">
        <w:rPr>
          <w:rFonts w:cstheme="minorHAnsi"/>
        </w:rPr>
        <w:t xml:space="preserve"> shows </w:t>
      </w:r>
      <w:r w:rsidR="006D7333" w:rsidRPr="006815C9">
        <w:rPr>
          <w:rFonts w:cstheme="minorHAnsi"/>
        </w:rPr>
        <w:t>this</w:t>
      </w:r>
      <w:r w:rsidR="0020509F" w:rsidRPr="006815C9">
        <w:rPr>
          <w:rFonts w:cstheme="minorHAnsi"/>
        </w:rPr>
        <w:t xml:space="preserve"> net contribution by </w:t>
      </w:r>
      <w:r w:rsidR="006D7333" w:rsidRPr="006815C9">
        <w:rPr>
          <w:rFonts w:cstheme="minorHAnsi"/>
        </w:rPr>
        <w:t>month.</w:t>
      </w:r>
      <w:r w:rsidR="0020509F" w:rsidRPr="006815C9">
        <w:rPr>
          <w:rFonts w:cstheme="minorHAnsi"/>
        </w:rPr>
        <w:t xml:space="preserve"> Since January 2018, in aggregate, the three LNG export projects have contributed an average of 8.5 PJ per month to the Australian domestic gas market. </w:t>
      </w:r>
      <w:r w:rsidRPr="006815C9">
        <w:rPr>
          <w:rFonts w:cstheme="minorHAnsi"/>
        </w:rPr>
        <w:fldChar w:fldCharType="begin"/>
      </w:r>
      <w:r w:rsidRPr="006815C9">
        <w:rPr>
          <w:rFonts w:cstheme="minorHAnsi"/>
        </w:rPr>
        <w:instrText xml:space="preserve"> REF _Ref20728453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6</w:t>
      </w:r>
      <w:r w:rsidRPr="006815C9">
        <w:rPr>
          <w:rFonts w:cstheme="minorHAnsi"/>
        </w:rPr>
        <w:fldChar w:fldCharType="end"/>
      </w:r>
      <w:r w:rsidR="0020509F" w:rsidRPr="006815C9">
        <w:rPr>
          <w:rFonts w:cstheme="minorHAnsi"/>
        </w:rPr>
        <w:t xml:space="preserve"> also shows how the eastern gas market has stabilised</w:t>
      </w:r>
      <w:r w:rsidR="00827386">
        <w:rPr>
          <w:rFonts w:cstheme="minorHAnsi"/>
        </w:rPr>
        <w:t xml:space="preserve"> over the last 3 years, whereby</w:t>
      </w:r>
      <w:r w:rsidR="0020509F" w:rsidRPr="006815C9">
        <w:rPr>
          <w:rFonts w:cstheme="minorHAnsi"/>
        </w:rPr>
        <w:t xml:space="preserve"> LNG project contributions to the domestic market are highest during the winter months when southern gas demand is highest.</w:t>
      </w:r>
    </w:p>
    <w:p w14:paraId="5BC13D92" w14:textId="68B94D12" w:rsidR="0020509F" w:rsidRPr="006815C9" w:rsidRDefault="0020509F" w:rsidP="001E3835">
      <w:pPr>
        <w:pStyle w:val="Caption"/>
        <w:keepNext/>
      </w:pPr>
      <w:bookmarkStart w:id="532" w:name="_Ref20728453"/>
      <w:r w:rsidRPr="006815C9">
        <w:lastRenderedPageBreak/>
        <w:t xml:space="preserve">Figure </w:t>
      </w:r>
      <w:r w:rsidR="00A43493">
        <w:rPr>
          <w:noProof/>
        </w:rPr>
        <w:fldChar w:fldCharType="begin"/>
      </w:r>
      <w:r w:rsidR="00A43493">
        <w:rPr>
          <w:noProof/>
        </w:rPr>
        <w:instrText xml:space="preserve"> SEQ Figure \* ARABIC </w:instrText>
      </w:r>
      <w:r w:rsidR="00A43493">
        <w:rPr>
          <w:noProof/>
        </w:rPr>
        <w:fldChar w:fldCharType="separate"/>
      </w:r>
      <w:r w:rsidR="00E41BD3">
        <w:rPr>
          <w:noProof/>
        </w:rPr>
        <w:t>6</w:t>
      </w:r>
      <w:r w:rsidR="00A43493">
        <w:rPr>
          <w:noProof/>
        </w:rPr>
        <w:fldChar w:fldCharType="end"/>
      </w:r>
      <w:bookmarkEnd w:id="532"/>
      <w:r w:rsidRPr="006815C9">
        <w:t>: Monthly net contribution of LNG</w:t>
      </w:r>
      <w:r w:rsidR="006D7333" w:rsidRPr="006815C9">
        <w:t>-</w:t>
      </w:r>
      <w:r w:rsidR="00847266" w:rsidRPr="006815C9">
        <w:t>CSG fields</w:t>
      </w:r>
      <w:r w:rsidRPr="006815C9">
        <w:t xml:space="preserve"> to the eastern gas market</w:t>
      </w:r>
    </w:p>
    <w:p w14:paraId="1F63EDB2" w14:textId="1820DB38" w:rsidR="0020509F" w:rsidRPr="006815C9" w:rsidRDefault="00E71A99" w:rsidP="001E3835">
      <w:pPr>
        <w:pStyle w:val="Caption"/>
        <w:keepNext/>
        <w:jc w:val="center"/>
      </w:pPr>
      <w:r>
        <w:rPr>
          <w:noProof/>
          <w:lang w:eastAsia="en-AU"/>
        </w:rPr>
        <w:drawing>
          <wp:inline distT="0" distB="0" distL="0" distR="0" wp14:anchorId="440B97A4" wp14:editId="1C535C49">
            <wp:extent cx="5407660" cy="3249295"/>
            <wp:effectExtent l="0" t="0" r="2540" b="8255"/>
            <wp:docPr id="14" name="Picture 14" descr="Net contribution in petajoules of LNG-CSG fields to the eastern gas market by month from June 2015 to June 2019 has stabilised over the last 3 years, with LNG project contributions to the domestic market highest during the winter months when southern gas demand is highest."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7660" cy="3249295"/>
                    </a:xfrm>
                    <a:prstGeom prst="rect">
                      <a:avLst/>
                    </a:prstGeom>
                    <a:noFill/>
                  </pic:spPr>
                </pic:pic>
              </a:graphicData>
            </a:graphic>
          </wp:inline>
        </w:drawing>
      </w:r>
    </w:p>
    <w:p w14:paraId="3E70EFAF" w14:textId="76BF7DA0" w:rsidR="0020509F" w:rsidRPr="006815C9" w:rsidRDefault="0020509F" w:rsidP="001E3835">
      <w:pPr>
        <w:pStyle w:val="ListParagraph"/>
        <w:keepNext/>
        <w:ind w:left="0"/>
        <w:rPr>
          <w:rFonts w:cstheme="minorHAnsi"/>
        </w:rPr>
      </w:pPr>
      <w:r w:rsidRPr="006815C9">
        <w:rPr>
          <w:sz w:val="18"/>
          <w:szCs w:val="18"/>
        </w:rPr>
        <w:t xml:space="preserve">Source: </w:t>
      </w:r>
      <w:r w:rsidRPr="006815C9">
        <w:rPr>
          <w:rFonts w:cstheme="minorHAnsi"/>
          <w:sz w:val="18"/>
          <w:szCs w:val="18"/>
        </w:rPr>
        <w:t xml:space="preserve"> DIIS analysis of data obtained from Energy Edge, Gas Market Analysis Tool </w:t>
      </w:r>
      <w:r w:rsidR="00E71A99" w:rsidRPr="006815C9">
        <w:rPr>
          <w:sz w:val="18"/>
          <w:szCs w:val="18"/>
        </w:rPr>
        <w:t>[www.energyedge.com.au/Products/GasMarketAnalysisTool.aspx]</w:t>
      </w:r>
    </w:p>
    <w:p w14:paraId="367E549A" w14:textId="77777777" w:rsidR="008D3592" w:rsidRPr="006815C9" w:rsidRDefault="008D3592" w:rsidP="008D3592">
      <w:pPr>
        <w:pStyle w:val="Heading3"/>
      </w:pPr>
      <w:bookmarkStart w:id="533" w:name="_Toc18590673"/>
      <w:bookmarkStart w:id="534" w:name="_Toc18592138"/>
      <w:bookmarkStart w:id="535" w:name="_Toc19109846"/>
      <w:bookmarkStart w:id="536" w:name="_Toc19113889"/>
      <w:bookmarkStart w:id="537" w:name="_Toc19189778"/>
      <w:bookmarkStart w:id="538" w:name="_Toc19271061"/>
      <w:bookmarkStart w:id="539" w:name="_Toc19280639"/>
      <w:bookmarkStart w:id="540" w:name="_Toc19281133"/>
      <w:bookmarkStart w:id="541" w:name="_Toc19537960"/>
      <w:bookmarkStart w:id="542" w:name="_Toc19545366"/>
      <w:bookmarkStart w:id="543" w:name="_Toc19611839"/>
      <w:bookmarkStart w:id="544" w:name="_Toc19628592"/>
      <w:bookmarkStart w:id="545" w:name="_Toc19628632"/>
      <w:bookmarkStart w:id="546" w:name="_Toc19717437"/>
      <w:bookmarkStart w:id="547" w:name="_Toc19720124"/>
      <w:bookmarkStart w:id="548" w:name="_Toc19789967"/>
      <w:bookmarkStart w:id="549" w:name="_Toc19803037"/>
      <w:bookmarkStart w:id="550" w:name="_Toc19804084"/>
      <w:bookmarkStart w:id="551" w:name="_Toc19804284"/>
      <w:bookmarkStart w:id="552" w:name="_Toc19804530"/>
      <w:bookmarkStart w:id="553" w:name="_Toc19888534"/>
      <w:bookmarkStart w:id="554" w:name="_Toc19889161"/>
      <w:bookmarkStart w:id="555" w:name="_Toc20232934"/>
      <w:bookmarkStart w:id="556" w:name="_Toc20237744"/>
      <w:bookmarkStart w:id="557" w:name="_Toc20322030"/>
      <w:bookmarkStart w:id="558" w:name="_Toc20322448"/>
      <w:bookmarkStart w:id="559" w:name="_Toc20398014"/>
      <w:bookmarkStart w:id="560" w:name="_Toc20401015"/>
      <w:bookmarkStart w:id="561" w:name="_Toc20410653"/>
      <w:bookmarkStart w:id="562" w:name="_Toc20412179"/>
      <w:bookmarkStart w:id="563" w:name="_Toc20469272"/>
      <w:bookmarkStart w:id="564" w:name="_Toc21705347"/>
      <w:bookmarkStart w:id="565" w:name="_Toc26349925"/>
      <w:bookmarkStart w:id="566" w:name="_Toc26448242"/>
      <w:bookmarkStart w:id="567" w:name="_Toc26454524"/>
      <w:bookmarkStart w:id="568" w:name="_Toc29823313"/>
      <w:r w:rsidRPr="006815C9">
        <w:t>Pipeline flows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27806EF0" w14:textId="6E8CE635" w:rsidR="008D3592" w:rsidRPr="006815C9" w:rsidRDefault="008D3592" w:rsidP="008D3592">
      <w:pPr>
        <w:pStyle w:val="ListParagraph"/>
        <w:ind w:left="0"/>
        <w:rPr>
          <w:rFonts w:cstheme="minorHAnsi"/>
        </w:rPr>
      </w:pPr>
      <w:r w:rsidRPr="006815C9">
        <w:rPr>
          <w:rFonts w:cstheme="minorHAnsi"/>
        </w:rPr>
        <w:t xml:space="preserve">The improved supply outlook in </w:t>
      </w:r>
      <w:r w:rsidR="00DF221D" w:rsidRPr="006815C9">
        <w:rPr>
          <w:rFonts w:cstheme="minorHAnsi"/>
        </w:rPr>
        <w:t>Australia’s</w:t>
      </w:r>
      <w:r w:rsidRPr="006815C9">
        <w:rPr>
          <w:rFonts w:cstheme="minorHAnsi"/>
        </w:rPr>
        <w:t xml:space="preserve"> </w:t>
      </w:r>
      <w:r w:rsidR="00F501F0" w:rsidRPr="006815C9">
        <w:rPr>
          <w:rFonts w:cstheme="minorHAnsi"/>
        </w:rPr>
        <w:t>eastern</w:t>
      </w:r>
      <w:r w:rsidRPr="006815C9">
        <w:rPr>
          <w:rFonts w:cstheme="minorHAnsi"/>
        </w:rPr>
        <w:t xml:space="preserve"> gas market is reflected in key pipeline gas flows. </w:t>
      </w:r>
      <w:r w:rsidR="00AC700E" w:rsidRPr="006815C9">
        <w:rPr>
          <w:rFonts w:cstheme="minorHAnsi"/>
        </w:rPr>
        <w:t>B</w:t>
      </w:r>
      <w:r w:rsidRPr="006815C9">
        <w:rPr>
          <w:rFonts w:cstheme="minorHAnsi"/>
        </w:rPr>
        <w:t xml:space="preserve">efore LNG operations, gas flowed from north to south. </w:t>
      </w:r>
      <w:r w:rsidR="003A7222" w:rsidRPr="006815C9">
        <w:rPr>
          <w:rFonts w:cstheme="minorHAnsi"/>
        </w:rPr>
        <w:t>As shown</w:t>
      </w:r>
      <w:r w:rsidR="00AE536D" w:rsidRPr="006815C9">
        <w:rPr>
          <w:rFonts w:cstheme="minorHAnsi"/>
        </w:rPr>
        <w:t xml:space="preserve"> in</w:t>
      </w:r>
      <w:r w:rsidR="00806F8D" w:rsidRPr="006815C9">
        <w:rPr>
          <w:rFonts w:cstheme="minorHAnsi"/>
        </w:rPr>
        <w:t xml:space="preserve"> </w:t>
      </w:r>
      <w:r w:rsidR="00806F8D" w:rsidRPr="006815C9">
        <w:rPr>
          <w:rFonts w:cstheme="minorHAnsi"/>
        </w:rPr>
        <w:fldChar w:fldCharType="begin"/>
      </w:r>
      <w:r w:rsidR="00806F8D" w:rsidRPr="006815C9">
        <w:rPr>
          <w:rFonts w:cstheme="minorHAnsi"/>
        </w:rPr>
        <w:instrText xml:space="preserve"> REF _Ref19280076 \h </w:instrText>
      </w:r>
      <w:r w:rsidR="006815C9">
        <w:rPr>
          <w:rFonts w:cstheme="minorHAnsi"/>
        </w:rPr>
        <w:instrText xml:space="preserve"> \* MERGEFORMAT </w:instrText>
      </w:r>
      <w:r w:rsidR="00806F8D" w:rsidRPr="006815C9">
        <w:rPr>
          <w:rFonts w:cstheme="minorHAnsi"/>
        </w:rPr>
      </w:r>
      <w:r w:rsidR="00806F8D" w:rsidRPr="006815C9">
        <w:rPr>
          <w:rFonts w:cstheme="minorHAnsi"/>
        </w:rPr>
        <w:fldChar w:fldCharType="separate"/>
      </w:r>
      <w:r w:rsidR="00E41BD3" w:rsidRPr="006815C9">
        <w:t xml:space="preserve">Figure </w:t>
      </w:r>
      <w:r w:rsidR="00E41BD3">
        <w:rPr>
          <w:noProof/>
        </w:rPr>
        <w:t>7</w:t>
      </w:r>
      <w:r w:rsidR="00806F8D" w:rsidRPr="006815C9">
        <w:rPr>
          <w:rFonts w:cstheme="minorHAnsi"/>
        </w:rPr>
        <w:fldChar w:fldCharType="end"/>
      </w:r>
      <w:r w:rsidR="003A7222" w:rsidRPr="006815C9">
        <w:rPr>
          <w:rFonts w:cstheme="minorHAnsi"/>
        </w:rPr>
        <w:t>, i</w:t>
      </w:r>
      <w:r w:rsidRPr="006815C9">
        <w:rPr>
          <w:rFonts w:cstheme="minorHAnsi"/>
        </w:rPr>
        <w:t xml:space="preserve">n 2014 the LNG operators began to ramp up CSG operations in Queensland in anticipation of the </w:t>
      </w:r>
      <w:r w:rsidR="00762091" w:rsidRPr="006815C9">
        <w:rPr>
          <w:rFonts w:cstheme="minorHAnsi"/>
        </w:rPr>
        <w:t>start</w:t>
      </w:r>
      <w:r w:rsidRPr="006815C9">
        <w:rPr>
          <w:rFonts w:cstheme="minorHAnsi"/>
        </w:rPr>
        <w:t xml:space="preserve"> of LNG operations</w:t>
      </w:r>
      <w:r w:rsidR="000A32BD" w:rsidRPr="006815C9">
        <w:rPr>
          <w:rFonts w:cstheme="minorHAnsi"/>
        </w:rPr>
        <w:t xml:space="preserve">, leading to </w:t>
      </w:r>
      <w:r w:rsidR="006E68F4" w:rsidRPr="006815C9">
        <w:rPr>
          <w:rFonts w:cstheme="minorHAnsi"/>
        </w:rPr>
        <w:t xml:space="preserve">increased </w:t>
      </w:r>
      <w:r w:rsidR="000A32BD" w:rsidRPr="006815C9">
        <w:rPr>
          <w:rFonts w:cstheme="minorHAnsi"/>
        </w:rPr>
        <w:t>flows from north to south</w:t>
      </w:r>
      <w:r w:rsidR="001127FE" w:rsidRPr="006815C9">
        <w:rPr>
          <w:rFonts w:cstheme="minorHAnsi"/>
        </w:rPr>
        <w:t>.</w:t>
      </w:r>
      <w:r w:rsidRPr="006815C9">
        <w:rPr>
          <w:rFonts w:cstheme="minorHAnsi"/>
        </w:rPr>
        <w:t xml:space="preserve"> </w:t>
      </w:r>
      <w:r w:rsidR="00C63C2E" w:rsidRPr="006815C9">
        <w:rPr>
          <w:rFonts w:cstheme="minorHAnsi"/>
        </w:rPr>
        <w:t xml:space="preserve">However, in 2016 and 2017, instead of an expected large increase in supply </w:t>
      </w:r>
      <w:r w:rsidR="001127FE" w:rsidRPr="006815C9">
        <w:rPr>
          <w:rFonts w:cstheme="minorHAnsi"/>
        </w:rPr>
        <w:t>of gas to the market, the lower-than-</w:t>
      </w:r>
      <w:r w:rsidR="00C63C2E" w:rsidRPr="006815C9">
        <w:rPr>
          <w:rFonts w:cstheme="minorHAnsi"/>
        </w:rPr>
        <w:t xml:space="preserve">expected flow of gas from CSG fields to LNG export facilities was </w:t>
      </w:r>
      <w:r w:rsidR="0078426F">
        <w:rPr>
          <w:rFonts w:cstheme="minorHAnsi"/>
        </w:rPr>
        <w:t>supplemented</w:t>
      </w:r>
      <w:r w:rsidR="00C63C2E" w:rsidRPr="006815C9">
        <w:rPr>
          <w:rFonts w:cstheme="minorHAnsi"/>
        </w:rPr>
        <w:t xml:space="preserve"> by gas from the domestic market. </w:t>
      </w:r>
      <w:r w:rsidRPr="006815C9">
        <w:rPr>
          <w:rFonts w:cstheme="minorHAnsi"/>
        </w:rPr>
        <w:t>During the establishment phase of the LNG operations, which included contractually-obligated operational testing of plant capabilities, there was substantial disruptio</w:t>
      </w:r>
      <w:r w:rsidR="00F91C9A" w:rsidRPr="006815C9">
        <w:rPr>
          <w:rFonts w:cstheme="minorHAnsi"/>
        </w:rPr>
        <w:t>n in the industry and gas flow reversed to</w:t>
      </w:r>
      <w:r w:rsidRPr="006815C9">
        <w:rPr>
          <w:rFonts w:cstheme="minorHAnsi"/>
        </w:rPr>
        <w:t xml:space="preserve"> south-north.</w:t>
      </w:r>
    </w:p>
    <w:p w14:paraId="052CC29C" w14:textId="77777777" w:rsidR="008D3592" w:rsidRPr="006815C9" w:rsidRDefault="008D3592" w:rsidP="008D3592">
      <w:pPr>
        <w:pStyle w:val="ListParagraph"/>
        <w:ind w:left="0"/>
        <w:rPr>
          <w:rFonts w:cstheme="minorHAnsi"/>
        </w:rPr>
      </w:pPr>
    </w:p>
    <w:p w14:paraId="213290D9" w14:textId="15FF78F6" w:rsidR="008D3592" w:rsidRPr="006815C9" w:rsidRDefault="008D3592" w:rsidP="008D3592">
      <w:pPr>
        <w:pStyle w:val="ListParagraph"/>
        <w:ind w:left="0"/>
        <w:rPr>
          <w:rFonts w:cstheme="minorHAnsi"/>
        </w:rPr>
      </w:pPr>
      <w:r w:rsidRPr="006815C9">
        <w:rPr>
          <w:rFonts w:cstheme="minorHAnsi"/>
        </w:rPr>
        <w:t>As the three LNG facilities have reached a steady rate of production and brought more CSG fields int</w:t>
      </w:r>
      <w:r w:rsidR="002973AC" w:rsidRPr="006815C9">
        <w:rPr>
          <w:rFonts w:cstheme="minorHAnsi"/>
        </w:rPr>
        <w:t>o production</w:t>
      </w:r>
      <w:r w:rsidR="0015713B" w:rsidRPr="006815C9">
        <w:rPr>
          <w:rFonts w:cstheme="minorHAnsi"/>
        </w:rPr>
        <w:t>,</w:t>
      </w:r>
      <w:r w:rsidR="002973AC" w:rsidRPr="006815C9">
        <w:rPr>
          <w:rFonts w:cstheme="minorHAnsi"/>
        </w:rPr>
        <w:t xml:space="preserve"> </w:t>
      </w:r>
      <w:r w:rsidR="00827386">
        <w:rPr>
          <w:rFonts w:cstheme="minorHAnsi"/>
        </w:rPr>
        <w:t>as well as</w:t>
      </w:r>
      <w:r w:rsidR="002973AC" w:rsidRPr="006815C9">
        <w:rPr>
          <w:rFonts w:cstheme="minorHAnsi"/>
        </w:rPr>
        <w:t xml:space="preserve"> the </w:t>
      </w:r>
      <w:r w:rsidRPr="006815C9">
        <w:rPr>
          <w:rFonts w:cstheme="minorHAnsi"/>
        </w:rPr>
        <w:t xml:space="preserve">establishment of the ADGSM, gas flows have reflected more seasonal variation.  As shown in </w:t>
      </w:r>
      <w:r w:rsidRPr="006815C9">
        <w:rPr>
          <w:rFonts w:cstheme="minorHAnsi"/>
        </w:rPr>
        <w:fldChar w:fldCharType="begin"/>
      </w:r>
      <w:r w:rsidRPr="006815C9">
        <w:rPr>
          <w:rFonts w:cstheme="minorHAnsi"/>
        </w:rPr>
        <w:instrText xml:space="preserve"> REF _Ref19280076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7</w:t>
      </w:r>
      <w:r w:rsidRPr="006815C9">
        <w:rPr>
          <w:rFonts w:cstheme="minorHAnsi"/>
        </w:rPr>
        <w:fldChar w:fldCharType="end"/>
      </w:r>
      <w:r w:rsidRPr="006815C9">
        <w:rPr>
          <w:rFonts w:cstheme="minorHAnsi"/>
        </w:rPr>
        <w:t>, over the last three years, gas has flowed from north to south at an increasing rate during the Australian winter when southern gas demand for heating is high. During the Australian summer, gas has flowed south to north as southern gas demand falls.</w:t>
      </w:r>
    </w:p>
    <w:p w14:paraId="2BEB94D3" w14:textId="77777777" w:rsidR="008D3592" w:rsidRPr="006815C9" w:rsidRDefault="008D3592" w:rsidP="008D3592">
      <w:pPr>
        <w:pStyle w:val="ListParagraph"/>
        <w:ind w:left="0"/>
        <w:rPr>
          <w:rFonts w:cstheme="minorHAnsi"/>
        </w:rPr>
      </w:pPr>
    </w:p>
    <w:p w14:paraId="07B91AC7" w14:textId="7C01D934" w:rsidR="008D3592" w:rsidRPr="006815C9" w:rsidRDefault="008D3592" w:rsidP="00A837BA">
      <w:pPr>
        <w:pStyle w:val="Caption"/>
        <w:keepNext/>
      </w:pPr>
      <w:bookmarkStart w:id="569" w:name="_Ref19280076"/>
      <w:bookmarkStart w:id="570" w:name="_Ref19790794"/>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7</w:t>
      </w:r>
      <w:r w:rsidRPr="006815C9">
        <w:rPr>
          <w:noProof/>
        </w:rPr>
        <w:fldChar w:fldCharType="end"/>
      </w:r>
      <w:bookmarkEnd w:id="569"/>
      <w:r w:rsidRPr="006815C9">
        <w:t>: Average daily flows – Q</w:t>
      </w:r>
      <w:r w:rsidR="00EF187E" w:rsidRPr="006815C9">
        <w:t>ueensland South Australia/</w:t>
      </w:r>
      <w:r w:rsidRPr="006815C9">
        <w:t>N</w:t>
      </w:r>
      <w:r w:rsidR="00EF187E" w:rsidRPr="006815C9">
        <w:t xml:space="preserve">ew </w:t>
      </w:r>
      <w:r w:rsidRPr="006815C9">
        <w:t>S</w:t>
      </w:r>
      <w:r w:rsidR="00EF187E" w:rsidRPr="006815C9">
        <w:t xml:space="preserve">outh </w:t>
      </w:r>
      <w:r w:rsidRPr="006815C9">
        <w:t>W</w:t>
      </w:r>
      <w:r w:rsidR="00EF187E" w:rsidRPr="006815C9">
        <w:t>ales</w:t>
      </w:r>
      <w:r w:rsidRPr="006815C9">
        <w:t xml:space="preserve"> (QSN) </w:t>
      </w:r>
      <w:r w:rsidR="00EF187E" w:rsidRPr="006815C9">
        <w:t>L</w:t>
      </w:r>
      <w:r w:rsidRPr="006815C9">
        <w:t>ink</w:t>
      </w:r>
      <w:bookmarkEnd w:id="570"/>
    </w:p>
    <w:p w14:paraId="6344F9A4" w14:textId="2B434A27" w:rsidR="008D3592" w:rsidRPr="006815C9" w:rsidRDefault="00E71A99" w:rsidP="006C769C">
      <w:pPr>
        <w:pStyle w:val="ListParagraph"/>
        <w:ind w:left="0"/>
        <w:jc w:val="center"/>
        <w:rPr>
          <w:rFonts w:cstheme="minorHAnsi"/>
        </w:rPr>
      </w:pPr>
      <w:r>
        <w:rPr>
          <w:rFonts w:cstheme="minorHAnsi"/>
          <w:noProof/>
          <w:lang w:eastAsia="en-AU"/>
        </w:rPr>
        <w:drawing>
          <wp:inline distT="0" distB="0" distL="0" distR="0" wp14:anchorId="201AA544" wp14:editId="626B8F05">
            <wp:extent cx="5419725" cy="3243580"/>
            <wp:effectExtent l="0" t="0" r="9525" b="0"/>
            <wp:docPr id="12" name="Picture 12" descr="The pipeline flows between Queensland and other parts of the eastern gas market show the ramp up of CSG operation in 2014 by the Queensland LNG producers. This led to increased supply from the north to the south. During the establishment phase of the LNG operations gas flow reversed to south to north. Over the past few years gas flows have reflected a more seasonal variation, with gas flowing north to south during the Australian winter and north to south in the Australian summer."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9725" cy="3243580"/>
                    </a:xfrm>
                    <a:prstGeom prst="rect">
                      <a:avLst/>
                    </a:prstGeom>
                    <a:noFill/>
                  </pic:spPr>
                </pic:pic>
              </a:graphicData>
            </a:graphic>
          </wp:inline>
        </w:drawing>
      </w:r>
    </w:p>
    <w:p w14:paraId="6829EF01" w14:textId="00373B5E" w:rsidR="008D3592" w:rsidRPr="006815C9" w:rsidRDefault="008D3592" w:rsidP="008D3592">
      <w:pPr>
        <w:pStyle w:val="ListParagraph"/>
        <w:ind w:left="0"/>
        <w:rPr>
          <w:rFonts w:cstheme="minorHAnsi"/>
          <w:sz w:val="18"/>
          <w:szCs w:val="18"/>
        </w:rPr>
      </w:pPr>
      <w:r w:rsidRPr="006815C9">
        <w:rPr>
          <w:rFonts w:cstheme="minorHAnsi"/>
          <w:sz w:val="18"/>
          <w:szCs w:val="18"/>
        </w:rPr>
        <w:t xml:space="preserve">Source: </w:t>
      </w:r>
      <w:r w:rsidR="00AF62B2" w:rsidRPr="006815C9">
        <w:rPr>
          <w:rFonts w:cstheme="minorHAnsi"/>
          <w:sz w:val="18"/>
          <w:szCs w:val="18"/>
        </w:rPr>
        <w:t>AER, Average daily flows – QSN link and southerly flows towards Victoria (monthly), AER reference D11/2298801[V4], [https://www.aer.gov.au/wholesale-markets/wholesale-statistics/average-daily-flows-%E2%80%93-qsn-link-and-southerly-flows-towards-victoria-monthly]</w:t>
      </w:r>
    </w:p>
    <w:p w14:paraId="2BC2DED1" w14:textId="77777777" w:rsidR="008D3592" w:rsidRPr="006815C9" w:rsidRDefault="008D3592" w:rsidP="008D3592">
      <w:pPr>
        <w:pStyle w:val="ListParagraph"/>
        <w:ind w:left="0"/>
        <w:rPr>
          <w:rFonts w:cstheme="minorHAnsi"/>
        </w:rPr>
      </w:pPr>
    </w:p>
    <w:p w14:paraId="6427E1C1" w14:textId="5359B091" w:rsidR="008D3592" w:rsidRPr="006815C9" w:rsidRDefault="008D3592" w:rsidP="008D3592">
      <w:pPr>
        <w:pStyle w:val="ListParagraph"/>
        <w:ind w:left="0"/>
        <w:rPr>
          <w:rFonts w:cstheme="minorHAnsi"/>
        </w:rPr>
      </w:pPr>
      <w:r w:rsidRPr="006815C9">
        <w:rPr>
          <w:rFonts w:cstheme="minorHAnsi"/>
        </w:rPr>
        <w:fldChar w:fldCharType="begin"/>
      </w:r>
      <w:r w:rsidRPr="006815C9">
        <w:rPr>
          <w:rFonts w:cstheme="minorHAnsi"/>
        </w:rPr>
        <w:instrText xml:space="preserve"> REF _Ref19280109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8</w:t>
      </w:r>
      <w:r w:rsidRPr="006815C9">
        <w:rPr>
          <w:rFonts w:cstheme="minorHAnsi"/>
        </w:rPr>
        <w:fldChar w:fldCharType="end"/>
      </w:r>
      <w:r w:rsidRPr="006815C9">
        <w:rPr>
          <w:rFonts w:cstheme="minorHAnsi"/>
        </w:rPr>
        <w:t xml:space="preserve"> shows daily flow</w:t>
      </w:r>
      <w:r w:rsidR="00933967" w:rsidRPr="006815C9">
        <w:rPr>
          <w:rFonts w:cstheme="minorHAnsi"/>
        </w:rPr>
        <w:t>s</w:t>
      </w:r>
      <w:r w:rsidRPr="006815C9">
        <w:rPr>
          <w:rFonts w:cstheme="minorHAnsi"/>
        </w:rPr>
        <w:t xml:space="preserve"> of the South West Queensland Pipeline (SWQP), ranked from most positive (flow towards Queensland) to most negative (flow towards the southern states) each year since 2016. It highlights the SWQP has been increasingly used to help meet demand in the southern states. In 2016</w:t>
      </w:r>
      <w:r w:rsidR="005E5C3E">
        <w:rPr>
          <w:rFonts w:cstheme="minorHAnsi"/>
        </w:rPr>
        <w:t>-17</w:t>
      </w:r>
      <w:r w:rsidRPr="006815C9">
        <w:rPr>
          <w:rFonts w:cstheme="minorHAnsi"/>
        </w:rPr>
        <w:t xml:space="preserve">, before the introduction of the ADGSM, gas flowed south to north over </w:t>
      </w:r>
      <w:r w:rsidR="005E5C3E">
        <w:rPr>
          <w:rFonts w:cstheme="minorHAnsi"/>
        </w:rPr>
        <w:t>8</w:t>
      </w:r>
      <w:r w:rsidRPr="006815C9">
        <w:rPr>
          <w:rFonts w:cstheme="minorHAnsi"/>
        </w:rPr>
        <w:t>0</w:t>
      </w:r>
      <w:r w:rsidR="00412BAA">
        <w:rPr>
          <w:rFonts w:cstheme="minorHAnsi"/>
        </w:rPr>
        <w:t xml:space="preserve"> per cent</w:t>
      </w:r>
      <w:r w:rsidR="00827386">
        <w:rPr>
          <w:rFonts w:cstheme="minorHAnsi"/>
        </w:rPr>
        <w:t xml:space="preserve"> of the time. </w:t>
      </w:r>
      <w:r w:rsidRPr="006815C9">
        <w:rPr>
          <w:rFonts w:cstheme="minorHAnsi"/>
        </w:rPr>
        <w:t>In 2018</w:t>
      </w:r>
      <w:r w:rsidR="005E5C3E">
        <w:rPr>
          <w:rFonts w:cstheme="minorHAnsi"/>
        </w:rPr>
        <w:t>-19</w:t>
      </w:r>
      <w:r w:rsidRPr="006815C9">
        <w:rPr>
          <w:rFonts w:cstheme="minorHAnsi"/>
        </w:rPr>
        <w:t xml:space="preserve">, after the ADGSM’s introduction, gas flowed </w:t>
      </w:r>
      <w:r w:rsidR="005E5C3E">
        <w:rPr>
          <w:rFonts w:cstheme="minorHAnsi"/>
        </w:rPr>
        <w:t>south to north less than 4</w:t>
      </w:r>
      <w:r w:rsidRPr="006815C9">
        <w:rPr>
          <w:rFonts w:cstheme="minorHAnsi"/>
        </w:rPr>
        <w:t>0</w:t>
      </w:r>
      <w:r w:rsidR="00412BAA">
        <w:rPr>
          <w:rFonts w:cstheme="minorHAnsi"/>
        </w:rPr>
        <w:t xml:space="preserve"> per cent</w:t>
      </w:r>
      <w:r w:rsidRPr="006815C9">
        <w:rPr>
          <w:rFonts w:cstheme="minorHAnsi"/>
        </w:rPr>
        <w:t xml:space="preserve"> of the time. </w:t>
      </w:r>
    </w:p>
    <w:p w14:paraId="690C8B0B" w14:textId="31B1DB73" w:rsidR="008D3592" w:rsidRPr="006815C9" w:rsidRDefault="008D3592" w:rsidP="00A837BA">
      <w:pPr>
        <w:pStyle w:val="Caption"/>
        <w:keepNext/>
      </w:pPr>
      <w:bookmarkStart w:id="571" w:name="_Ref19280109"/>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8</w:t>
      </w:r>
      <w:r w:rsidRPr="006815C9">
        <w:rPr>
          <w:noProof/>
        </w:rPr>
        <w:fldChar w:fldCharType="end"/>
      </w:r>
      <w:bookmarkEnd w:id="571"/>
      <w:r w:rsidRPr="006815C9">
        <w:t xml:space="preserve">: </w:t>
      </w:r>
      <w:r w:rsidR="00DE7E21">
        <w:t>Daily net f</w:t>
      </w:r>
      <w:r w:rsidRPr="006815C9">
        <w:t>lows along the SWQP from 1</w:t>
      </w:r>
      <w:r w:rsidR="00004BA5" w:rsidRPr="006815C9">
        <w:t xml:space="preserve"> July 2014</w:t>
      </w:r>
      <w:r w:rsidRPr="006815C9">
        <w:t xml:space="preserve"> to </w:t>
      </w:r>
      <w:r w:rsidR="00004BA5" w:rsidRPr="006815C9">
        <w:t xml:space="preserve">30 June </w:t>
      </w:r>
      <w:r w:rsidRPr="006815C9">
        <w:t>201</w:t>
      </w:r>
      <w:r w:rsidR="00004BA5" w:rsidRPr="006815C9">
        <w:t>9</w:t>
      </w:r>
      <w:r w:rsidRPr="006815C9">
        <w:rPr>
          <w:noProof/>
          <w:lang w:eastAsia="en-AU"/>
        </w:rPr>
        <w:t xml:space="preserve"> </w:t>
      </w:r>
    </w:p>
    <w:p w14:paraId="0B162EA6" w14:textId="11A7162B" w:rsidR="008D3592" w:rsidRPr="006815C9" w:rsidRDefault="006C769C" w:rsidP="006C769C">
      <w:pPr>
        <w:pStyle w:val="ListParagraph"/>
        <w:ind w:left="0"/>
        <w:jc w:val="center"/>
        <w:rPr>
          <w:rFonts w:cstheme="minorHAnsi"/>
        </w:rPr>
      </w:pPr>
      <w:r w:rsidRPr="006815C9">
        <w:rPr>
          <w:noProof/>
          <w:lang w:eastAsia="en-AU"/>
        </w:rPr>
        <w:drawing>
          <wp:inline distT="0" distB="0" distL="0" distR="0" wp14:anchorId="3D0ABCA1" wp14:editId="415C0D59">
            <wp:extent cx="5400000" cy="3240000"/>
            <wp:effectExtent l="0" t="0" r="0" b="0"/>
            <wp:docPr id="29" name="Chart 29" descr="Since 2016, the South West Queensland Pipeline has been increasingly used to help meet demand in the southern states. "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420BD0" w14:textId="55059587" w:rsidR="004E653B" w:rsidRPr="006815C9" w:rsidRDefault="005F6150" w:rsidP="008D3592">
      <w:pPr>
        <w:pStyle w:val="ListParagraph"/>
        <w:ind w:left="0"/>
        <w:rPr>
          <w:rFonts w:cstheme="minorHAnsi"/>
          <w:sz w:val="18"/>
          <w:szCs w:val="18"/>
        </w:rPr>
      </w:pPr>
      <w:r w:rsidRPr="006815C9">
        <w:rPr>
          <w:rFonts w:cstheme="minorHAnsi"/>
          <w:sz w:val="18"/>
          <w:szCs w:val="18"/>
        </w:rPr>
        <w:t xml:space="preserve">Source: DIIS analysis of data obtained from AEMO via </w:t>
      </w:r>
      <w:r w:rsidRPr="006815C9">
        <w:rPr>
          <w:sz w:val="18"/>
          <w:szCs w:val="18"/>
        </w:rPr>
        <w:t>Energy Edge, Gas Market Analysis Tool [www.energyedge.com.au/Products/GasMarketAnalysisTool.aspx]</w:t>
      </w:r>
    </w:p>
    <w:p w14:paraId="5E11550C" w14:textId="77777777" w:rsidR="004E653B" w:rsidRPr="006815C9" w:rsidRDefault="004E653B" w:rsidP="008D3592">
      <w:pPr>
        <w:pStyle w:val="ListParagraph"/>
        <w:ind w:left="0"/>
        <w:rPr>
          <w:rFonts w:cstheme="minorHAnsi"/>
        </w:rPr>
      </w:pPr>
    </w:p>
    <w:p w14:paraId="6D084043" w14:textId="1BB5CEBA" w:rsidR="008D3592" w:rsidRPr="006815C9" w:rsidRDefault="008D3592" w:rsidP="008D3592">
      <w:pPr>
        <w:pStyle w:val="ListParagraph"/>
        <w:ind w:left="0"/>
        <w:rPr>
          <w:rFonts w:cstheme="minorHAnsi"/>
        </w:rPr>
      </w:pPr>
      <w:r w:rsidRPr="006815C9">
        <w:rPr>
          <w:rFonts w:cstheme="minorHAnsi"/>
        </w:rPr>
        <w:fldChar w:fldCharType="begin"/>
      </w:r>
      <w:r w:rsidRPr="006815C9">
        <w:rPr>
          <w:rFonts w:cstheme="minorHAnsi"/>
        </w:rPr>
        <w:instrText xml:space="preserve"> REF _Ref19284941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9</w:t>
      </w:r>
      <w:r w:rsidRPr="006815C9">
        <w:rPr>
          <w:rFonts w:cstheme="minorHAnsi"/>
        </w:rPr>
        <w:fldChar w:fldCharType="end"/>
      </w:r>
      <w:r w:rsidRPr="006815C9">
        <w:rPr>
          <w:rFonts w:cstheme="minorHAnsi"/>
        </w:rPr>
        <w:t xml:space="preserve"> shows the average net monthly gas flows on the Queensland to South Australia/NSW (QSN) Link Pipeline over equal time periods before and after the establishment of the ADGSM over three time frames: six months, twelve months and two years. Regardless of time frame</w:t>
      </w:r>
      <w:r w:rsidR="00D1739A">
        <w:rPr>
          <w:rFonts w:cstheme="minorHAnsi"/>
        </w:rPr>
        <w:t>s</w:t>
      </w:r>
      <w:r w:rsidRPr="006815C9">
        <w:rPr>
          <w:rFonts w:cstheme="minorHAnsi"/>
        </w:rPr>
        <w:t xml:space="preserve">, average flows south to north have decreased since the ADGSM was introduced. </w:t>
      </w:r>
    </w:p>
    <w:p w14:paraId="70963FC0" w14:textId="7047AC00" w:rsidR="008D3592" w:rsidRPr="006815C9" w:rsidRDefault="008D3592" w:rsidP="00FA0273">
      <w:pPr>
        <w:pStyle w:val="Caption"/>
      </w:pPr>
      <w:bookmarkStart w:id="572" w:name="_Ref19284941"/>
      <w:r w:rsidRPr="006815C9">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9</w:t>
      </w:r>
      <w:r w:rsidRPr="006815C9">
        <w:rPr>
          <w:noProof/>
        </w:rPr>
        <w:fldChar w:fldCharType="end"/>
      </w:r>
      <w:bookmarkEnd w:id="572"/>
      <w:r w:rsidRPr="006815C9">
        <w:t xml:space="preserve">: </w:t>
      </w:r>
      <w:r w:rsidR="004E653B" w:rsidRPr="006815C9">
        <w:t>D</w:t>
      </w:r>
      <w:r w:rsidRPr="006815C9">
        <w:t xml:space="preserve">aily </w:t>
      </w:r>
      <w:r w:rsidR="00933967" w:rsidRPr="006815C9">
        <w:t xml:space="preserve">net </w:t>
      </w:r>
      <w:r w:rsidRPr="006815C9">
        <w:t xml:space="preserve">average flows </w:t>
      </w:r>
      <w:r w:rsidR="00933967" w:rsidRPr="006815C9">
        <w:t xml:space="preserve">south to north </w:t>
      </w:r>
      <w:r w:rsidRPr="006815C9">
        <w:t>on the QSN</w:t>
      </w:r>
    </w:p>
    <w:p w14:paraId="4F189ADD" w14:textId="24AAE295" w:rsidR="008D3592" w:rsidRPr="006815C9" w:rsidRDefault="00F07B13" w:rsidP="006C769C">
      <w:pPr>
        <w:pStyle w:val="Caption"/>
        <w:jc w:val="center"/>
        <w:rPr>
          <w:rFonts w:cstheme="minorHAnsi"/>
        </w:rPr>
      </w:pPr>
      <w:r w:rsidRPr="006815C9">
        <w:rPr>
          <w:noProof/>
          <w:lang w:eastAsia="en-AU"/>
        </w:rPr>
        <w:drawing>
          <wp:inline distT="0" distB="0" distL="0" distR="0" wp14:anchorId="18A04192" wp14:editId="4F17BFDB">
            <wp:extent cx="4572000" cy="2743200"/>
            <wp:effectExtent l="0" t="0" r="0" b="0"/>
            <wp:docPr id="19" name="Chart 19" descr="Average net monthly gas flows south to north on the Queensland to South Australia/NSW link pipeline have decreased since the ADGSM was introduced." title="Figur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ACA9A68" w14:textId="69D545CA" w:rsidR="00FF7808" w:rsidRPr="006815C9" w:rsidRDefault="00F17FE3" w:rsidP="00FF7808">
      <w:pPr>
        <w:pStyle w:val="ListParagraph"/>
        <w:ind w:left="0"/>
        <w:rPr>
          <w:rFonts w:cstheme="minorHAnsi"/>
          <w:sz w:val="18"/>
          <w:szCs w:val="18"/>
        </w:rPr>
      </w:pPr>
      <w:r w:rsidRPr="006815C9">
        <w:rPr>
          <w:rFonts w:cstheme="minorHAnsi"/>
          <w:sz w:val="18"/>
          <w:szCs w:val="18"/>
        </w:rPr>
        <w:t>Note</w:t>
      </w:r>
      <w:r w:rsidR="00FF7808" w:rsidRPr="006815C9">
        <w:rPr>
          <w:rFonts w:cstheme="minorHAnsi"/>
          <w:sz w:val="18"/>
          <w:szCs w:val="18"/>
        </w:rPr>
        <w:t xml:space="preserve">: </w:t>
      </w:r>
      <w:r w:rsidRPr="006815C9">
        <w:rPr>
          <w:rFonts w:cstheme="minorHAnsi"/>
          <w:sz w:val="18"/>
          <w:szCs w:val="18"/>
        </w:rPr>
        <w:t>P</w:t>
      </w:r>
      <w:r w:rsidR="00FF7808" w:rsidRPr="006815C9">
        <w:rPr>
          <w:rFonts w:cstheme="minorHAnsi"/>
          <w:sz w:val="18"/>
          <w:szCs w:val="18"/>
        </w:rPr>
        <w:t>ositive numbers represent net gas flows to Queensland</w:t>
      </w:r>
    </w:p>
    <w:p w14:paraId="6C80F8BD" w14:textId="77777777" w:rsidR="00F17FE3" w:rsidRPr="006815C9" w:rsidRDefault="00F17FE3" w:rsidP="00FF7808">
      <w:pPr>
        <w:pStyle w:val="ListParagraph"/>
        <w:ind w:left="0"/>
        <w:rPr>
          <w:rFonts w:cstheme="minorHAnsi"/>
          <w:sz w:val="18"/>
          <w:szCs w:val="18"/>
        </w:rPr>
      </w:pPr>
    </w:p>
    <w:p w14:paraId="2A563F63" w14:textId="77777777" w:rsidR="00F17FE3" w:rsidRPr="006815C9" w:rsidRDefault="00F17FE3" w:rsidP="00F17FE3">
      <w:pPr>
        <w:pStyle w:val="ListParagraph"/>
        <w:ind w:left="0"/>
        <w:rPr>
          <w:rFonts w:cstheme="minorHAnsi"/>
        </w:rPr>
      </w:pPr>
      <w:r w:rsidRPr="006815C9">
        <w:rPr>
          <w:rFonts w:cstheme="minorHAnsi"/>
          <w:sz w:val="18"/>
          <w:szCs w:val="18"/>
        </w:rPr>
        <w:t>Source: AER, Average daily flows – QSN link and southerly flows towards Victoria (monthly), AER reference D11/2298801[V4], [https://www.aer.gov.au/wholesale-markets/wholesale-statistics/average-daily-flows-%E2%80%93-qsn-link-and-southerly-flows-towards-victoria-monthly]</w:t>
      </w:r>
    </w:p>
    <w:p w14:paraId="30608FC5" w14:textId="77777777" w:rsidR="00A046C4" w:rsidRPr="006815C9" w:rsidRDefault="00A046C4" w:rsidP="00A046C4">
      <w:pPr>
        <w:pStyle w:val="ListParagraph"/>
        <w:ind w:left="0"/>
        <w:rPr>
          <w:rFonts w:cstheme="minorHAnsi"/>
        </w:rPr>
      </w:pPr>
    </w:p>
    <w:p w14:paraId="6F925C47" w14:textId="62E6F905" w:rsidR="00C90861" w:rsidRPr="006815C9" w:rsidRDefault="00C90861" w:rsidP="00C90861">
      <w:pPr>
        <w:pStyle w:val="Heading2"/>
      </w:pPr>
      <w:bookmarkStart w:id="573" w:name="_Toc19537963"/>
      <w:bookmarkStart w:id="574" w:name="_Toc19545369"/>
      <w:bookmarkStart w:id="575" w:name="_Toc19611842"/>
      <w:bookmarkStart w:id="576" w:name="_Toc19628595"/>
      <w:bookmarkStart w:id="577" w:name="_Toc19628635"/>
      <w:bookmarkStart w:id="578" w:name="_Toc19717440"/>
      <w:bookmarkStart w:id="579" w:name="_Toc19720127"/>
      <w:bookmarkStart w:id="580" w:name="_Toc19789970"/>
      <w:bookmarkStart w:id="581" w:name="_Toc19803040"/>
      <w:bookmarkStart w:id="582" w:name="_Toc19804087"/>
      <w:bookmarkStart w:id="583" w:name="_Toc19804287"/>
      <w:bookmarkStart w:id="584" w:name="_Toc19804533"/>
      <w:bookmarkStart w:id="585" w:name="_Toc19888537"/>
      <w:bookmarkStart w:id="586" w:name="_Toc19889164"/>
      <w:bookmarkStart w:id="587" w:name="_Toc20232935"/>
      <w:bookmarkStart w:id="588" w:name="_Toc20237745"/>
      <w:bookmarkStart w:id="589" w:name="_Toc20322031"/>
      <w:bookmarkStart w:id="590" w:name="_Toc20322449"/>
      <w:bookmarkStart w:id="591" w:name="_Toc20398015"/>
      <w:bookmarkStart w:id="592" w:name="_Toc20401016"/>
      <w:bookmarkStart w:id="593" w:name="_Toc20410654"/>
      <w:bookmarkStart w:id="594" w:name="_Toc20412180"/>
      <w:bookmarkStart w:id="595" w:name="_Toc20469273"/>
      <w:bookmarkStart w:id="596" w:name="_Toc21705348"/>
      <w:bookmarkStart w:id="597" w:name="_Toc26349926"/>
      <w:bookmarkStart w:id="598" w:name="_Toc26448243"/>
      <w:bookmarkStart w:id="599" w:name="_Toc26454525"/>
      <w:bookmarkStart w:id="600" w:name="_Toc29823314"/>
      <w:bookmarkStart w:id="601" w:name="_Toc18590680"/>
      <w:bookmarkStart w:id="602" w:name="_Toc18592145"/>
      <w:bookmarkStart w:id="603" w:name="_Toc19109853"/>
      <w:bookmarkStart w:id="604" w:name="_Toc19113896"/>
      <w:bookmarkStart w:id="605" w:name="_Toc19189785"/>
      <w:bookmarkStart w:id="606" w:name="_Toc19271068"/>
      <w:bookmarkStart w:id="607" w:name="_Toc19280646"/>
      <w:bookmarkStart w:id="608" w:name="_Toc19281140"/>
      <w:r w:rsidRPr="006815C9">
        <w:t xml:space="preserve">Domestic </w:t>
      </w:r>
      <w:r w:rsidR="00D1739A">
        <w:t>p</w:t>
      </w:r>
      <w:r w:rsidRPr="006815C9">
        <w:t>rices</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5377D364" w14:textId="05FBCA1C" w:rsidR="003D0B08" w:rsidRPr="006815C9" w:rsidRDefault="00C90861" w:rsidP="003D0B08">
      <w:pPr>
        <w:pStyle w:val="ListParagraph"/>
        <w:ind w:left="0"/>
        <w:rPr>
          <w:rFonts w:cstheme="minorHAnsi"/>
        </w:rPr>
      </w:pPr>
      <w:r w:rsidRPr="006815C9">
        <w:rPr>
          <w:rFonts w:cstheme="minorHAnsi"/>
        </w:rPr>
        <w:t xml:space="preserve">The establishment of LNG export facilities in Queensland has changed the price dynamics of </w:t>
      </w:r>
      <w:r w:rsidR="00385A4F" w:rsidRPr="006815C9">
        <w:rPr>
          <w:rFonts w:cstheme="minorHAnsi"/>
        </w:rPr>
        <w:t>Australia’s</w:t>
      </w:r>
      <w:r w:rsidRPr="006815C9">
        <w:rPr>
          <w:rFonts w:cstheme="minorHAnsi"/>
        </w:rPr>
        <w:t xml:space="preserve"> </w:t>
      </w:r>
      <w:r w:rsidR="009C3FA8" w:rsidRPr="006815C9">
        <w:rPr>
          <w:rFonts w:cstheme="minorHAnsi"/>
        </w:rPr>
        <w:t>eastern gas market</w:t>
      </w:r>
      <w:r w:rsidRPr="006815C9">
        <w:rPr>
          <w:rFonts w:cstheme="minorHAnsi"/>
        </w:rPr>
        <w:t xml:space="preserve">. </w:t>
      </w:r>
      <w:r w:rsidR="00DF221D" w:rsidRPr="006815C9">
        <w:rPr>
          <w:rFonts w:cstheme="minorHAnsi"/>
        </w:rPr>
        <w:t>G</w:t>
      </w:r>
      <w:r w:rsidRPr="006815C9">
        <w:rPr>
          <w:rFonts w:cstheme="minorHAnsi"/>
        </w:rPr>
        <w:t xml:space="preserve">as producers in Victoria and South Australia now have the option of selling gas to LNG export facility operators. As a result, producers can expect to receive at least the </w:t>
      </w:r>
      <w:r w:rsidR="003D0B08" w:rsidRPr="006815C9">
        <w:rPr>
          <w:rFonts w:cstheme="minorHAnsi"/>
        </w:rPr>
        <w:t xml:space="preserve">export-parity price for their gas. </w:t>
      </w:r>
    </w:p>
    <w:p w14:paraId="36F57C45" w14:textId="77777777" w:rsidR="003D0B08" w:rsidRPr="006815C9" w:rsidRDefault="003D0B08" w:rsidP="003D0B08">
      <w:pPr>
        <w:pStyle w:val="ListParagraph"/>
        <w:ind w:left="0"/>
        <w:rPr>
          <w:rFonts w:cstheme="minorHAnsi"/>
        </w:rPr>
      </w:pPr>
    </w:p>
    <w:p w14:paraId="56E0E8E6" w14:textId="7432EE9F" w:rsidR="00C90861" w:rsidRPr="006815C9" w:rsidRDefault="003D0B08" w:rsidP="00C90861">
      <w:pPr>
        <w:pStyle w:val="ListParagraph"/>
        <w:ind w:left="0"/>
        <w:rPr>
          <w:rFonts w:cstheme="minorHAnsi"/>
        </w:rPr>
      </w:pPr>
      <w:r w:rsidRPr="006815C9">
        <w:rPr>
          <w:rFonts w:cstheme="minorHAnsi"/>
        </w:rPr>
        <w:t xml:space="preserve">The ACCC LNG netback price is a measure of an export parity price that a gas supplier located at Wallumbilla can expect to receive for exporting its gas. It is calculated by taking the price that could be received for LNG and subtracting, or ‘netting back’, the costs incurred by the supplier to transport their gas to Gladstone, convert it to LNG and ship it to the destination port. </w:t>
      </w:r>
      <w:r w:rsidR="00C90861" w:rsidRPr="006815C9">
        <w:rPr>
          <w:rFonts w:cstheme="minorHAnsi"/>
        </w:rPr>
        <w:t xml:space="preserve">For Australia, the relevant price of LNG is the spot price in geographically close markets, i.e. </w:t>
      </w:r>
      <w:r w:rsidR="00DF221D" w:rsidRPr="006815C9">
        <w:rPr>
          <w:rFonts w:cstheme="minorHAnsi"/>
        </w:rPr>
        <w:t>e</w:t>
      </w:r>
      <w:r w:rsidR="00C90861" w:rsidRPr="006815C9">
        <w:rPr>
          <w:rFonts w:cstheme="minorHAnsi"/>
        </w:rPr>
        <w:t xml:space="preserve">ast Asia. As part of reforms to improve transparency of gas prices in the </w:t>
      </w:r>
      <w:r w:rsidR="009C3FA8" w:rsidRPr="006815C9">
        <w:rPr>
          <w:rFonts w:cstheme="minorHAnsi"/>
        </w:rPr>
        <w:t>eastern gas market</w:t>
      </w:r>
      <w:r w:rsidR="00C90861" w:rsidRPr="006815C9">
        <w:rPr>
          <w:rFonts w:cstheme="minorHAnsi"/>
        </w:rPr>
        <w:t xml:space="preserve">, the ACCC </w:t>
      </w:r>
      <w:r w:rsidR="00385A4F" w:rsidRPr="006815C9">
        <w:rPr>
          <w:rFonts w:cstheme="minorHAnsi"/>
        </w:rPr>
        <w:t>publishes</w:t>
      </w:r>
      <w:r w:rsidR="00C90861" w:rsidRPr="006815C9">
        <w:rPr>
          <w:rFonts w:cstheme="minorHAnsi"/>
        </w:rPr>
        <w:t xml:space="preserve"> a monthly LNG netback price series that dates back to 2016</w:t>
      </w:r>
      <w:r w:rsidR="00C57456" w:rsidRPr="006815C9">
        <w:rPr>
          <w:rFonts w:cstheme="minorHAnsi"/>
        </w:rPr>
        <w:t>.</w:t>
      </w:r>
      <w:r w:rsidR="00C90861" w:rsidRPr="006815C9">
        <w:rPr>
          <w:rStyle w:val="FootnoteReference"/>
          <w:rFonts w:cstheme="minorHAnsi"/>
        </w:rPr>
        <w:footnoteReference w:id="13"/>
      </w:r>
      <w:r w:rsidR="00C90861" w:rsidRPr="006815C9">
        <w:rPr>
          <w:rFonts w:cstheme="minorHAnsi"/>
        </w:rPr>
        <w:t xml:space="preserve"> Section </w:t>
      </w:r>
      <w:r w:rsidR="00941C2B" w:rsidRPr="006815C9">
        <w:rPr>
          <w:rFonts w:cstheme="minorHAnsi"/>
        </w:rPr>
        <w:fldChar w:fldCharType="begin"/>
      </w:r>
      <w:r w:rsidR="00941C2B" w:rsidRPr="006815C9">
        <w:rPr>
          <w:rFonts w:cstheme="minorHAnsi"/>
        </w:rPr>
        <w:instrText xml:space="preserve"> REF _Ref19622955 \r \h </w:instrText>
      </w:r>
      <w:r w:rsidR="006815C9">
        <w:rPr>
          <w:rFonts w:cstheme="minorHAnsi"/>
        </w:rPr>
        <w:instrText xml:space="preserve"> \* MERGEFORMAT </w:instrText>
      </w:r>
      <w:r w:rsidR="00941C2B" w:rsidRPr="006815C9">
        <w:rPr>
          <w:rFonts w:cstheme="minorHAnsi"/>
        </w:rPr>
      </w:r>
      <w:r w:rsidR="00941C2B" w:rsidRPr="006815C9">
        <w:rPr>
          <w:rFonts w:cstheme="minorHAnsi"/>
        </w:rPr>
        <w:fldChar w:fldCharType="separate"/>
      </w:r>
      <w:r w:rsidR="00E41BD3">
        <w:rPr>
          <w:rFonts w:cstheme="minorHAnsi"/>
        </w:rPr>
        <w:t>4.2</w:t>
      </w:r>
      <w:r w:rsidR="00941C2B" w:rsidRPr="006815C9">
        <w:rPr>
          <w:rFonts w:cstheme="minorHAnsi"/>
        </w:rPr>
        <w:fldChar w:fldCharType="end"/>
      </w:r>
      <w:r w:rsidR="00C90861" w:rsidRPr="006815C9">
        <w:rPr>
          <w:rFonts w:cstheme="minorHAnsi"/>
        </w:rPr>
        <w:t xml:space="preserve"> </w:t>
      </w:r>
      <w:r w:rsidR="00385A4F" w:rsidRPr="006815C9">
        <w:rPr>
          <w:rFonts w:cstheme="minorHAnsi"/>
        </w:rPr>
        <w:t>discusses</w:t>
      </w:r>
      <w:r w:rsidR="00C90861" w:rsidRPr="006815C9">
        <w:rPr>
          <w:rFonts w:cstheme="minorHAnsi"/>
        </w:rPr>
        <w:t xml:space="preserve"> further </w:t>
      </w:r>
      <w:r w:rsidR="00385A4F" w:rsidRPr="006815C9">
        <w:rPr>
          <w:rFonts w:cstheme="minorHAnsi"/>
        </w:rPr>
        <w:t>issues around</w:t>
      </w:r>
      <w:r w:rsidR="00C90861" w:rsidRPr="006815C9">
        <w:rPr>
          <w:rFonts w:cstheme="minorHAnsi"/>
        </w:rPr>
        <w:t xml:space="preserve"> the </w:t>
      </w:r>
      <w:r w:rsidR="00385A4F" w:rsidRPr="006815C9">
        <w:rPr>
          <w:rFonts w:cstheme="minorHAnsi"/>
        </w:rPr>
        <w:t>use</w:t>
      </w:r>
      <w:r w:rsidR="00C90861" w:rsidRPr="006815C9">
        <w:rPr>
          <w:rFonts w:cstheme="minorHAnsi"/>
        </w:rPr>
        <w:t xml:space="preserve"> of the netback pri</w:t>
      </w:r>
      <w:r w:rsidR="004E6E0F" w:rsidRPr="006815C9">
        <w:rPr>
          <w:rFonts w:cstheme="minorHAnsi"/>
        </w:rPr>
        <w:t>ce as a</w:t>
      </w:r>
      <w:r w:rsidR="00385A4F" w:rsidRPr="006815C9">
        <w:rPr>
          <w:rFonts w:cstheme="minorHAnsi"/>
        </w:rPr>
        <w:t xml:space="preserve">n </w:t>
      </w:r>
      <w:r w:rsidR="004E6E0F" w:rsidRPr="006815C9">
        <w:rPr>
          <w:rFonts w:cstheme="minorHAnsi"/>
        </w:rPr>
        <w:t xml:space="preserve">indicator </w:t>
      </w:r>
      <w:r w:rsidR="00385A4F" w:rsidRPr="006815C9">
        <w:rPr>
          <w:rFonts w:cstheme="minorHAnsi"/>
        </w:rPr>
        <w:t xml:space="preserve">of price </w:t>
      </w:r>
      <w:r w:rsidR="004E6E0F" w:rsidRPr="006815C9">
        <w:rPr>
          <w:rFonts w:cstheme="minorHAnsi"/>
        </w:rPr>
        <w:t xml:space="preserve">in the </w:t>
      </w:r>
      <w:r w:rsidR="009C3FA8" w:rsidRPr="006815C9">
        <w:rPr>
          <w:rFonts w:cstheme="minorHAnsi"/>
        </w:rPr>
        <w:t>eastern gas market</w:t>
      </w:r>
      <w:r w:rsidR="00C90861" w:rsidRPr="006815C9">
        <w:rPr>
          <w:rFonts w:cstheme="minorHAnsi"/>
        </w:rPr>
        <w:t>.</w:t>
      </w:r>
    </w:p>
    <w:p w14:paraId="0D539E91" w14:textId="77777777" w:rsidR="00C90861" w:rsidRPr="006815C9" w:rsidRDefault="00C90861" w:rsidP="00C90861">
      <w:pPr>
        <w:pStyle w:val="ListParagraph"/>
        <w:ind w:left="0"/>
        <w:rPr>
          <w:rFonts w:cstheme="minorHAnsi"/>
        </w:rPr>
      </w:pPr>
    </w:p>
    <w:p w14:paraId="5A0DA2FC" w14:textId="36B1A7C3" w:rsidR="00EB0DA4" w:rsidRDefault="00C90861" w:rsidP="00EB0DA4">
      <w:pPr>
        <w:pStyle w:val="ListParagraph"/>
        <w:ind w:left="0"/>
        <w:rPr>
          <w:rFonts w:cstheme="minorHAnsi"/>
        </w:rPr>
      </w:pPr>
      <w:r w:rsidRPr="006815C9">
        <w:rPr>
          <w:rFonts w:cstheme="minorHAnsi"/>
        </w:rPr>
        <w:fldChar w:fldCharType="begin"/>
      </w:r>
      <w:r w:rsidRPr="006815C9">
        <w:rPr>
          <w:rFonts w:cstheme="minorHAnsi"/>
        </w:rPr>
        <w:instrText xml:space="preserve"> REF _Ref19287621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10</w:t>
      </w:r>
      <w:r w:rsidRPr="006815C9">
        <w:rPr>
          <w:rFonts w:cstheme="minorHAnsi"/>
        </w:rPr>
        <w:fldChar w:fldCharType="end"/>
      </w:r>
      <w:r w:rsidRPr="006815C9">
        <w:rPr>
          <w:rFonts w:cstheme="minorHAnsi"/>
        </w:rPr>
        <w:t xml:space="preserve"> shows expected 2019 LNG netback prices compared to different average monthly gas commodity prices </w:t>
      </w:r>
      <w:r w:rsidR="00E71A99">
        <w:rPr>
          <w:rFonts w:cstheme="minorHAnsi"/>
        </w:rPr>
        <w:t xml:space="preserve">from </w:t>
      </w:r>
      <w:r w:rsidRPr="006815C9">
        <w:rPr>
          <w:rFonts w:cstheme="minorHAnsi"/>
        </w:rPr>
        <w:t>January 2017</w:t>
      </w:r>
      <w:r w:rsidR="00E71A99">
        <w:rPr>
          <w:rFonts w:cstheme="minorHAnsi"/>
        </w:rPr>
        <w:t xml:space="preserve"> to January 2019</w:t>
      </w:r>
      <w:r w:rsidRPr="006815C9">
        <w:rPr>
          <w:rFonts w:cstheme="minorHAnsi"/>
        </w:rPr>
        <w:t xml:space="preserve">. As </w:t>
      </w:r>
      <w:r w:rsidR="00385A4F" w:rsidRPr="006815C9">
        <w:rPr>
          <w:rFonts w:cstheme="minorHAnsi"/>
        </w:rPr>
        <w:t>shown</w:t>
      </w:r>
      <w:r w:rsidRPr="006815C9">
        <w:rPr>
          <w:rFonts w:cstheme="minorHAnsi"/>
        </w:rPr>
        <w:t xml:space="preserve">, average retailer offers for 2019 to </w:t>
      </w:r>
      <w:r w:rsidR="006F2956" w:rsidRPr="006815C9">
        <w:rPr>
          <w:rFonts w:cstheme="minorHAnsi"/>
        </w:rPr>
        <w:t>commercial and industrial</w:t>
      </w:r>
      <w:r w:rsidRPr="006815C9">
        <w:rPr>
          <w:rFonts w:cstheme="minorHAnsi"/>
        </w:rPr>
        <w:t xml:space="preserve"> </w:t>
      </w:r>
      <w:r w:rsidR="00C520F2" w:rsidRPr="006815C9">
        <w:rPr>
          <w:rFonts w:eastAsia="Times New Roman" w:cstheme="minorHAnsi"/>
          <w:color w:val="000000"/>
          <w:lang w:eastAsia="en-AU"/>
        </w:rPr>
        <w:t xml:space="preserve">(C&amp;I) </w:t>
      </w:r>
      <w:r w:rsidRPr="006815C9">
        <w:rPr>
          <w:rFonts w:cstheme="minorHAnsi"/>
        </w:rPr>
        <w:t>users have decline</w:t>
      </w:r>
      <w:r w:rsidR="006C3982" w:rsidRPr="006815C9">
        <w:rPr>
          <w:rFonts w:cstheme="minorHAnsi"/>
        </w:rPr>
        <w:t>d</w:t>
      </w:r>
      <w:r w:rsidRPr="006815C9">
        <w:rPr>
          <w:rFonts w:cstheme="minorHAnsi"/>
        </w:rPr>
        <w:t xml:space="preserve"> substantially from their peak in March 2017. </w:t>
      </w:r>
      <w:r w:rsidR="00385A4F" w:rsidRPr="006815C9">
        <w:rPr>
          <w:rFonts w:cstheme="minorHAnsi"/>
        </w:rPr>
        <w:t>I</w:t>
      </w:r>
      <w:r w:rsidRPr="006815C9">
        <w:rPr>
          <w:rFonts w:cstheme="minorHAnsi"/>
        </w:rPr>
        <w:t xml:space="preserve">mportantly, in the context of this review, domestic gas commodity prices and LNG netback prices at Wallumbilla have converged since the introduction of the ADGSM. Since February 2018, supplier offers for 2019 have tracked closely to the band of expected 2019 LNG netback prices at Wallumbilla plus or minus transport costs to and from Victoria. </w:t>
      </w:r>
      <w:r w:rsidR="00EB0DA4" w:rsidRPr="006815C9">
        <w:rPr>
          <w:rFonts w:cstheme="minorHAnsi"/>
        </w:rPr>
        <w:t>As stated by the ACCC</w:t>
      </w:r>
      <w:r w:rsidR="00EB0DA4" w:rsidRPr="006815C9">
        <w:rPr>
          <w:rStyle w:val="FootnoteReference"/>
          <w:rFonts w:cstheme="minorHAnsi"/>
        </w:rPr>
        <w:footnoteReference w:id="14"/>
      </w:r>
      <w:r w:rsidR="00EB0DA4" w:rsidRPr="006815C9">
        <w:rPr>
          <w:rFonts w:cstheme="minorHAnsi"/>
        </w:rPr>
        <w:t xml:space="preserve"> and explained in </w:t>
      </w:r>
      <w:r w:rsidR="00EB0DA4" w:rsidRPr="006815C9">
        <w:rPr>
          <w:rFonts w:cstheme="minorHAnsi"/>
        </w:rPr>
        <w:fldChar w:fldCharType="begin"/>
      </w:r>
      <w:r w:rsidR="00EB0DA4" w:rsidRPr="006815C9">
        <w:rPr>
          <w:rFonts w:cstheme="minorHAnsi"/>
        </w:rPr>
        <w:instrText xml:space="preserve"> REF _Ref20738401 \h </w:instrText>
      </w:r>
      <w:r w:rsidR="006815C9">
        <w:rPr>
          <w:rFonts w:cstheme="minorHAnsi"/>
        </w:rPr>
        <w:instrText xml:space="preserve"> \* MERGEFORMAT </w:instrText>
      </w:r>
      <w:r w:rsidR="00EB0DA4" w:rsidRPr="006815C9">
        <w:rPr>
          <w:rFonts w:cstheme="minorHAnsi"/>
        </w:rPr>
      </w:r>
      <w:r w:rsidR="00EB0DA4" w:rsidRPr="006815C9">
        <w:rPr>
          <w:rFonts w:cstheme="minorHAnsi"/>
        </w:rPr>
        <w:fldChar w:fldCharType="separate"/>
      </w:r>
      <w:r w:rsidR="00E41BD3" w:rsidRPr="00E41BD3">
        <w:t>Box 3.1</w:t>
      </w:r>
      <w:r w:rsidR="00EB0DA4" w:rsidRPr="006815C9">
        <w:rPr>
          <w:rFonts w:cstheme="minorHAnsi"/>
        </w:rPr>
        <w:fldChar w:fldCharType="end"/>
      </w:r>
      <w:r w:rsidR="00EB0DA4" w:rsidRPr="006815C9">
        <w:rPr>
          <w:rFonts w:cstheme="minorHAnsi"/>
        </w:rPr>
        <w:t xml:space="preserve">, this range reflects prices that would be expected in a well-functioning market. </w:t>
      </w:r>
    </w:p>
    <w:p w14:paraId="652F4DF8" w14:textId="77777777" w:rsidR="008F32BE" w:rsidRDefault="008F32BE" w:rsidP="00EB0DA4">
      <w:pPr>
        <w:pStyle w:val="ListParagraph"/>
        <w:ind w:left="0"/>
        <w:rPr>
          <w:rFonts w:cstheme="minorHAnsi"/>
        </w:rPr>
      </w:pPr>
    </w:p>
    <w:p w14:paraId="6ECEE6A5" w14:textId="587DA8B3" w:rsidR="001E3835" w:rsidRDefault="001E3835" w:rsidP="00EB0DA4">
      <w:pPr>
        <w:pStyle w:val="ListParagraph"/>
        <w:ind w:left="0"/>
        <w:rPr>
          <w:rFonts w:cstheme="minorHAnsi"/>
        </w:rPr>
      </w:pPr>
      <w:r w:rsidRPr="001E3835">
        <w:rPr>
          <w:rFonts w:cstheme="minorHAnsi"/>
          <w:noProof/>
          <w:lang w:eastAsia="en-AU"/>
        </w:rPr>
        <w:lastRenderedPageBreak/>
        <mc:AlternateContent>
          <mc:Choice Requires="wps">
            <w:drawing>
              <wp:inline distT="0" distB="0" distL="0" distR="0" wp14:anchorId="6078C0EC" wp14:editId="1F42EA9D">
                <wp:extent cx="5711825" cy="1404620"/>
                <wp:effectExtent l="0" t="0" r="2222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404620"/>
                        </a:xfrm>
                        <a:prstGeom prst="rect">
                          <a:avLst/>
                        </a:prstGeom>
                        <a:solidFill>
                          <a:srgbClr val="FFFFFF"/>
                        </a:solidFill>
                        <a:ln w="9525">
                          <a:solidFill>
                            <a:srgbClr val="000000"/>
                          </a:solidFill>
                          <a:miter lim="800000"/>
                          <a:headEnd/>
                          <a:tailEnd/>
                        </a:ln>
                      </wps:spPr>
                      <wps:txbx>
                        <w:txbxContent>
                          <w:p w14:paraId="199AB0C6" w14:textId="41E8A860" w:rsidR="004B5604" w:rsidRPr="006815C9" w:rsidRDefault="004B5604" w:rsidP="001E3835">
                            <w:pPr>
                              <w:pStyle w:val="ListParagraph"/>
                              <w:ind w:left="0"/>
                              <w:rPr>
                                <w:rFonts w:cstheme="minorHAnsi"/>
                                <w:b/>
                              </w:rPr>
                            </w:pPr>
                            <w:bookmarkStart w:id="609" w:name="_Ref20738401"/>
                            <w:r w:rsidRPr="006815C9">
                              <w:rPr>
                                <w:b/>
                              </w:rPr>
                              <w:t xml:space="preserve">Box </w:t>
                            </w:r>
                            <w:r w:rsidRPr="006815C9">
                              <w:rPr>
                                <w:b/>
                              </w:rPr>
                              <w:fldChar w:fldCharType="begin"/>
                            </w:r>
                            <w:r w:rsidRPr="006815C9">
                              <w:rPr>
                                <w:b/>
                              </w:rPr>
                              <w:instrText xml:space="preserve"> STYLEREF 1 \s </w:instrText>
                            </w:r>
                            <w:r w:rsidRPr="006815C9">
                              <w:rPr>
                                <w:b/>
                              </w:rPr>
                              <w:fldChar w:fldCharType="separate"/>
                            </w:r>
                            <w:r w:rsidR="00E41BD3">
                              <w:rPr>
                                <w:b/>
                                <w:noProof/>
                              </w:rPr>
                              <w:t>3</w:t>
                            </w:r>
                            <w:r w:rsidRPr="006815C9">
                              <w:rPr>
                                <w:b/>
                              </w:rPr>
                              <w:fldChar w:fldCharType="end"/>
                            </w:r>
                            <w:r w:rsidRPr="006815C9">
                              <w:rPr>
                                <w:b/>
                              </w:rPr>
                              <w:t>.</w:t>
                            </w:r>
                            <w:r w:rsidRPr="006815C9">
                              <w:rPr>
                                <w:b/>
                              </w:rPr>
                              <w:fldChar w:fldCharType="begin"/>
                            </w:r>
                            <w:r w:rsidRPr="006815C9">
                              <w:rPr>
                                <w:b/>
                              </w:rPr>
                              <w:instrText xml:space="preserve"> SEQ Box \* ARABIC \s 1 </w:instrText>
                            </w:r>
                            <w:r w:rsidRPr="006815C9">
                              <w:rPr>
                                <w:b/>
                              </w:rPr>
                              <w:fldChar w:fldCharType="separate"/>
                            </w:r>
                            <w:r w:rsidR="00E41BD3">
                              <w:rPr>
                                <w:b/>
                                <w:noProof/>
                              </w:rPr>
                              <w:t>1</w:t>
                            </w:r>
                            <w:r w:rsidRPr="006815C9">
                              <w:rPr>
                                <w:b/>
                              </w:rPr>
                              <w:fldChar w:fldCharType="end"/>
                            </w:r>
                            <w:bookmarkEnd w:id="609"/>
                            <w:r w:rsidRPr="006815C9">
                              <w:rPr>
                                <w:b/>
                              </w:rPr>
                              <w:t xml:space="preserve">: Range of southern state </w:t>
                            </w:r>
                            <w:r w:rsidRPr="006815C9">
                              <w:rPr>
                                <w:rFonts w:cstheme="minorHAnsi"/>
                                <w:b/>
                              </w:rPr>
                              <w:t xml:space="preserve">prices that would be expected in a well-functioning market </w:t>
                            </w:r>
                          </w:p>
                          <w:p w14:paraId="651E3680" w14:textId="77777777" w:rsidR="004B5604" w:rsidRPr="006815C9" w:rsidRDefault="004B5604" w:rsidP="001E3835">
                            <w:pPr>
                              <w:pStyle w:val="Caption"/>
                              <w:rPr>
                                <w:b w:val="0"/>
                              </w:rPr>
                            </w:pPr>
                            <w:r w:rsidRPr="006815C9">
                              <w:rPr>
                                <w:rFonts w:cstheme="minorHAnsi"/>
                                <w:b w:val="0"/>
                              </w:rPr>
                              <w:t>In its 2016 inquiry into the eastern gas market,</w:t>
                            </w:r>
                            <w:r w:rsidRPr="006815C9">
                              <w:rPr>
                                <w:rStyle w:val="FootnoteReference"/>
                                <w:rFonts w:cstheme="minorHAnsi"/>
                                <w:b w:val="0"/>
                              </w:rPr>
                              <w:footnoteRef/>
                            </w:r>
                            <w:r w:rsidRPr="006815C9">
                              <w:rPr>
                                <w:rFonts w:cstheme="minorHAnsi"/>
                                <w:b w:val="0"/>
                              </w:rPr>
                              <w:t xml:space="preserve"> the ACCC set out a bargaining framework to illustrate how gas supply negotiations in the southern states may be influenced by the LNG fundamentals in Queensland. The ACCC observed that, while prices in the southern states were likely to be shaped by LNG netbacks, the cost of transporting gas to, or from, Wallumbilla meant that there was a range of potential pricing outcomes:</w:t>
                            </w:r>
                          </w:p>
                          <w:p w14:paraId="531DAB22" w14:textId="77777777" w:rsidR="004B5604" w:rsidRPr="006815C9" w:rsidRDefault="004B5604" w:rsidP="001E3835">
                            <w:pPr>
                              <w:pStyle w:val="Caption"/>
                              <w:numPr>
                                <w:ilvl w:val="0"/>
                                <w:numId w:val="20"/>
                              </w:numPr>
                              <w:spacing w:before="120" w:after="120"/>
                              <w:ind w:left="714" w:hanging="357"/>
                              <w:rPr>
                                <w:b w:val="0"/>
                              </w:rPr>
                            </w:pPr>
                            <w:r w:rsidRPr="006815C9">
                              <w:rPr>
                                <w:rFonts w:cstheme="minorHAnsi"/>
                                <w:b w:val="0"/>
                              </w:rPr>
                              <w:t xml:space="preserve">If there is diverse supply and strong competition in the southern states, competition will drive suppliers in the southern states to offer a gas price closer to their next best sales alternative. If this alternative is to sell gas to the LNG projects in Queensland, the price that the supplier in the southern states would receive is the LNG netback price at Wallumbilla less the cost of transporting gas (and processing costs) to Wallumbilla. </w:t>
                            </w:r>
                          </w:p>
                          <w:p w14:paraId="2BBB1300" w14:textId="6599373A" w:rsidR="004B5604" w:rsidRPr="001E3835" w:rsidRDefault="004B5604" w:rsidP="001E3835">
                            <w:pPr>
                              <w:pStyle w:val="Caption"/>
                              <w:numPr>
                                <w:ilvl w:val="0"/>
                                <w:numId w:val="20"/>
                              </w:numPr>
                              <w:spacing w:before="120" w:after="120"/>
                              <w:ind w:left="714" w:hanging="357"/>
                              <w:rPr>
                                <w:rFonts w:cstheme="minorHAnsi"/>
                                <w:b w:val="0"/>
                              </w:rPr>
                            </w:pPr>
                            <w:r w:rsidRPr="006815C9">
                              <w:rPr>
                                <w:rFonts w:cstheme="minorHAnsi"/>
                                <w:b w:val="0"/>
                              </w:rPr>
                              <w:t>If there is a lack of supply options in the southern states and producers can set prices in the absence of competitive constraints from other producers in the southern states, then these producers in the southern states can charge a price approaching the buyer’s next best alternative. If this alternative is to buy gas from producers in Queensland, the price that a gas buyer would have to pay for this gas is the LNG netback price at Wallumbilla plus transport costs from Wallumbilla to the buyer’s location.</w:t>
                            </w:r>
                          </w:p>
                        </w:txbxContent>
                      </wps:txbx>
                      <wps:bodyPr rot="0" vert="horz" wrap="square" lIns="91440" tIns="45720" rIns="91440" bIns="45720" anchor="t" anchorCtr="0">
                        <a:spAutoFit/>
                      </wps:bodyPr>
                    </wps:wsp>
                  </a:graphicData>
                </a:graphic>
              </wp:inline>
            </w:drawing>
          </mc:Choice>
          <mc:Fallback>
            <w:pict>
              <v:shapetype w14:anchorId="6078C0EC" id="_x0000_t202" coordsize="21600,21600" o:spt="202" path="m,l,21600r21600,l21600,xe">
                <v:stroke joinstyle="miter"/>
                <v:path gradientshapeok="t" o:connecttype="rect"/>
              </v:shapetype>
              <v:shape id="Text Box 2" o:spid="_x0000_s1026" type="#_x0000_t202" style="width:44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">
                <v:textbox style="mso-fit-shape-to-text:t">
                  <w:txbxContent>
                    <w:p w14:paraId="199AB0C6" w14:textId="41E8A860" w:rsidR="004B5604" w:rsidRPr="006815C9" w:rsidRDefault="004B5604" w:rsidP="001E3835">
                      <w:pPr>
                        <w:pStyle w:val="ListParagraph"/>
                        <w:ind w:left="0"/>
                        <w:rPr>
                          <w:rFonts w:cstheme="minorHAnsi"/>
                          <w:b/>
                        </w:rPr>
                      </w:pPr>
                      <w:bookmarkStart w:id="610" w:name="_Ref20738401"/>
                      <w:r w:rsidRPr="006815C9">
                        <w:rPr>
                          <w:b/>
                        </w:rPr>
                        <w:t xml:space="preserve">Box </w:t>
                      </w:r>
                      <w:r w:rsidRPr="006815C9">
                        <w:rPr>
                          <w:b/>
                        </w:rPr>
                        <w:fldChar w:fldCharType="begin"/>
                      </w:r>
                      <w:r w:rsidRPr="006815C9">
                        <w:rPr>
                          <w:b/>
                        </w:rPr>
                        <w:instrText xml:space="preserve"> STYLEREF 1 \s </w:instrText>
                      </w:r>
                      <w:r w:rsidRPr="006815C9">
                        <w:rPr>
                          <w:b/>
                        </w:rPr>
                        <w:fldChar w:fldCharType="separate"/>
                      </w:r>
                      <w:r w:rsidR="00E41BD3">
                        <w:rPr>
                          <w:b/>
                          <w:noProof/>
                        </w:rPr>
                        <w:t>3</w:t>
                      </w:r>
                      <w:r w:rsidRPr="006815C9">
                        <w:rPr>
                          <w:b/>
                        </w:rPr>
                        <w:fldChar w:fldCharType="end"/>
                      </w:r>
                      <w:r w:rsidRPr="006815C9">
                        <w:rPr>
                          <w:b/>
                        </w:rPr>
                        <w:t>.</w:t>
                      </w:r>
                      <w:r w:rsidRPr="006815C9">
                        <w:rPr>
                          <w:b/>
                        </w:rPr>
                        <w:fldChar w:fldCharType="begin"/>
                      </w:r>
                      <w:r w:rsidRPr="006815C9">
                        <w:rPr>
                          <w:b/>
                        </w:rPr>
                        <w:instrText xml:space="preserve"> SEQ Box \* ARABIC \s 1 </w:instrText>
                      </w:r>
                      <w:r w:rsidRPr="006815C9">
                        <w:rPr>
                          <w:b/>
                        </w:rPr>
                        <w:fldChar w:fldCharType="separate"/>
                      </w:r>
                      <w:r w:rsidR="00E41BD3">
                        <w:rPr>
                          <w:b/>
                          <w:noProof/>
                        </w:rPr>
                        <w:t>1</w:t>
                      </w:r>
                      <w:r w:rsidRPr="006815C9">
                        <w:rPr>
                          <w:b/>
                        </w:rPr>
                        <w:fldChar w:fldCharType="end"/>
                      </w:r>
                      <w:bookmarkEnd w:id="610"/>
                      <w:r w:rsidRPr="006815C9">
                        <w:rPr>
                          <w:b/>
                        </w:rPr>
                        <w:t xml:space="preserve">: Range of southern state </w:t>
                      </w:r>
                      <w:r w:rsidRPr="006815C9">
                        <w:rPr>
                          <w:rFonts w:cstheme="minorHAnsi"/>
                          <w:b/>
                        </w:rPr>
                        <w:t xml:space="preserve">prices that would be expected in a well-functioning market </w:t>
                      </w:r>
                    </w:p>
                    <w:p w14:paraId="651E3680" w14:textId="77777777" w:rsidR="004B5604" w:rsidRPr="006815C9" w:rsidRDefault="004B5604" w:rsidP="001E3835">
                      <w:pPr>
                        <w:pStyle w:val="Caption"/>
                        <w:rPr>
                          <w:b w:val="0"/>
                        </w:rPr>
                      </w:pPr>
                      <w:r w:rsidRPr="006815C9">
                        <w:rPr>
                          <w:rFonts w:cstheme="minorHAnsi"/>
                          <w:b w:val="0"/>
                        </w:rPr>
                        <w:t>In its 2016 inquiry into the eastern gas market,</w:t>
                      </w:r>
                      <w:r w:rsidRPr="006815C9">
                        <w:rPr>
                          <w:rStyle w:val="FootnoteReference"/>
                          <w:rFonts w:cstheme="minorHAnsi"/>
                          <w:b w:val="0"/>
                        </w:rPr>
                        <w:footnoteRef/>
                      </w:r>
                      <w:r w:rsidRPr="006815C9">
                        <w:rPr>
                          <w:rFonts w:cstheme="minorHAnsi"/>
                          <w:b w:val="0"/>
                        </w:rPr>
                        <w:t xml:space="preserve"> the ACCC set out a bargaining framework to illustrate how gas supply negotiations in the southern states may be influenced by the LNG fundamentals in Queensland. The ACCC observed that, while prices in the southern states were likely to be shaped by LNG netbacks, the cost of transporting gas to, or from, Wallumbilla meant that there was a range of potential pricing outcomes:</w:t>
                      </w:r>
                    </w:p>
                    <w:p w14:paraId="531DAB22" w14:textId="77777777" w:rsidR="004B5604" w:rsidRPr="006815C9" w:rsidRDefault="004B5604" w:rsidP="001E3835">
                      <w:pPr>
                        <w:pStyle w:val="Caption"/>
                        <w:numPr>
                          <w:ilvl w:val="0"/>
                          <w:numId w:val="20"/>
                        </w:numPr>
                        <w:spacing w:before="120" w:after="120"/>
                        <w:ind w:left="714" w:hanging="357"/>
                        <w:rPr>
                          <w:b w:val="0"/>
                        </w:rPr>
                      </w:pPr>
                      <w:r w:rsidRPr="006815C9">
                        <w:rPr>
                          <w:rFonts w:cstheme="minorHAnsi"/>
                          <w:b w:val="0"/>
                        </w:rPr>
                        <w:t xml:space="preserve">If there is diverse supply and strong competition in the southern states, competition will drive suppliers in the southern states to offer a gas price closer to their next best sales alternative. If this alternative is to sell gas to the LNG projects in Queensland, the price that the supplier in the southern states would receive is the LNG netback price at Wallumbilla less the cost of transporting gas (and processing costs) to Wallumbilla. </w:t>
                      </w:r>
                    </w:p>
                    <w:p w14:paraId="2BBB1300" w14:textId="6599373A" w:rsidR="004B5604" w:rsidRPr="001E3835" w:rsidRDefault="004B5604" w:rsidP="001E3835">
                      <w:pPr>
                        <w:pStyle w:val="Caption"/>
                        <w:numPr>
                          <w:ilvl w:val="0"/>
                          <w:numId w:val="20"/>
                        </w:numPr>
                        <w:spacing w:before="120" w:after="120"/>
                        <w:ind w:left="714" w:hanging="357"/>
                        <w:rPr>
                          <w:rFonts w:cstheme="minorHAnsi"/>
                          <w:b w:val="0"/>
                        </w:rPr>
                      </w:pPr>
                      <w:r w:rsidRPr="006815C9">
                        <w:rPr>
                          <w:rFonts w:cstheme="minorHAnsi"/>
                          <w:b w:val="0"/>
                        </w:rPr>
                        <w:t>If there is a lack of supply options in the southern states and producers can set prices in the absence of competitive constraints from other producers in the southern states, then these producers in the southern states can charge a price approaching the buyer’s next best alternative. If this alternative is to buy gas from producers in Queensland, the price that a gas buyer would have to pay for this gas is the LNG netback price at Wallumbilla plus transport costs from Wallumbilla to the buyer’s location.</w:t>
                      </w:r>
                    </w:p>
                  </w:txbxContent>
                </v:textbox>
                <w10:anchorlock/>
              </v:shape>
            </w:pict>
          </mc:Fallback>
        </mc:AlternateContent>
      </w:r>
    </w:p>
    <w:p w14:paraId="229EFC18" w14:textId="2FB7D1F9" w:rsidR="00C90861" w:rsidRPr="006815C9" w:rsidRDefault="00C90861" w:rsidP="001E3835">
      <w:pPr>
        <w:pStyle w:val="Caption"/>
        <w:keepNext/>
        <w:rPr>
          <w:rFonts w:cstheme="minorHAnsi"/>
        </w:rPr>
      </w:pPr>
      <w:bookmarkStart w:id="611" w:name="_Ref19287621"/>
      <w:r w:rsidRPr="006815C9">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10</w:t>
      </w:r>
      <w:r w:rsidRPr="006815C9">
        <w:rPr>
          <w:noProof/>
        </w:rPr>
        <w:fldChar w:fldCharType="end"/>
      </w:r>
      <w:bookmarkEnd w:id="611"/>
      <w:r w:rsidRPr="006815C9">
        <w:t>: Average of monthly gas commodity prices offered for 2019 supply against contemporaneous expectations of 2019 LNG netback prices (Southern States)</w:t>
      </w:r>
    </w:p>
    <w:p w14:paraId="7676C090" w14:textId="6DD99ABF" w:rsidR="00C90861" w:rsidRPr="006815C9" w:rsidRDefault="00B70DB3" w:rsidP="00C90861">
      <w:pPr>
        <w:pStyle w:val="ListParagraph"/>
        <w:ind w:left="0"/>
        <w:jc w:val="center"/>
        <w:rPr>
          <w:rFonts w:cstheme="minorHAnsi"/>
        </w:rPr>
      </w:pPr>
      <w:r w:rsidRPr="006815C9">
        <w:rPr>
          <w:noProof/>
          <w:lang w:eastAsia="en-AU"/>
        </w:rPr>
        <w:drawing>
          <wp:inline distT="0" distB="0" distL="0" distR="0" wp14:anchorId="55290747" wp14:editId="20508C37">
            <wp:extent cx="5400000" cy="3240000"/>
            <wp:effectExtent l="0" t="0" r="0" b="0"/>
            <wp:docPr id="25" name="Chart 25" descr="Average retailer offers for 2019 to commercial and industrial (C&amp;I) users have declined substantially from their peak in March 2017. Domestic gas commodity prices and LNG netback prices at Wallumbilla have converged since the introduction of the ADGSM." title="Figur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C6399E" w14:textId="638BB6F3" w:rsidR="00C90861" w:rsidRPr="006815C9" w:rsidRDefault="00C90861" w:rsidP="00DA68E3">
      <w:pPr>
        <w:pStyle w:val="ListParagraph"/>
        <w:ind w:left="0"/>
        <w:rPr>
          <w:rFonts w:cstheme="minorHAnsi"/>
          <w:sz w:val="18"/>
          <w:szCs w:val="18"/>
        </w:rPr>
      </w:pPr>
      <w:r w:rsidRPr="006815C9">
        <w:rPr>
          <w:rFonts w:cstheme="minorHAnsi"/>
          <w:sz w:val="18"/>
          <w:szCs w:val="18"/>
        </w:rPr>
        <w:t xml:space="preserve">Source: </w:t>
      </w:r>
      <w:r w:rsidR="00DA68E3" w:rsidRPr="006815C9">
        <w:rPr>
          <w:sz w:val="18"/>
          <w:szCs w:val="18"/>
        </w:rPr>
        <w:t xml:space="preserve">ACCC, Gas Inquiry 2017–2020 Interim Report, April 2019, p. </w:t>
      </w:r>
      <w:r w:rsidRPr="006815C9">
        <w:rPr>
          <w:sz w:val="18"/>
          <w:szCs w:val="18"/>
        </w:rPr>
        <w:t>31</w:t>
      </w:r>
      <w:r w:rsidR="00DA68E3" w:rsidRPr="006815C9">
        <w:rPr>
          <w:sz w:val="18"/>
          <w:szCs w:val="18"/>
        </w:rPr>
        <w:t>.</w:t>
      </w:r>
    </w:p>
    <w:p w14:paraId="039D2C0F" w14:textId="77777777" w:rsidR="00C90861" w:rsidRPr="006815C9" w:rsidRDefault="00C90861" w:rsidP="00C90861">
      <w:pPr>
        <w:pStyle w:val="ListParagraph"/>
        <w:ind w:left="0"/>
        <w:rPr>
          <w:rFonts w:cstheme="minorHAnsi"/>
        </w:rPr>
      </w:pPr>
    </w:p>
    <w:p w14:paraId="3FAFDDC4" w14:textId="52EC515D" w:rsidR="00C90861" w:rsidRPr="006815C9" w:rsidRDefault="00C90861" w:rsidP="00C90861">
      <w:pPr>
        <w:pStyle w:val="ListParagraph"/>
        <w:ind w:left="0"/>
        <w:rPr>
          <w:rFonts w:cstheme="minorHAnsi"/>
        </w:rPr>
      </w:pPr>
      <w:r w:rsidRPr="006815C9">
        <w:rPr>
          <w:rFonts w:cstheme="minorHAnsi"/>
        </w:rPr>
        <w:fldChar w:fldCharType="begin"/>
      </w:r>
      <w:r w:rsidRPr="006815C9">
        <w:rPr>
          <w:rFonts w:cstheme="minorHAnsi"/>
        </w:rPr>
        <w:instrText xml:space="preserve"> REF _Ref19287692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11</w:t>
      </w:r>
      <w:r w:rsidRPr="006815C9">
        <w:rPr>
          <w:rFonts w:cstheme="minorHAnsi"/>
        </w:rPr>
        <w:fldChar w:fldCharType="end"/>
      </w:r>
      <w:r w:rsidRPr="006815C9">
        <w:rPr>
          <w:rFonts w:cstheme="minorHAnsi"/>
        </w:rPr>
        <w:t xml:space="preserve"> shows this trend has continued over the last twelve months. From February 2018 to April 2019, the average of prices offered by producers and retailers in </w:t>
      </w:r>
      <w:r w:rsidR="00DF221D" w:rsidRPr="006815C9">
        <w:rPr>
          <w:rFonts w:cstheme="minorHAnsi"/>
        </w:rPr>
        <w:t>southern s</w:t>
      </w:r>
      <w:r w:rsidRPr="006815C9">
        <w:rPr>
          <w:rFonts w:cstheme="minorHAnsi"/>
        </w:rPr>
        <w:t xml:space="preserve">tates tracked closely to the band between the expected 2020 LNG netback price at Wallumbilla and the same price plus transport to Victoria. </w:t>
      </w:r>
    </w:p>
    <w:p w14:paraId="6138003C" w14:textId="77F9B58F" w:rsidR="00C90861" w:rsidRPr="006815C9" w:rsidRDefault="00C90861" w:rsidP="00C90861">
      <w:pPr>
        <w:pStyle w:val="ListParagraph"/>
        <w:ind w:left="0"/>
        <w:rPr>
          <w:rFonts w:cstheme="minorHAnsi"/>
        </w:rPr>
      </w:pPr>
    </w:p>
    <w:p w14:paraId="7591DDDF" w14:textId="56368D22" w:rsidR="00C90861" w:rsidRPr="006815C9" w:rsidRDefault="00C90861" w:rsidP="00FA0273">
      <w:pPr>
        <w:pStyle w:val="Caption"/>
        <w:rPr>
          <w:rFonts w:cstheme="minorHAnsi"/>
        </w:rPr>
      </w:pPr>
      <w:bookmarkStart w:id="612" w:name="_Ref19287692"/>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11</w:t>
      </w:r>
      <w:r w:rsidRPr="006815C9">
        <w:rPr>
          <w:noProof/>
        </w:rPr>
        <w:fldChar w:fldCharType="end"/>
      </w:r>
      <w:bookmarkEnd w:id="612"/>
      <w:r w:rsidRPr="006815C9">
        <w:t>: Average of monthly gas commodity prices offered for 2020 supply against contemporaneous expectations of 2020 LNG netback prices (Southern States)</w:t>
      </w:r>
    </w:p>
    <w:p w14:paraId="58DB8962" w14:textId="50128274" w:rsidR="00C90861" w:rsidRPr="006815C9" w:rsidRDefault="006C769C" w:rsidP="00C90861">
      <w:pPr>
        <w:pStyle w:val="ListParagraph"/>
        <w:ind w:left="0"/>
        <w:jc w:val="center"/>
        <w:rPr>
          <w:rFonts w:cstheme="minorHAnsi"/>
        </w:rPr>
      </w:pPr>
      <w:r w:rsidRPr="006815C9">
        <w:rPr>
          <w:noProof/>
          <w:lang w:eastAsia="en-AU"/>
        </w:rPr>
        <w:drawing>
          <wp:inline distT="0" distB="0" distL="0" distR="0" wp14:anchorId="5D12B803" wp14:editId="636B626F">
            <wp:extent cx="5400000" cy="3240000"/>
            <wp:effectExtent l="0" t="0" r="0" b="0"/>
            <wp:docPr id="31" name="Chart 31" descr="The converging of monthly gas commodity prices with LNG netback prices at Wallumbilla was sustained in offers made from February 2018 to April 2019." title="Fig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594FCC" w14:textId="16EC0A1E" w:rsidR="00C90861" w:rsidRPr="006815C9" w:rsidRDefault="00C90861" w:rsidP="00C90861">
      <w:pPr>
        <w:pStyle w:val="ListParagraph"/>
        <w:ind w:left="0"/>
        <w:rPr>
          <w:sz w:val="18"/>
          <w:szCs w:val="18"/>
        </w:rPr>
      </w:pPr>
      <w:r w:rsidRPr="006815C9">
        <w:rPr>
          <w:sz w:val="18"/>
          <w:szCs w:val="18"/>
        </w:rPr>
        <w:t xml:space="preserve">Source: </w:t>
      </w:r>
      <w:r w:rsidR="00DA68E3" w:rsidRPr="006815C9">
        <w:rPr>
          <w:sz w:val="18"/>
          <w:szCs w:val="18"/>
        </w:rPr>
        <w:t>ACCC, Gas Inquiry 2017–2020 Interim Report, July 2019, p.</w:t>
      </w:r>
      <w:r w:rsidR="00C227B0" w:rsidRPr="006815C9">
        <w:rPr>
          <w:sz w:val="18"/>
          <w:szCs w:val="18"/>
        </w:rPr>
        <w:t xml:space="preserve"> 57.</w:t>
      </w:r>
    </w:p>
    <w:p w14:paraId="065711C4" w14:textId="77777777" w:rsidR="00C90861" w:rsidRPr="006815C9" w:rsidRDefault="00C90861" w:rsidP="00C90861">
      <w:pPr>
        <w:pStyle w:val="ListParagraph"/>
        <w:ind w:left="0"/>
        <w:rPr>
          <w:rFonts w:cstheme="minorHAnsi"/>
        </w:rPr>
      </w:pPr>
    </w:p>
    <w:p w14:paraId="555138B6" w14:textId="77777777" w:rsidR="00C90861" w:rsidRPr="006815C9" w:rsidRDefault="00C90861" w:rsidP="00C90861">
      <w:pPr>
        <w:pStyle w:val="Heading3"/>
      </w:pPr>
      <w:bookmarkStart w:id="613" w:name="_Toc18590677"/>
      <w:bookmarkStart w:id="614" w:name="_Toc18592142"/>
      <w:bookmarkStart w:id="615" w:name="_Toc19109850"/>
      <w:bookmarkStart w:id="616" w:name="_Toc19113893"/>
      <w:bookmarkStart w:id="617" w:name="_Toc19189782"/>
      <w:bookmarkStart w:id="618" w:name="_Toc19271065"/>
      <w:bookmarkStart w:id="619" w:name="_Toc19280643"/>
      <w:bookmarkStart w:id="620" w:name="_Toc19281137"/>
      <w:bookmarkStart w:id="621" w:name="_Toc19537964"/>
      <w:bookmarkStart w:id="622" w:name="_Toc19545370"/>
      <w:bookmarkStart w:id="623" w:name="_Toc19611843"/>
      <w:bookmarkStart w:id="624" w:name="_Toc19628596"/>
      <w:bookmarkStart w:id="625" w:name="_Toc19628636"/>
      <w:bookmarkStart w:id="626" w:name="_Toc19717441"/>
      <w:bookmarkStart w:id="627" w:name="_Toc19720128"/>
      <w:bookmarkStart w:id="628" w:name="_Toc19789971"/>
      <w:bookmarkStart w:id="629" w:name="_Toc19803041"/>
      <w:bookmarkStart w:id="630" w:name="_Toc19804088"/>
      <w:bookmarkStart w:id="631" w:name="_Toc19804288"/>
      <w:bookmarkStart w:id="632" w:name="_Toc19804534"/>
      <w:bookmarkStart w:id="633" w:name="_Toc19888538"/>
      <w:bookmarkStart w:id="634" w:name="_Toc19889165"/>
      <w:bookmarkStart w:id="635" w:name="_Toc20232936"/>
      <w:bookmarkStart w:id="636" w:name="_Toc20237746"/>
      <w:bookmarkStart w:id="637" w:name="_Toc20322032"/>
      <w:bookmarkStart w:id="638" w:name="_Toc20322450"/>
      <w:bookmarkStart w:id="639" w:name="_Toc20398016"/>
      <w:bookmarkStart w:id="640" w:name="_Toc20401017"/>
      <w:bookmarkStart w:id="641" w:name="_Toc20410655"/>
      <w:bookmarkStart w:id="642" w:name="_Toc20412181"/>
      <w:bookmarkStart w:id="643" w:name="_Toc20469274"/>
      <w:bookmarkStart w:id="644" w:name="_Toc21705349"/>
      <w:bookmarkStart w:id="645" w:name="_Toc26349927"/>
      <w:bookmarkStart w:id="646" w:name="_Toc26448244"/>
      <w:bookmarkStart w:id="647" w:name="_Toc26454526"/>
      <w:bookmarkStart w:id="648" w:name="_Toc29823315"/>
      <w:r w:rsidRPr="006815C9">
        <w:t>C&amp;I gas user experience</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27E08AA9" w14:textId="0CD9DB71"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 xml:space="preserve">In September 2017, commercial and industrial (C&amp;I) users told the ACCC that they were experiencing difficulties in securing </w:t>
      </w:r>
      <w:r w:rsidR="008B71BE" w:rsidRPr="006815C9">
        <w:rPr>
          <w:rFonts w:eastAsia="Times New Roman" w:cstheme="minorHAnsi"/>
          <w:color w:val="000000"/>
          <w:lang w:eastAsia="en-AU"/>
        </w:rPr>
        <w:t xml:space="preserve">gas supply </w:t>
      </w:r>
      <w:r w:rsidRPr="006815C9">
        <w:rPr>
          <w:rFonts w:eastAsia="Times New Roman" w:cstheme="minorHAnsi"/>
          <w:color w:val="000000"/>
          <w:lang w:eastAsia="en-AU"/>
        </w:rPr>
        <w:t>offers on competitive terms for 2018 and beyond. Most large C&amp;I users had only one supplier willing to supply them and prices offered in 2017 were considerably higher than 2016 levels</w:t>
      </w:r>
      <w:r w:rsidR="00814FF4" w:rsidRPr="006815C9">
        <w:rPr>
          <w:rFonts w:eastAsia="Times New Roman" w:cstheme="minorHAnsi"/>
          <w:color w:val="000000"/>
          <w:lang w:eastAsia="en-AU"/>
        </w:rPr>
        <w:t>, generally ranging from $10</w:t>
      </w:r>
      <w:r w:rsidR="00C53691">
        <w:rPr>
          <w:rFonts w:eastAsia="Times New Roman" w:cstheme="minorHAnsi"/>
          <w:color w:val="000000"/>
          <w:lang w:eastAsia="en-AU"/>
        </w:rPr>
        <w:t xml:space="preserve"> to </w:t>
      </w:r>
      <w:r w:rsidR="001C6ED8">
        <w:rPr>
          <w:rFonts w:eastAsia="Times New Roman" w:cstheme="minorHAnsi"/>
          <w:color w:val="000000"/>
          <w:lang w:eastAsia="en-AU"/>
        </w:rPr>
        <w:t>$</w:t>
      </w:r>
      <w:r w:rsidR="00814FF4" w:rsidRPr="006815C9">
        <w:rPr>
          <w:rFonts w:eastAsia="Times New Roman" w:cstheme="minorHAnsi"/>
          <w:color w:val="000000"/>
          <w:lang w:eastAsia="en-AU"/>
        </w:rPr>
        <w:t xml:space="preserve">16 per </w:t>
      </w:r>
      <w:r w:rsidRPr="006815C9">
        <w:rPr>
          <w:rFonts w:eastAsia="Times New Roman" w:cstheme="minorHAnsi"/>
          <w:color w:val="000000"/>
          <w:lang w:eastAsia="en-AU"/>
        </w:rPr>
        <w:t>GJ. These prices were well in excess of appropriate benchmark prices</w:t>
      </w:r>
      <w:r w:rsidR="00D31FF2" w:rsidRPr="006815C9">
        <w:rPr>
          <w:rFonts w:eastAsia="Times New Roman" w:cstheme="minorHAnsi"/>
          <w:color w:val="000000"/>
          <w:lang w:eastAsia="en-AU"/>
        </w:rPr>
        <w:t>.</w:t>
      </w:r>
      <w:r w:rsidRPr="006815C9">
        <w:rPr>
          <w:rStyle w:val="FootnoteReference"/>
          <w:rFonts w:eastAsia="Times New Roman" w:cstheme="minorHAnsi"/>
          <w:color w:val="000000"/>
          <w:lang w:eastAsia="en-AU"/>
        </w:rPr>
        <w:footnoteReference w:id="15"/>
      </w:r>
      <w:r w:rsidRPr="006815C9">
        <w:rPr>
          <w:rFonts w:eastAsia="Times New Roman" w:cstheme="minorHAnsi"/>
          <w:color w:val="000000"/>
          <w:lang w:eastAsia="en-AU"/>
        </w:rPr>
        <w:t xml:space="preserve"> </w:t>
      </w:r>
    </w:p>
    <w:p w14:paraId="6C344724" w14:textId="6C964524"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 xml:space="preserve">By December 2017, market conditions had improved, particularly for large C&amp;I users who consume more than one </w:t>
      </w:r>
      <w:r w:rsidR="006A1D4F" w:rsidRPr="006815C9">
        <w:rPr>
          <w:rFonts w:eastAsia="Times New Roman" w:cstheme="minorHAnsi"/>
          <w:color w:val="000000"/>
          <w:lang w:eastAsia="en-AU"/>
        </w:rPr>
        <w:t>PJ</w:t>
      </w:r>
      <w:r w:rsidRPr="006815C9">
        <w:rPr>
          <w:rFonts w:eastAsia="Times New Roman" w:cstheme="minorHAnsi"/>
          <w:color w:val="000000"/>
          <w:lang w:eastAsia="en-AU"/>
        </w:rPr>
        <w:t xml:space="preserve"> per year. Large C&amp;I users reported lower prices than early 2017 and more suppliers making offers, particularly Queensland suppliers. By this time, most large C&amp;I users the ACCC </w:t>
      </w:r>
      <w:r w:rsidR="00815DE1" w:rsidRPr="006815C9">
        <w:rPr>
          <w:rFonts w:eastAsia="Times New Roman" w:cstheme="minorHAnsi"/>
          <w:color w:val="000000"/>
          <w:lang w:eastAsia="en-AU"/>
        </w:rPr>
        <w:t>liaised</w:t>
      </w:r>
      <w:r w:rsidRPr="006815C9">
        <w:rPr>
          <w:rFonts w:eastAsia="Times New Roman" w:cstheme="minorHAnsi"/>
          <w:color w:val="000000"/>
          <w:lang w:eastAsia="en-AU"/>
        </w:rPr>
        <w:t xml:space="preserve"> with had secured gas supply agreements (GSAs) for 2018 supply.</w:t>
      </w:r>
    </w:p>
    <w:p w14:paraId="2C9A1070" w14:textId="48F9DE34"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 xml:space="preserve">These GSAs included substantial supply from LNG </w:t>
      </w:r>
      <w:r w:rsidR="00815DE1" w:rsidRPr="006815C9">
        <w:rPr>
          <w:rFonts w:eastAsia="Times New Roman" w:cstheme="minorHAnsi"/>
          <w:color w:val="000000"/>
          <w:lang w:eastAsia="en-AU"/>
        </w:rPr>
        <w:t>projects</w:t>
      </w:r>
      <w:r w:rsidRPr="006815C9">
        <w:rPr>
          <w:rFonts w:eastAsia="Times New Roman" w:cstheme="minorHAnsi"/>
          <w:color w:val="000000"/>
          <w:lang w:eastAsia="en-AU"/>
        </w:rPr>
        <w:t xml:space="preserve">. In October 2017, Australia Pacific LNG signed a sales agreement with Origin Energy to supply 41 </w:t>
      </w:r>
      <w:r w:rsidR="006A1D4F" w:rsidRPr="006815C9">
        <w:rPr>
          <w:rFonts w:eastAsia="Times New Roman" w:cstheme="minorHAnsi"/>
          <w:color w:val="000000"/>
          <w:lang w:eastAsia="en-AU"/>
        </w:rPr>
        <w:t xml:space="preserve">PJ </w:t>
      </w:r>
      <w:r w:rsidRPr="006815C9">
        <w:rPr>
          <w:rFonts w:eastAsia="Times New Roman" w:cstheme="minorHAnsi"/>
          <w:color w:val="000000"/>
          <w:lang w:eastAsia="en-AU"/>
        </w:rPr>
        <w:t>of gas under a 14-month contract starting in November 2017.</w:t>
      </w:r>
      <w:r w:rsidRPr="006815C9">
        <w:rPr>
          <w:rStyle w:val="FootnoteReference"/>
          <w:rFonts w:eastAsia="Times New Roman" w:cstheme="minorHAnsi"/>
          <w:color w:val="000000"/>
          <w:lang w:eastAsia="en-AU"/>
        </w:rPr>
        <w:footnoteReference w:id="16"/>
      </w:r>
      <w:r w:rsidRPr="006815C9">
        <w:rPr>
          <w:rFonts w:eastAsia="Times New Roman" w:cstheme="minorHAnsi"/>
          <w:color w:val="000000"/>
          <w:lang w:eastAsia="en-AU"/>
        </w:rPr>
        <w:t xml:space="preserve">  By December 2017, Santos had pledged to divert over 60 </w:t>
      </w:r>
      <w:r w:rsidR="006A1D4F" w:rsidRPr="006815C9">
        <w:rPr>
          <w:rFonts w:eastAsia="Times New Roman" w:cstheme="minorHAnsi"/>
          <w:color w:val="000000"/>
          <w:lang w:eastAsia="en-AU"/>
        </w:rPr>
        <w:t xml:space="preserve">PJ </w:t>
      </w:r>
      <w:r w:rsidRPr="006815C9">
        <w:rPr>
          <w:rFonts w:eastAsia="Times New Roman" w:cstheme="minorHAnsi"/>
          <w:color w:val="000000"/>
          <w:lang w:eastAsia="en-AU"/>
        </w:rPr>
        <w:t xml:space="preserve">of gas from its Gladstone </w:t>
      </w:r>
      <w:r w:rsidR="00A57578" w:rsidRPr="006815C9">
        <w:rPr>
          <w:rFonts w:eastAsia="Times New Roman" w:cstheme="minorHAnsi"/>
          <w:color w:val="000000"/>
          <w:lang w:eastAsia="en-AU"/>
        </w:rPr>
        <w:t>LNG p</w:t>
      </w:r>
      <w:r w:rsidR="00815DE1" w:rsidRPr="006815C9">
        <w:rPr>
          <w:rFonts w:eastAsia="Times New Roman" w:cstheme="minorHAnsi"/>
          <w:color w:val="000000"/>
          <w:lang w:eastAsia="en-AU"/>
        </w:rPr>
        <w:t>roject</w:t>
      </w:r>
      <w:r w:rsidR="00A57578" w:rsidRPr="006815C9">
        <w:rPr>
          <w:rFonts w:eastAsia="Times New Roman" w:cstheme="minorHAnsi"/>
          <w:color w:val="000000"/>
          <w:lang w:eastAsia="en-AU"/>
        </w:rPr>
        <w:t xml:space="preserve"> into </w:t>
      </w:r>
      <w:r w:rsidR="00815DE1" w:rsidRPr="006815C9">
        <w:rPr>
          <w:rFonts w:eastAsia="Times New Roman" w:cstheme="minorHAnsi"/>
          <w:color w:val="000000"/>
          <w:lang w:eastAsia="en-AU"/>
        </w:rPr>
        <w:t>Australia’</w:t>
      </w:r>
      <w:r w:rsidR="00A57578" w:rsidRPr="006815C9">
        <w:rPr>
          <w:rFonts w:eastAsia="Times New Roman" w:cstheme="minorHAnsi"/>
          <w:color w:val="000000"/>
          <w:lang w:eastAsia="en-AU"/>
        </w:rPr>
        <w:t>s eastern</w:t>
      </w:r>
      <w:r w:rsidRPr="006815C9">
        <w:rPr>
          <w:rFonts w:eastAsia="Times New Roman" w:cstheme="minorHAnsi"/>
          <w:color w:val="000000"/>
          <w:lang w:eastAsia="en-AU"/>
        </w:rPr>
        <w:t xml:space="preserve"> </w:t>
      </w:r>
      <w:r w:rsidR="00815DE1" w:rsidRPr="006815C9">
        <w:rPr>
          <w:rFonts w:eastAsia="Times New Roman" w:cstheme="minorHAnsi"/>
          <w:color w:val="000000"/>
          <w:lang w:eastAsia="en-AU"/>
        </w:rPr>
        <w:t xml:space="preserve">gas </w:t>
      </w:r>
      <w:r w:rsidRPr="006815C9">
        <w:rPr>
          <w:rFonts w:eastAsia="Times New Roman" w:cstheme="minorHAnsi"/>
          <w:color w:val="000000"/>
          <w:lang w:eastAsia="en-AU"/>
        </w:rPr>
        <w:t>market over the next two years.</w:t>
      </w:r>
      <w:r w:rsidRPr="006815C9">
        <w:rPr>
          <w:rStyle w:val="FootnoteReference"/>
          <w:rFonts w:eastAsia="Times New Roman" w:cstheme="minorHAnsi"/>
          <w:color w:val="000000"/>
          <w:lang w:eastAsia="en-AU"/>
        </w:rPr>
        <w:footnoteReference w:id="17"/>
      </w:r>
    </w:p>
    <w:p w14:paraId="0B61919E" w14:textId="7493FA44" w:rsidR="00C90861" w:rsidRPr="006815C9" w:rsidRDefault="00EE134F" w:rsidP="00C90861">
      <w:r w:rsidRPr="006815C9">
        <w:fldChar w:fldCharType="begin"/>
      </w:r>
      <w:r w:rsidRPr="006815C9">
        <w:instrText xml:space="preserve"> REF _Ref19287735 \h </w:instrText>
      </w:r>
      <w:r w:rsidR="006815C9">
        <w:instrText xml:space="preserve"> \* MERGEFORMAT </w:instrText>
      </w:r>
      <w:r w:rsidRPr="006815C9">
        <w:fldChar w:fldCharType="separate"/>
      </w:r>
      <w:r w:rsidR="00E41BD3" w:rsidRPr="006815C9">
        <w:t xml:space="preserve">Figure </w:t>
      </w:r>
      <w:r w:rsidR="00E41BD3">
        <w:rPr>
          <w:noProof/>
        </w:rPr>
        <w:t>12</w:t>
      </w:r>
      <w:r w:rsidRPr="006815C9">
        <w:fldChar w:fldCharType="end"/>
      </w:r>
      <w:r w:rsidR="004E6E0F" w:rsidRPr="006815C9">
        <w:t xml:space="preserve"> shows offers </w:t>
      </w:r>
      <w:r w:rsidR="00B80C57" w:rsidRPr="006815C9">
        <w:t xml:space="preserve">for supply in </w:t>
      </w:r>
      <w:r w:rsidR="000344BE" w:rsidRPr="006815C9">
        <w:t xml:space="preserve">the eastern gas market and historical ACCC LNG netback prices. Offers for supply </w:t>
      </w:r>
      <w:r w:rsidR="00B80C57" w:rsidRPr="006815C9">
        <w:t xml:space="preserve">in 2019 </w:t>
      </w:r>
      <w:r w:rsidR="000344BE" w:rsidRPr="006815C9">
        <w:t xml:space="preserve">were </w:t>
      </w:r>
      <w:r w:rsidR="00027B8D" w:rsidRPr="006815C9">
        <w:t xml:space="preserve">made in 2017, </w:t>
      </w:r>
      <w:r w:rsidR="000344BE" w:rsidRPr="006815C9">
        <w:t xml:space="preserve">while </w:t>
      </w:r>
      <w:r w:rsidR="00B80C57" w:rsidRPr="006815C9">
        <w:t xml:space="preserve">offers for supply in 2020 </w:t>
      </w:r>
      <w:r w:rsidR="000344BE" w:rsidRPr="006815C9">
        <w:t xml:space="preserve">have been </w:t>
      </w:r>
      <w:r w:rsidR="00B80C57" w:rsidRPr="006815C9">
        <w:t xml:space="preserve">made since </w:t>
      </w:r>
      <w:r w:rsidR="00D6419A" w:rsidRPr="006815C9">
        <w:lastRenderedPageBreak/>
        <w:t>2018</w:t>
      </w:r>
      <w:r w:rsidR="00C90861" w:rsidRPr="006815C9">
        <w:t xml:space="preserve">. </w:t>
      </w:r>
      <w:r w:rsidR="00805154" w:rsidRPr="006815C9">
        <w:t xml:space="preserve">While prices have largely stabilised since </w:t>
      </w:r>
      <w:r w:rsidR="00DB3FB4" w:rsidRPr="006815C9">
        <w:t xml:space="preserve">the </w:t>
      </w:r>
      <w:r w:rsidR="00805154" w:rsidRPr="006815C9">
        <w:t xml:space="preserve">highs of early 2017, there is </w:t>
      </w:r>
      <w:r w:rsidR="00DF221D" w:rsidRPr="006815C9">
        <w:t>potential</w:t>
      </w:r>
      <w:r w:rsidR="00805154" w:rsidRPr="006815C9">
        <w:t xml:space="preserve"> for them to decrease further</w:t>
      </w:r>
      <w:r w:rsidR="00B70DB3" w:rsidRPr="006815C9">
        <w:t>.</w:t>
      </w:r>
      <w:r w:rsidR="00B80C57" w:rsidRPr="006815C9">
        <w:t xml:space="preserve"> </w:t>
      </w:r>
      <w:r w:rsidR="00B534CA" w:rsidRPr="006815C9">
        <w:t xml:space="preserve">The </w:t>
      </w:r>
      <w:r w:rsidR="00741230" w:rsidRPr="006815C9">
        <w:t>current</w:t>
      </w:r>
      <w:r w:rsidR="00B70DB3" w:rsidRPr="006815C9">
        <w:t>ly</w:t>
      </w:r>
      <w:r w:rsidR="00741230" w:rsidRPr="006815C9">
        <w:t xml:space="preserve"> </w:t>
      </w:r>
      <w:r w:rsidR="00B534CA" w:rsidRPr="006815C9">
        <w:t>low spot Asia LNG prices</w:t>
      </w:r>
      <w:r w:rsidR="00B70DB3" w:rsidRPr="006815C9">
        <w:rPr>
          <w:rStyle w:val="FootnoteReference"/>
        </w:rPr>
        <w:footnoteReference w:id="18"/>
      </w:r>
      <w:r w:rsidR="00B534CA" w:rsidRPr="006815C9">
        <w:t xml:space="preserve"> </w:t>
      </w:r>
      <w:r w:rsidR="00741230" w:rsidRPr="006815C9">
        <w:t xml:space="preserve">will </w:t>
      </w:r>
      <w:r w:rsidR="002E715F" w:rsidRPr="006815C9">
        <w:t>likely</w:t>
      </w:r>
      <w:r w:rsidR="00741230" w:rsidRPr="006815C9">
        <w:t xml:space="preserve"> exert downward pressure on </w:t>
      </w:r>
      <w:r w:rsidR="00532175" w:rsidRPr="006815C9">
        <w:t>eastern gas prices in the near term.</w:t>
      </w:r>
      <w:r w:rsidR="00B80C57" w:rsidRPr="006815C9">
        <w:t xml:space="preserve"> </w:t>
      </w:r>
    </w:p>
    <w:p w14:paraId="64657B2C" w14:textId="5B0E4BF1" w:rsidR="00620423" w:rsidRPr="006815C9" w:rsidRDefault="00620423" w:rsidP="00C53691">
      <w:pPr>
        <w:pStyle w:val="Caption"/>
        <w:keepNext/>
      </w:pPr>
      <w:bookmarkStart w:id="649" w:name="_Ref19287735"/>
      <w:bookmarkStart w:id="650" w:name="_Ref20491737"/>
      <w:r w:rsidRPr="006815C9">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12</w:t>
      </w:r>
      <w:r w:rsidRPr="006815C9">
        <w:rPr>
          <w:noProof/>
        </w:rPr>
        <w:fldChar w:fldCharType="end"/>
      </w:r>
      <w:bookmarkEnd w:id="649"/>
      <w:r w:rsidRPr="006815C9">
        <w:t xml:space="preserve">: </w:t>
      </w:r>
      <w:r w:rsidR="002D03CE" w:rsidRPr="006815C9">
        <w:t>Gas commodity price offers for 2019 and 2020 supply in the eastern gas market against expectations of LNG netback prices</w:t>
      </w:r>
      <w:bookmarkEnd w:id="650"/>
    </w:p>
    <w:p w14:paraId="24333189" w14:textId="7B59BE5B" w:rsidR="00620423" w:rsidRPr="006815C9" w:rsidRDefault="00A75D77" w:rsidP="00C53691">
      <w:pPr>
        <w:keepNext/>
        <w:jc w:val="center"/>
        <w:rPr>
          <w:noProof/>
          <w:lang w:eastAsia="en-AU"/>
        </w:rPr>
      </w:pPr>
      <w:r w:rsidRPr="006815C9">
        <w:rPr>
          <w:noProof/>
          <w:lang w:eastAsia="en-AU"/>
        </w:rPr>
        <w:drawing>
          <wp:inline distT="0" distB="0" distL="0" distR="0" wp14:anchorId="6B9C08E4" wp14:editId="14CDE584">
            <wp:extent cx="5400000" cy="3240000"/>
            <wp:effectExtent l="0" t="0" r="0" b="0"/>
            <wp:docPr id="9" name="Chart 9" descr="Prices have largely stabilised since the highs of early 2017, however there is potential for them to decrease further. Expected LNG netback prices are still lower than the majority of offers. " title="Figur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D31A8A" w14:textId="6F9D08E5" w:rsidR="00C90861" w:rsidRPr="006815C9" w:rsidRDefault="00620423" w:rsidP="00C53691">
      <w:pPr>
        <w:keepNext/>
        <w:rPr>
          <w:noProof/>
          <w:sz w:val="18"/>
          <w:szCs w:val="18"/>
          <w:lang w:eastAsia="en-AU"/>
        </w:rPr>
      </w:pPr>
      <w:r w:rsidRPr="006815C9">
        <w:rPr>
          <w:b/>
          <w:sz w:val="18"/>
          <w:szCs w:val="18"/>
          <w:lang w:eastAsia="en-AU"/>
        </w:rPr>
        <w:t xml:space="preserve">Note: </w:t>
      </w:r>
      <w:r w:rsidRPr="006815C9">
        <w:rPr>
          <w:i/>
          <w:sz w:val="18"/>
          <w:szCs w:val="18"/>
          <w:lang w:eastAsia="en-AU"/>
        </w:rPr>
        <w:t xml:space="preserve">Includes arms-length transactions only. Includes offers with a term of at least one year and an annual contract quantity of at least 0.5 PJ. </w:t>
      </w:r>
      <w:r w:rsidR="008B0556" w:rsidRPr="006815C9">
        <w:rPr>
          <w:i/>
          <w:sz w:val="18"/>
          <w:szCs w:val="18"/>
          <w:lang w:eastAsia="en-AU"/>
        </w:rPr>
        <w:t>Origin Energy, AGL, Energy</w:t>
      </w:r>
      <w:r w:rsidR="00FB0978" w:rsidRPr="006815C9">
        <w:rPr>
          <w:i/>
          <w:sz w:val="18"/>
          <w:szCs w:val="18"/>
          <w:lang w:eastAsia="en-AU"/>
        </w:rPr>
        <w:t xml:space="preserve"> </w:t>
      </w:r>
      <w:r w:rsidR="008B0556" w:rsidRPr="006815C9">
        <w:rPr>
          <w:i/>
          <w:sz w:val="18"/>
          <w:szCs w:val="18"/>
          <w:lang w:eastAsia="en-AU"/>
        </w:rPr>
        <w:t>Australia, Alinta Energy, Shell Energy Australia and Macquarie Bank are classified as ‘retailers’. The prices of individual transactions are not all directly comparable due to differences in non-price terms and conditions. The ACCC has not sought to adjust for these factors in the chart.</w:t>
      </w:r>
      <w:r w:rsidR="008232CE" w:rsidRPr="006815C9">
        <w:rPr>
          <w:i/>
          <w:sz w:val="18"/>
          <w:szCs w:val="18"/>
          <w:lang w:eastAsia="en-AU"/>
        </w:rPr>
        <w:t xml:space="preserve"> </w:t>
      </w:r>
      <w:r w:rsidRPr="006815C9">
        <w:rPr>
          <w:i/>
          <w:sz w:val="18"/>
          <w:szCs w:val="18"/>
          <w:lang w:eastAsia="en-AU"/>
        </w:rPr>
        <w:t xml:space="preserve">Offers for Northern Territory gas were included only if the delivery point for the supply of gas was in the </w:t>
      </w:r>
      <w:r w:rsidR="008B0556" w:rsidRPr="006815C9">
        <w:rPr>
          <w:i/>
          <w:sz w:val="18"/>
          <w:szCs w:val="18"/>
          <w:lang w:eastAsia="en-AU"/>
        </w:rPr>
        <w:t>eastern gas market</w:t>
      </w:r>
      <w:r w:rsidRPr="006815C9">
        <w:rPr>
          <w:i/>
          <w:sz w:val="18"/>
          <w:szCs w:val="18"/>
          <w:lang w:eastAsia="en-AU"/>
        </w:rPr>
        <w:t xml:space="preserve">. </w:t>
      </w:r>
      <w:r w:rsidR="008B0556" w:rsidRPr="006815C9">
        <w:rPr>
          <w:i/>
          <w:sz w:val="18"/>
          <w:szCs w:val="18"/>
          <w:lang w:eastAsia="en-AU"/>
        </w:rPr>
        <w:t xml:space="preserve">Offers made </w:t>
      </w:r>
      <w:r w:rsidRPr="006815C9">
        <w:rPr>
          <w:i/>
          <w:sz w:val="18"/>
          <w:szCs w:val="18"/>
          <w:lang w:eastAsia="en-AU"/>
        </w:rPr>
        <w:t xml:space="preserve">in 2017 </w:t>
      </w:r>
      <w:r w:rsidR="00EA2A84" w:rsidRPr="006815C9">
        <w:rPr>
          <w:i/>
          <w:sz w:val="18"/>
          <w:szCs w:val="18"/>
          <w:lang w:eastAsia="en-AU"/>
        </w:rPr>
        <w:t xml:space="preserve">for the supply of gas in 2019 </w:t>
      </w:r>
      <w:r w:rsidR="00066B86" w:rsidRPr="006815C9">
        <w:rPr>
          <w:i/>
          <w:sz w:val="18"/>
          <w:szCs w:val="18"/>
          <w:lang w:eastAsia="en-AU"/>
        </w:rPr>
        <w:t>are priced</w:t>
      </w:r>
      <w:r w:rsidR="00EA2A84" w:rsidRPr="006815C9">
        <w:rPr>
          <w:i/>
          <w:sz w:val="18"/>
          <w:szCs w:val="18"/>
          <w:lang w:eastAsia="en-AU"/>
        </w:rPr>
        <w:t xml:space="preserve"> in 2019 dollars</w:t>
      </w:r>
      <w:r w:rsidRPr="006815C9">
        <w:rPr>
          <w:i/>
          <w:sz w:val="18"/>
          <w:szCs w:val="18"/>
          <w:lang w:eastAsia="en-AU"/>
        </w:rPr>
        <w:t xml:space="preserve"> </w:t>
      </w:r>
      <w:r w:rsidR="00587864" w:rsidRPr="006815C9">
        <w:rPr>
          <w:i/>
          <w:sz w:val="18"/>
          <w:szCs w:val="18"/>
          <w:lang w:eastAsia="en-AU"/>
        </w:rPr>
        <w:t xml:space="preserve">while offers made </w:t>
      </w:r>
      <w:r w:rsidR="00066B86" w:rsidRPr="006815C9">
        <w:rPr>
          <w:i/>
          <w:sz w:val="18"/>
          <w:szCs w:val="18"/>
          <w:lang w:eastAsia="en-AU"/>
        </w:rPr>
        <w:t>since</w:t>
      </w:r>
      <w:r w:rsidR="00587864" w:rsidRPr="006815C9">
        <w:rPr>
          <w:i/>
          <w:sz w:val="18"/>
          <w:szCs w:val="18"/>
          <w:lang w:eastAsia="en-AU"/>
        </w:rPr>
        <w:t xml:space="preserve"> 2018 for the supply of gas in 2020 </w:t>
      </w:r>
      <w:r w:rsidR="00066B86" w:rsidRPr="006815C9">
        <w:rPr>
          <w:i/>
          <w:sz w:val="18"/>
          <w:szCs w:val="18"/>
          <w:lang w:eastAsia="en-AU"/>
        </w:rPr>
        <w:t>are priced</w:t>
      </w:r>
      <w:r w:rsidR="00587864" w:rsidRPr="006815C9">
        <w:rPr>
          <w:i/>
          <w:sz w:val="18"/>
          <w:szCs w:val="18"/>
          <w:lang w:eastAsia="en-AU"/>
        </w:rPr>
        <w:t xml:space="preserve"> in 2020 dollars</w:t>
      </w:r>
      <w:r w:rsidR="001549D1" w:rsidRPr="006815C9">
        <w:rPr>
          <w:i/>
          <w:sz w:val="18"/>
          <w:szCs w:val="18"/>
          <w:lang w:eastAsia="en-AU"/>
        </w:rPr>
        <w:t xml:space="preserve">. </w:t>
      </w:r>
      <w:r w:rsidR="00A75D77" w:rsidRPr="006815C9">
        <w:rPr>
          <w:i/>
          <w:sz w:val="18"/>
          <w:szCs w:val="18"/>
          <w:lang w:eastAsia="en-AU"/>
        </w:rPr>
        <w:t xml:space="preserve">Expected LNG netback prices are contemporaneous with the supply of gas. </w:t>
      </w:r>
      <w:r w:rsidRPr="006815C9">
        <w:rPr>
          <w:noProof/>
          <w:sz w:val="18"/>
          <w:szCs w:val="18"/>
          <w:lang w:eastAsia="en-AU"/>
        </w:rPr>
        <w:t xml:space="preserve"> </w:t>
      </w:r>
    </w:p>
    <w:p w14:paraId="49816C51" w14:textId="6F65EB27" w:rsidR="00C227B0" w:rsidRPr="006815C9" w:rsidRDefault="00C227B0" w:rsidP="00C53691">
      <w:pPr>
        <w:keepNext/>
        <w:rPr>
          <w:b/>
        </w:rPr>
      </w:pPr>
      <w:r w:rsidRPr="006815C9">
        <w:rPr>
          <w:b/>
          <w:sz w:val="18"/>
          <w:szCs w:val="18"/>
        </w:rPr>
        <w:t xml:space="preserve">Source: </w:t>
      </w:r>
      <w:r w:rsidR="0083181F" w:rsidRPr="006815C9">
        <w:rPr>
          <w:sz w:val="18"/>
          <w:szCs w:val="18"/>
        </w:rPr>
        <w:t xml:space="preserve">ACCC, Gas Inquiry 2017–2020 Interim Report, </w:t>
      </w:r>
      <w:r w:rsidR="005B57AA" w:rsidRPr="006815C9">
        <w:rPr>
          <w:sz w:val="18"/>
          <w:szCs w:val="18"/>
        </w:rPr>
        <w:t xml:space="preserve">July </w:t>
      </w:r>
      <w:r w:rsidR="0083181F" w:rsidRPr="006815C9">
        <w:rPr>
          <w:sz w:val="18"/>
          <w:szCs w:val="18"/>
        </w:rPr>
        <w:t xml:space="preserve">2018, p. </w:t>
      </w:r>
      <w:r w:rsidR="005B57AA" w:rsidRPr="006815C9">
        <w:rPr>
          <w:sz w:val="18"/>
          <w:szCs w:val="18"/>
        </w:rPr>
        <w:t>4</w:t>
      </w:r>
      <w:r w:rsidR="0083181F" w:rsidRPr="006815C9">
        <w:rPr>
          <w:sz w:val="18"/>
          <w:szCs w:val="18"/>
        </w:rPr>
        <w:t xml:space="preserve">1; </w:t>
      </w:r>
      <w:r w:rsidR="00A75D77" w:rsidRPr="006815C9">
        <w:rPr>
          <w:sz w:val="18"/>
          <w:szCs w:val="18"/>
        </w:rPr>
        <w:t xml:space="preserve">ACCC, Gas Inquiry 2017–2020 Interim Report, April 2019, p. 31; </w:t>
      </w:r>
      <w:r w:rsidR="0083181F" w:rsidRPr="006815C9">
        <w:rPr>
          <w:sz w:val="18"/>
          <w:szCs w:val="18"/>
        </w:rPr>
        <w:t xml:space="preserve">ACCC, Gas Inquiry 2017–2020 Interim Report, July 2019, p. </w:t>
      </w:r>
      <w:r w:rsidR="005B57AA" w:rsidRPr="006815C9">
        <w:rPr>
          <w:sz w:val="18"/>
          <w:szCs w:val="18"/>
        </w:rPr>
        <w:t>21</w:t>
      </w:r>
      <w:r w:rsidR="00A75D77" w:rsidRPr="006815C9">
        <w:rPr>
          <w:sz w:val="18"/>
          <w:szCs w:val="18"/>
        </w:rPr>
        <w:t>, 57</w:t>
      </w:r>
      <w:r w:rsidR="0083181F" w:rsidRPr="006815C9">
        <w:rPr>
          <w:sz w:val="18"/>
          <w:szCs w:val="18"/>
        </w:rPr>
        <w:t>.</w:t>
      </w:r>
      <w:r w:rsidR="0083181F" w:rsidRPr="006815C9">
        <w:rPr>
          <w:b/>
        </w:rPr>
        <w:t xml:space="preserve">  </w:t>
      </w:r>
    </w:p>
    <w:p w14:paraId="1EADF0FC" w14:textId="7F4C9E59" w:rsidR="00C90861" w:rsidRPr="006815C9" w:rsidRDefault="00343A69" w:rsidP="00C90861">
      <w:pPr>
        <w:rPr>
          <w:rFonts w:eastAsia="Times New Roman" w:cstheme="minorHAnsi"/>
          <w:color w:val="000000"/>
          <w:lang w:eastAsia="en-AU"/>
        </w:rPr>
      </w:pPr>
      <w:r w:rsidRPr="006815C9">
        <w:rPr>
          <w:rFonts w:eastAsia="Times New Roman" w:cstheme="minorHAnsi"/>
          <w:color w:val="000000"/>
          <w:lang w:eastAsia="en-AU"/>
        </w:rPr>
        <w:t xml:space="preserve">Conditions in the </w:t>
      </w:r>
      <w:r w:rsidR="009C3FA8" w:rsidRPr="006815C9">
        <w:rPr>
          <w:rFonts w:eastAsia="Times New Roman" w:cstheme="minorHAnsi"/>
          <w:color w:val="000000"/>
          <w:lang w:eastAsia="en-AU"/>
        </w:rPr>
        <w:t>eastern gas market</w:t>
      </w:r>
      <w:r w:rsidR="00C90861" w:rsidRPr="006815C9">
        <w:rPr>
          <w:rFonts w:eastAsia="Times New Roman" w:cstheme="minorHAnsi"/>
          <w:color w:val="000000"/>
          <w:lang w:eastAsia="en-AU"/>
        </w:rPr>
        <w:t xml:space="preserve"> </w:t>
      </w:r>
      <w:r w:rsidR="00CC2E85" w:rsidRPr="006815C9">
        <w:rPr>
          <w:rFonts w:eastAsia="Times New Roman" w:cstheme="minorHAnsi"/>
          <w:color w:val="000000"/>
          <w:lang w:eastAsia="en-AU"/>
        </w:rPr>
        <w:t>remain</w:t>
      </w:r>
      <w:r w:rsidR="00C90861" w:rsidRPr="006815C9">
        <w:rPr>
          <w:rFonts w:eastAsia="Times New Roman" w:cstheme="minorHAnsi"/>
          <w:color w:val="000000"/>
          <w:lang w:eastAsia="en-AU"/>
        </w:rPr>
        <w:t xml:space="preserve"> tight. In the </w:t>
      </w:r>
      <w:r w:rsidR="00AE7004" w:rsidRPr="006815C9">
        <w:rPr>
          <w:rFonts w:eastAsia="Times New Roman" w:cstheme="minorHAnsi"/>
          <w:color w:val="000000"/>
          <w:lang w:eastAsia="en-AU"/>
        </w:rPr>
        <w:t xml:space="preserve">ACCC’s </w:t>
      </w:r>
      <w:r w:rsidR="00C90861" w:rsidRPr="006815C9">
        <w:rPr>
          <w:rFonts w:eastAsia="Times New Roman" w:cstheme="minorHAnsi"/>
          <w:color w:val="000000"/>
          <w:lang w:eastAsia="en-AU"/>
        </w:rPr>
        <w:t>Gas Inquiry interim report July 2019</w:t>
      </w:r>
      <w:r w:rsidR="00B35330" w:rsidRPr="006815C9">
        <w:rPr>
          <w:rFonts w:eastAsia="Times New Roman" w:cstheme="minorHAnsi"/>
          <w:color w:val="000000"/>
          <w:lang w:eastAsia="en-AU"/>
        </w:rPr>
        <w:t>,</w:t>
      </w:r>
      <w:r w:rsidR="00C90861" w:rsidRPr="006815C9">
        <w:rPr>
          <w:rFonts w:eastAsia="Times New Roman" w:cstheme="minorHAnsi"/>
          <w:color w:val="000000"/>
          <w:lang w:eastAsia="en-AU"/>
        </w:rPr>
        <w:t xml:space="preserve"> C&amp;I gas users were </w:t>
      </w:r>
      <w:r w:rsidR="00AE7004" w:rsidRPr="006815C9">
        <w:rPr>
          <w:rFonts w:eastAsia="Times New Roman" w:cstheme="minorHAnsi"/>
          <w:color w:val="000000"/>
          <w:lang w:eastAsia="en-AU"/>
        </w:rPr>
        <w:t xml:space="preserve">still </w:t>
      </w:r>
      <w:r w:rsidR="00C90861" w:rsidRPr="006815C9">
        <w:rPr>
          <w:rFonts w:eastAsia="Times New Roman" w:cstheme="minorHAnsi"/>
          <w:color w:val="000000"/>
          <w:lang w:eastAsia="en-AU"/>
        </w:rPr>
        <w:t xml:space="preserve">reporting difficulties in </w:t>
      </w:r>
      <w:r w:rsidR="005D70B0" w:rsidRPr="006815C9">
        <w:rPr>
          <w:rFonts w:eastAsia="Times New Roman" w:cstheme="minorHAnsi"/>
          <w:color w:val="000000"/>
          <w:lang w:eastAsia="en-AU"/>
        </w:rPr>
        <w:t>competitive</w:t>
      </w:r>
      <w:r w:rsidR="00C90861" w:rsidRPr="006815C9">
        <w:rPr>
          <w:rFonts w:eastAsia="Times New Roman" w:cstheme="minorHAnsi"/>
          <w:color w:val="000000"/>
          <w:lang w:eastAsia="en-AU"/>
        </w:rPr>
        <w:t xml:space="preserve"> gas</w:t>
      </w:r>
      <w:r w:rsidR="005D70B0" w:rsidRPr="006815C9">
        <w:rPr>
          <w:rFonts w:eastAsia="Times New Roman" w:cstheme="minorHAnsi"/>
          <w:color w:val="000000"/>
          <w:lang w:eastAsia="en-AU"/>
        </w:rPr>
        <w:t xml:space="preserve"> supply</w:t>
      </w:r>
      <w:r w:rsidR="00C90861" w:rsidRPr="006815C9">
        <w:rPr>
          <w:rFonts w:eastAsia="Times New Roman" w:cstheme="minorHAnsi"/>
          <w:color w:val="000000"/>
          <w:lang w:eastAsia="en-AU"/>
        </w:rPr>
        <w:t>. A number of C&amp;I gas user businesses have entered administration over the last year with energy costs (both gas and electricity) cited as a contributing factor.</w:t>
      </w:r>
    </w:p>
    <w:p w14:paraId="7C00DD3F" w14:textId="302F0180"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 xml:space="preserve">Large C&amp;I gas users and small gas users seeking gas </w:t>
      </w:r>
      <w:r w:rsidR="00AE7004" w:rsidRPr="006815C9">
        <w:rPr>
          <w:rFonts w:eastAsia="Times New Roman" w:cstheme="minorHAnsi"/>
          <w:color w:val="000000"/>
          <w:lang w:eastAsia="en-AU"/>
        </w:rPr>
        <w:t>supply</w:t>
      </w:r>
      <w:r w:rsidRPr="006815C9">
        <w:rPr>
          <w:rFonts w:eastAsia="Times New Roman" w:cstheme="minorHAnsi"/>
          <w:color w:val="000000"/>
          <w:lang w:eastAsia="en-AU"/>
        </w:rPr>
        <w:t xml:space="preserve"> report different market experiences. Larger C&amp;I users generally noted a willingness by producers and retailers to engage and negotiate, </w:t>
      </w:r>
      <w:r w:rsidR="00AE7004" w:rsidRPr="006815C9">
        <w:rPr>
          <w:rFonts w:eastAsia="Times New Roman" w:cstheme="minorHAnsi"/>
          <w:color w:val="000000"/>
          <w:lang w:eastAsia="en-AU"/>
        </w:rPr>
        <w:t>thereby</w:t>
      </w:r>
      <w:r w:rsidRPr="006815C9">
        <w:rPr>
          <w:rFonts w:eastAsia="Times New Roman" w:cstheme="minorHAnsi"/>
          <w:color w:val="000000"/>
          <w:lang w:eastAsia="en-AU"/>
        </w:rPr>
        <w:t xml:space="preserve"> receiving a number of responses to requests for gas supply. Smaller C&amp;I gas users that have recently been active in the market for 2020 supply reported fewer suppliers making offers. In some cases users received just one offer.</w:t>
      </w:r>
    </w:p>
    <w:p w14:paraId="4834AF99" w14:textId="355B47A0" w:rsidR="00C90861" w:rsidRPr="006815C9" w:rsidRDefault="00AE7004" w:rsidP="00C90861">
      <w:pPr>
        <w:rPr>
          <w:rFonts w:eastAsia="Times New Roman" w:cstheme="minorHAnsi"/>
          <w:color w:val="000000"/>
          <w:lang w:eastAsia="en-AU"/>
        </w:rPr>
      </w:pPr>
      <w:r w:rsidRPr="006815C9">
        <w:rPr>
          <w:rFonts w:eastAsia="Times New Roman" w:cstheme="minorHAnsi"/>
          <w:color w:val="000000"/>
          <w:lang w:eastAsia="en-AU"/>
        </w:rPr>
        <w:t>The ACCC reported that i</w:t>
      </w:r>
      <w:r w:rsidR="00C90861" w:rsidRPr="006815C9">
        <w:rPr>
          <w:rFonts w:eastAsia="Times New Roman" w:cstheme="minorHAnsi"/>
          <w:color w:val="000000"/>
          <w:lang w:eastAsia="en-AU"/>
        </w:rPr>
        <w:t xml:space="preserve">ncreased retail margins </w:t>
      </w:r>
      <w:r w:rsidR="006F7F8F" w:rsidRPr="006815C9">
        <w:rPr>
          <w:rFonts w:eastAsia="Times New Roman" w:cstheme="minorHAnsi"/>
          <w:color w:val="000000"/>
          <w:lang w:eastAsia="en-AU"/>
        </w:rPr>
        <w:t xml:space="preserve">may </w:t>
      </w:r>
      <w:r w:rsidR="00C90861" w:rsidRPr="006815C9">
        <w:rPr>
          <w:rFonts w:eastAsia="Times New Roman" w:cstheme="minorHAnsi"/>
          <w:color w:val="000000"/>
          <w:lang w:eastAsia="en-AU"/>
        </w:rPr>
        <w:t>have contributed to the</w:t>
      </w:r>
      <w:r w:rsidR="00B85310" w:rsidRPr="006815C9">
        <w:rPr>
          <w:rFonts w:eastAsia="Times New Roman" w:cstheme="minorHAnsi"/>
          <w:color w:val="000000"/>
          <w:lang w:eastAsia="en-AU"/>
        </w:rPr>
        <w:t xml:space="preserve"> difficulties experienced by C&amp;I</w:t>
      </w:r>
      <w:r w:rsidR="00343A69" w:rsidRPr="006815C9">
        <w:rPr>
          <w:rFonts w:eastAsia="Times New Roman" w:cstheme="minorHAnsi"/>
          <w:color w:val="000000"/>
          <w:lang w:eastAsia="en-AU"/>
        </w:rPr>
        <w:t xml:space="preserve"> users in the </w:t>
      </w:r>
      <w:r w:rsidR="009C3FA8" w:rsidRPr="006815C9">
        <w:rPr>
          <w:rFonts w:eastAsia="Times New Roman" w:cstheme="minorHAnsi"/>
          <w:color w:val="000000"/>
          <w:lang w:eastAsia="en-AU"/>
        </w:rPr>
        <w:t>eastern gas market</w:t>
      </w:r>
      <w:r w:rsidR="00C90861" w:rsidRPr="006815C9">
        <w:rPr>
          <w:rFonts w:eastAsia="Times New Roman" w:cstheme="minorHAnsi"/>
          <w:color w:val="000000"/>
          <w:lang w:eastAsia="en-AU"/>
        </w:rPr>
        <w:t xml:space="preserve">, particularly in Victoria and NSW. Average retail margins for C&amp;I customers in NSW have increased, from between 11 and 16 per cent over 2014–16, </w:t>
      </w:r>
      <w:r w:rsidR="00C90861" w:rsidRPr="006815C9">
        <w:rPr>
          <w:rFonts w:eastAsia="Times New Roman" w:cstheme="minorHAnsi"/>
          <w:color w:val="000000"/>
          <w:lang w:eastAsia="en-AU"/>
        </w:rPr>
        <w:lastRenderedPageBreak/>
        <w:t>to between 24 and 27 per cent in 2017 and 2018. Average margins for Victorian C&amp;I customers have risen substantially, from between 15 and 17 per cent over 2014–16 to 31 and 36 per cent in 2017 and 2018, respectively.</w:t>
      </w:r>
    </w:p>
    <w:p w14:paraId="28416836" w14:textId="6BF4F5DE"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 xml:space="preserve">The retail gas market is even more concentrated than the </w:t>
      </w:r>
      <w:r w:rsidR="003A5634" w:rsidRPr="006815C9">
        <w:rPr>
          <w:rFonts w:eastAsia="Times New Roman" w:cstheme="minorHAnsi"/>
          <w:color w:val="000000"/>
          <w:lang w:eastAsia="en-AU"/>
        </w:rPr>
        <w:t xml:space="preserve">retail </w:t>
      </w:r>
      <w:r w:rsidRPr="006815C9">
        <w:rPr>
          <w:rFonts w:eastAsia="Times New Roman" w:cstheme="minorHAnsi"/>
          <w:color w:val="000000"/>
          <w:lang w:eastAsia="en-AU"/>
        </w:rPr>
        <w:t>electricity market</w:t>
      </w:r>
      <w:r w:rsidR="00E834AF" w:rsidRPr="006815C9">
        <w:rPr>
          <w:rFonts w:eastAsia="Times New Roman" w:cstheme="minorHAnsi"/>
          <w:color w:val="000000"/>
          <w:lang w:eastAsia="en-AU"/>
        </w:rPr>
        <w:t>. Major</w:t>
      </w:r>
      <w:r w:rsidRPr="006815C9">
        <w:rPr>
          <w:rFonts w:eastAsia="Times New Roman" w:cstheme="minorHAnsi"/>
          <w:color w:val="000000"/>
          <w:lang w:eastAsia="en-AU"/>
        </w:rPr>
        <w:t xml:space="preserve"> retailers </w:t>
      </w:r>
      <w:r w:rsidR="00E834AF" w:rsidRPr="006815C9">
        <w:rPr>
          <w:rFonts w:eastAsia="Times New Roman" w:cstheme="minorHAnsi"/>
          <w:color w:val="000000"/>
          <w:lang w:eastAsia="en-AU"/>
        </w:rPr>
        <w:t>supply</w:t>
      </w:r>
      <w:r w:rsidRPr="006815C9">
        <w:rPr>
          <w:rFonts w:eastAsia="Times New Roman" w:cstheme="minorHAnsi"/>
          <w:color w:val="000000"/>
          <w:lang w:eastAsia="en-AU"/>
        </w:rPr>
        <w:t xml:space="preserve"> around 75 per cent of small gas customers across all parts of the east</w:t>
      </w:r>
      <w:r w:rsidR="00A57578" w:rsidRPr="006815C9">
        <w:rPr>
          <w:rFonts w:eastAsia="Times New Roman" w:cstheme="minorHAnsi"/>
          <w:color w:val="000000"/>
          <w:lang w:eastAsia="en-AU"/>
        </w:rPr>
        <w:t>ern</w:t>
      </w:r>
      <w:r w:rsidRPr="006815C9">
        <w:rPr>
          <w:rFonts w:eastAsia="Times New Roman" w:cstheme="minorHAnsi"/>
          <w:color w:val="000000"/>
          <w:lang w:eastAsia="en-AU"/>
        </w:rPr>
        <w:t xml:space="preserve"> market</w:t>
      </w:r>
      <w:r w:rsidR="00E834AF" w:rsidRPr="006815C9">
        <w:rPr>
          <w:rFonts w:eastAsia="Times New Roman" w:cstheme="minorHAnsi"/>
          <w:color w:val="000000"/>
          <w:lang w:eastAsia="en-AU"/>
        </w:rPr>
        <w:t>, compared to 68 per cent of electricity customers across the</w:t>
      </w:r>
      <w:r w:rsidRPr="006815C9">
        <w:rPr>
          <w:rFonts w:eastAsia="Times New Roman" w:cstheme="minorHAnsi"/>
          <w:color w:val="000000"/>
          <w:lang w:eastAsia="en-AU"/>
        </w:rPr>
        <w:t xml:space="preserve"> NEM</w:t>
      </w:r>
      <w:r w:rsidR="00DC5998" w:rsidRPr="006815C9">
        <w:rPr>
          <w:rFonts w:eastAsia="Times New Roman" w:cstheme="minorHAnsi"/>
          <w:color w:val="000000"/>
          <w:lang w:eastAsia="en-AU"/>
        </w:rPr>
        <w:t xml:space="preserve">. </w:t>
      </w:r>
      <w:r w:rsidR="00E834AF" w:rsidRPr="006815C9">
        <w:rPr>
          <w:rFonts w:eastAsia="Times New Roman" w:cstheme="minorHAnsi"/>
          <w:color w:val="000000"/>
          <w:lang w:eastAsia="en-AU"/>
        </w:rPr>
        <w:t>Gas producer concentration is discussed in section</w:t>
      </w:r>
      <w:r w:rsidR="00DC5998" w:rsidRPr="006815C9">
        <w:rPr>
          <w:rFonts w:eastAsia="Times New Roman" w:cstheme="minorHAnsi"/>
          <w:color w:val="000000"/>
          <w:lang w:eastAsia="en-AU"/>
        </w:rPr>
        <w:t xml:space="preserve"> </w:t>
      </w:r>
      <w:r w:rsidR="00DC5998" w:rsidRPr="006815C9">
        <w:rPr>
          <w:rFonts w:eastAsia="Times New Roman" w:cstheme="minorHAnsi"/>
          <w:color w:val="000000"/>
          <w:lang w:eastAsia="en-AU"/>
        </w:rPr>
        <w:fldChar w:fldCharType="begin"/>
      </w:r>
      <w:r w:rsidR="00DC5998" w:rsidRPr="006815C9">
        <w:rPr>
          <w:rFonts w:eastAsia="Times New Roman" w:cstheme="minorHAnsi"/>
          <w:color w:val="000000"/>
          <w:lang w:eastAsia="en-AU"/>
        </w:rPr>
        <w:instrText xml:space="preserve"> REF _Ref20734483 \r \h </w:instrText>
      </w:r>
      <w:r w:rsidR="006815C9">
        <w:rPr>
          <w:rFonts w:eastAsia="Times New Roman" w:cstheme="minorHAnsi"/>
          <w:color w:val="000000"/>
          <w:lang w:eastAsia="en-AU"/>
        </w:rPr>
        <w:instrText xml:space="preserve"> \* MERGEFORMAT </w:instrText>
      </w:r>
      <w:r w:rsidR="00DC5998" w:rsidRPr="006815C9">
        <w:rPr>
          <w:rFonts w:eastAsia="Times New Roman" w:cstheme="minorHAnsi"/>
          <w:color w:val="000000"/>
          <w:lang w:eastAsia="en-AU"/>
        </w:rPr>
      </w:r>
      <w:r w:rsidR="00DC5998" w:rsidRPr="006815C9">
        <w:rPr>
          <w:rFonts w:eastAsia="Times New Roman" w:cstheme="minorHAnsi"/>
          <w:color w:val="000000"/>
          <w:lang w:eastAsia="en-AU"/>
        </w:rPr>
        <w:fldChar w:fldCharType="separate"/>
      </w:r>
      <w:r w:rsidR="00E41BD3">
        <w:rPr>
          <w:rFonts w:eastAsia="Times New Roman" w:cstheme="minorHAnsi"/>
          <w:color w:val="000000"/>
          <w:lang w:eastAsia="en-AU"/>
        </w:rPr>
        <w:t>3.4.2</w:t>
      </w:r>
      <w:r w:rsidR="00DC5998" w:rsidRPr="006815C9">
        <w:rPr>
          <w:rFonts w:eastAsia="Times New Roman" w:cstheme="minorHAnsi"/>
          <w:color w:val="000000"/>
          <w:lang w:eastAsia="en-AU"/>
        </w:rPr>
        <w:fldChar w:fldCharType="end"/>
      </w:r>
      <w:r w:rsidR="00DC5998" w:rsidRPr="006815C9">
        <w:rPr>
          <w:rFonts w:eastAsia="Times New Roman" w:cstheme="minorHAnsi"/>
          <w:color w:val="000000"/>
          <w:lang w:eastAsia="en-AU"/>
        </w:rPr>
        <w:t>.</w:t>
      </w:r>
      <w:r w:rsidRPr="006815C9">
        <w:rPr>
          <w:rFonts w:eastAsia="Times New Roman" w:cstheme="minorHAnsi"/>
          <w:color w:val="000000"/>
          <w:lang w:eastAsia="en-AU"/>
        </w:rPr>
        <w:t xml:space="preserve"> The </w:t>
      </w:r>
      <w:r w:rsidR="003A5634" w:rsidRPr="006815C9">
        <w:rPr>
          <w:rFonts w:eastAsia="Times New Roman" w:cstheme="minorHAnsi"/>
          <w:color w:val="000000"/>
          <w:lang w:eastAsia="en-AU"/>
        </w:rPr>
        <w:t xml:space="preserve">ACCC has stated its concern with the </w:t>
      </w:r>
      <w:r w:rsidRPr="006815C9">
        <w:rPr>
          <w:rFonts w:eastAsia="Times New Roman" w:cstheme="minorHAnsi"/>
          <w:color w:val="000000"/>
          <w:lang w:eastAsia="en-AU"/>
        </w:rPr>
        <w:t xml:space="preserve">level of margins </w:t>
      </w:r>
      <w:r w:rsidR="003A5634" w:rsidRPr="006815C9">
        <w:rPr>
          <w:rFonts w:eastAsia="Times New Roman" w:cstheme="minorHAnsi"/>
          <w:color w:val="000000"/>
          <w:lang w:eastAsia="en-AU"/>
        </w:rPr>
        <w:t>and</w:t>
      </w:r>
      <w:r w:rsidRPr="006815C9">
        <w:rPr>
          <w:rFonts w:eastAsia="Times New Roman" w:cstheme="minorHAnsi"/>
          <w:color w:val="000000"/>
          <w:lang w:eastAsia="en-AU"/>
        </w:rPr>
        <w:t xml:space="preserve"> will further investigate whether they are due to existing low-cost legacy gas contracts, or structural and competition issues in the market.</w:t>
      </w:r>
    </w:p>
    <w:p w14:paraId="70479B1C" w14:textId="50229B0C" w:rsidR="00C90861" w:rsidRPr="006815C9" w:rsidRDefault="00C90861" w:rsidP="00C90861">
      <w:pPr>
        <w:pStyle w:val="Heading3"/>
        <w:rPr>
          <w:rFonts w:eastAsia="Times New Roman"/>
          <w:lang w:eastAsia="en-AU"/>
        </w:rPr>
      </w:pPr>
      <w:bookmarkStart w:id="651" w:name="_Toc18590678"/>
      <w:bookmarkStart w:id="652" w:name="_Toc18592143"/>
      <w:bookmarkStart w:id="653" w:name="_Toc19109851"/>
      <w:bookmarkStart w:id="654" w:name="_Toc19113894"/>
      <w:bookmarkStart w:id="655" w:name="_Toc19189783"/>
      <w:bookmarkStart w:id="656" w:name="_Toc19271066"/>
      <w:bookmarkStart w:id="657" w:name="_Toc19280644"/>
      <w:bookmarkStart w:id="658" w:name="_Toc19281138"/>
      <w:bookmarkStart w:id="659" w:name="_Toc19537965"/>
      <w:bookmarkStart w:id="660" w:name="_Toc19545371"/>
      <w:bookmarkStart w:id="661" w:name="_Toc19611844"/>
      <w:bookmarkStart w:id="662" w:name="_Toc19628597"/>
      <w:bookmarkStart w:id="663" w:name="_Toc19628637"/>
      <w:bookmarkStart w:id="664" w:name="_Toc19717442"/>
      <w:bookmarkStart w:id="665" w:name="_Toc19720129"/>
      <w:bookmarkStart w:id="666" w:name="_Toc19789972"/>
      <w:bookmarkStart w:id="667" w:name="_Toc19803042"/>
      <w:bookmarkStart w:id="668" w:name="_Toc19804089"/>
      <w:bookmarkStart w:id="669" w:name="_Toc19804289"/>
      <w:bookmarkStart w:id="670" w:name="_Toc19804535"/>
      <w:bookmarkStart w:id="671" w:name="_Toc19888539"/>
      <w:bookmarkStart w:id="672" w:name="_Toc19889166"/>
      <w:bookmarkStart w:id="673" w:name="_Toc20232937"/>
      <w:bookmarkStart w:id="674" w:name="_Toc20237747"/>
      <w:bookmarkStart w:id="675" w:name="_Toc20322033"/>
      <w:bookmarkStart w:id="676" w:name="_Toc20322451"/>
      <w:bookmarkStart w:id="677" w:name="_Toc20398017"/>
      <w:bookmarkStart w:id="678" w:name="_Toc20401018"/>
      <w:bookmarkStart w:id="679" w:name="_Toc20410656"/>
      <w:bookmarkStart w:id="680" w:name="_Toc20412182"/>
      <w:bookmarkStart w:id="681" w:name="_Toc20469275"/>
      <w:bookmarkStart w:id="682" w:name="_Toc21705350"/>
      <w:bookmarkStart w:id="683" w:name="_Toc26349928"/>
      <w:bookmarkStart w:id="684" w:name="_Toc26448245"/>
      <w:bookmarkStart w:id="685" w:name="_Toc26454527"/>
      <w:bookmarkStart w:id="686" w:name="_Toc29823316"/>
      <w:r w:rsidRPr="006815C9">
        <w:rPr>
          <w:rFonts w:eastAsia="Times New Roman"/>
          <w:lang w:eastAsia="en-AU"/>
        </w:rPr>
        <w:t xml:space="preserve">Comparison </w:t>
      </w:r>
      <w:r w:rsidR="00D4753E" w:rsidRPr="006815C9">
        <w:rPr>
          <w:rFonts w:eastAsia="Times New Roman"/>
          <w:lang w:eastAsia="en-AU"/>
        </w:rPr>
        <w:t>of</w:t>
      </w:r>
      <w:r w:rsidRPr="006815C9">
        <w:rPr>
          <w:rFonts w:eastAsia="Times New Roman"/>
          <w:lang w:eastAsia="en-AU"/>
        </w:rPr>
        <w:t xml:space="preserve"> global </w:t>
      </w:r>
      <w:r w:rsidR="00D4753E" w:rsidRPr="006815C9">
        <w:rPr>
          <w:rFonts w:eastAsia="Times New Roman"/>
          <w:lang w:eastAsia="en-AU"/>
        </w:rPr>
        <w:t>gas prices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79727BA9" w14:textId="2417AD8D" w:rsidR="00C90861" w:rsidRPr="006815C9" w:rsidRDefault="003A5634" w:rsidP="00C90861">
      <w:pPr>
        <w:rPr>
          <w:rFonts w:eastAsia="Times New Roman" w:cstheme="minorHAnsi"/>
          <w:color w:val="000000"/>
          <w:lang w:eastAsia="en-AU"/>
        </w:rPr>
      </w:pPr>
      <w:r w:rsidRPr="006815C9">
        <w:rPr>
          <w:rFonts w:eastAsia="Times New Roman" w:cstheme="minorHAnsi"/>
          <w:color w:val="000000"/>
          <w:lang w:eastAsia="en-AU"/>
        </w:rPr>
        <w:t xml:space="preserve">The public debate on Australia’s domestic gas prices often includes comparisons with prices in other countries. </w:t>
      </w:r>
      <w:r w:rsidR="00C90861" w:rsidRPr="006815C9">
        <w:rPr>
          <w:rFonts w:eastAsia="Times New Roman" w:cstheme="minorHAnsi"/>
          <w:color w:val="000000"/>
          <w:lang w:eastAsia="en-AU"/>
        </w:rPr>
        <w:t>In its July 2019 report, the ACCC engaged S&amp;P Global Platts to prepare a report on delivered gas prices paid by C&amp;I gas users in a range of countries around the world. The Platts report shows that the delivered prices</w:t>
      </w:r>
      <w:r w:rsidR="00343A69" w:rsidRPr="006815C9">
        <w:rPr>
          <w:rFonts w:eastAsia="Times New Roman" w:cstheme="minorHAnsi"/>
          <w:color w:val="000000"/>
          <w:lang w:eastAsia="en-AU"/>
        </w:rPr>
        <w:t xml:space="preserve"> that the C&amp;I gas users in the </w:t>
      </w:r>
      <w:r w:rsidR="009C3FA8" w:rsidRPr="006815C9">
        <w:rPr>
          <w:rFonts w:eastAsia="Times New Roman" w:cstheme="minorHAnsi"/>
          <w:color w:val="000000"/>
          <w:lang w:eastAsia="en-AU"/>
        </w:rPr>
        <w:t>eastern gas market</w:t>
      </w:r>
      <w:r w:rsidR="00C90861" w:rsidRPr="006815C9">
        <w:rPr>
          <w:rFonts w:eastAsia="Times New Roman" w:cstheme="minorHAnsi"/>
          <w:color w:val="000000"/>
          <w:lang w:eastAsia="en-AU"/>
        </w:rPr>
        <w:t xml:space="preserve"> pay are, broadly speaking, in line with those in several European countries, including Germany, the UK, Spain and Portugal. Average </w:t>
      </w:r>
      <w:r w:rsidR="00FD0D88" w:rsidRPr="006815C9">
        <w:rPr>
          <w:rFonts w:eastAsia="Times New Roman" w:cstheme="minorHAnsi"/>
          <w:color w:val="000000"/>
          <w:lang w:eastAsia="en-AU"/>
        </w:rPr>
        <w:t xml:space="preserve">industrial </w:t>
      </w:r>
      <w:r w:rsidR="00C90861" w:rsidRPr="006815C9">
        <w:rPr>
          <w:rFonts w:eastAsia="Times New Roman" w:cstheme="minorHAnsi"/>
          <w:color w:val="000000"/>
          <w:lang w:eastAsia="en-AU"/>
        </w:rPr>
        <w:t xml:space="preserve">prices in </w:t>
      </w:r>
      <w:r w:rsidRPr="006815C9">
        <w:rPr>
          <w:rFonts w:eastAsia="Times New Roman" w:cstheme="minorHAnsi"/>
          <w:color w:val="000000"/>
          <w:lang w:eastAsia="en-AU"/>
        </w:rPr>
        <w:t>e</w:t>
      </w:r>
      <w:r w:rsidR="00C90861" w:rsidRPr="006815C9">
        <w:rPr>
          <w:rFonts w:eastAsia="Times New Roman" w:cstheme="minorHAnsi"/>
          <w:color w:val="000000"/>
          <w:lang w:eastAsia="en-AU"/>
        </w:rPr>
        <w:t>astern Australia were below those in both China and South Korea. However, the report shows that delivered prices paid by C&amp;I gas users in the east coast are higher than the prices paid by C&amp;I gas users in other gas exporting countries (e.g. US and Canada).</w:t>
      </w:r>
      <w:r w:rsidR="00C90861" w:rsidRPr="006815C9">
        <w:rPr>
          <w:rStyle w:val="FootnoteReference"/>
          <w:rFonts w:eastAsia="Times New Roman" w:cstheme="minorHAnsi"/>
          <w:color w:val="000000"/>
          <w:lang w:eastAsia="en-AU"/>
        </w:rPr>
        <w:footnoteReference w:id="19"/>
      </w:r>
      <w:r w:rsidR="00C90861" w:rsidRPr="006815C9">
        <w:rPr>
          <w:rFonts w:eastAsia="Times New Roman" w:cstheme="minorHAnsi"/>
          <w:color w:val="000000"/>
          <w:lang w:eastAsia="en-AU"/>
        </w:rPr>
        <w:t xml:space="preserve"> </w:t>
      </w:r>
    </w:p>
    <w:p w14:paraId="4E190DA2" w14:textId="5E30FDB2"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According to the report, the two main factors that impact wholesale gas prices are access to diverse natural gas supply and country-specific tax policy. Countries with varied low-cost supply sources tend to have lower natural gas prices than countries</w:t>
      </w:r>
      <w:r w:rsidR="00D87AFE" w:rsidRPr="006815C9">
        <w:rPr>
          <w:rFonts w:eastAsia="Times New Roman" w:cstheme="minorHAnsi"/>
          <w:color w:val="000000"/>
          <w:lang w:eastAsia="en-AU"/>
        </w:rPr>
        <w:t xml:space="preserve"> that</w:t>
      </w:r>
      <w:r w:rsidRPr="006815C9">
        <w:rPr>
          <w:rFonts w:eastAsia="Times New Roman" w:cstheme="minorHAnsi"/>
          <w:color w:val="000000"/>
          <w:lang w:eastAsia="en-AU"/>
        </w:rPr>
        <w:t xml:space="preserve"> are dependent on one source.  </w:t>
      </w:r>
    </w:p>
    <w:p w14:paraId="322CEFCC" w14:textId="11CAAB51" w:rsidR="00C90861" w:rsidRPr="006815C9" w:rsidRDefault="00C90861" w:rsidP="00C90861">
      <w:pPr>
        <w:rPr>
          <w:rFonts w:eastAsia="Times New Roman" w:cstheme="minorHAnsi"/>
          <w:color w:val="000000"/>
          <w:lang w:eastAsia="en-AU"/>
        </w:rPr>
      </w:pPr>
      <w:r w:rsidRPr="006815C9">
        <w:rPr>
          <w:rFonts w:eastAsia="Times New Roman" w:cstheme="minorHAnsi"/>
          <w:color w:val="000000"/>
          <w:lang w:eastAsia="en-AU"/>
        </w:rPr>
        <w:t>Consistent with this research, EnergyQuest found that in 2018-19 the average landed price of Australian LNG in our three main export markets, Japan, China and Korea, wer</w:t>
      </w:r>
      <w:r w:rsidR="00343A69" w:rsidRPr="006815C9">
        <w:rPr>
          <w:rFonts w:eastAsia="Times New Roman" w:cstheme="minorHAnsi"/>
          <w:color w:val="000000"/>
          <w:lang w:eastAsia="en-AU"/>
        </w:rPr>
        <w:t>e all above average Australian east</w:t>
      </w:r>
      <w:r w:rsidR="00F501F0" w:rsidRPr="006815C9">
        <w:rPr>
          <w:rFonts w:eastAsia="Times New Roman" w:cstheme="minorHAnsi"/>
          <w:color w:val="000000"/>
          <w:lang w:eastAsia="en-AU"/>
        </w:rPr>
        <w:t>ern</w:t>
      </w:r>
      <w:r w:rsidRPr="006815C9">
        <w:rPr>
          <w:rFonts w:eastAsia="Times New Roman" w:cstheme="minorHAnsi"/>
          <w:color w:val="000000"/>
          <w:lang w:eastAsia="en-AU"/>
        </w:rPr>
        <w:t xml:space="preserve"> wholesale domestic gas prices</w:t>
      </w:r>
      <w:r w:rsidR="00B8401D" w:rsidRPr="006815C9">
        <w:rPr>
          <w:rFonts w:eastAsia="Times New Roman" w:cstheme="minorHAnsi"/>
          <w:color w:val="000000"/>
          <w:lang w:eastAsia="en-AU"/>
        </w:rPr>
        <w:t>.</w:t>
      </w:r>
      <w:r w:rsidRPr="006815C9">
        <w:rPr>
          <w:rStyle w:val="FootnoteReference"/>
          <w:rFonts w:eastAsia="Times New Roman" w:cstheme="minorHAnsi"/>
          <w:color w:val="000000"/>
          <w:lang w:eastAsia="en-AU"/>
        </w:rPr>
        <w:footnoteReference w:id="20"/>
      </w:r>
    </w:p>
    <w:p w14:paraId="414E4674" w14:textId="068C8C71" w:rsidR="006C3982" w:rsidRPr="006815C9" w:rsidRDefault="009E2D9C" w:rsidP="00C90861">
      <w:pPr>
        <w:rPr>
          <w:rFonts w:eastAsia="Times New Roman" w:cstheme="minorHAnsi"/>
          <w:color w:val="000000"/>
          <w:lang w:eastAsia="en-AU"/>
        </w:rPr>
      </w:pPr>
      <w:r w:rsidRPr="006815C9">
        <w:rPr>
          <w:rFonts w:eastAsia="Times New Roman" w:cstheme="minorHAnsi"/>
          <w:color w:val="000000"/>
          <w:lang w:eastAsia="en-AU"/>
        </w:rPr>
        <w:t>There are a range of factors</w:t>
      </w:r>
      <w:r w:rsidR="000A7AE1" w:rsidRPr="006815C9">
        <w:rPr>
          <w:rFonts w:eastAsia="Times New Roman" w:cstheme="minorHAnsi"/>
          <w:color w:val="000000"/>
          <w:lang w:eastAsia="en-AU"/>
        </w:rPr>
        <w:t>,</w:t>
      </w:r>
      <w:r w:rsidRPr="006815C9">
        <w:rPr>
          <w:rFonts w:eastAsia="Times New Roman" w:cstheme="minorHAnsi"/>
          <w:color w:val="000000"/>
          <w:lang w:eastAsia="en-AU"/>
        </w:rPr>
        <w:t xml:space="preserve"> which make direct comparisons on gas prices between countries difficult. This includes variations in gas resources, underlying production c</w:t>
      </w:r>
      <w:r w:rsidR="00802DBE" w:rsidRPr="006815C9">
        <w:rPr>
          <w:rFonts w:eastAsia="Times New Roman" w:cstheme="minorHAnsi"/>
          <w:color w:val="000000"/>
          <w:lang w:eastAsia="en-AU"/>
        </w:rPr>
        <w:t>osts and</w:t>
      </w:r>
      <w:r w:rsidRPr="006815C9">
        <w:rPr>
          <w:rFonts w:eastAsia="Times New Roman" w:cstheme="minorHAnsi"/>
          <w:color w:val="000000"/>
          <w:lang w:eastAsia="en-AU"/>
        </w:rPr>
        <w:t xml:space="preserve"> regulatory and taxation polic</w:t>
      </w:r>
      <w:r w:rsidR="00E6679E" w:rsidRPr="006815C9">
        <w:rPr>
          <w:rFonts w:eastAsia="Times New Roman" w:cstheme="minorHAnsi"/>
          <w:color w:val="000000"/>
          <w:lang w:eastAsia="en-AU"/>
        </w:rPr>
        <w:t>ies</w:t>
      </w:r>
      <w:r w:rsidR="00A50E7A" w:rsidRPr="006815C9">
        <w:rPr>
          <w:rFonts w:eastAsia="Times New Roman" w:cstheme="minorHAnsi"/>
          <w:color w:val="000000"/>
          <w:lang w:eastAsia="en-AU"/>
        </w:rPr>
        <w:t xml:space="preserve"> across countries</w:t>
      </w:r>
      <w:r w:rsidR="00802DBE" w:rsidRPr="006815C9">
        <w:rPr>
          <w:rFonts w:eastAsia="Times New Roman" w:cstheme="minorHAnsi"/>
          <w:color w:val="000000"/>
          <w:lang w:eastAsia="en-AU"/>
        </w:rPr>
        <w:t xml:space="preserve">. </w:t>
      </w:r>
      <w:r w:rsidR="00F348C4" w:rsidRPr="006815C9">
        <w:rPr>
          <w:rFonts w:eastAsia="Times New Roman" w:cstheme="minorHAnsi"/>
          <w:color w:val="000000"/>
          <w:lang w:eastAsia="en-AU"/>
        </w:rPr>
        <w:t xml:space="preserve">Given the ACCC’s observations on factors that impact gas prices, any steps to reduce </w:t>
      </w:r>
      <w:r w:rsidR="00A50E7A" w:rsidRPr="006815C9">
        <w:rPr>
          <w:rFonts w:eastAsia="Times New Roman" w:cstheme="minorHAnsi"/>
          <w:color w:val="000000"/>
          <w:lang w:eastAsia="en-AU"/>
        </w:rPr>
        <w:t xml:space="preserve">supply </w:t>
      </w:r>
      <w:r w:rsidR="00F348C4" w:rsidRPr="006815C9">
        <w:rPr>
          <w:rFonts w:eastAsia="Times New Roman" w:cstheme="minorHAnsi"/>
          <w:color w:val="000000"/>
          <w:lang w:eastAsia="en-AU"/>
        </w:rPr>
        <w:t>constraints</w:t>
      </w:r>
      <w:r w:rsidR="00A50E7A" w:rsidRPr="006815C9">
        <w:rPr>
          <w:rFonts w:eastAsia="Times New Roman" w:cstheme="minorHAnsi"/>
          <w:color w:val="000000"/>
          <w:lang w:eastAsia="en-AU"/>
        </w:rPr>
        <w:t xml:space="preserve"> may help put downward pressure on </w:t>
      </w:r>
      <w:r w:rsidR="008F32BE">
        <w:rPr>
          <w:rFonts w:eastAsia="Times New Roman" w:cstheme="minorHAnsi"/>
          <w:color w:val="000000"/>
          <w:lang w:eastAsia="en-AU"/>
        </w:rPr>
        <w:t>prices.</w:t>
      </w:r>
    </w:p>
    <w:p w14:paraId="00F826D3" w14:textId="77777777" w:rsidR="00C90861" w:rsidRPr="006815C9" w:rsidRDefault="00C90861" w:rsidP="00C90861">
      <w:pPr>
        <w:pStyle w:val="Heading2"/>
        <w:rPr>
          <w:rFonts w:eastAsia="Times New Roman"/>
          <w:lang w:eastAsia="en-AU"/>
        </w:rPr>
      </w:pPr>
      <w:bookmarkStart w:id="687" w:name="_Toc19281139"/>
      <w:bookmarkStart w:id="688" w:name="_Toc18590679"/>
      <w:bookmarkStart w:id="689" w:name="_Toc18592144"/>
      <w:bookmarkStart w:id="690" w:name="_Toc19109852"/>
      <w:bookmarkStart w:id="691" w:name="_Toc19113895"/>
      <w:bookmarkStart w:id="692" w:name="_Toc19189784"/>
      <w:bookmarkStart w:id="693" w:name="_Toc19271067"/>
      <w:bookmarkStart w:id="694" w:name="_Toc19280645"/>
      <w:bookmarkStart w:id="695" w:name="_Toc19537966"/>
      <w:bookmarkStart w:id="696" w:name="_Toc19545372"/>
      <w:bookmarkStart w:id="697" w:name="_Toc19611845"/>
      <w:bookmarkStart w:id="698" w:name="_Toc19628598"/>
      <w:bookmarkStart w:id="699" w:name="_Toc19628638"/>
      <w:bookmarkStart w:id="700" w:name="_Toc19717443"/>
      <w:bookmarkStart w:id="701" w:name="_Toc19720130"/>
      <w:bookmarkStart w:id="702" w:name="_Toc19789973"/>
      <w:bookmarkStart w:id="703" w:name="_Toc19803043"/>
      <w:bookmarkStart w:id="704" w:name="_Toc19804090"/>
      <w:bookmarkStart w:id="705" w:name="_Toc19804290"/>
      <w:bookmarkStart w:id="706" w:name="_Toc19804536"/>
      <w:bookmarkStart w:id="707" w:name="_Toc19888540"/>
      <w:bookmarkStart w:id="708" w:name="_Toc19889167"/>
      <w:bookmarkStart w:id="709" w:name="_Toc20232938"/>
      <w:bookmarkStart w:id="710" w:name="_Toc20237748"/>
      <w:bookmarkStart w:id="711" w:name="_Toc20322034"/>
      <w:bookmarkStart w:id="712" w:name="_Toc20322452"/>
      <w:bookmarkStart w:id="713" w:name="_Toc20398018"/>
      <w:bookmarkStart w:id="714" w:name="_Toc20401019"/>
      <w:bookmarkStart w:id="715" w:name="_Toc20410657"/>
      <w:bookmarkStart w:id="716" w:name="_Toc20412183"/>
      <w:bookmarkStart w:id="717" w:name="_Toc20469276"/>
      <w:bookmarkStart w:id="718" w:name="_Toc21705351"/>
      <w:bookmarkStart w:id="719" w:name="_Toc26349929"/>
      <w:bookmarkStart w:id="720" w:name="_Toc26448246"/>
      <w:bookmarkStart w:id="721" w:name="_Toc26454528"/>
      <w:bookmarkStart w:id="722" w:name="_Toc29823317"/>
      <w:r w:rsidRPr="006815C9">
        <w:rPr>
          <w:rFonts w:eastAsia="Times New Roman"/>
          <w:lang w:eastAsia="en-AU"/>
        </w:rPr>
        <w:t>Market Function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66910A35" w14:textId="4D40F159" w:rsidR="002D57FD" w:rsidRPr="006815C9" w:rsidRDefault="002D57FD" w:rsidP="002D57FD">
      <w:pPr>
        <w:pStyle w:val="Heading3"/>
        <w:rPr>
          <w:lang w:eastAsia="en-AU"/>
        </w:rPr>
      </w:pPr>
      <w:bookmarkStart w:id="723" w:name="_Toc20232939"/>
      <w:bookmarkStart w:id="724" w:name="_Toc20237749"/>
      <w:bookmarkStart w:id="725" w:name="_Toc20322035"/>
      <w:bookmarkStart w:id="726" w:name="_Toc20322453"/>
      <w:bookmarkStart w:id="727" w:name="_Toc20398019"/>
      <w:bookmarkStart w:id="728" w:name="_Toc20401020"/>
      <w:bookmarkStart w:id="729" w:name="_Toc20410658"/>
      <w:bookmarkStart w:id="730" w:name="_Toc20412184"/>
      <w:bookmarkStart w:id="731" w:name="_Toc20469277"/>
      <w:bookmarkStart w:id="732" w:name="_Toc21705352"/>
      <w:bookmarkStart w:id="733" w:name="_Toc26349930"/>
      <w:bookmarkStart w:id="734" w:name="_Toc26448247"/>
      <w:bookmarkStart w:id="735" w:name="_Toc26454529"/>
      <w:bookmarkStart w:id="736" w:name="_Toc29823318"/>
      <w:r w:rsidRPr="006815C9">
        <w:rPr>
          <w:lang w:eastAsia="en-AU"/>
        </w:rPr>
        <w:t>Market Liquidity</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AF62B97" w14:textId="091813E1" w:rsidR="00C90861" w:rsidRPr="006815C9" w:rsidRDefault="00C90861" w:rsidP="00C90861">
      <w:pPr>
        <w:pStyle w:val="ListParagraph"/>
        <w:ind w:left="0"/>
        <w:rPr>
          <w:rFonts w:cstheme="minorHAnsi"/>
        </w:rPr>
      </w:pPr>
      <w:r w:rsidRPr="006815C9">
        <w:rPr>
          <w:rFonts w:cstheme="minorHAnsi"/>
        </w:rPr>
        <w:t xml:space="preserve">There have been a number of reforms </w:t>
      </w:r>
      <w:r w:rsidR="003A5634" w:rsidRPr="006815C9">
        <w:rPr>
          <w:rFonts w:cstheme="minorHAnsi"/>
        </w:rPr>
        <w:t>in</w:t>
      </w:r>
      <w:r w:rsidRPr="006815C9">
        <w:rPr>
          <w:rFonts w:cstheme="minorHAnsi"/>
        </w:rPr>
        <w:t xml:space="preserve"> the domestic gas market to improve market liquidity and transparency. In addition to the LNG netback price series</w:t>
      </w:r>
      <w:r w:rsidR="003A5634" w:rsidRPr="006815C9">
        <w:rPr>
          <w:rFonts w:cstheme="minorHAnsi"/>
        </w:rPr>
        <w:t>,</w:t>
      </w:r>
      <w:r w:rsidRPr="006815C9">
        <w:rPr>
          <w:rFonts w:cstheme="minorHAnsi"/>
        </w:rPr>
        <w:t xml:space="preserve"> there have been reforms associated with </w:t>
      </w:r>
      <w:r w:rsidR="00BB7BD4" w:rsidRPr="006815C9">
        <w:rPr>
          <w:rFonts w:cstheme="minorHAnsi"/>
        </w:rPr>
        <w:t xml:space="preserve">the </w:t>
      </w:r>
      <w:r w:rsidRPr="006815C9">
        <w:rPr>
          <w:rFonts w:cstheme="minorHAnsi"/>
        </w:rPr>
        <w:t xml:space="preserve">wholesale gas market and pipeline capacity trading, </w:t>
      </w:r>
      <w:r w:rsidR="00BB7BD4" w:rsidRPr="006815C9">
        <w:rPr>
          <w:rFonts w:cstheme="minorHAnsi"/>
        </w:rPr>
        <w:t>and</w:t>
      </w:r>
      <w:r w:rsidRPr="006815C9">
        <w:rPr>
          <w:rFonts w:cstheme="minorHAnsi"/>
        </w:rPr>
        <w:t xml:space="preserve"> a range of measures to enhance market information dissemination. It is expected that these reforms</w:t>
      </w:r>
      <w:r w:rsidR="000A7AE1" w:rsidRPr="006815C9">
        <w:rPr>
          <w:rFonts w:cstheme="minorHAnsi"/>
        </w:rPr>
        <w:t>,</w:t>
      </w:r>
      <w:r w:rsidRPr="006815C9">
        <w:rPr>
          <w:rFonts w:cstheme="minorHAnsi"/>
        </w:rPr>
        <w:t xml:space="preserve"> </w:t>
      </w:r>
      <w:r w:rsidR="00BB7BD4" w:rsidRPr="006815C9">
        <w:rPr>
          <w:rFonts w:cstheme="minorHAnsi"/>
        </w:rPr>
        <w:t>which</w:t>
      </w:r>
      <w:r w:rsidRPr="006815C9">
        <w:rPr>
          <w:rFonts w:cstheme="minorHAnsi"/>
        </w:rPr>
        <w:t xml:space="preserve"> are targeted to </w:t>
      </w:r>
      <w:r w:rsidR="00941C2B" w:rsidRPr="006815C9">
        <w:rPr>
          <w:rFonts w:cstheme="minorHAnsi"/>
        </w:rPr>
        <w:t xml:space="preserve">directly </w:t>
      </w:r>
      <w:r w:rsidRPr="006815C9">
        <w:rPr>
          <w:rFonts w:cstheme="minorHAnsi"/>
        </w:rPr>
        <w:t xml:space="preserve">address issues associated with market </w:t>
      </w:r>
      <w:r w:rsidRPr="0046370C">
        <w:rPr>
          <w:rFonts w:cstheme="minorHAnsi"/>
        </w:rPr>
        <w:t>functionality</w:t>
      </w:r>
      <w:r w:rsidR="00BB7BD4" w:rsidRPr="0046370C">
        <w:rPr>
          <w:rFonts w:cstheme="minorHAnsi"/>
        </w:rPr>
        <w:t>,</w:t>
      </w:r>
      <w:r w:rsidRPr="0046370C">
        <w:rPr>
          <w:rFonts w:cstheme="minorHAnsi"/>
        </w:rPr>
        <w:t xml:space="preserve"> </w:t>
      </w:r>
      <w:r w:rsidR="00E15603" w:rsidRPr="0046370C">
        <w:rPr>
          <w:rFonts w:cstheme="minorHAnsi"/>
        </w:rPr>
        <w:t>could</w:t>
      </w:r>
      <w:r w:rsidRPr="0046370C">
        <w:rPr>
          <w:rFonts w:cstheme="minorHAnsi"/>
        </w:rPr>
        <w:t xml:space="preserve"> have </w:t>
      </w:r>
      <w:r w:rsidR="00E15603" w:rsidRPr="0046370C">
        <w:rPr>
          <w:rFonts w:cstheme="minorHAnsi"/>
        </w:rPr>
        <w:t>a greater</w:t>
      </w:r>
      <w:r w:rsidRPr="0046370C">
        <w:rPr>
          <w:rFonts w:cstheme="minorHAnsi"/>
        </w:rPr>
        <w:t xml:space="preserve"> impact </w:t>
      </w:r>
      <w:r w:rsidR="0078426F" w:rsidRPr="0046370C">
        <w:rPr>
          <w:rFonts w:cstheme="minorHAnsi"/>
        </w:rPr>
        <w:t xml:space="preserve">on the </w:t>
      </w:r>
      <w:r w:rsidR="00E15603" w:rsidRPr="0046370C">
        <w:rPr>
          <w:rFonts w:cstheme="minorHAnsi"/>
        </w:rPr>
        <w:t>market.</w:t>
      </w:r>
    </w:p>
    <w:p w14:paraId="60F32FDF" w14:textId="77777777" w:rsidR="00C90861" w:rsidRPr="006815C9" w:rsidRDefault="00C90861" w:rsidP="00C90861">
      <w:pPr>
        <w:pStyle w:val="ListParagraph"/>
        <w:ind w:left="0"/>
        <w:rPr>
          <w:rFonts w:cstheme="minorHAnsi"/>
        </w:rPr>
      </w:pPr>
    </w:p>
    <w:p w14:paraId="6507D184" w14:textId="31AC9286" w:rsidR="00C90861" w:rsidRPr="006815C9" w:rsidRDefault="00C90861" w:rsidP="00C90861">
      <w:pPr>
        <w:pStyle w:val="ListParagraph"/>
        <w:ind w:left="0"/>
        <w:rPr>
          <w:rFonts w:cstheme="minorHAnsi"/>
        </w:rPr>
      </w:pPr>
      <w:r w:rsidRPr="006815C9">
        <w:rPr>
          <w:rFonts w:cstheme="minorHAnsi"/>
        </w:rPr>
        <w:t xml:space="preserve">As part of the transition to a set of consistent exchange-based trading markets, a northern gas supply hub </w:t>
      </w:r>
      <w:r w:rsidR="00AA29F2" w:rsidRPr="006815C9">
        <w:rPr>
          <w:rFonts w:cstheme="minorHAnsi"/>
        </w:rPr>
        <w:t xml:space="preserve">(GSH) </w:t>
      </w:r>
      <w:r w:rsidRPr="006815C9">
        <w:rPr>
          <w:rFonts w:cstheme="minorHAnsi"/>
        </w:rPr>
        <w:t>located at Wallumbilla and a</w:t>
      </w:r>
      <w:r w:rsidR="00382D54" w:rsidRPr="006815C9">
        <w:rPr>
          <w:rFonts w:cstheme="minorHAnsi"/>
        </w:rPr>
        <w:t>n additional trading point a</w:t>
      </w:r>
      <w:r w:rsidRPr="006815C9">
        <w:rPr>
          <w:rFonts w:cstheme="minorHAnsi"/>
        </w:rPr>
        <w:t xml:space="preserve">t Moomba have been established. It is expected that this will concentrate trading liquidity, improve price discovery and reduce barriers to participation in the </w:t>
      </w:r>
      <w:r w:rsidR="00AA29F2" w:rsidRPr="006815C9">
        <w:rPr>
          <w:rFonts w:cstheme="minorHAnsi"/>
        </w:rPr>
        <w:t xml:space="preserve">eastern </w:t>
      </w:r>
      <w:r w:rsidRPr="006815C9">
        <w:rPr>
          <w:rFonts w:cstheme="minorHAnsi"/>
        </w:rPr>
        <w:t>gas market</w:t>
      </w:r>
      <w:r w:rsidR="00AA29F2" w:rsidRPr="006815C9">
        <w:rPr>
          <w:rFonts w:cstheme="minorHAnsi"/>
        </w:rPr>
        <w:t xml:space="preserve">, where the majority of gas is traded </w:t>
      </w:r>
      <w:r w:rsidR="00AA29F2" w:rsidRPr="006815C9">
        <w:rPr>
          <w:rFonts w:cstheme="minorHAnsi"/>
        </w:rPr>
        <w:lastRenderedPageBreak/>
        <w:t>bilateral</w:t>
      </w:r>
      <w:r w:rsidR="00933967" w:rsidRPr="006815C9">
        <w:rPr>
          <w:rFonts w:cstheme="minorHAnsi"/>
        </w:rPr>
        <w:t>ly</w:t>
      </w:r>
      <w:r w:rsidRPr="006815C9">
        <w:rPr>
          <w:rFonts w:cstheme="minorHAnsi"/>
        </w:rPr>
        <w:t xml:space="preserve">. A range </w:t>
      </w:r>
      <w:r w:rsidR="00DB6C30" w:rsidRPr="006815C9">
        <w:rPr>
          <w:rFonts w:cstheme="minorHAnsi"/>
        </w:rPr>
        <w:t>of metrics published by the AER</w:t>
      </w:r>
      <w:r w:rsidRPr="006815C9">
        <w:rPr>
          <w:rFonts w:cstheme="minorHAnsi"/>
        </w:rPr>
        <w:t xml:space="preserve"> demonstrate the improvement in the functioning of the gas market since the introduction of these hubs and other associated reform measures. </w:t>
      </w:r>
    </w:p>
    <w:p w14:paraId="77FD9B01" w14:textId="77777777" w:rsidR="00C90861" w:rsidRPr="006815C9" w:rsidRDefault="00C90861" w:rsidP="00C90861">
      <w:pPr>
        <w:pStyle w:val="ListParagraph"/>
        <w:ind w:left="0"/>
        <w:rPr>
          <w:rFonts w:cstheme="minorHAnsi"/>
        </w:rPr>
      </w:pPr>
    </w:p>
    <w:p w14:paraId="25382575" w14:textId="35DD9BC5" w:rsidR="00941C2B" w:rsidRPr="006815C9" w:rsidRDefault="00C90861" w:rsidP="00C61DA7">
      <w:pPr>
        <w:pStyle w:val="ListParagraph"/>
        <w:ind w:left="0"/>
        <w:rPr>
          <w:rFonts w:cstheme="minorHAnsi"/>
        </w:rPr>
      </w:pPr>
      <w:r w:rsidRPr="006815C9">
        <w:rPr>
          <w:rFonts w:cstheme="minorHAnsi"/>
        </w:rPr>
        <w:fldChar w:fldCharType="begin"/>
      </w:r>
      <w:r w:rsidRPr="006815C9">
        <w:rPr>
          <w:rFonts w:cstheme="minorHAnsi"/>
        </w:rPr>
        <w:instrText xml:space="preserve"> REF _Ref19287802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13</w:t>
      </w:r>
      <w:r w:rsidRPr="006815C9">
        <w:rPr>
          <w:rFonts w:cstheme="minorHAnsi"/>
        </w:rPr>
        <w:fldChar w:fldCharType="end"/>
      </w:r>
      <w:r w:rsidRPr="006815C9">
        <w:rPr>
          <w:rFonts w:cstheme="minorHAnsi"/>
        </w:rPr>
        <w:t xml:space="preserve"> shows that </w:t>
      </w:r>
      <w:r w:rsidR="00027E19" w:rsidRPr="006815C9">
        <w:rPr>
          <w:rFonts w:cstheme="minorHAnsi"/>
        </w:rPr>
        <w:t xml:space="preserve">monthly </w:t>
      </w:r>
      <w:r w:rsidRPr="006815C9">
        <w:rPr>
          <w:rFonts w:cstheme="minorHAnsi"/>
        </w:rPr>
        <w:t xml:space="preserve">traded volumes sold at </w:t>
      </w:r>
      <w:r w:rsidR="002B41C6" w:rsidRPr="006815C9">
        <w:rPr>
          <w:rFonts w:cstheme="minorHAnsi"/>
        </w:rPr>
        <w:t xml:space="preserve">the </w:t>
      </w:r>
      <w:r w:rsidRPr="006815C9">
        <w:rPr>
          <w:rFonts w:cstheme="minorHAnsi"/>
        </w:rPr>
        <w:t xml:space="preserve">Wallumbilla GSH </w:t>
      </w:r>
      <w:r w:rsidR="002B41C6" w:rsidRPr="006815C9">
        <w:rPr>
          <w:rFonts w:cstheme="minorHAnsi"/>
        </w:rPr>
        <w:t>since</w:t>
      </w:r>
      <w:r w:rsidRPr="006815C9">
        <w:rPr>
          <w:rFonts w:cstheme="minorHAnsi"/>
        </w:rPr>
        <w:t xml:space="preserve"> 2016, its second year of operation, </w:t>
      </w:r>
      <w:r w:rsidR="002B41C6" w:rsidRPr="006815C9">
        <w:rPr>
          <w:rFonts w:cstheme="minorHAnsi"/>
        </w:rPr>
        <w:t>have increased substantially, reaching</w:t>
      </w:r>
      <w:r w:rsidRPr="006815C9">
        <w:rPr>
          <w:rFonts w:cstheme="minorHAnsi"/>
        </w:rPr>
        <w:t xml:space="preserve"> </w:t>
      </w:r>
      <w:r w:rsidR="002B41C6" w:rsidRPr="006815C9">
        <w:rPr>
          <w:rFonts w:cstheme="minorHAnsi"/>
        </w:rPr>
        <w:t>3.3 PJ i</w:t>
      </w:r>
      <w:r w:rsidRPr="006815C9">
        <w:rPr>
          <w:rFonts w:cstheme="minorHAnsi"/>
        </w:rPr>
        <w:t xml:space="preserve">n </w:t>
      </w:r>
      <w:r w:rsidR="002B41C6" w:rsidRPr="006815C9">
        <w:rPr>
          <w:rFonts w:cstheme="minorHAnsi"/>
        </w:rPr>
        <w:t>August 2019.</w:t>
      </w:r>
      <w:r w:rsidRPr="006815C9">
        <w:rPr>
          <w:rFonts w:cstheme="minorHAnsi"/>
        </w:rPr>
        <w:t xml:space="preserve"> </w:t>
      </w:r>
      <w:r w:rsidR="00DB256B" w:rsidRPr="006815C9">
        <w:rPr>
          <w:rFonts w:cstheme="minorHAnsi"/>
        </w:rPr>
        <w:t xml:space="preserve">This represents approximately 23 per cent of </w:t>
      </w:r>
      <w:r w:rsidR="004043B4" w:rsidRPr="006815C9">
        <w:rPr>
          <w:rFonts w:cstheme="minorHAnsi"/>
        </w:rPr>
        <w:t xml:space="preserve">gross gas flows from the three main transmission pipelines that connect to the </w:t>
      </w:r>
      <w:r w:rsidR="000627E5" w:rsidRPr="006815C9">
        <w:rPr>
          <w:rFonts w:cstheme="minorHAnsi"/>
        </w:rPr>
        <w:t>Wallumbilla</w:t>
      </w:r>
      <w:r w:rsidR="004043B4" w:rsidRPr="006815C9">
        <w:rPr>
          <w:rFonts w:cstheme="minorHAnsi"/>
        </w:rPr>
        <w:t xml:space="preserve"> GSH, the S</w:t>
      </w:r>
      <w:r w:rsidR="001E63A6">
        <w:rPr>
          <w:rFonts w:cstheme="minorHAnsi"/>
        </w:rPr>
        <w:t xml:space="preserve">outh </w:t>
      </w:r>
      <w:r w:rsidR="004043B4" w:rsidRPr="006815C9">
        <w:rPr>
          <w:rFonts w:cstheme="minorHAnsi"/>
        </w:rPr>
        <w:t>W</w:t>
      </w:r>
      <w:r w:rsidR="001E63A6">
        <w:rPr>
          <w:rFonts w:cstheme="minorHAnsi"/>
        </w:rPr>
        <w:t xml:space="preserve">est </w:t>
      </w:r>
      <w:r w:rsidR="004043B4" w:rsidRPr="006815C9">
        <w:rPr>
          <w:rFonts w:cstheme="minorHAnsi"/>
        </w:rPr>
        <w:t>Q</w:t>
      </w:r>
      <w:r w:rsidR="001E63A6">
        <w:rPr>
          <w:rFonts w:cstheme="minorHAnsi"/>
        </w:rPr>
        <w:t xml:space="preserve">ueensland </w:t>
      </w:r>
      <w:r w:rsidR="004043B4" w:rsidRPr="006815C9">
        <w:rPr>
          <w:rFonts w:cstheme="minorHAnsi"/>
        </w:rPr>
        <w:t>P</w:t>
      </w:r>
      <w:r w:rsidR="001E63A6">
        <w:rPr>
          <w:rFonts w:cstheme="minorHAnsi"/>
        </w:rPr>
        <w:t>ipeline</w:t>
      </w:r>
      <w:r w:rsidR="004043B4" w:rsidRPr="006815C9">
        <w:rPr>
          <w:rFonts w:cstheme="minorHAnsi"/>
        </w:rPr>
        <w:t>, the Q</w:t>
      </w:r>
      <w:r w:rsidR="001E63A6">
        <w:rPr>
          <w:rFonts w:cstheme="minorHAnsi"/>
        </w:rPr>
        <w:t xml:space="preserve">ueensland </w:t>
      </w:r>
      <w:r w:rsidR="004043B4" w:rsidRPr="006815C9">
        <w:rPr>
          <w:rFonts w:cstheme="minorHAnsi"/>
        </w:rPr>
        <w:t>G</w:t>
      </w:r>
      <w:r w:rsidR="001E63A6">
        <w:rPr>
          <w:rFonts w:cstheme="minorHAnsi"/>
        </w:rPr>
        <w:t xml:space="preserve">as </w:t>
      </w:r>
      <w:r w:rsidR="004043B4" w:rsidRPr="006815C9">
        <w:rPr>
          <w:rFonts w:cstheme="minorHAnsi"/>
        </w:rPr>
        <w:t>P</w:t>
      </w:r>
      <w:r w:rsidR="001E63A6">
        <w:rPr>
          <w:rFonts w:cstheme="minorHAnsi"/>
        </w:rPr>
        <w:t>ipeline</w:t>
      </w:r>
      <w:r w:rsidR="000627E5" w:rsidRPr="006815C9">
        <w:rPr>
          <w:rFonts w:cstheme="minorHAnsi"/>
        </w:rPr>
        <w:t xml:space="preserve"> </w:t>
      </w:r>
      <w:r w:rsidR="004043B4" w:rsidRPr="006815C9">
        <w:rPr>
          <w:rFonts w:cstheme="minorHAnsi"/>
        </w:rPr>
        <w:t>and the R</w:t>
      </w:r>
      <w:r w:rsidR="001E63A6">
        <w:rPr>
          <w:rFonts w:cstheme="minorHAnsi"/>
        </w:rPr>
        <w:t xml:space="preserve">oma to </w:t>
      </w:r>
      <w:r w:rsidR="004043B4" w:rsidRPr="006815C9">
        <w:rPr>
          <w:rFonts w:cstheme="minorHAnsi"/>
        </w:rPr>
        <w:t>B</w:t>
      </w:r>
      <w:r w:rsidR="001E63A6">
        <w:rPr>
          <w:rFonts w:cstheme="minorHAnsi"/>
        </w:rPr>
        <w:t xml:space="preserve">risbane </w:t>
      </w:r>
      <w:r w:rsidR="004043B4" w:rsidRPr="006815C9">
        <w:rPr>
          <w:rFonts w:cstheme="minorHAnsi"/>
        </w:rPr>
        <w:t>P</w:t>
      </w:r>
      <w:r w:rsidR="001E63A6">
        <w:rPr>
          <w:rFonts w:cstheme="minorHAnsi"/>
        </w:rPr>
        <w:t>ipeline</w:t>
      </w:r>
      <w:r w:rsidR="004043B4" w:rsidRPr="006815C9">
        <w:rPr>
          <w:rFonts w:cstheme="minorHAnsi"/>
        </w:rPr>
        <w:t xml:space="preserve"> in August 2019.</w:t>
      </w:r>
    </w:p>
    <w:p w14:paraId="6286E785" w14:textId="7194629B" w:rsidR="00C90861" w:rsidRPr="006815C9" w:rsidRDefault="00C90861" w:rsidP="00C90861">
      <w:pPr>
        <w:pStyle w:val="ListParagraph"/>
        <w:ind w:left="0"/>
        <w:rPr>
          <w:rFonts w:cstheme="minorHAnsi"/>
        </w:rPr>
      </w:pPr>
    </w:p>
    <w:p w14:paraId="49DCE25F" w14:textId="07F7D0CB" w:rsidR="00C90861" w:rsidRPr="006815C9" w:rsidRDefault="00C90861" w:rsidP="00FA0273">
      <w:pPr>
        <w:pStyle w:val="Caption"/>
        <w:rPr>
          <w:rFonts w:cstheme="minorHAnsi"/>
        </w:rPr>
      </w:pPr>
      <w:bookmarkStart w:id="737" w:name="_Ref19287802"/>
      <w:r w:rsidRPr="006815C9">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13</w:t>
      </w:r>
      <w:r w:rsidRPr="006815C9">
        <w:rPr>
          <w:noProof/>
        </w:rPr>
        <w:fldChar w:fldCharType="end"/>
      </w:r>
      <w:bookmarkEnd w:id="737"/>
      <w:r w:rsidRPr="006815C9">
        <w:t xml:space="preserve">: </w:t>
      </w:r>
      <w:r w:rsidR="00027E19" w:rsidRPr="006815C9">
        <w:t>Monthly t</w:t>
      </w:r>
      <w:r w:rsidRPr="006815C9">
        <w:t>raded volumes on the GSH, Wallumbilla location</w:t>
      </w:r>
    </w:p>
    <w:p w14:paraId="1851EF09" w14:textId="0ED419E4" w:rsidR="00C90861" w:rsidRPr="006815C9" w:rsidRDefault="001E63A6" w:rsidP="006C769C">
      <w:pPr>
        <w:pStyle w:val="ListParagraph"/>
        <w:ind w:left="0"/>
        <w:jc w:val="center"/>
        <w:rPr>
          <w:rFonts w:cstheme="minorHAnsi"/>
        </w:rPr>
      </w:pPr>
      <w:r>
        <w:rPr>
          <w:rFonts w:cstheme="minorHAnsi"/>
          <w:noProof/>
          <w:lang w:eastAsia="en-AU"/>
        </w:rPr>
        <w:drawing>
          <wp:inline distT="0" distB="0" distL="0" distR="0" wp14:anchorId="2DA4B60A" wp14:editId="7DD9C79E">
            <wp:extent cx="5407660" cy="3249295"/>
            <wp:effectExtent l="0" t="0" r="2540" b="8255"/>
            <wp:docPr id="18" name="Picture 18" descr="Monthly traded volumes sold at the Wallumbilla GSH since 2016 have increased substantially, reaching 3.3 PJ in August 2019."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7660" cy="3249295"/>
                    </a:xfrm>
                    <a:prstGeom prst="rect">
                      <a:avLst/>
                    </a:prstGeom>
                    <a:noFill/>
                  </pic:spPr>
                </pic:pic>
              </a:graphicData>
            </a:graphic>
          </wp:inline>
        </w:drawing>
      </w:r>
    </w:p>
    <w:p w14:paraId="759FF583" w14:textId="033AAB81" w:rsidR="00C90861" w:rsidRPr="006815C9" w:rsidRDefault="00C90861" w:rsidP="00DB6C30">
      <w:pPr>
        <w:rPr>
          <w:rFonts w:cstheme="minorHAnsi"/>
          <w:sz w:val="18"/>
          <w:szCs w:val="18"/>
        </w:rPr>
      </w:pPr>
      <w:r w:rsidRPr="006815C9">
        <w:rPr>
          <w:rFonts w:cstheme="minorHAnsi"/>
          <w:sz w:val="18"/>
          <w:szCs w:val="18"/>
        </w:rPr>
        <w:t xml:space="preserve">Source: </w:t>
      </w:r>
      <w:r w:rsidR="00DB6C30" w:rsidRPr="006815C9">
        <w:rPr>
          <w:sz w:val="18"/>
          <w:szCs w:val="18"/>
        </w:rPr>
        <w:t>AER, Gas Supply Hub delivered quantities, AER reference AER reference D11/2298801[V4], [https://www.aer.gov.au/wholesale-markets/market-performance/gas-supply-hub-delivered-quantities]</w:t>
      </w:r>
    </w:p>
    <w:p w14:paraId="738B43F1" w14:textId="5E551E9A" w:rsidR="00870678" w:rsidRPr="006815C9" w:rsidRDefault="00C90861" w:rsidP="00870678">
      <w:pPr>
        <w:pStyle w:val="ListParagraph"/>
        <w:ind w:left="0"/>
        <w:rPr>
          <w:rFonts w:cstheme="minorHAnsi"/>
        </w:rPr>
      </w:pPr>
      <w:r w:rsidRPr="006815C9">
        <w:rPr>
          <w:rFonts w:cstheme="minorHAnsi"/>
          <w:b/>
        </w:rPr>
        <w:fldChar w:fldCharType="begin"/>
      </w:r>
      <w:r w:rsidRPr="006815C9">
        <w:rPr>
          <w:rFonts w:cstheme="minorHAnsi"/>
        </w:rPr>
        <w:instrText xml:space="preserve"> REF _Ref19287956 \h </w:instrText>
      </w:r>
      <w:r w:rsidR="006815C9">
        <w:rPr>
          <w:rFonts w:cstheme="minorHAnsi"/>
        </w:rPr>
        <w:instrText xml:space="preserve"> \* MERGEFORMAT </w:instrText>
      </w:r>
      <w:r w:rsidRPr="006815C9">
        <w:rPr>
          <w:rFonts w:cstheme="minorHAnsi"/>
          <w:b/>
        </w:rPr>
      </w:r>
      <w:r w:rsidRPr="006815C9">
        <w:rPr>
          <w:rFonts w:cstheme="minorHAnsi"/>
          <w:b/>
        </w:rPr>
        <w:fldChar w:fldCharType="separate"/>
      </w:r>
      <w:r w:rsidR="00E41BD3" w:rsidRPr="006815C9">
        <w:t xml:space="preserve">Table </w:t>
      </w:r>
      <w:r w:rsidR="00E41BD3">
        <w:rPr>
          <w:noProof/>
        </w:rPr>
        <w:t>1</w:t>
      </w:r>
      <w:r w:rsidRPr="006815C9">
        <w:rPr>
          <w:rFonts w:cstheme="minorHAnsi"/>
        </w:rPr>
        <w:fldChar w:fldCharType="end"/>
      </w:r>
      <w:r w:rsidRPr="006815C9">
        <w:rPr>
          <w:rFonts w:cstheme="minorHAnsi"/>
        </w:rPr>
        <w:t xml:space="preserve"> shows the number of trades that occurred in each year, at Wallumbilla by product category. Wallumbilla </w:t>
      </w:r>
      <w:r w:rsidR="0087387F" w:rsidRPr="006815C9">
        <w:rPr>
          <w:rFonts w:cstheme="minorHAnsi"/>
        </w:rPr>
        <w:t>trades have</w:t>
      </w:r>
      <w:r w:rsidRPr="006815C9">
        <w:rPr>
          <w:rFonts w:cstheme="minorHAnsi"/>
        </w:rPr>
        <w:t xml:space="preserve"> increased significantly </w:t>
      </w:r>
      <w:r w:rsidR="00EE1D2D" w:rsidRPr="006815C9">
        <w:rPr>
          <w:rFonts w:cstheme="minorHAnsi"/>
        </w:rPr>
        <w:t>over</w:t>
      </w:r>
      <w:r w:rsidRPr="006815C9">
        <w:rPr>
          <w:rFonts w:cstheme="minorHAnsi"/>
        </w:rPr>
        <w:t xml:space="preserve"> the </w:t>
      </w:r>
      <w:r w:rsidR="00EE1D2D" w:rsidRPr="006815C9">
        <w:rPr>
          <w:rFonts w:cstheme="minorHAnsi"/>
        </w:rPr>
        <w:t>last three years</w:t>
      </w:r>
      <w:r w:rsidRPr="006815C9">
        <w:rPr>
          <w:rFonts w:cstheme="minorHAnsi"/>
        </w:rPr>
        <w:t xml:space="preserve">, </w:t>
      </w:r>
      <w:r w:rsidR="00EE1D2D" w:rsidRPr="006815C9">
        <w:rPr>
          <w:rFonts w:cstheme="minorHAnsi"/>
        </w:rPr>
        <w:t>across all</w:t>
      </w:r>
      <w:r w:rsidRPr="006815C9">
        <w:rPr>
          <w:rFonts w:cstheme="minorHAnsi"/>
        </w:rPr>
        <w:t xml:space="preserve"> product categories. </w:t>
      </w:r>
      <w:r w:rsidR="000C5533" w:rsidRPr="006815C9">
        <w:rPr>
          <w:rFonts w:cstheme="minorHAnsi"/>
        </w:rPr>
        <w:t xml:space="preserve">Four out of five products set records in the first half of 2019 for </w:t>
      </w:r>
      <w:r w:rsidR="0087387F" w:rsidRPr="006815C9">
        <w:rPr>
          <w:rFonts w:cstheme="minorHAnsi"/>
        </w:rPr>
        <w:t xml:space="preserve">the </w:t>
      </w:r>
      <w:r w:rsidR="000C5533" w:rsidRPr="006815C9">
        <w:rPr>
          <w:rFonts w:cstheme="minorHAnsi"/>
        </w:rPr>
        <w:t>number of trades.</w:t>
      </w:r>
      <w:r w:rsidR="00870678" w:rsidRPr="006815C9">
        <w:rPr>
          <w:rFonts w:cstheme="minorHAnsi"/>
        </w:rPr>
        <w:t xml:space="preserve"> Despite this impressive growth in liquidity, bilateral and </w:t>
      </w:r>
      <w:r w:rsidR="002C4123">
        <w:rPr>
          <w:rFonts w:cstheme="minorHAnsi"/>
        </w:rPr>
        <w:t>‘</w:t>
      </w:r>
      <w:r w:rsidR="00870678" w:rsidRPr="006815C9">
        <w:rPr>
          <w:rFonts w:cstheme="minorHAnsi"/>
        </w:rPr>
        <w:t>over-the-counter</w:t>
      </w:r>
      <w:r w:rsidR="002C4123">
        <w:rPr>
          <w:rFonts w:cstheme="minorHAnsi"/>
        </w:rPr>
        <w:t>’</w:t>
      </w:r>
      <w:r w:rsidR="00870678" w:rsidRPr="006815C9">
        <w:rPr>
          <w:rFonts w:cstheme="minorHAnsi"/>
        </w:rPr>
        <w:t xml:space="preserve"> trades still remain the standard method for trading gas in the eastern gas market.</w:t>
      </w:r>
      <w:r w:rsidR="00870678" w:rsidRPr="006815C9">
        <w:rPr>
          <w:rStyle w:val="FootnoteReference"/>
          <w:rFonts w:cstheme="minorHAnsi"/>
        </w:rPr>
        <w:footnoteReference w:id="21"/>
      </w:r>
      <w:r w:rsidR="00870678" w:rsidRPr="006815C9">
        <w:rPr>
          <w:rFonts w:cstheme="minorHAnsi"/>
        </w:rPr>
        <w:t xml:space="preserve"> </w:t>
      </w:r>
    </w:p>
    <w:p w14:paraId="6E53D2EB" w14:textId="56FF879E" w:rsidR="003678D5" w:rsidRPr="006815C9" w:rsidRDefault="00C90861" w:rsidP="001E3835">
      <w:pPr>
        <w:pStyle w:val="Caption"/>
        <w:keepNext/>
      </w:pPr>
      <w:bookmarkStart w:id="738" w:name="_Ref19287956"/>
      <w:r w:rsidRPr="006815C9">
        <w:lastRenderedPageBreak/>
        <w:t xml:space="preserve">Table </w:t>
      </w:r>
      <w:r w:rsidRPr="006815C9">
        <w:rPr>
          <w:noProof/>
        </w:rPr>
        <w:fldChar w:fldCharType="begin"/>
      </w:r>
      <w:r w:rsidRPr="006815C9">
        <w:rPr>
          <w:noProof/>
        </w:rPr>
        <w:instrText xml:space="preserve"> SEQ Table \* ARABIC </w:instrText>
      </w:r>
      <w:r w:rsidRPr="006815C9">
        <w:rPr>
          <w:noProof/>
        </w:rPr>
        <w:fldChar w:fldCharType="separate"/>
      </w:r>
      <w:r w:rsidR="00E41BD3">
        <w:rPr>
          <w:noProof/>
        </w:rPr>
        <w:t>1</w:t>
      </w:r>
      <w:r w:rsidRPr="006815C9">
        <w:rPr>
          <w:noProof/>
        </w:rPr>
        <w:fldChar w:fldCharType="end"/>
      </w:r>
      <w:bookmarkEnd w:id="738"/>
      <w:r w:rsidRPr="006815C9">
        <w:t>: Number of trades per product at Wallumbilla</w:t>
      </w:r>
      <w:r w:rsidR="003678D5" w:rsidRPr="006815C9">
        <w:fldChar w:fldCharType="begin"/>
      </w:r>
      <w:r w:rsidR="003678D5" w:rsidRPr="006815C9">
        <w:instrText xml:space="preserve"> LINK </w:instrText>
      </w:r>
      <w:r w:rsidR="006E5025">
        <w:instrText xml:space="preserve">Excel.Sheet.12 "https://dochub/div/resources/businessfunctions/offshoreresources/unconventionalgas/DGSM/docs/ADGSM Review Charts and Tables.xlsx" "T1 Traded products!R6C30:R15C35" </w:instrText>
      </w:r>
      <w:r w:rsidR="003678D5" w:rsidRPr="006815C9">
        <w:instrText xml:space="preserve">\a \f 4 \h </w:instrText>
      </w:r>
      <w:r w:rsidR="006815C9">
        <w:instrText xml:space="preserve"> \* MERGEFORMAT </w:instrText>
      </w:r>
      <w:r w:rsidR="003678D5" w:rsidRPr="006815C9">
        <w:fldChar w:fldCharType="separate"/>
      </w:r>
      <w:bookmarkStart w:id="739" w:name="_1640673027"/>
      <w:bookmarkStart w:id="740" w:name="_1637499921"/>
      <w:bookmarkStart w:id="741" w:name="_1637055123"/>
      <w:bookmarkStart w:id="742" w:name="_1637063141"/>
      <w:bookmarkStart w:id="743" w:name="_1637060979"/>
      <w:bookmarkStart w:id="744" w:name="_1636981929"/>
      <w:bookmarkStart w:id="745" w:name="_1632318785"/>
      <w:bookmarkStart w:id="746" w:name="_1632231710"/>
      <w:bookmarkStart w:id="747" w:name="_1632213827"/>
      <w:bookmarkStart w:id="748" w:name="_1632226719"/>
      <w:bookmarkStart w:id="749" w:name="_1632226688"/>
      <w:bookmarkStart w:id="750" w:name="_1632217754"/>
      <w:bookmarkStart w:id="751" w:name="_1632213684"/>
      <w:bookmarkStart w:id="752" w:name="_1632227670"/>
      <w:bookmarkStart w:id="753" w:name="_1631709475"/>
      <w:bookmarkStart w:id="754" w:name="_1631346232"/>
      <w:bookmarkStart w:id="755" w:name="_1631345721"/>
      <w:bookmarkStart w:id="756" w:name="_1631345948"/>
      <w:bookmarkStart w:id="757" w:name="_1631341253"/>
      <w:bookmarkStart w:id="758" w:name="_1631011675"/>
      <w:bookmarkStart w:id="759" w:name="_1631013431"/>
      <w:bookmarkStart w:id="760" w:name="_1631015122"/>
      <w:bookmarkStart w:id="761" w:name="_1631015183"/>
      <w:bookmarkStart w:id="762" w:name="_1631010986"/>
      <w:bookmarkStart w:id="763" w:name="_1630838169"/>
      <w:bookmarkStart w:id="764" w:name="_1630840229"/>
      <w:bookmarkStart w:id="765" w:name="_1630837664"/>
      <w:bookmarkStart w:id="766" w:name="_1630744729"/>
      <w:bookmarkStart w:id="767" w:name="_1630753072"/>
      <w:bookmarkStart w:id="768" w:name="_1630755022"/>
      <w:bookmarkStart w:id="769" w:name="_1630756867"/>
      <w:bookmarkStart w:id="770" w:name="_1630758002"/>
      <w:bookmarkStart w:id="771" w:name="_1630760939"/>
      <w:bookmarkStart w:id="772" w:name="_1630761317"/>
      <w:bookmarkStart w:id="773" w:name="_1630764277"/>
      <w:bookmarkStart w:id="774" w:name="_1630761098"/>
      <w:bookmarkStart w:id="775" w:name="_1630758115"/>
      <w:bookmarkStart w:id="776" w:name="_1630758829"/>
      <w:bookmarkStart w:id="777" w:name="_1630757971"/>
      <w:bookmarkStart w:id="778" w:name="_1630757009"/>
      <w:bookmarkStart w:id="779" w:name="_1630755582"/>
      <w:bookmarkStart w:id="780" w:name="_1630753394"/>
      <w:bookmarkStart w:id="781" w:name="_1630752340"/>
      <w:bookmarkStart w:id="782" w:name="_1630752761"/>
      <w:bookmarkStart w:id="783" w:name="_1630748135"/>
      <w:bookmarkStart w:id="784" w:name="_1630742390"/>
      <w:bookmarkStart w:id="785" w:name="_1630743507"/>
      <w:bookmarkStart w:id="786" w:name="_1630475962"/>
      <w:bookmarkStart w:id="787" w:name="_1630477229"/>
      <w:bookmarkStart w:id="788" w:name="_1630478152"/>
      <w:bookmarkStart w:id="789" w:name="_1630477273"/>
      <w:bookmarkStart w:id="790" w:name="_1630416795"/>
      <w:bookmarkStart w:id="791" w:name="_1630409381"/>
      <w:bookmarkStart w:id="792" w:name="_1630409351"/>
      <w:bookmarkStart w:id="793" w:name="_1630411999"/>
      <w:bookmarkStart w:id="794" w:name="_1630411904"/>
      <w:bookmarkStart w:id="795" w:name="_1630412723"/>
      <w:bookmarkStart w:id="796" w:name="_1630412968"/>
      <w:bookmarkStart w:id="797" w:name="_1630413650"/>
      <w:bookmarkStart w:id="798" w:name="_1630414180"/>
      <w:bookmarkStart w:id="799" w:name="_1630413751"/>
      <w:bookmarkStart w:id="800" w:name="_1630413835"/>
      <w:bookmarkStart w:id="801" w:name="_1630414480"/>
      <w:bookmarkStart w:id="802" w:name="_1630415800"/>
      <w:bookmarkStart w:id="803" w:name="_1630415766"/>
      <w:bookmarkStart w:id="804" w:name="_1630416055"/>
      <w:bookmarkStart w:id="805" w:name="_1630414553"/>
      <w:bookmarkStart w:id="806" w:name="_1630413677"/>
      <w:bookmarkStart w:id="807" w:name="_1630412865"/>
      <w:bookmarkStart w:id="808" w:name="_1630412254"/>
      <w:bookmarkStart w:id="809" w:name="_1630411846"/>
      <w:bookmarkStart w:id="810" w:name="_1630478934"/>
      <w:bookmarkStart w:id="811" w:name="_1630487281"/>
      <w:bookmarkStart w:id="812" w:name="_1630487157"/>
      <w:bookmarkStart w:id="813" w:name="_1630490127"/>
      <w:bookmarkStart w:id="814" w:name="_1630501244"/>
      <w:bookmarkStart w:id="815" w:name="_1630501300"/>
      <w:bookmarkStart w:id="816" w:name="_1630503537"/>
      <w:bookmarkStart w:id="817" w:name="_1630501139"/>
      <w:bookmarkStart w:id="818" w:name="_1630499947"/>
      <w:bookmarkStart w:id="819" w:name="_1630490801"/>
      <w:bookmarkStart w:id="820" w:name="_1630488480"/>
      <w:bookmarkStart w:id="821" w:name="_1630485952"/>
      <w:bookmarkStart w:id="822" w:name="_1630825147"/>
      <w:bookmarkStart w:id="823" w:name="_1630828151"/>
      <w:bookmarkStart w:id="824" w:name="_1630828366"/>
      <w:bookmarkStart w:id="825" w:name="_1630825303"/>
      <w:bookmarkStart w:id="826" w:name="_1630844253"/>
      <w:bookmarkStart w:id="827" w:name="_1630844785"/>
      <w:bookmarkStart w:id="828" w:name="_1630844484"/>
      <w:bookmarkStart w:id="829" w:name="_1630846054"/>
      <w:bookmarkStart w:id="830" w:name="_1630937665"/>
      <w:bookmarkStart w:id="831" w:name="_1630927783"/>
      <w:bookmarkStart w:id="832" w:name="_1630922406"/>
      <w:bookmarkStart w:id="833" w:name="_1630851364"/>
      <w:bookmarkStart w:id="834" w:name="_1631009847"/>
      <w:bookmarkStart w:id="835" w:name="_1631006326"/>
      <w:bookmarkStart w:id="836" w:name="_1631004425"/>
      <w:bookmarkStart w:id="837" w:name="_1631010711"/>
      <w:bookmarkStart w:id="838" w:name="_1631020427"/>
      <w:bookmarkStart w:id="839" w:name="_1631024931"/>
      <w:bookmarkStart w:id="840" w:name="_1631023366"/>
      <w:bookmarkStart w:id="841" w:name="_1631025334"/>
      <w:bookmarkStart w:id="842" w:name="_1631023239"/>
      <w:bookmarkStart w:id="843" w:name="_1631347254"/>
      <w:bookmarkStart w:id="844" w:name="_1631348180"/>
      <w:bookmarkStart w:id="845" w:name="_1631349848"/>
      <w:bookmarkStart w:id="846" w:name="_1631350397"/>
      <w:bookmarkStart w:id="847" w:name="_1631350635"/>
      <w:bookmarkStart w:id="848" w:name="_1631350408"/>
      <w:bookmarkStart w:id="849" w:name="_1631349641"/>
      <w:bookmarkStart w:id="850" w:name="_1631350857"/>
      <w:bookmarkStart w:id="851" w:name="_1631352233"/>
      <w:bookmarkStart w:id="852" w:name="_1631351370"/>
      <w:bookmarkStart w:id="853" w:name="_1631351437"/>
      <w:bookmarkStart w:id="854" w:name="_1631351202"/>
      <w:bookmarkStart w:id="855" w:name="_1631354024"/>
      <w:bookmarkStart w:id="856" w:name="_1631356159"/>
      <w:bookmarkStart w:id="857" w:name="_1631356327"/>
      <w:bookmarkStart w:id="858" w:name="_1631359138"/>
      <w:bookmarkStart w:id="859" w:name="_1631360430"/>
      <w:bookmarkStart w:id="860" w:name="_1631364003"/>
      <w:bookmarkStart w:id="861" w:name="_1631360179"/>
      <w:bookmarkStart w:id="862" w:name="_1631359681"/>
      <w:bookmarkStart w:id="863" w:name="_1631353999"/>
      <w:bookmarkStart w:id="864" w:name="_1631350689"/>
      <w:bookmarkStart w:id="865" w:name="_1631348092"/>
      <w:bookmarkStart w:id="866" w:name="_1631710250"/>
      <w:bookmarkStart w:id="867" w:name="_1632145017"/>
      <w:bookmarkStart w:id="868" w:name="_1632145071"/>
      <w:bookmarkStart w:id="869" w:name="_1632138918"/>
      <w:bookmarkStart w:id="870" w:name="_1632657392"/>
      <w:bookmarkStart w:id="871" w:name="_1632652237"/>
      <w:bookmarkStart w:id="872" w:name="_1636803032"/>
      <w:bookmarkStart w:id="873" w:name="_1636959467"/>
      <w:bookmarkStart w:id="874" w:name="_1637054433"/>
      <w:bookmarkStart w:id="875" w:name="_1637067055"/>
      <w:bookmarkStart w:id="876" w:name="_1640672661"/>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tbl>
      <w:tblPr>
        <w:tblW w:w="7400" w:type="dxa"/>
        <w:jc w:val="center"/>
        <w:tblLook w:val="04A0" w:firstRow="1" w:lastRow="0" w:firstColumn="1" w:lastColumn="0" w:noHBand="0" w:noVBand="1"/>
      </w:tblPr>
      <w:tblGrid>
        <w:gridCol w:w="2100"/>
        <w:gridCol w:w="1060"/>
        <w:gridCol w:w="1060"/>
        <w:gridCol w:w="1060"/>
        <w:gridCol w:w="1060"/>
        <w:gridCol w:w="1060"/>
      </w:tblGrid>
      <w:tr w:rsidR="003678D5" w:rsidRPr="006815C9" w14:paraId="64147840" w14:textId="77777777" w:rsidTr="003678D5">
        <w:trPr>
          <w:trHeight w:val="600"/>
          <w:jc w:val="center"/>
        </w:trPr>
        <w:tc>
          <w:tcPr>
            <w:tcW w:w="2100" w:type="dxa"/>
            <w:tcBorders>
              <w:top w:val="single" w:sz="4" w:space="0" w:color="9BC2E6"/>
              <w:left w:val="single" w:sz="4" w:space="0" w:color="9BC2E6"/>
              <w:bottom w:val="single" w:sz="4" w:space="0" w:color="9BC2E6"/>
              <w:right w:val="nil"/>
            </w:tcBorders>
            <w:shd w:val="clear" w:color="5B9BD5" w:fill="5B9BD5"/>
            <w:noWrap/>
            <w:vAlign w:val="bottom"/>
            <w:hideMark/>
          </w:tcPr>
          <w:p w14:paraId="0797A817" w14:textId="77777777" w:rsidR="003678D5" w:rsidRPr="006815C9" w:rsidRDefault="003678D5" w:rsidP="001E3835">
            <w:pPr>
              <w:keepNext/>
              <w:spacing w:after="0" w:line="240" w:lineRule="auto"/>
              <w:jc w:val="center"/>
              <w:rPr>
                <w:rFonts w:ascii="Calibri" w:eastAsia="Times New Roman" w:hAnsi="Calibri" w:cs="Calibri"/>
                <w:b/>
                <w:bCs/>
                <w:color w:val="5B9BD5"/>
                <w:lang w:eastAsia="en-AU"/>
              </w:rPr>
            </w:pPr>
            <w:r w:rsidRPr="006815C9">
              <w:rPr>
                <w:rFonts w:ascii="Calibri" w:eastAsia="Times New Roman" w:hAnsi="Calibri" w:cs="Calibri"/>
                <w:b/>
                <w:bCs/>
                <w:color w:val="5B9BD5"/>
                <w:lang w:eastAsia="en-AU"/>
              </w:rPr>
              <w:t>Column1</w:t>
            </w:r>
          </w:p>
        </w:tc>
        <w:tc>
          <w:tcPr>
            <w:tcW w:w="1060" w:type="dxa"/>
            <w:tcBorders>
              <w:top w:val="single" w:sz="4" w:space="0" w:color="9BC2E6"/>
              <w:left w:val="nil"/>
              <w:bottom w:val="single" w:sz="4" w:space="0" w:color="9BC2E6"/>
              <w:right w:val="nil"/>
            </w:tcBorders>
            <w:shd w:val="clear" w:color="5B9BD5" w:fill="5B9BD5"/>
            <w:vAlign w:val="bottom"/>
            <w:hideMark/>
          </w:tcPr>
          <w:p w14:paraId="601820DE" w14:textId="77777777" w:rsidR="003678D5" w:rsidRPr="006815C9" w:rsidRDefault="003678D5" w:rsidP="001E3835">
            <w:pPr>
              <w:keepNext/>
              <w:spacing w:after="0" w:line="240" w:lineRule="auto"/>
              <w:jc w:val="center"/>
              <w:rPr>
                <w:rFonts w:ascii="Calibri" w:eastAsia="Times New Roman" w:hAnsi="Calibri" w:cs="Calibri"/>
                <w:b/>
                <w:bCs/>
                <w:color w:val="FFFFFF"/>
                <w:lang w:eastAsia="en-AU"/>
              </w:rPr>
            </w:pPr>
            <w:r w:rsidRPr="006815C9">
              <w:rPr>
                <w:rFonts w:ascii="Calibri" w:eastAsia="Times New Roman" w:hAnsi="Calibri" w:cs="Calibri"/>
                <w:b/>
                <w:bCs/>
                <w:color w:val="FFFFFF"/>
                <w:lang w:eastAsia="en-AU"/>
              </w:rPr>
              <w:t>Balance of day</w:t>
            </w:r>
          </w:p>
        </w:tc>
        <w:tc>
          <w:tcPr>
            <w:tcW w:w="1060" w:type="dxa"/>
            <w:tcBorders>
              <w:top w:val="single" w:sz="4" w:space="0" w:color="9BC2E6"/>
              <w:left w:val="nil"/>
              <w:bottom w:val="single" w:sz="4" w:space="0" w:color="9BC2E6"/>
              <w:right w:val="nil"/>
            </w:tcBorders>
            <w:shd w:val="clear" w:color="5B9BD5" w:fill="5B9BD5"/>
            <w:vAlign w:val="bottom"/>
            <w:hideMark/>
          </w:tcPr>
          <w:p w14:paraId="18B1CC6D" w14:textId="77777777" w:rsidR="003678D5" w:rsidRPr="006815C9" w:rsidRDefault="003678D5" w:rsidP="001E3835">
            <w:pPr>
              <w:keepNext/>
              <w:spacing w:after="0" w:line="240" w:lineRule="auto"/>
              <w:jc w:val="center"/>
              <w:rPr>
                <w:rFonts w:ascii="Calibri" w:eastAsia="Times New Roman" w:hAnsi="Calibri" w:cs="Calibri"/>
                <w:b/>
                <w:bCs/>
                <w:color w:val="FFFFFF"/>
                <w:lang w:eastAsia="en-AU"/>
              </w:rPr>
            </w:pPr>
            <w:r w:rsidRPr="006815C9">
              <w:rPr>
                <w:rFonts w:ascii="Calibri" w:eastAsia="Times New Roman" w:hAnsi="Calibri" w:cs="Calibri"/>
                <w:b/>
                <w:bCs/>
                <w:color w:val="FFFFFF"/>
                <w:lang w:eastAsia="en-AU"/>
              </w:rPr>
              <w:t>Day ahead</w:t>
            </w:r>
          </w:p>
        </w:tc>
        <w:tc>
          <w:tcPr>
            <w:tcW w:w="1060" w:type="dxa"/>
            <w:tcBorders>
              <w:top w:val="single" w:sz="4" w:space="0" w:color="9BC2E6"/>
              <w:left w:val="nil"/>
              <w:bottom w:val="single" w:sz="4" w:space="0" w:color="9BC2E6"/>
              <w:right w:val="nil"/>
            </w:tcBorders>
            <w:shd w:val="clear" w:color="5B9BD5" w:fill="5B9BD5"/>
            <w:vAlign w:val="bottom"/>
            <w:hideMark/>
          </w:tcPr>
          <w:p w14:paraId="77FC3B06" w14:textId="77777777" w:rsidR="003678D5" w:rsidRPr="006815C9" w:rsidRDefault="003678D5" w:rsidP="001E3835">
            <w:pPr>
              <w:keepNext/>
              <w:spacing w:after="0" w:line="240" w:lineRule="auto"/>
              <w:jc w:val="center"/>
              <w:rPr>
                <w:rFonts w:ascii="Calibri" w:eastAsia="Times New Roman" w:hAnsi="Calibri" w:cs="Calibri"/>
                <w:b/>
                <w:bCs/>
                <w:color w:val="FFFFFF"/>
                <w:lang w:eastAsia="en-AU"/>
              </w:rPr>
            </w:pPr>
            <w:r w:rsidRPr="006815C9">
              <w:rPr>
                <w:rFonts w:ascii="Calibri" w:eastAsia="Times New Roman" w:hAnsi="Calibri" w:cs="Calibri"/>
                <w:b/>
                <w:bCs/>
                <w:color w:val="FFFFFF"/>
                <w:lang w:eastAsia="en-AU"/>
              </w:rPr>
              <w:t>Daily</w:t>
            </w:r>
          </w:p>
        </w:tc>
        <w:tc>
          <w:tcPr>
            <w:tcW w:w="1060" w:type="dxa"/>
            <w:tcBorders>
              <w:top w:val="single" w:sz="4" w:space="0" w:color="9BC2E6"/>
              <w:left w:val="nil"/>
              <w:bottom w:val="single" w:sz="4" w:space="0" w:color="9BC2E6"/>
              <w:right w:val="nil"/>
            </w:tcBorders>
            <w:shd w:val="clear" w:color="5B9BD5" w:fill="5B9BD5"/>
            <w:vAlign w:val="bottom"/>
            <w:hideMark/>
          </w:tcPr>
          <w:p w14:paraId="227155AF" w14:textId="77777777" w:rsidR="003678D5" w:rsidRPr="006815C9" w:rsidRDefault="003678D5" w:rsidP="001E3835">
            <w:pPr>
              <w:keepNext/>
              <w:spacing w:after="0" w:line="240" w:lineRule="auto"/>
              <w:jc w:val="center"/>
              <w:rPr>
                <w:rFonts w:ascii="Calibri" w:eastAsia="Times New Roman" w:hAnsi="Calibri" w:cs="Calibri"/>
                <w:b/>
                <w:bCs/>
                <w:color w:val="FFFFFF"/>
                <w:lang w:eastAsia="en-AU"/>
              </w:rPr>
            </w:pPr>
            <w:r w:rsidRPr="006815C9">
              <w:rPr>
                <w:rFonts w:ascii="Calibri" w:eastAsia="Times New Roman" w:hAnsi="Calibri" w:cs="Calibri"/>
                <w:b/>
                <w:bCs/>
                <w:color w:val="FFFFFF"/>
                <w:lang w:eastAsia="en-AU"/>
              </w:rPr>
              <w:t>Weekly</w:t>
            </w:r>
          </w:p>
        </w:tc>
        <w:tc>
          <w:tcPr>
            <w:tcW w:w="1060" w:type="dxa"/>
            <w:tcBorders>
              <w:top w:val="single" w:sz="4" w:space="0" w:color="9BC2E6"/>
              <w:left w:val="nil"/>
              <w:bottom w:val="single" w:sz="4" w:space="0" w:color="9BC2E6"/>
              <w:right w:val="single" w:sz="4" w:space="0" w:color="9BC2E6"/>
            </w:tcBorders>
            <w:shd w:val="clear" w:color="5B9BD5" w:fill="5B9BD5"/>
            <w:vAlign w:val="bottom"/>
            <w:hideMark/>
          </w:tcPr>
          <w:p w14:paraId="70F0E1D4" w14:textId="77777777" w:rsidR="003678D5" w:rsidRPr="006815C9" w:rsidRDefault="003678D5" w:rsidP="001E3835">
            <w:pPr>
              <w:keepNext/>
              <w:spacing w:after="0" w:line="240" w:lineRule="auto"/>
              <w:jc w:val="center"/>
              <w:rPr>
                <w:rFonts w:ascii="Calibri" w:eastAsia="Times New Roman" w:hAnsi="Calibri" w:cs="Calibri"/>
                <w:b/>
                <w:bCs/>
                <w:color w:val="FFFFFF"/>
                <w:lang w:eastAsia="en-AU"/>
              </w:rPr>
            </w:pPr>
            <w:r w:rsidRPr="006815C9">
              <w:rPr>
                <w:rFonts w:ascii="Calibri" w:eastAsia="Times New Roman" w:hAnsi="Calibri" w:cs="Calibri"/>
                <w:b/>
                <w:bCs/>
                <w:color w:val="FFFFFF"/>
                <w:lang w:eastAsia="en-AU"/>
              </w:rPr>
              <w:t>Monthly</w:t>
            </w:r>
          </w:p>
        </w:tc>
      </w:tr>
      <w:tr w:rsidR="003678D5" w:rsidRPr="006815C9" w14:paraId="2FDA064D"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DDEBF7" w:fill="DDEBF7"/>
            <w:noWrap/>
            <w:vAlign w:val="bottom"/>
            <w:hideMark/>
          </w:tcPr>
          <w:p w14:paraId="0056215F"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First half of 2015</w:t>
            </w:r>
          </w:p>
        </w:tc>
        <w:tc>
          <w:tcPr>
            <w:tcW w:w="1060" w:type="dxa"/>
            <w:tcBorders>
              <w:top w:val="single" w:sz="4" w:space="0" w:color="9BC2E6"/>
              <w:left w:val="nil"/>
              <w:bottom w:val="single" w:sz="4" w:space="0" w:color="9BC2E6"/>
              <w:right w:val="nil"/>
            </w:tcBorders>
            <w:shd w:val="clear" w:color="DDEBF7" w:fill="DDEBF7"/>
            <w:vAlign w:val="bottom"/>
            <w:hideMark/>
          </w:tcPr>
          <w:p w14:paraId="034ADF21"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19</w:t>
            </w:r>
          </w:p>
        </w:tc>
        <w:tc>
          <w:tcPr>
            <w:tcW w:w="1060" w:type="dxa"/>
            <w:tcBorders>
              <w:top w:val="single" w:sz="4" w:space="0" w:color="9BC2E6"/>
              <w:left w:val="nil"/>
              <w:bottom w:val="single" w:sz="4" w:space="0" w:color="9BC2E6"/>
              <w:right w:val="nil"/>
            </w:tcBorders>
            <w:shd w:val="clear" w:color="DDEBF7" w:fill="DDEBF7"/>
            <w:vAlign w:val="bottom"/>
            <w:hideMark/>
          </w:tcPr>
          <w:p w14:paraId="6A5EAF82"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152</w:t>
            </w:r>
          </w:p>
        </w:tc>
        <w:tc>
          <w:tcPr>
            <w:tcW w:w="1060" w:type="dxa"/>
            <w:tcBorders>
              <w:top w:val="single" w:sz="4" w:space="0" w:color="9BC2E6"/>
              <w:left w:val="nil"/>
              <w:bottom w:val="single" w:sz="4" w:space="0" w:color="9BC2E6"/>
              <w:right w:val="nil"/>
            </w:tcBorders>
            <w:shd w:val="clear" w:color="DDEBF7" w:fill="DDEBF7"/>
            <w:vAlign w:val="bottom"/>
            <w:hideMark/>
          </w:tcPr>
          <w:p w14:paraId="4D7FF11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123</w:t>
            </w:r>
          </w:p>
        </w:tc>
        <w:tc>
          <w:tcPr>
            <w:tcW w:w="1060" w:type="dxa"/>
            <w:tcBorders>
              <w:top w:val="single" w:sz="4" w:space="0" w:color="9BC2E6"/>
              <w:left w:val="nil"/>
              <w:bottom w:val="single" w:sz="4" w:space="0" w:color="9BC2E6"/>
              <w:right w:val="nil"/>
            </w:tcBorders>
            <w:shd w:val="clear" w:color="DDEBF7" w:fill="DDEBF7"/>
            <w:vAlign w:val="bottom"/>
            <w:hideMark/>
          </w:tcPr>
          <w:p w14:paraId="4052032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6</w:t>
            </w:r>
          </w:p>
        </w:tc>
        <w:tc>
          <w:tcPr>
            <w:tcW w:w="1060" w:type="dxa"/>
            <w:tcBorders>
              <w:top w:val="single" w:sz="4" w:space="0" w:color="9BC2E6"/>
              <w:left w:val="nil"/>
              <w:bottom w:val="single" w:sz="4" w:space="0" w:color="9BC2E6"/>
              <w:right w:val="single" w:sz="4" w:space="0" w:color="9BC2E6"/>
            </w:tcBorders>
            <w:shd w:val="clear" w:color="DDEBF7" w:fill="DDEBF7"/>
            <w:vAlign w:val="bottom"/>
            <w:hideMark/>
          </w:tcPr>
          <w:p w14:paraId="25510282"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0</w:t>
            </w:r>
          </w:p>
        </w:tc>
      </w:tr>
      <w:tr w:rsidR="003678D5" w:rsidRPr="006815C9" w14:paraId="04CFA0CD"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auto" w:fill="auto"/>
            <w:noWrap/>
            <w:vAlign w:val="bottom"/>
            <w:hideMark/>
          </w:tcPr>
          <w:p w14:paraId="5A307FFA"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Second half of 2015</w:t>
            </w:r>
          </w:p>
        </w:tc>
        <w:tc>
          <w:tcPr>
            <w:tcW w:w="1060" w:type="dxa"/>
            <w:tcBorders>
              <w:top w:val="single" w:sz="4" w:space="0" w:color="9BC2E6"/>
              <w:left w:val="nil"/>
              <w:bottom w:val="single" w:sz="4" w:space="0" w:color="9BC2E6"/>
              <w:right w:val="nil"/>
            </w:tcBorders>
            <w:shd w:val="clear" w:color="auto" w:fill="auto"/>
            <w:vAlign w:val="bottom"/>
            <w:hideMark/>
          </w:tcPr>
          <w:p w14:paraId="11AA8904"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45</w:t>
            </w:r>
          </w:p>
        </w:tc>
        <w:tc>
          <w:tcPr>
            <w:tcW w:w="1060" w:type="dxa"/>
            <w:tcBorders>
              <w:top w:val="single" w:sz="4" w:space="0" w:color="9BC2E6"/>
              <w:left w:val="nil"/>
              <w:bottom w:val="single" w:sz="4" w:space="0" w:color="9BC2E6"/>
              <w:right w:val="nil"/>
            </w:tcBorders>
            <w:shd w:val="clear" w:color="auto" w:fill="auto"/>
            <w:vAlign w:val="bottom"/>
            <w:hideMark/>
          </w:tcPr>
          <w:p w14:paraId="56572735"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232</w:t>
            </w:r>
          </w:p>
        </w:tc>
        <w:tc>
          <w:tcPr>
            <w:tcW w:w="1060" w:type="dxa"/>
            <w:tcBorders>
              <w:top w:val="single" w:sz="4" w:space="0" w:color="9BC2E6"/>
              <w:left w:val="nil"/>
              <w:bottom w:val="single" w:sz="4" w:space="0" w:color="9BC2E6"/>
              <w:right w:val="nil"/>
            </w:tcBorders>
            <w:shd w:val="clear" w:color="auto" w:fill="auto"/>
            <w:vAlign w:val="bottom"/>
            <w:hideMark/>
          </w:tcPr>
          <w:p w14:paraId="6888046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285</w:t>
            </w:r>
          </w:p>
        </w:tc>
        <w:tc>
          <w:tcPr>
            <w:tcW w:w="1060" w:type="dxa"/>
            <w:tcBorders>
              <w:top w:val="single" w:sz="4" w:space="0" w:color="9BC2E6"/>
              <w:left w:val="nil"/>
              <w:bottom w:val="single" w:sz="4" w:space="0" w:color="9BC2E6"/>
              <w:right w:val="nil"/>
            </w:tcBorders>
            <w:shd w:val="clear" w:color="auto" w:fill="auto"/>
            <w:vAlign w:val="bottom"/>
            <w:hideMark/>
          </w:tcPr>
          <w:p w14:paraId="451DCFB0"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13</w:t>
            </w:r>
          </w:p>
        </w:tc>
        <w:tc>
          <w:tcPr>
            <w:tcW w:w="1060" w:type="dxa"/>
            <w:tcBorders>
              <w:top w:val="single" w:sz="4" w:space="0" w:color="9BC2E6"/>
              <w:left w:val="nil"/>
              <w:bottom w:val="single" w:sz="4" w:space="0" w:color="9BC2E6"/>
              <w:right w:val="single" w:sz="4" w:space="0" w:color="9BC2E6"/>
            </w:tcBorders>
            <w:shd w:val="clear" w:color="auto" w:fill="auto"/>
            <w:vAlign w:val="bottom"/>
            <w:hideMark/>
          </w:tcPr>
          <w:p w14:paraId="23B57ED6"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0</w:t>
            </w:r>
          </w:p>
        </w:tc>
      </w:tr>
      <w:tr w:rsidR="003678D5" w:rsidRPr="006815C9" w14:paraId="508F6ADA"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DDEBF7" w:fill="DDEBF7"/>
            <w:noWrap/>
            <w:vAlign w:val="bottom"/>
            <w:hideMark/>
          </w:tcPr>
          <w:p w14:paraId="2C588FC5"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First half of 2016</w:t>
            </w:r>
          </w:p>
        </w:tc>
        <w:tc>
          <w:tcPr>
            <w:tcW w:w="1060" w:type="dxa"/>
            <w:tcBorders>
              <w:top w:val="single" w:sz="4" w:space="0" w:color="9BC2E6"/>
              <w:left w:val="nil"/>
              <w:bottom w:val="single" w:sz="4" w:space="0" w:color="9BC2E6"/>
              <w:right w:val="nil"/>
            </w:tcBorders>
            <w:shd w:val="clear" w:color="DDEBF7" w:fill="DDEBF7"/>
            <w:vAlign w:val="bottom"/>
            <w:hideMark/>
          </w:tcPr>
          <w:p w14:paraId="5C90545A"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102</w:t>
            </w:r>
          </w:p>
        </w:tc>
        <w:tc>
          <w:tcPr>
            <w:tcW w:w="1060" w:type="dxa"/>
            <w:tcBorders>
              <w:top w:val="single" w:sz="4" w:space="0" w:color="9BC2E6"/>
              <w:left w:val="nil"/>
              <w:bottom w:val="single" w:sz="4" w:space="0" w:color="9BC2E6"/>
              <w:right w:val="nil"/>
            </w:tcBorders>
            <w:shd w:val="clear" w:color="DDEBF7" w:fill="DDEBF7"/>
            <w:vAlign w:val="bottom"/>
            <w:hideMark/>
          </w:tcPr>
          <w:p w14:paraId="2800EE18"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99</w:t>
            </w:r>
          </w:p>
        </w:tc>
        <w:tc>
          <w:tcPr>
            <w:tcW w:w="1060" w:type="dxa"/>
            <w:tcBorders>
              <w:top w:val="single" w:sz="4" w:space="0" w:color="9BC2E6"/>
              <w:left w:val="nil"/>
              <w:bottom w:val="single" w:sz="4" w:space="0" w:color="9BC2E6"/>
              <w:right w:val="nil"/>
            </w:tcBorders>
            <w:shd w:val="clear" w:color="DDEBF7" w:fill="DDEBF7"/>
            <w:vAlign w:val="bottom"/>
            <w:hideMark/>
          </w:tcPr>
          <w:p w14:paraId="46BAC9B0"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105</w:t>
            </w:r>
          </w:p>
        </w:tc>
        <w:tc>
          <w:tcPr>
            <w:tcW w:w="1060" w:type="dxa"/>
            <w:tcBorders>
              <w:top w:val="single" w:sz="4" w:space="0" w:color="9BC2E6"/>
              <w:left w:val="nil"/>
              <w:bottom w:val="single" w:sz="4" w:space="0" w:color="9BC2E6"/>
              <w:right w:val="nil"/>
            </w:tcBorders>
            <w:shd w:val="clear" w:color="DDEBF7" w:fill="DDEBF7"/>
            <w:vAlign w:val="bottom"/>
            <w:hideMark/>
          </w:tcPr>
          <w:p w14:paraId="06D83CE8"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10</w:t>
            </w:r>
          </w:p>
        </w:tc>
        <w:tc>
          <w:tcPr>
            <w:tcW w:w="1060" w:type="dxa"/>
            <w:tcBorders>
              <w:top w:val="single" w:sz="4" w:space="0" w:color="9BC2E6"/>
              <w:left w:val="nil"/>
              <w:bottom w:val="single" w:sz="4" w:space="0" w:color="9BC2E6"/>
              <w:right w:val="single" w:sz="4" w:space="0" w:color="9BC2E6"/>
            </w:tcBorders>
            <w:shd w:val="clear" w:color="DDEBF7" w:fill="DDEBF7"/>
            <w:vAlign w:val="bottom"/>
            <w:hideMark/>
          </w:tcPr>
          <w:p w14:paraId="30A54D33"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0</w:t>
            </w:r>
          </w:p>
        </w:tc>
      </w:tr>
      <w:tr w:rsidR="003678D5" w:rsidRPr="006815C9" w14:paraId="049D7C2A"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auto" w:fill="auto"/>
            <w:noWrap/>
            <w:vAlign w:val="bottom"/>
            <w:hideMark/>
          </w:tcPr>
          <w:p w14:paraId="2903186B"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Second half of 2016</w:t>
            </w:r>
          </w:p>
        </w:tc>
        <w:tc>
          <w:tcPr>
            <w:tcW w:w="1060" w:type="dxa"/>
            <w:tcBorders>
              <w:top w:val="single" w:sz="4" w:space="0" w:color="9BC2E6"/>
              <w:left w:val="nil"/>
              <w:bottom w:val="single" w:sz="4" w:space="0" w:color="9BC2E6"/>
              <w:right w:val="nil"/>
            </w:tcBorders>
            <w:shd w:val="clear" w:color="auto" w:fill="auto"/>
            <w:vAlign w:val="bottom"/>
            <w:hideMark/>
          </w:tcPr>
          <w:p w14:paraId="76CC97E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123</w:t>
            </w:r>
          </w:p>
        </w:tc>
        <w:tc>
          <w:tcPr>
            <w:tcW w:w="1060" w:type="dxa"/>
            <w:tcBorders>
              <w:top w:val="single" w:sz="4" w:space="0" w:color="9BC2E6"/>
              <w:left w:val="nil"/>
              <w:bottom w:val="single" w:sz="4" w:space="0" w:color="9BC2E6"/>
              <w:right w:val="nil"/>
            </w:tcBorders>
            <w:shd w:val="clear" w:color="auto" w:fill="auto"/>
            <w:vAlign w:val="bottom"/>
            <w:hideMark/>
          </w:tcPr>
          <w:p w14:paraId="21EDAE94"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264</w:t>
            </w:r>
          </w:p>
        </w:tc>
        <w:tc>
          <w:tcPr>
            <w:tcW w:w="1060" w:type="dxa"/>
            <w:tcBorders>
              <w:top w:val="single" w:sz="4" w:space="0" w:color="9BC2E6"/>
              <w:left w:val="nil"/>
              <w:bottom w:val="single" w:sz="4" w:space="0" w:color="9BC2E6"/>
              <w:right w:val="nil"/>
            </w:tcBorders>
            <w:shd w:val="clear" w:color="auto" w:fill="auto"/>
            <w:vAlign w:val="bottom"/>
            <w:hideMark/>
          </w:tcPr>
          <w:p w14:paraId="364F15E5"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81</w:t>
            </w:r>
          </w:p>
        </w:tc>
        <w:tc>
          <w:tcPr>
            <w:tcW w:w="1060" w:type="dxa"/>
            <w:tcBorders>
              <w:top w:val="single" w:sz="4" w:space="0" w:color="9BC2E6"/>
              <w:left w:val="nil"/>
              <w:bottom w:val="single" w:sz="4" w:space="0" w:color="9BC2E6"/>
              <w:right w:val="nil"/>
            </w:tcBorders>
            <w:shd w:val="clear" w:color="auto" w:fill="auto"/>
            <w:vAlign w:val="bottom"/>
            <w:hideMark/>
          </w:tcPr>
          <w:p w14:paraId="1307B98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11</w:t>
            </w:r>
          </w:p>
        </w:tc>
        <w:tc>
          <w:tcPr>
            <w:tcW w:w="1060" w:type="dxa"/>
            <w:tcBorders>
              <w:top w:val="single" w:sz="4" w:space="0" w:color="9BC2E6"/>
              <w:left w:val="nil"/>
              <w:bottom w:val="single" w:sz="4" w:space="0" w:color="9BC2E6"/>
              <w:right w:val="single" w:sz="4" w:space="0" w:color="9BC2E6"/>
            </w:tcBorders>
            <w:shd w:val="clear" w:color="auto" w:fill="auto"/>
            <w:vAlign w:val="bottom"/>
            <w:hideMark/>
          </w:tcPr>
          <w:p w14:paraId="2A652086"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3</w:t>
            </w:r>
          </w:p>
        </w:tc>
      </w:tr>
      <w:tr w:rsidR="003678D5" w:rsidRPr="006815C9" w14:paraId="135A4B08"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DDEBF7" w:fill="DDEBF7"/>
            <w:noWrap/>
            <w:vAlign w:val="bottom"/>
            <w:hideMark/>
          </w:tcPr>
          <w:p w14:paraId="28B115AD"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First half of 2017</w:t>
            </w:r>
          </w:p>
        </w:tc>
        <w:tc>
          <w:tcPr>
            <w:tcW w:w="1060" w:type="dxa"/>
            <w:tcBorders>
              <w:top w:val="single" w:sz="4" w:space="0" w:color="9BC2E6"/>
              <w:left w:val="nil"/>
              <w:bottom w:val="single" w:sz="4" w:space="0" w:color="9BC2E6"/>
              <w:right w:val="nil"/>
            </w:tcBorders>
            <w:shd w:val="clear" w:color="DDEBF7" w:fill="DDEBF7"/>
            <w:vAlign w:val="bottom"/>
            <w:hideMark/>
          </w:tcPr>
          <w:p w14:paraId="2C994D1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129</w:t>
            </w:r>
          </w:p>
        </w:tc>
        <w:tc>
          <w:tcPr>
            <w:tcW w:w="1060" w:type="dxa"/>
            <w:tcBorders>
              <w:top w:val="single" w:sz="4" w:space="0" w:color="9BC2E6"/>
              <w:left w:val="nil"/>
              <w:bottom w:val="single" w:sz="4" w:space="0" w:color="9BC2E6"/>
              <w:right w:val="nil"/>
            </w:tcBorders>
            <w:shd w:val="clear" w:color="DDEBF7" w:fill="DDEBF7"/>
            <w:vAlign w:val="bottom"/>
            <w:hideMark/>
          </w:tcPr>
          <w:p w14:paraId="102F2A86"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203</w:t>
            </w:r>
          </w:p>
        </w:tc>
        <w:tc>
          <w:tcPr>
            <w:tcW w:w="1060" w:type="dxa"/>
            <w:tcBorders>
              <w:top w:val="single" w:sz="4" w:space="0" w:color="9BC2E6"/>
              <w:left w:val="nil"/>
              <w:bottom w:val="single" w:sz="4" w:space="0" w:color="9BC2E6"/>
              <w:right w:val="nil"/>
            </w:tcBorders>
            <w:shd w:val="clear" w:color="DDEBF7" w:fill="DDEBF7"/>
            <w:vAlign w:val="bottom"/>
            <w:hideMark/>
          </w:tcPr>
          <w:p w14:paraId="7C7F0ED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221</w:t>
            </w:r>
          </w:p>
        </w:tc>
        <w:tc>
          <w:tcPr>
            <w:tcW w:w="1060" w:type="dxa"/>
            <w:tcBorders>
              <w:top w:val="single" w:sz="4" w:space="0" w:color="9BC2E6"/>
              <w:left w:val="nil"/>
              <w:bottom w:val="single" w:sz="4" w:space="0" w:color="9BC2E6"/>
              <w:right w:val="nil"/>
            </w:tcBorders>
            <w:shd w:val="clear" w:color="DDEBF7" w:fill="DDEBF7"/>
            <w:vAlign w:val="bottom"/>
            <w:hideMark/>
          </w:tcPr>
          <w:p w14:paraId="316A8A0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16</w:t>
            </w:r>
          </w:p>
        </w:tc>
        <w:tc>
          <w:tcPr>
            <w:tcW w:w="1060" w:type="dxa"/>
            <w:tcBorders>
              <w:top w:val="single" w:sz="4" w:space="0" w:color="9BC2E6"/>
              <w:left w:val="nil"/>
              <w:bottom w:val="single" w:sz="4" w:space="0" w:color="9BC2E6"/>
              <w:right w:val="single" w:sz="4" w:space="0" w:color="9BC2E6"/>
            </w:tcBorders>
            <w:shd w:val="clear" w:color="DDEBF7" w:fill="DDEBF7"/>
            <w:vAlign w:val="bottom"/>
            <w:hideMark/>
          </w:tcPr>
          <w:p w14:paraId="5F3F1D7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4</w:t>
            </w:r>
          </w:p>
        </w:tc>
      </w:tr>
      <w:tr w:rsidR="003678D5" w:rsidRPr="006815C9" w14:paraId="6122516E"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auto" w:fill="auto"/>
            <w:noWrap/>
            <w:vAlign w:val="bottom"/>
            <w:hideMark/>
          </w:tcPr>
          <w:p w14:paraId="09FD1B7F"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Second half of 2017</w:t>
            </w:r>
          </w:p>
        </w:tc>
        <w:tc>
          <w:tcPr>
            <w:tcW w:w="1060" w:type="dxa"/>
            <w:tcBorders>
              <w:top w:val="single" w:sz="4" w:space="0" w:color="9BC2E6"/>
              <w:left w:val="nil"/>
              <w:bottom w:val="single" w:sz="4" w:space="0" w:color="9BC2E6"/>
              <w:right w:val="nil"/>
            </w:tcBorders>
            <w:shd w:val="clear" w:color="auto" w:fill="auto"/>
            <w:vAlign w:val="bottom"/>
            <w:hideMark/>
          </w:tcPr>
          <w:p w14:paraId="4E148358"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161</w:t>
            </w:r>
          </w:p>
        </w:tc>
        <w:tc>
          <w:tcPr>
            <w:tcW w:w="1060" w:type="dxa"/>
            <w:tcBorders>
              <w:top w:val="single" w:sz="4" w:space="0" w:color="9BC2E6"/>
              <w:left w:val="nil"/>
              <w:bottom w:val="single" w:sz="4" w:space="0" w:color="9BC2E6"/>
              <w:right w:val="nil"/>
            </w:tcBorders>
            <w:shd w:val="clear" w:color="auto" w:fill="auto"/>
            <w:vAlign w:val="bottom"/>
            <w:hideMark/>
          </w:tcPr>
          <w:p w14:paraId="03FFA741"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267</w:t>
            </w:r>
          </w:p>
        </w:tc>
        <w:tc>
          <w:tcPr>
            <w:tcW w:w="1060" w:type="dxa"/>
            <w:tcBorders>
              <w:top w:val="single" w:sz="4" w:space="0" w:color="9BC2E6"/>
              <w:left w:val="nil"/>
              <w:bottom w:val="single" w:sz="4" w:space="0" w:color="9BC2E6"/>
              <w:right w:val="nil"/>
            </w:tcBorders>
            <w:shd w:val="clear" w:color="auto" w:fill="auto"/>
            <w:vAlign w:val="bottom"/>
            <w:hideMark/>
          </w:tcPr>
          <w:p w14:paraId="01C02BC1"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544</w:t>
            </w:r>
          </w:p>
        </w:tc>
        <w:tc>
          <w:tcPr>
            <w:tcW w:w="1060" w:type="dxa"/>
            <w:tcBorders>
              <w:top w:val="single" w:sz="4" w:space="0" w:color="9BC2E6"/>
              <w:left w:val="nil"/>
              <w:bottom w:val="single" w:sz="4" w:space="0" w:color="9BC2E6"/>
              <w:right w:val="nil"/>
            </w:tcBorders>
            <w:shd w:val="clear" w:color="auto" w:fill="auto"/>
            <w:vAlign w:val="bottom"/>
            <w:hideMark/>
          </w:tcPr>
          <w:p w14:paraId="445B3500"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81</w:t>
            </w:r>
          </w:p>
        </w:tc>
        <w:tc>
          <w:tcPr>
            <w:tcW w:w="1060" w:type="dxa"/>
            <w:tcBorders>
              <w:top w:val="single" w:sz="4" w:space="0" w:color="9BC2E6"/>
              <w:left w:val="nil"/>
              <w:bottom w:val="single" w:sz="4" w:space="0" w:color="9BC2E6"/>
              <w:right w:val="single" w:sz="4" w:space="0" w:color="9BC2E6"/>
            </w:tcBorders>
            <w:shd w:val="clear" w:color="auto" w:fill="auto"/>
            <w:vAlign w:val="bottom"/>
            <w:hideMark/>
          </w:tcPr>
          <w:p w14:paraId="7A0D0915"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10</w:t>
            </w:r>
          </w:p>
        </w:tc>
      </w:tr>
      <w:tr w:rsidR="003678D5" w:rsidRPr="006815C9" w14:paraId="1FBA5DB0"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DDEBF7" w:fill="DDEBF7"/>
            <w:noWrap/>
            <w:vAlign w:val="bottom"/>
            <w:hideMark/>
          </w:tcPr>
          <w:p w14:paraId="7C9ACAE4"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First half of 2018</w:t>
            </w:r>
          </w:p>
        </w:tc>
        <w:tc>
          <w:tcPr>
            <w:tcW w:w="1060" w:type="dxa"/>
            <w:tcBorders>
              <w:top w:val="single" w:sz="4" w:space="0" w:color="9BC2E6"/>
              <w:left w:val="nil"/>
              <w:bottom w:val="single" w:sz="4" w:space="0" w:color="9BC2E6"/>
              <w:right w:val="nil"/>
            </w:tcBorders>
            <w:shd w:val="clear" w:color="DDEBF7" w:fill="DDEBF7"/>
            <w:vAlign w:val="bottom"/>
            <w:hideMark/>
          </w:tcPr>
          <w:p w14:paraId="5966762D"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192</w:t>
            </w:r>
          </w:p>
        </w:tc>
        <w:tc>
          <w:tcPr>
            <w:tcW w:w="1060" w:type="dxa"/>
            <w:tcBorders>
              <w:top w:val="single" w:sz="4" w:space="0" w:color="9BC2E6"/>
              <w:left w:val="nil"/>
              <w:bottom w:val="single" w:sz="4" w:space="0" w:color="9BC2E6"/>
              <w:right w:val="nil"/>
            </w:tcBorders>
            <w:shd w:val="clear" w:color="DDEBF7" w:fill="DDEBF7"/>
            <w:vAlign w:val="bottom"/>
            <w:hideMark/>
          </w:tcPr>
          <w:p w14:paraId="4AD0852C"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256</w:t>
            </w:r>
          </w:p>
        </w:tc>
        <w:tc>
          <w:tcPr>
            <w:tcW w:w="1060" w:type="dxa"/>
            <w:tcBorders>
              <w:top w:val="single" w:sz="4" w:space="0" w:color="9BC2E6"/>
              <w:left w:val="nil"/>
              <w:bottom w:val="single" w:sz="4" w:space="0" w:color="9BC2E6"/>
              <w:right w:val="nil"/>
            </w:tcBorders>
            <w:shd w:val="clear" w:color="DDEBF7" w:fill="DDEBF7"/>
            <w:vAlign w:val="bottom"/>
            <w:hideMark/>
          </w:tcPr>
          <w:p w14:paraId="3C91C73F"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478</w:t>
            </w:r>
          </w:p>
        </w:tc>
        <w:tc>
          <w:tcPr>
            <w:tcW w:w="1060" w:type="dxa"/>
            <w:tcBorders>
              <w:top w:val="single" w:sz="4" w:space="0" w:color="9BC2E6"/>
              <w:left w:val="nil"/>
              <w:bottom w:val="single" w:sz="4" w:space="0" w:color="9BC2E6"/>
              <w:right w:val="nil"/>
            </w:tcBorders>
            <w:shd w:val="clear" w:color="DDEBF7" w:fill="DDEBF7"/>
            <w:vAlign w:val="bottom"/>
            <w:hideMark/>
          </w:tcPr>
          <w:p w14:paraId="3F9582B2"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46</w:t>
            </w:r>
          </w:p>
        </w:tc>
        <w:tc>
          <w:tcPr>
            <w:tcW w:w="1060" w:type="dxa"/>
            <w:tcBorders>
              <w:top w:val="single" w:sz="4" w:space="0" w:color="9BC2E6"/>
              <w:left w:val="nil"/>
              <w:bottom w:val="single" w:sz="4" w:space="0" w:color="9BC2E6"/>
              <w:right w:val="single" w:sz="4" w:space="0" w:color="9BC2E6"/>
            </w:tcBorders>
            <w:shd w:val="clear" w:color="DDEBF7" w:fill="DDEBF7"/>
            <w:vAlign w:val="bottom"/>
            <w:hideMark/>
          </w:tcPr>
          <w:p w14:paraId="65C3B31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14</w:t>
            </w:r>
          </w:p>
        </w:tc>
      </w:tr>
      <w:tr w:rsidR="003678D5" w:rsidRPr="006815C9" w14:paraId="1B77FFBF"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auto" w:fill="auto"/>
            <w:noWrap/>
            <w:vAlign w:val="bottom"/>
            <w:hideMark/>
          </w:tcPr>
          <w:p w14:paraId="4BA8E4BB"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Second half of 2018</w:t>
            </w:r>
          </w:p>
        </w:tc>
        <w:tc>
          <w:tcPr>
            <w:tcW w:w="1060" w:type="dxa"/>
            <w:tcBorders>
              <w:top w:val="single" w:sz="4" w:space="0" w:color="9BC2E6"/>
              <w:left w:val="nil"/>
              <w:bottom w:val="single" w:sz="4" w:space="0" w:color="9BC2E6"/>
              <w:right w:val="nil"/>
            </w:tcBorders>
            <w:shd w:val="clear" w:color="auto" w:fill="auto"/>
            <w:vAlign w:val="bottom"/>
            <w:hideMark/>
          </w:tcPr>
          <w:p w14:paraId="295BB1D4"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245</w:t>
            </w:r>
          </w:p>
        </w:tc>
        <w:tc>
          <w:tcPr>
            <w:tcW w:w="1060" w:type="dxa"/>
            <w:tcBorders>
              <w:top w:val="single" w:sz="4" w:space="0" w:color="9BC2E6"/>
              <w:left w:val="nil"/>
              <w:bottom w:val="single" w:sz="4" w:space="0" w:color="9BC2E6"/>
              <w:right w:val="nil"/>
            </w:tcBorders>
            <w:shd w:val="clear" w:color="auto" w:fill="auto"/>
            <w:vAlign w:val="bottom"/>
            <w:hideMark/>
          </w:tcPr>
          <w:p w14:paraId="3DC1C7F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329</w:t>
            </w:r>
          </w:p>
        </w:tc>
        <w:tc>
          <w:tcPr>
            <w:tcW w:w="1060" w:type="dxa"/>
            <w:tcBorders>
              <w:top w:val="single" w:sz="4" w:space="0" w:color="9BC2E6"/>
              <w:left w:val="nil"/>
              <w:bottom w:val="single" w:sz="4" w:space="0" w:color="9BC2E6"/>
              <w:right w:val="nil"/>
            </w:tcBorders>
            <w:shd w:val="clear" w:color="auto" w:fill="auto"/>
            <w:vAlign w:val="bottom"/>
            <w:hideMark/>
          </w:tcPr>
          <w:p w14:paraId="4E21202D"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297</w:t>
            </w:r>
          </w:p>
        </w:tc>
        <w:tc>
          <w:tcPr>
            <w:tcW w:w="1060" w:type="dxa"/>
            <w:tcBorders>
              <w:top w:val="single" w:sz="4" w:space="0" w:color="9BC2E6"/>
              <w:left w:val="nil"/>
              <w:bottom w:val="single" w:sz="4" w:space="0" w:color="9BC2E6"/>
              <w:right w:val="nil"/>
            </w:tcBorders>
            <w:shd w:val="clear" w:color="auto" w:fill="auto"/>
            <w:vAlign w:val="bottom"/>
            <w:hideMark/>
          </w:tcPr>
          <w:p w14:paraId="67DC4931"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23</w:t>
            </w:r>
          </w:p>
        </w:tc>
        <w:tc>
          <w:tcPr>
            <w:tcW w:w="1060" w:type="dxa"/>
            <w:tcBorders>
              <w:top w:val="single" w:sz="4" w:space="0" w:color="9BC2E6"/>
              <w:left w:val="nil"/>
              <w:bottom w:val="single" w:sz="4" w:space="0" w:color="9BC2E6"/>
              <w:right w:val="single" w:sz="4" w:space="0" w:color="9BC2E6"/>
            </w:tcBorders>
            <w:shd w:val="clear" w:color="auto" w:fill="auto"/>
            <w:vAlign w:val="bottom"/>
            <w:hideMark/>
          </w:tcPr>
          <w:p w14:paraId="08F0DDC2"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29</w:t>
            </w:r>
          </w:p>
        </w:tc>
      </w:tr>
      <w:tr w:rsidR="003678D5" w:rsidRPr="006815C9" w14:paraId="2FF89408" w14:textId="77777777" w:rsidTr="003678D5">
        <w:trPr>
          <w:trHeight w:val="300"/>
          <w:jc w:val="center"/>
        </w:trPr>
        <w:tc>
          <w:tcPr>
            <w:tcW w:w="2100" w:type="dxa"/>
            <w:tcBorders>
              <w:top w:val="single" w:sz="4" w:space="0" w:color="9BC2E6"/>
              <w:left w:val="single" w:sz="4" w:space="0" w:color="9BC2E6"/>
              <w:bottom w:val="single" w:sz="4" w:space="0" w:color="9BC2E6"/>
              <w:right w:val="nil"/>
            </w:tcBorders>
            <w:shd w:val="clear" w:color="DDEBF7" w:fill="DDEBF7"/>
            <w:noWrap/>
            <w:vAlign w:val="bottom"/>
            <w:hideMark/>
          </w:tcPr>
          <w:p w14:paraId="659AF290" w14:textId="77777777" w:rsidR="003678D5" w:rsidRPr="006815C9" w:rsidRDefault="003678D5" w:rsidP="001E3835">
            <w:pPr>
              <w:keepNext/>
              <w:spacing w:after="0" w:line="240" w:lineRule="auto"/>
              <w:rPr>
                <w:rFonts w:ascii="Calibri" w:eastAsia="Times New Roman" w:hAnsi="Calibri" w:cs="Calibri"/>
                <w:color w:val="000000"/>
                <w:lang w:eastAsia="en-AU"/>
              </w:rPr>
            </w:pPr>
            <w:r w:rsidRPr="006815C9">
              <w:rPr>
                <w:rFonts w:ascii="Calibri" w:eastAsia="Times New Roman" w:hAnsi="Calibri" w:cs="Calibri"/>
                <w:color w:val="000000"/>
                <w:lang w:eastAsia="en-AU"/>
              </w:rPr>
              <w:t>First half of 2019</w:t>
            </w:r>
          </w:p>
        </w:tc>
        <w:tc>
          <w:tcPr>
            <w:tcW w:w="1060" w:type="dxa"/>
            <w:tcBorders>
              <w:top w:val="single" w:sz="4" w:space="0" w:color="9BC2E6"/>
              <w:left w:val="nil"/>
              <w:bottom w:val="single" w:sz="4" w:space="0" w:color="9BC2E6"/>
              <w:right w:val="nil"/>
            </w:tcBorders>
            <w:shd w:val="clear" w:color="DDEBF7" w:fill="DDEBF7"/>
            <w:vAlign w:val="bottom"/>
            <w:hideMark/>
          </w:tcPr>
          <w:p w14:paraId="045876A7"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547</w:t>
            </w:r>
          </w:p>
        </w:tc>
        <w:tc>
          <w:tcPr>
            <w:tcW w:w="1060" w:type="dxa"/>
            <w:tcBorders>
              <w:top w:val="single" w:sz="4" w:space="0" w:color="9BC2E6"/>
              <w:left w:val="nil"/>
              <w:bottom w:val="single" w:sz="4" w:space="0" w:color="9BC2E6"/>
              <w:right w:val="nil"/>
            </w:tcBorders>
            <w:shd w:val="clear" w:color="DDEBF7" w:fill="DDEBF7"/>
            <w:vAlign w:val="bottom"/>
            <w:hideMark/>
          </w:tcPr>
          <w:p w14:paraId="50CC8D34"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558</w:t>
            </w:r>
          </w:p>
        </w:tc>
        <w:tc>
          <w:tcPr>
            <w:tcW w:w="1060" w:type="dxa"/>
            <w:tcBorders>
              <w:top w:val="single" w:sz="4" w:space="0" w:color="9BC2E6"/>
              <w:left w:val="nil"/>
              <w:bottom w:val="single" w:sz="4" w:space="0" w:color="9BC2E6"/>
              <w:right w:val="nil"/>
            </w:tcBorders>
            <w:shd w:val="clear" w:color="DDEBF7" w:fill="DDEBF7"/>
            <w:vAlign w:val="bottom"/>
            <w:hideMark/>
          </w:tcPr>
          <w:p w14:paraId="5251E7FE"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640</w:t>
            </w:r>
          </w:p>
        </w:tc>
        <w:tc>
          <w:tcPr>
            <w:tcW w:w="1060" w:type="dxa"/>
            <w:tcBorders>
              <w:top w:val="single" w:sz="4" w:space="0" w:color="9BC2E6"/>
              <w:left w:val="nil"/>
              <w:bottom w:val="single" w:sz="4" w:space="0" w:color="9BC2E6"/>
              <w:right w:val="nil"/>
            </w:tcBorders>
            <w:shd w:val="clear" w:color="DDEBF7" w:fill="DDEBF7"/>
            <w:vAlign w:val="bottom"/>
            <w:hideMark/>
          </w:tcPr>
          <w:p w14:paraId="2B3DEEE4"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63</w:t>
            </w:r>
          </w:p>
        </w:tc>
        <w:tc>
          <w:tcPr>
            <w:tcW w:w="1060" w:type="dxa"/>
            <w:tcBorders>
              <w:top w:val="single" w:sz="4" w:space="0" w:color="9BC2E6"/>
              <w:left w:val="nil"/>
              <w:bottom w:val="single" w:sz="4" w:space="0" w:color="9BC2E6"/>
              <w:right w:val="single" w:sz="4" w:space="0" w:color="9BC2E6"/>
            </w:tcBorders>
            <w:shd w:val="clear" w:color="DDEBF7" w:fill="DDEBF7"/>
            <w:vAlign w:val="bottom"/>
            <w:hideMark/>
          </w:tcPr>
          <w:p w14:paraId="02025EB9" w14:textId="77777777" w:rsidR="003678D5" w:rsidRPr="006815C9" w:rsidRDefault="003678D5" w:rsidP="001E3835">
            <w:pPr>
              <w:keepNext/>
              <w:spacing w:after="0" w:line="240" w:lineRule="auto"/>
              <w:jc w:val="center"/>
              <w:rPr>
                <w:rFonts w:ascii="Calibri" w:eastAsia="Times New Roman" w:hAnsi="Calibri" w:cs="Calibri"/>
                <w:color w:val="000000"/>
                <w:lang w:eastAsia="en-AU"/>
              </w:rPr>
            </w:pPr>
            <w:r w:rsidRPr="006815C9">
              <w:rPr>
                <w:rFonts w:ascii="Calibri" w:eastAsia="Times New Roman" w:hAnsi="Calibri" w:cs="Calibri"/>
                <w:color w:val="000000"/>
                <w:lang w:eastAsia="en-AU"/>
              </w:rPr>
              <w:t>38</w:t>
            </w:r>
          </w:p>
        </w:tc>
      </w:tr>
    </w:tbl>
    <w:p w14:paraId="2E2894C6" w14:textId="0DB2FBCA" w:rsidR="00C90861" w:rsidRPr="006815C9" w:rsidRDefault="003678D5" w:rsidP="001E3835">
      <w:pPr>
        <w:pStyle w:val="Caption"/>
        <w:keepNext/>
        <w:rPr>
          <w:rFonts w:cstheme="minorHAnsi"/>
          <w:b w:val="0"/>
          <w:sz w:val="18"/>
          <w:szCs w:val="18"/>
        </w:rPr>
      </w:pPr>
      <w:r w:rsidRPr="006815C9">
        <w:fldChar w:fldCharType="end"/>
      </w:r>
      <w:r w:rsidR="00C90861" w:rsidRPr="006815C9">
        <w:rPr>
          <w:rFonts w:cstheme="minorHAnsi"/>
          <w:b w:val="0"/>
          <w:sz w:val="18"/>
          <w:szCs w:val="18"/>
        </w:rPr>
        <w:t xml:space="preserve">Source: </w:t>
      </w:r>
      <w:r w:rsidR="00652341" w:rsidRPr="006815C9">
        <w:rPr>
          <w:rFonts w:cstheme="minorHAnsi"/>
          <w:b w:val="0"/>
          <w:sz w:val="18"/>
          <w:szCs w:val="18"/>
        </w:rPr>
        <w:t>AER, Gas Supply Hub trade count by product – Wallumbilla, AER reference D11/2298801[V6] [https://www.aer.gov.au/wholesale-markets/wholesale-statistics/gas-supply-hub-trade-count-by-product-%E2%80%93-wallumbilla]</w:t>
      </w:r>
    </w:p>
    <w:p w14:paraId="65645FCD" w14:textId="22A4F852" w:rsidR="00C90861" w:rsidRPr="006815C9" w:rsidRDefault="00C90861" w:rsidP="00870678">
      <w:pPr>
        <w:pStyle w:val="Heading3"/>
      </w:pPr>
      <w:bookmarkStart w:id="877" w:name="_Toc20232940"/>
      <w:bookmarkStart w:id="878" w:name="_Toc20237750"/>
      <w:bookmarkStart w:id="879" w:name="_Toc20322036"/>
      <w:bookmarkStart w:id="880" w:name="_Toc20322454"/>
      <w:bookmarkStart w:id="881" w:name="_Toc20398020"/>
      <w:bookmarkStart w:id="882" w:name="_Toc20401021"/>
      <w:bookmarkStart w:id="883" w:name="_Toc20410659"/>
      <w:bookmarkStart w:id="884" w:name="_Toc20412185"/>
      <w:bookmarkStart w:id="885" w:name="_Toc20469278"/>
      <w:bookmarkStart w:id="886" w:name="_Ref20734483"/>
      <w:bookmarkStart w:id="887" w:name="_Toc21705353"/>
      <w:bookmarkStart w:id="888" w:name="_Toc26349931"/>
      <w:bookmarkStart w:id="889" w:name="_Toc26448248"/>
      <w:bookmarkStart w:id="890" w:name="_Toc26454530"/>
      <w:bookmarkStart w:id="891" w:name="_Toc29823319"/>
      <w:r w:rsidRPr="006815C9">
        <w:t>Market concentration</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DC0B549" w14:textId="7CEDC10B" w:rsidR="00DD067A" w:rsidRPr="006815C9" w:rsidRDefault="00941C2B" w:rsidP="00DD067A">
      <w:pPr>
        <w:pStyle w:val="ListParagraph"/>
        <w:ind w:left="0"/>
        <w:rPr>
          <w:rFonts w:cstheme="minorHAnsi"/>
        </w:rPr>
      </w:pPr>
      <w:r w:rsidRPr="006815C9">
        <w:rPr>
          <w:rFonts w:cstheme="minorHAnsi"/>
        </w:rPr>
        <w:t xml:space="preserve">A number of </w:t>
      </w:r>
      <w:r w:rsidR="00A331BA" w:rsidRPr="006815C9">
        <w:rPr>
          <w:rFonts w:cstheme="minorHAnsi"/>
        </w:rPr>
        <w:t xml:space="preserve">gas </w:t>
      </w:r>
      <w:r w:rsidRPr="006815C9">
        <w:rPr>
          <w:rFonts w:cstheme="minorHAnsi"/>
        </w:rPr>
        <w:t xml:space="preserve">users have expressed concern </w:t>
      </w:r>
      <w:r w:rsidR="00A331BA" w:rsidRPr="006815C9">
        <w:rPr>
          <w:rFonts w:cstheme="minorHAnsi"/>
        </w:rPr>
        <w:t>on</w:t>
      </w:r>
      <w:r w:rsidRPr="006815C9">
        <w:rPr>
          <w:rFonts w:cstheme="minorHAnsi"/>
        </w:rPr>
        <w:t xml:space="preserve"> the amount of market power suppliers are able to exercise in the </w:t>
      </w:r>
      <w:r w:rsidR="009C3FA8" w:rsidRPr="006815C9">
        <w:rPr>
          <w:rFonts w:cstheme="minorHAnsi"/>
        </w:rPr>
        <w:t>eastern gas market</w:t>
      </w:r>
      <w:r w:rsidRPr="006815C9">
        <w:rPr>
          <w:rFonts w:cstheme="minorHAnsi"/>
        </w:rPr>
        <w:t xml:space="preserve">. </w:t>
      </w:r>
      <w:r w:rsidR="00C90861" w:rsidRPr="006815C9">
        <w:rPr>
          <w:rFonts w:cstheme="minorHAnsi"/>
        </w:rPr>
        <w:t xml:space="preserve">The Herfindahl-Hirschman Index (HHI) is a standard measure of market concentration that is based on the market share of each participant. The HHI can range in value from 0 to 10,000. A lower value represents a less concentrated market. Typically, competition regulators consider that </w:t>
      </w:r>
      <w:r w:rsidR="00652341" w:rsidRPr="006815C9">
        <w:rPr>
          <w:rFonts w:cstheme="minorHAnsi"/>
        </w:rPr>
        <w:t xml:space="preserve">a </w:t>
      </w:r>
      <w:r w:rsidR="00C90861" w:rsidRPr="006815C9">
        <w:rPr>
          <w:rFonts w:cstheme="minorHAnsi"/>
        </w:rPr>
        <w:t xml:space="preserve">HHI value </w:t>
      </w:r>
      <w:r w:rsidR="00652341" w:rsidRPr="006815C9">
        <w:rPr>
          <w:rFonts w:cstheme="minorHAnsi"/>
        </w:rPr>
        <w:t xml:space="preserve">below 1500 is </w:t>
      </w:r>
      <w:r w:rsidR="00C90861" w:rsidRPr="006815C9">
        <w:rPr>
          <w:rFonts w:cstheme="minorHAnsi"/>
        </w:rPr>
        <w:t>indicative of a</w:t>
      </w:r>
      <w:r w:rsidR="00652341" w:rsidRPr="006815C9">
        <w:rPr>
          <w:rFonts w:cstheme="minorHAnsi"/>
        </w:rPr>
        <w:t>n</w:t>
      </w:r>
      <w:r w:rsidR="00C90861" w:rsidRPr="006815C9">
        <w:rPr>
          <w:rFonts w:cstheme="minorHAnsi"/>
        </w:rPr>
        <w:t xml:space="preserve"> </w:t>
      </w:r>
      <w:r w:rsidR="00652341" w:rsidRPr="006815C9">
        <w:rPr>
          <w:rFonts w:cstheme="minorHAnsi"/>
        </w:rPr>
        <w:t>un</w:t>
      </w:r>
      <w:r w:rsidR="00C90861" w:rsidRPr="006815C9">
        <w:rPr>
          <w:rFonts w:cstheme="minorHAnsi"/>
        </w:rPr>
        <w:t>concentrated market.</w:t>
      </w:r>
      <w:r w:rsidR="00510612" w:rsidRPr="006815C9">
        <w:rPr>
          <w:rStyle w:val="FootnoteReference"/>
          <w:rFonts w:cstheme="minorHAnsi"/>
        </w:rPr>
        <w:footnoteReference w:id="22"/>
      </w:r>
      <w:r w:rsidR="00510612" w:rsidRPr="006815C9">
        <w:rPr>
          <w:rFonts w:cstheme="minorHAnsi"/>
          <w:vertAlign w:val="superscript"/>
        </w:rPr>
        <w:t xml:space="preserve">, </w:t>
      </w:r>
      <w:r w:rsidR="00652341" w:rsidRPr="006815C9">
        <w:rPr>
          <w:rStyle w:val="FootnoteReference"/>
          <w:rFonts w:cstheme="minorHAnsi"/>
        </w:rPr>
        <w:footnoteReference w:id="23"/>
      </w:r>
      <w:r w:rsidR="00DD067A" w:rsidRPr="006815C9">
        <w:rPr>
          <w:rFonts w:cstheme="minorHAnsi"/>
        </w:rPr>
        <w:t xml:space="preserve"> </w:t>
      </w:r>
    </w:p>
    <w:p w14:paraId="7DC01412" w14:textId="77777777" w:rsidR="00DD067A" w:rsidRPr="006815C9" w:rsidRDefault="00DD067A" w:rsidP="00DD067A">
      <w:pPr>
        <w:pStyle w:val="ListParagraph"/>
        <w:ind w:left="0"/>
        <w:rPr>
          <w:rFonts w:cstheme="minorHAnsi"/>
        </w:rPr>
      </w:pPr>
    </w:p>
    <w:p w14:paraId="3146891F" w14:textId="73C0B7B8" w:rsidR="00DD067A" w:rsidRPr="006815C9" w:rsidRDefault="00DD067A" w:rsidP="00DD067A">
      <w:pPr>
        <w:pStyle w:val="ListParagraph"/>
        <w:ind w:left="0"/>
        <w:rPr>
          <w:rFonts w:cstheme="minorHAnsi"/>
        </w:rPr>
      </w:pPr>
      <w:r w:rsidRPr="006815C9">
        <w:rPr>
          <w:rFonts w:cstheme="minorHAnsi"/>
        </w:rPr>
        <w:t xml:space="preserve">Industry concentration of gas production </w:t>
      </w:r>
      <w:r w:rsidR="00027E19" w:rsidRPr="006815C9">
        <w:rPr>
          <w:rFonts w:cstheme="minorHAnsi"/>
        </w:rPr>
        <w:t>and total production for</w:t>
      </w:r>
      <w:r w:rsidR="00A331BA" w:rsidRPr="006815C9">
        <w:rPr>
          <w:rFonts w:cstheme="minorHAnsi"/>
        </w:rPr>
        <w:t xml:space="preserve"> the eastern market </w:t>
      </w:r>
      <w:r w:rsidRPr="006815C9">
        <w:rPr>
          <w:rFonts w:cstheme="minorHAnsi"/>
        </w:rPr>
        <w:t xml:space="preserve">is shown in </w:t>
      </w:r>
      <w:r w:rsidRPr="006815C9">
        <w:rPr>
          <w:rFonts w:cstheme="minorHAnsi"/>
        </w:rPr>
        <w:fldChar w:fldCharType="begin"/>
      </w:r>
      <w:r w:rsidRPr="006815C9">
        <w:rPr>
          <w:rFonts w:cstheme="minorHAnsi"/>
        </w:rPr>
        <w:instrText xml:space="preserve"> REF _Ref19288225 \h </w:instrText>
      </w:r>
      <w:r w:rsidR="006815C9">
        <w:rPr>
          <w:rFonts w:cstheme="minorHAnsi"/>
        </w:rPr>
        <w:instrText xml:space="preserve"> \* MERGEFORMAT </w:instrText>
      </w:r>
      <w:r w:rsidRPr="006815C9">
        <w:rPr>
          <w:rFonts w:cstheme="minorHAnsi"/>
        </w:rPr>
      </w:r>
      <w:r w:rsidRPr="006815C9">
        <w:rPr>
          <w:rFonts w:cstheme="minorHAnsi"/>
        </w:rPr>
        <w:fldChar w:fldCharType="separate"/>
      </w:r>
      <w:r w:rsidR="00E41BD3" w:rsidRPr="006815C9">
        <w:t xml:space="preserve">Figure </w:t>
      </w:r>
      <w:r w:rsidR="00E41BD3">
        <w:rPr>
          <w:noProof/>
        </w:rPr>
        <w:t>14</w:t>
      </w:r>
      <w:r w:rsidRPr="006815C9">
        <w:rPr>
          <w:rFonts w:cstheme="minorHAnsi"/>
        </w:rPr>
        <w:fldChar w:fldCharType="end"/>
      </w:r>
      <w:r w:rsidRPr="006815C9">
        <w:rPr>
          <w:rFonts w:cstheme="minorHAnsi"/>
        </w:rPr>
        <w:t xml:space="preserve">. </w:t>
      </w:r>
      <w:r w:rsidR="00027E19" w:rsidRPr="006815C9">
        <w:rPr>
          <w:rFonts w:cstheme="minorHAnsi"/>
        </w:rPr>
        <w:t>E</w:t>
      </w:r>
      <w:r w:rsidRPr="006815C9">
        <w:rPr>
          <w:rFonts w:cstheme="minorHAnsi"/>
        </w:rPr>
        <w:t>ast</w:t>
      </w:r>
      <w:r w:rsidR="009C3FA8" w:rsidRPr="006815C9">
        <w:rPr>
          <w:rFonts w:cstheme="minorHAnsi"/>
        </w:rPr>
        <w:t>ern</w:t>
      </w:r>
      <w:r w:rsidRPr="006815C9">
        <w:rPr>
          <w:rFonts w:cstheme="minorHAnsi"/>
        </w:rPr>
        <w:t xml:space="preserve"> gas production more than doubl</w:t>
      </w:r>
      <w:r w:rsidR="00027E19" w:rsidRPr="006815C9">
        <w:rPr>
          <w:rFonts w:cstheme="minorHAnsi"/>
        </w:rPr>
        <w:t>ed</w:t>
      </w:r>
      <w:r w:rsidRPr="006815C9">
        <w:rPr>
          <w:rFonts w:cstheme="minorHAnsi"/>
        </w:rPr>
        <w:t xml:space="preserve"> from 2014 to 2019, </w:t>
      </w:r>
      <w:r w:rsidR="00027E19" w:rsidRPr="006815C9">
        <w:rPr>
          <w:rFonts w:cstheme="minorHAnsi"/>
        </w:rPr>
        <w:t xml:space="preserve">while </w:t>
      </w:r>
      <w:r w:rsidRPr="006815C9">
        <w:rPr>
          <w:rFonts w:cstheme="minorHAnsi"/>
        </w:rPr>
        <w:t xml:space="preserve">the supply-side market concentration of the </w:t>
      </w:r>
      <w:r w:rsidR="009C3FA8" w:rsidRPr="006815C9">
        <w:rPr>
          <w:rFonts w:cstheme="minorHAnsi"/>
        </w:rPr>
        <w:t>eastern gas market</w:t>
      </w:r>
      <w:r w:rsidRPr="006815C9">
        <w:rPr>
          <w:rFonts w:cstheme="minorHAnsi"/>
        </w:rPr>
        <w:t xml:space="preserve"> has remained relatively unchanged.</w:t>
      </w:r>
      <w:r w:rsidR="001C6A3B" w:rsidRPr="006815C9">
        <w:rPr>
          <w:rFonts w:cstheme="minorHAnsi"/>
        </w:rPr>
        <w:t xml:space="preserve"> </w:t>
      </w:r>
      <w:r w:rsidR="00941C2B" w:rsidRPr="006815C9">
        <w:rPr>
          <w:rFonts w:cstheme="minorHAnsi"/>
        </w:rPr>
        <w:t xml:space="preserve"> </w:t>
      </w:r>
      <w:r w:rsidR="001C6A3B" w:rsidRPr="006815C9">
        <w:rPr>
          <w:rFonts w:cstheme="minorHAnsi"/>
        </w:rPr>
        <w:t>For t</w:t>
      </w:r>
      <w:r w:rsidR="009C3FA8" w:rsidRPr="006815C9">
        <w:rPr>
          <w:rFonts w:cstheme="minorHAnsi"/>
        </w:rPr>
        <w:t xml:space="preserve">he </w:t>
      </w:r>
      <w:r w:rsidR="00CA747A">
        <w:rPr>
          <w:rFonts w:cstheme="minorHAnsi"/>
        </w:rPr>
        <w:t>June 2019</w:t>
      </w:r>
      <w:r w:rsidR="009C3FA8" w:rsidRPr="006815C9">
        <w:rPr>
          <w:rFonts w:cstheme="minorHAnsi"/>
        </w:rPr>
        <w:t xml:space="preserve"> quarter, the eastern</w:t>
      </w:r>
      <w:r w:rsidR="001C6A3B" w:rsidRPr="006815C9">
        <w:rPr>
          <w:rFonts w:cstheme="minorHAnsi"/>
        </w:rPr>
        <w:t xml:space="preserve"> gas production HHI was 1,</w:t>
      </w:r>
      <w:r w:rsidR="00CA747A">
        <w:rPr>
          <w:rFonts w:cstheme="minorHAnsi"/>
        </w:rPr>
        <w:t>105</w:t>
      </w:r>
      <w:r w:rsidR="001C6A3B" w:rsidRPr="006815C9">
        <w:rPr>
          <w:rFonts w:cstheme="minorHAnsi"/>
        </w:rPr>
        <w:t>.</w:t>
      </w:r>
      <w:r w:rsidR="00A331BA" w:rsidRPr="006815C9">
        <w:rPr>
          <w:rFonts w:cstheme="minorHAnsi"/>
        </w:rPr>
        <w:t xml:space="preserve"> </w:t>
      </w:r>
    </w:p>
    <w:p w14:paraId="4666D6EA" w14:textId="158959CE" w:rsidR="00C90861" w:rsidRPr="006815C9" w:rsidRDefault="00C90861" w:rsidP="00277FE6">
      <w:pPr>
        <w:pStyle w:val="Caption"/>
        <w:keepNext/>
      </w:pPr>
      <w:bookmarkStart w:id="892" w:name="_Ref19288225"/>
      <w:bookmarkStart w:id="893" w:name="_Ref19288104"/>
      <w:r w:rsidRPr="006815C9">
        <w:lastRenderedPageBreak/>
        <w:t xml:space="preserve">Figure </w:t>
      </w:r>
      <w:r w:rsidRPr="006815C9">
        <w:rPr>
          <w:noProof/>
        </w:rPr>
        <w:fldChar w:fldCharType="begin"/>
      </w:r>
      <w:r w:rsidRPr="006815C9">
        <w:rPr>
          <w:noProof/>
        </w:rPr>
        <w:instrText xml:space="preserve"> SEQ Figure \* ARABIC </w:instrText>
      </w:r>
      <w:r w:rsidRPr="006815C9">
        <w:rPr>
          <w:noProof/>
        </w:rPr>
        <w:fldChar w:fldCharType="separate"/>
      </w:r>
      <w:r w:rsidR="00E41BD3">
        <w:rPr>
          <w:noProof/>
        </w:rPr>
        <w:t>14</w:t>
      </w:r>
      <w:r w:rsidRPr="006815C9">
        <w:rPr>
          <w:noProof/>
        </w:rPr>
        <w:fldChar w:fldCharType="end"/>
      </w:r>
      <w:bookmarkEnd w:id="892"/>
      <w:r w:rsidRPr="006815C9">
        <w:t xml:space="preserve">: Quarterly </w:t>
      </w:r>
      <w:r w:rsidR="00C02A01" w:rsidRPr="006815C9">
        <w:t>i</w:t>
      </w:r>
      <w:r w:rsidRPr="006815C9">
        <w:t xml:space="preserve">ndustry </w:t>
      </w:r>
      <w:r w:rsidR="00C02A01" w:rsidRPr="006815C9">
        <w:t>c</w:t>
      </w:r>
      <w:r w:rsidRPr="006815C9">
        <w:t>oncentratio</w:t>
      </w:r>
      <w:r w:rsidR="00343A69" w:rsidRPr="006815C9">
        <w:t xml:space="preserve">n </w:t>
      </w:r>
      <w:r w:rsidR="00C02A01" w:rsidRPr="006815C9">
        <w:t xml:space="preserve">(HHI) </w:t>
      </w:r>
      <w:r w:rsidR="00343A69" w:rsidRPr="006815C9">
        <w:t xml:space="preserve">and </w:t>
      </w:r>
      <w:r w:rsidR="00C02A01" w:rsidRPr="006815C9">
        <w:t>t</w:t>
      </w:r>
      <w:r w:rsidR="00343A69" w:rsidRPr="006815C9">
        <w:t xml:space="preserve">otal </w:t>
      </w:r>
      <w:r w:rsidR="00C02A01" w:rsidRPr="006815C9">
        <w:t>p</w:t>
      </w:r>
      <w:r w:rsidR="00343A69" w:rsidRPr="006815C9">
        <w:t>roduction for the e</w:t>
      </w:r>
      <w:r w:rsidRPr="006815C9">
        <w:t>ast</w:t>
      </w:r>
      <w:r w:rsidR="00A57578" w:rsidRPr="006815C9">
        <w:t>ern</w:t>
      </w:r>
      <w:r w:rsidRPr="006815C9">
        <w:t xml:space="preserve"> market</w:t>
      </w:r>
      <w:bookmarkEnd w:id="893"/>
      <w:r w:rsidRPr="006815C9">
        <w:t xml:space="preserve"> </w:t>
      </w:r>
    </w:p>
    <w:p w14:paraId="724F99EF" w14:textId="1A667778" w:rsidR="00C90861" w:rsidRPr="006815C9" w:rsidRDefault="00C02A01" w:rsidP="00277FE6">
      <w:pPr>
        <w:pStyle w:val="ListParagraph"/>
        <w:keepNext/>
        <w:ind w:left="0"/>
        <w:jc w:val="center"/>
        <w:rPr>
          <w:rFonts w:cstheme="minorHAnsi"/>
        </w:rPr>
      </w:pPr>
      <w:r w:rsidRPr="006815C9">
        <w:rPr>
          <w:noProof/>
          <w:lang w:eastAsia="en-AU"/>
        </w:rPr>
        <w:drawing>
          <wp:inline distT="0" distB="0" distL="0" distR="0" wp14:anchorId="680208B7" wp14:editId="3848988D">
            <wp:extent cx="5400000" cy="3240000"/>
            <wp:effectExtent l="0" t="0" r="0" b="0"/>
            <wp:docPr id="15" name="Chart 15" descr="Eastern gas production more than doubled from 2014 to 2019, while the supply-side market concentration of the eastern gas market has remained relatively unchanged." title="Fig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D1583D" w14:textId="69E01F76" w:rsidR="00C90861" w:rsidRPr="006815C9" w:rsidRDefault="00C90861" w:rsidP="00C90861">
      <w:pPr>
        <w:pStyle w:val="ListParagraph"/>
        <w:ind w:left="0"/>
        <w:rPr>
          <w:rFonts w:cstheme="minorHAnsi"/>
          <w:sz w:val="18"/>
          <w:szCs w:val="18"/>
        </w:rPr>
      </w:pPr>
      <w:r w:rsidRPr="006815C9">
        <w:rPr>
          <w:rFonts w:cstheme="minorHAnsi"/>
          <w:sz w:val="18"/>
          <w:szCs w:val="18"/>
        </w:rPr>
        <w:t xml:space="preserve">Source: </w:t>
      </w:r>
      <w:r w:rsidR="00510612" w:rsidRPr="006815C9">
        <w:rPr>
          <w:rFonts w:cstheme="minorHAnsi"/>
          <w:sz w:val="18"/>
          <w:szCs w:val="18"/>
        </w:rPr>
        <w:t xml:space="preserve">DIIS analysis of data obtained from </w:t>
      </w:r>
      <w:r w:rsidR="00665B41" w:rsidRPr="006815C9">
        <w:rPr>
          <w:rFonts w:cstheme="minorHAnsi"/>
          <w:sz w:val="18"/>
          <w:szCs w:val="18"/>
        </w:rPr>
        <w:t>EnergyQuest Energy Quarterly, September 2014</w:t>
      </w:r>
      <w:r w:rsidR="00D86B73" w:rsidRPr="006815C9">
        <w:rPr>
          <w:rFonts w:cstheme="minorHAnsi"/>
          <w:sz w:val="18"/>
          <w:szCs w:val="18"/>
        </w:rPr>
        <w:t xml:space="preserve"> </w:t>
      </w:r>
      <w:r w:rsidR="00D86B73" w:rsidRPr="006815C9">
        <w:t>–</w:t>
      </w:r>
      <w:r w:rsidR="00D86B73" w:rsidRPr="006815C9">
        <w:rPr>
          <w:rFonts w:cstheme="minorHAnsi"/>
          <w:sz w:val="18"/>
          <w:szCs w:val="18"/>
        </w:rPr>
        <w:t xml:space="preserve"> </w:t>
      </w:r>
      <w:r w:rsidR="00665B41" w:rsidRPr="006815C9">
        <w:rPr>
          <w:rFonts w:cstheme="minorHAnsi"/>
          <w:sz w:val="18"/>
          <w:szCs w:val="18"/>
        </w:rPr>
        <w:t>September 2019.</w:t>
      </w:r>
    </w:p>
    <w:p w14:paraId="179EE098" w14:textId="77777777" w:rsidR="006B384E" w:rsidRPr="006815C9" w:rsidRDefault="006B384E" w:rsidP="006B384E">
      <w:pPr>
        <w:pStyle w:val="Heading2"/>
        <w:rPr>
          <w:rFonts w:eastAsia="Times New Roman"/>
          <w:lang w:eastAsia="en-AU"/>
        </w:rPr>
      </w:pPr>
      <w:bookmarkStart w:id="894" w:name="_Toc20237751"/>
      <w:bookmarkStart w:id="895" w:name="_Ref20238554"/>
      <w:bookmarkStart w:id="896" w:name="_Toc20322037"/>
      <w:bookmarkStart w:id="897" w:name="_Toc20322455"/>
      <w:bookmarkStart w:id="898" w:name="_Toc20398021"/>
      <w:bookmarkStart w:id="899" w:name="_Toc20401022"/>
      <w:bookmarkStart w:id="900" w:name="_Toc20410660"/>
      <w:bookmarkStart w:id="901" w:name="_Toc20412186"/>
      <w:bookmarkStart w:id="902" w:name="_Toc20469279"/>
      <w:bookmarkStart w:id="903" w:name="_Toc21705354"/>
      <w:bookmarkStart w:id="904" w:name="_Toc26349932"/>
      <w:bookmarkStart w:id="905" w:name="_Toc26448249"/>
      <w:bookmarkStart w:id="906" w:name="_Toc26454531"/>
      <w:bookmarkStart w:id="907" w:name="_Toc29823320"/>
      <w:r w:rsidRPr="006815C9">
        <w:rPr>
          <w:rFonts w:eastAsia="Times New Roman"/>
          <w:lang w:eastAsia="en-AU"/>
        </w:rPr>
        <w:t>Long-term supply</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14:paraId="451AF12C" w14:textId="77777777" w:rsidR="006B384E" w:rsidRPr="006815C9" w:rsidRDefault="006B384E" w:rsidP="006B384E">
      <w:pPr>
        <w:rPr>
          <w:rFonts w:eastAsia="Times New Roman" w:cstheme="minorHAnsi"/>
          <w:color w:val="000000"/>
          <w:lang w:eastAsia="en-AU"/>
        </w:rPr>
      </w:pPr>
      <w:r w:rsidRPr="006815C9">
        <w:rPr>
          <w:rFonts w:eastAsia="Times New Roman" w:cstheme="minorHAnsi"/>
          <w:color w:val="000000"/>
          <w:lang w:eastAsia="en-AU"/>
        </w:rPr>
        <w:t>Since the implementation of the ADGSM there have been a number of developments that have improved the long-term outlook for gas supply into the eastern gas market. These investments are reflected in forecasts made by AEMO in its 2019 GSOO report. Eastern production (including NT) is projected to increase from 1,818 PJ in 2018 to 2072 PJ in 2021, an increase of 14 per cent.</w:t>
      </w:r>
    </w:p>
    <w:p w14:paraId="35A3098A" w14:textId="77777777" w:rsidR="006B384E" w:rsidRPr="006815C9" w:rsidRDefault="006B384E" w:rsidP="006B384E">
      <w:pPr>
        <w:rPr>
          <w:rFonts w:cstheme="minorHAnsi"/>
          <w:color w:val="333333"/>
        </w:rPr>
      </w:pPr>
      <w:r w:rsidRPr="006815C9">
        <w:rPr>
          <w:rFonts w:cstheme="minorHAnsi"/>
          <w:color w:val="111111"/>
          <w:shd w:val="clear" w:color="auto" w:fill="FFFFFF"/>
        </w:rPr>
        <w:t xml:space="preserve">In the north, the Northern Gas Pipeline (NGP) started operation in January 2019. The pipeline, which has a capacity of 35 PJ per year, connects the Northern Territory to the eastern gas market. This has led to plans by NT onshore gas producers </w:t>
      </w:r>
      <w:r w:rsidRPr="006815C9">
        <w:rPr>
          <w:rFonts w:cstheme="minorHAnsi"/>
          <w:color w:val="333333"/>
        </w:rPr>
        <w:t>to increase production to fill the pipeline. For example, Central Petroleum plans to increase gas production in central Australia from 15 terajoules (TJ) per day to more than 60</w:t>
      </w:r>
      <w:r w:rsidRPr="006815C9">
        <w:t xml:space="preserve"> </w:t>
      </w:r>
      <w:r w:rsidRPr="006815C9">
        <w:rPr>
          <w:rFonts w:cstheme="minorHAnsi"/>
          <w:color w:val="333333"/>
        </w:rPr>
        <w:t>TJ per day.</w:t>
      </w:r>
      <w:r w:rsidRPr="006815C9">
        <w:rPr>
          <w:rStyle w:val="FootnoteReference"/>
          <w:rFonts w:cstheme="minorHAnsi"/>
          <w:color w:val="333333"/>
        </w:rPr>
        <w:footnoteReference w:id="24"/>
      </w:r>
    </w:p>
    <w:p w14:paraId="4AB1C3D5" w14:textId="7E5EBB88" w:rsidR="006B384E" w:rsidRPr="006815C9" w:rsidRDefault="006B384E" w:rsidP="006B384E">
      <w:pPr>
        <w:rPr>
          <w:rFonts w:cstheme="minorHAnsi"/>
          <w:color w:val="111111"/>
          <w:shd w:val="clear" w:color="auto" w:fill="FFFFFF"/>
        </w:rPr>
      </w:pPr>
      <w:r w:rsidRPr="006815C9">
        <w:rPr>
          <w:rFonts w:cstheme="minorHAnsi"/>
          <w:color w:val="222222"/>
          <w:shd w:val="clear" w:color="auto" w:fill="FFFFFF"/>
        </w:rPr>
        <w:t>The NT Government</w:t>
      </w:r>
      <w:r w:rsidR="002A448F" w:rsidRPr="006815C9">
        <w:rPr>
          <w:rFonts w:cstheme="minorHAnsi"/>
          <w:color w:val="222222"/>
          <w:shd w:val="clear" w:color="auto" w:fill="FFFFFF"/>
        </w:rPr>
        <w:t>’s recent removal</w:t>
      </w:r>
      <w:r w:rsidRPr="006815C9">
        <w:rPr>
          <w:rFonts w:cstheme="minorHAnsi"/>
          <w:color w:val="222222"/>
          <w:shd w:val="clear" w:color="auto" w:fill="FFFFFF"/>
        </w:rPr>
        <w:t xml:space="preserve"> of a moratorium on exploration</w:t>
      </w:r>
      <w:r w:rsidR="002A448F" w:rsidRPr="006815C9">
        <w:rPr>
          <w:rFonts w:cstheme="minorHAnsi"/>
          <w:color w:val="222222"/>
          <w:shd w:val="clear" w:color="auto" w:fill="FFFFFF"/>
        </w:rPr>
        <w:t xml:space="preserve"> and</w:t>
      </w:r>
      <w:r w:rsidRPr="006815C9">
        <w:rPr>
          <w:rFonts w:cstheme="minorHAnsi"/>
          <w:color w:val="222222"/>
          <w:shd w:val="clear" w:color="auto" w:fill="FFFFFF"/>
        </w:rPr>
        <w:t> </w:t>
      </w:r>
      <w:r w:rsidR="00B96A13" w:rsidRPr="006815C9">
        <w:rPr>
          <w:rFonts w:cstheme="minorHAnsi"/>
          <w:color w:val="222222"/>
          <w:shd w:val="clear" w:color="auto" w:fill="FFFFFF"/>
        </w:rPr>
        <w:t xml:space="preserve">hydraulic </w:t>
      </w:r>
      <w:r w:rsidRPr="006815C9">
        <w:rPr>
          <w:rFonts w:cstheme="minorHAnsi"/>
          <w:color w:val="222222"/>
          <w:shd w:val="clear" w:color="auto" w:fill="FFFFFF"/>
        </w:rPr>
        <w:t>frac</w:t>
      </w:r>
      <w:r w:rsidR="00B96A13" w:rsidRPr="006815C9">
        <w:rPr>
          <w:rFonts w:cstheme="minorHAnsi"/>
          <w:color w:val="222222"/>
          <w:shd w:val="clear" w:color="auto" w:fill="FFFFFF"/>
        </w:rPr>
        <w:t>turing</w:t>
      </w:r>
      <w:r w:rsidRPr="006815C9">
        <w:rPr>
          <w:rFonts w:cstheme="minorHAnsi"/>
          <w:color w:val="222222"/>
          <w:shd w:val="clear" w:color="auto" w:fill="FFFFFF"/>
        </w:rPr>
        <w:t xml:space="preserve"> for onshore gas in the Beetaloo Basin and the anticipated successful development of the basin’s shale gas resources </w:t>
      </w:r>
      <w:r w:rsidR="00AE4368">
        <w:rPr>
          <w:rFonts w:cstheme="minorHAnsi"/>
          <w:color w:val="222222"/>
          <w:shd w:val="clear" w:color="auto" w:fill="FFFFFF"/>
        </w:rPr>
        <w:t>could</w:t>
      </w:r>
      <w:r w:rsidRPr="006815C9">
        <w:rPr>
          <w:rFonts w:cstheme="minorHAnsi"/>
          <w:color w:val="222222"/>
          <w:shd w:val="clear" w:color="auto" w:fill="FFFFFF"/>
        </w:rPr>
        <w:t xml:space="preserve"> lead to additional gas supply through the NGP. In anticipation of this, t</w:t>
      </w:r>
      <w:r w:rsidRPr="006815C9">
        <w:rPr>
          <w:rFonts w:cstheme="minorHAnsi"/>
          <w:color w:val="111111"/>
          <w:shd w:val="clear" w:color="auto" w:fill="FFFFFF"/>
        </w:rPr>
        <w:t>he NGP operator, Jemena, is preparing a potential $3 billion to $4 billion expansion and extension of the line to a capacity of 700 TJ per day (an equivalent of 255 PJ per year</w:t>
      </w:r>
      <w:r w:rsidR="000A7AE1" w:rsidRPr="006815C9">
        <w:rPr>
          <w:rFonts w:cstheme="minorHAnsi"/>
          <w:color w:val="111111"/>
          <w:shd w:val="clear" w:color="auto" w:fill="FFFFFF"/>
        </w:rPr>
        <w:t xml:space="preserve"> – this is </w:t>
      </w:r>
      <w:r w:rsidR="007A5BC5" w:rsidRPr="006815C9">
        <w:rPr>
          <w:rFonts w:cstheme="minorHAnsi"/>
          <w:color w:val="111111"/>
          <w:shd w:val="clear" w:color="auto" w:fill="FFFFFF"/>
        </w:rPr>
        <w:t xml:space="preserve">an </w:t>
      </w:r>
      <w:r w:rsidR="000A7AE1" w:rsidRPr="006815C9">
        <w:rPr>
          <w:rFonts w:cstheme="minorHAnsi"/>
          <w:color w:val="111111"/>
          <w:shd w:val="clear" w:color="auto" w:fill="FFFFFF"/>
        </w:rPr>
        <w:t>a</w:t>
      </w:r>
      <w:r w:rsidR="007A5BC5" w:rsidRPr="006815C9">
        <w:rPr>
          <w:rFonts w:cstheme="minorHAnsi"/>
          <w:color w:val="111111"/>
          <w:shd w:val="clear" w:color="auto" w:fill="FFFFFF"/>
        </w:rPr>
        <w:t>lmost eight fold</w:t>
      </w:r>
      <w:r w:rsidR="000A7AE1" w:rsidRPr="006815C9">
        <w:rPr>
          <w:rFonts w:cstheme="minorHAnsi"/>
          <w:color w:val="111111"/>
          <w:shd w:val="clear" w:color="auto" w:fill="FFFFFF"/>
        </w:rPr>
        <w:t xml:space="preserve"> expansion</w:t>
      </w:r>
      <w:r w:rsidR="007A5BC5" w:rsidRPr="006815C9">
        <w:rPr>
          <w:rFonts w:cstheme="minorHAnsi"/>
          <w:color w:val="111111"/>
          <w:shd w:val="clear" w:color="auto" w:fill="FFFFFF"/>
        </w:rPr>
        <w:t xml:space="preserve"> from NGP’s</w:t>
      </w:r>
      <w:r w:rsidR="000A7AE1" w:rsidRPr="006815C9">
        <w:rPr>
          <w:rFonts w:cstheme="minorHAnsi"/>
          <w:color w:val="111111"/>
          <w:shd w:val="clear" w:color="auto" w:fill="FFFFFF"/>
        </w:rPr>
        <w:t xml:space="preserve"> current daily capacity of </w:t>
      </w:r>
      <w:r w:rsidR="007A5BC5" w:rsidRPr="006815C9">
        <w:rPr>
          <w:rFonts w:cstheme="minorHAnsi"/>
          <w:color w:val="111111"/>
          <w:shd w:val="clear" w:color="auto" w:fill="FFFFFF"/>
        </w:rPr>
        <w:t xml:space="preserve">around </w:t>
      </w:r>
      <w:r w:rsidR="00245545" w:rsidRPr="006815C9">
        <w:rPr>
          <w:rFonts w:cstheme="minorHAnsi"/>
          <w:color w:val="111111"/>
          <w:shd w:val="clear" w:color="auto" w:fill="FFFFFF"/>
        </w:rPr>
        <w:t>32</w:t>
      </w:r>
      <w:r w:rsidR="000A7AE1" w:rsidRPr="006815C9">
        <w:rPr>
          <w:rFonts w:cstheme="minorHAnsi"/>
          <w:color w:val="111111"/>
          <w:shd w:val="clear" w:color="auto" w:fill="FFFFFF"/>
        </w:rPr>
        <w:t xml:space="preserve"> </w:t>
      </w:r>
      <w:r w:rsidR="00245545" w:rsidRPr="006815C9">
        <w:rPr>
          <w:rFonts w:cstheme="minorHAnsi"/>
          <w:color w:val="111111"/>
          <w:shd w:val="clear" w:color="auto" w:fill="FFFFFF"/>
        </w:rPr>
        <w:t>PJ</w:t>
      </w:r>
      <w:r w:rsidR="000A7AE1" w:rsidRPr="006815C9">
        <w:rPr>
          <w:rFonts w:cstheme="minorHAnsi"/>
          <w:color w:val="111111"/>
          <w:shd w:val="clear" w:color="auto" w:fill="FFFFFF"/>
        </w:rPr>
        <w:t xml:space="preserve"> per </w:t>
      </w:r>
      <w:r w:rsidR="00245545" w:rsidRPr="006815C9">
        <w:rPr>
          <w:rFonts w:cstheme="minorHAnsi"/>
          <w:color w:val="111111"/>
          <w:shd w:val="clear" w:color="auto" w:fill="FFFFFF"/>
        </w:rPr>
        <w:t>year</w:t>
      </w:r>
      <w:r w:rsidRPr="006815C9">
        <w:rPr>
          <w:rFonts w:cstheme="minorHAnsi"/>
          <w:color w:val="111111"/>
          <w:shd w:val="clear" w:color="auto" w:fill="FFFFFF"/>
        </w:rPr>
        <w:t>).</w:t>
      </w:r>
      <w:r w:rsidRPr="006815C9">
        <w:rPr>
          <w:rStyle w:val="FootnoteReference"/>
          <w:rFonts w:cstheme="minorHAnsi"/>
          <w:color w:val="111111"/>
          <w:shd w:val="clear" w:color="auto" w:fill="FFFFFF"/>
        </w:rPr>
        <w:footnoteReference w:id="25"/>
      </w:r>
    </w:p>
    <w:p w14:paraId="20B28DE9" w14:textId="60B05E06" w:rsidR="006B384E" w:rsidRPr="006815C9" w:rsidRDefault="006B384E" w:rsidP="006B384E">
      <w:pPr>
        <w:rPr>
          <w:rFonts w:cstheme="minorHAnsi"/>
        </w:rPr>
      </w:pPr>
      <w:r w:rsidRPr="006815C9">
        <w:rPr>
          <w:rFonts w:cstheme="minorHAnsi"/>
        </w:rPr>
        <w:t>The tighter market conditions have also prompted the development of a number of other new pipelines</w:t>
      </w:r>
      <w:r w:rsidR="007C66EA">
        <w:rPr>
          <w:rFonts w:cstheme="minorHAnsi"/>
        </w:rPr>
        <w:t>. This includes</w:t>
      </w:r>
      <w:r w:rsidRPr="006815C9">
        <w:rPr>
          <w:rFonts w:cstheme="minorHAnsi"/>
        </w:rPr>
        <w:t xml:space="preserve"> the Reedy Creek to Wallumbilla Pipeline, which was commissioned in June </w:t>
      </w:r>
      <w:r w:rsidRPr="006815C9">
        <w:rPr>
          <w:rFonts w:cstheme="minorHAnsi"/>
        </w:rPr>
        <w:lastRenderedPageBreak/>
        <w:t>2018, the Atlas Gas Pipeline, which open</w:t>
      </w:r>
      <w:r w:rsidR="00205276">
        <w:rPr>
          <w:rFonts w:cstheme="minorHAnsi"/>
        </w:rPr>
        <w:t xml:space="preserve">ed in December </w:t>
      </w:r>
      <w:r w:rsidRPr="006815C9">
        <w:rPr>
          <w:rFonts w:cstheme="minorHAnsi"/>
        </w:rPr>
        <w:t>2019</w:t>
      </w:r>
      <w:r w:rsidR="007C66EA">
        <w:rPr>
          <w:rFonts w:cstheme="minorHAnsi"/>
        </w:rPr>
        <w:t>,</w:t>
      </w:r>
      <w:r w:rsidRPr="006815C9">
        <w:rPr>
          <w:rFonts w:cstheme="minorHAnsi"/>
        </w:rPr>
        <w:t xml:space="preserve"> and the Galilee Gas Pipeline, which is expected to open in 2022. </w:t>
      </w:r>
    </w:p>
    <w:p w14:paraId="7CFADAB7" w14:textId="66B2CC16" w:rsidR="006B384E" w:rsidRPr="006815C9" w:rsidRDefault="006B384E" w:rsidP="006B384E">
      <w:pPr>
        <w:rPr>
          <w:rFonts w:cstheme="minorHAnsi"/>
        </w:rPr>
      </w:pPr>
      <w:r w:rsidRPr="006815C9">
        <w:rPr>
          <w:rFonts w:cstheme="minorHAnsi"/>
        </w:rPr>
        <w:t>Over the past two years, the Queensland Government has issued tenements with domestic supply conditions to six different gas producers.</w:t>
      </w:r>
      <w:r w:rsidRPr="006815C9">
        <w:rPr>
          <w:rStyle w:val="FootnoteReference"/>
          <w:rFonts w:cstheme="minorHAnsi"/>
        </w:rPr>
        <w:footnoteReference w:id="26"/>
      </w:r>
      <w:r w:rsidRPr="006815C9">
        <w:rPr>
          <w:rFonts w:cstheme="minorHAnsi"/>
        </w:rPr>
        <w:t xml:space="preserve"> Gas produced from each of these tenements must be sold domestically. </w:t>
      </w:r>
      <w:r w:rsidR="00F9441D" w:rsidRPr="006815C9">
        <w:rPr>
          <w:rFonts w:cstheme="minorHAnsi"/>
        </w:rPr>
        <w:t xml:space="preserve">The first gas from these tenements </w:t>
      </w:r>
      <w:r w:rsidR="00BC15AB">
        <w:rPr>
          <w:rFonts w:cstheme="minorHAnsi"/>
        </w:rPr>
        <w:t>has come</w:t>
      </w:r>
      <w:r w:rsidR="00F9441D" w:rsidRPr="006815C9">
        <w:rPr>
          <w:rFonts w:cstheme="minorHAnsi"/>
        </w:rPr>
        <w:t xml:space="preserve"> from ‘Project Atlas’ </w:t>
      </w:r>
      <w:r w:rsidR="00BC15AB">
        <w:rPr>
          <w:rFonts w:cstheme="minorHAnsi"/>
        </w:rPr>
        <w:t xml:space="preserve">starting </w:t>
      </w:r>
      <w:r w:rsidR="00F9441D" w:rsidRPr="006815C9">
        <w:rPr>
          <w:rFonts w:cstheme="minorHAnsi"/>
        </w:rPr>
        <w:t xml:space="preserve">in </w:t>
      </w:r>
      <w:r w:rsidR="00BC15AB">
        <w:rPr>
          <w:rFonts w:cstheme="minorHAnsi"/>
        </w:rPr>
        <w:t xml:space="preserve">October </w:t>
      </w:r>
      <w:r w:rsidR="00F9441D" w:rsidRPr="006815C9">
        <w:rPr>
          <w:rFonts w:cstheme="minorHAnsi"/>
        </w:rPr>
        <w:t>2019. Senex estimates that the project has 144 PJ of commercially recoverable reserves.</w:t>
      </w:r>
      <w:r w:rsidR="00F9441D" w:rsidRPr="006815C9">
        <w:rPr>
          <w:rStyle w:val="FootnoteReference"/>
          <w:rFonts w:cstheme="minorHAnsi"/>
        </w:rPr>
        <w:footnoteReference w:id="27"/>
      </w:r>
      <w:r w:rsidRPr="006815C9">
        <w:rPr>
          <w:rFonts w:cstheme="minorHAnsi"/>
        </w:rPr>
        <w:t xml:space="preserve"> </w:t>
      </w:r>
    </w:p>
    <w:p w14:paraId="3EA58BBA" w14:textId="77777777" w:rsidR="006B384E" w:rsidRPr="006815C9" w:rsidRDefault="006B384E" w:rsidP="006B384E">
      <w:pPr>
        <w:rPr>
          <w:rFonts w:cstheme="minorHAnsi"/>
        </w:rPr>
      </w:pPr>
      <w:r w:rsidRPr="006815C9">
        <w:rPr>
          <w:rFonts w:cstheme="minorHAnsi"/>
        </w:rPr>
        <w:t>In the south, Cooper Energy’s Sole project will begin to deliver gas to the Orbost Gas Plant before the end of 2019.</w:t>
      </w:r>
      <w:r w:rsidRPr="006815C9">
        <w:rPr>
          <w:rStyle w:val="FootnoteReference"/>
          <w:rFonts w:cstheme="minorHAnsi"/>
        </w:rPr>
        <w:footnoteReference w:id="28"/>
      </w:r>
      <w:r w:rsidRPr="006815C9">
        <w:rPr>
          <w:rFonts w:cstheme="minorHAnsi"/>
        </w:rPr>
        <w:t xml:space="preserve"> Gippsland Basin Joint Venture (GBJV) partners, Esso and BHP, approved investment in the West Barracouta project in December 2018. However, forecast production by the GBJV in 2020 remains significantly lower than its 2017 peak (322 PJ) due to reduced production from its depleting legacy fields.</w:t>
      </w:r>
      <w:r w:rsidRPr="006815C9">
        <w:rPr>
          <w:rStyle w:val="FootnoteReference"/>
          <w:rFonts w:cstheme="minorHAnsi"/>
        </w:rPr>
        <w:footnoteReference w:id="29"/>
      </w:r>
      <w:r w:rsidRPr="006815C9">
        <w:rPr>
          <w:rFonts w:cstheme="minorHAnsi"/>
        </w:rPr>
        <w:t xml:space="preserve"> Beach Energy and Cooper Energy have committed over $1 billion to develop gas fields in the Otway Basin.</w:t>
      </w:r>
      <w:r w:rsidRPr="006815C9">
        <w:rPr>
          <w:rStyle w:val="FootnoteReference"/>
          <w:rFonts w:cstheme="minorHAnsi"/>
        </w:rPr>
        <w:footnoteReference w:id="30"/>
      </w:r>
    </w:p>
    <w:p w14:paraId="6FEE321D" w14:textId="4D5FF5B8" w:rsidR="006B384E" w:rsidRPr="006815C9" w:rsidRDefault="006B384E" w:rsidP="006B384E">
      <w:pPr>
        <w:rPr>
          <w:rFonts w:cstheme="minorHAnsi"/>
        </w:rPr>
      </w:pPr>
      <w:r w:rsidRPr="006815C9">
        <w:rPr>
          <w:rFonts w:cstheme="minorHAnsi"/>
          <w:shd w:val="clear" w:color="auto" w:fill="FFFFFF"/>
        </w:rPr>
        <w:t>State moratoria and regulations of onshore unconventional gas in southern markets have limited new gas resource developments. Victoria and Tasmania have state-wide moratoria, South Australia has a moratorium in the south-east of the state. New South Wales</w:t>
      </w:r>
      <w:r w:rsidRPr="006815C9" w:rsidDel="00CA2F2A">
        <w:rPr>
          <w:rFonts w:cstheme="minorHAnsi"/>
          <w:shd w:val="clear" w:color="auto" w:fill="FFFFFF"/>
        </w:rPr>
        <w:t xml:space="preserve"> </w:t>
      </w:r>
      <w:r w:rsidR="00CA2F2A" w:rsidRPr="006815C9">
        <w:rPr>
          <w:rFonts w:cstheme="minorHAnsi"/>
          <w:shd w:val="clear" w:color="auto" w:fill="FFFFFF"/>
        </w:rPr>
        <w:t>has</w:t>
      </w:r>
      <w:r w:rsidRPr="006815C9">
        <w:rPr>
          <w:rFonts w:cstheme="minorHAnsi"/>
          <w:shd w:val="clear" w:color="auto" w:fill="FFFFFF"/>
        </w:rPr>
        <w:t xml:space="preserve"> established a number of restrictions on unconventional gas development, including exclusion zones near residential areas and some primary industries. The Narrabri Gas Project, which could supply up to 50 per cent of NSW natural gas needs,</w:t>
      </w:r>
      <w:r w:rsidRPr="006815C9">
        <w:t xml:space="preserve"> </w:t>
      </w:r>
      <w:r w:rsidRPr="006815C9">
        <w:rPr>
          <w:rFonts w:cstheme="minorHAnsi"/>
          <w:shd w:val="clear" w:color="auto" w:fill="FFFFFF"/>
        </w:rPr>
        <w:t>is waiting on NSW regulatory approvals.</w:t>
      </w:r>
      <w:r w:rsidRPr="006815C9">
        <w:rPr>
          <w:rStyle w:val="FootnoteReference"/>
          <w:rFonts w:cstheme="minorHAnsi"/>
          <w:shd w:val="clear" w:color="auto" w:fill="FFFFFF"/>
        </w:rPr>
        <w:footnoteReference w:id="31"/>
      </w:r>
    </w:p>
    <w:p w14:paraId="200570AF" w14:textId="2DA3E2F2" w:rsidR="006B384E" w:rsidRPr="006815C9" w:rsidRDefault="006B384E" w:rsidP="006B384E">
      <w:pPr>
        <w:rPr>
          <w:rFonts w:cstheme="minorHAnsi"/>
        </w:rPr>
      </w:pPr>
      <w:r w:rsidRPr="006815C9">
        <w:rPr>
          <w:rFonts w:cstheme="minorHAnsi"/>
          <w:shd w:val="clear" w:color="auto" w:fill="FFFFFF"/>
        </w:rPr>
        <w:t>Su</w:t>
      </w:r>
      <w:r w:rsidRPr="006815C9">
        <w:rPr>
          <w:rFonts w:cstheme="minorHAnsi"/>
        </w:rPr>
        <w:t xml:space="preserve">pply from existing and committed gas developments is forecast by AEMO to meet gas demand until 2023. However, over this period, production in southern gas fields is expected to decline unless new gas is brought into production. Without new reserves and resources being developed in the south, existing north-south pipeline capacity will become constrained, as southern states source more gas from Queensland. In addition, AEMO has noted that declining Victorian supply will increase reliance on gas storage to meet the state’s winter demand. Should this occur, new infrastructure development will be required to prevent supply gaps. </w:t>
      </w:r>
    </w:p>
    <w:p w14:paraId="0BC09DA7" w14:textId="77777777" w:rsidR="006B384E" w:rsidRPr="006815C9" w:rsidRDefault="006B384E" w:rsidP="006B384E">
      <w:pPr>
        <w:rPr>
          <w:rFonts w:cstheme="minorHAnsi"/>
        </w:rPr>
      </w:pPr>
      <w:r w:rsidRPr="006815C9">
        <w:rPr>
          <w:rFonts w:cstheme="minorHAnsi"/>
        </w:rPr>
        <w:t xml:space="preserve">Ensuring adequate supply to the domestic gas market long term is best achieved by developing gas resources that are close to demand centres. In successive reports, the ACCC has urged state governments to adopt policies that consider and manage the risks of individual gas development projects, rather than implementing blanket moratoria and regulatory restrictions. Support for this position comes from both gas users and producers. </w:t>
      </w:r>
    </w:p>
    <w:p w14:paraId="776CCC5B" w14:textId="54804EB1" w:rsidR="006B384E" w:rsidRPr="006815C9" w:rsidRDefault="006B384E" w:rsidP="006B384E">
      <w:pPr>
        <w:rPr>
          <w:rFonts w:cstheme="minorHAnsi"/>
        </w:rPr>
      </w:pPr>
      <w:r w:rsidRPr="006815C9">
        <w:rPr>
          <w:rFonts w:eastAsia="Times New Roman" w:cstheme="minorHAnsi"/>
          <w:color w:val="000000"/>
          <w:lang w:eastAsia="en-AU"/>
        </w:rPr>
        <w:t xml:space="preserve">A potential solution to overcome gas </w:t>
      </w:r>
      <w:r w:rsidRPr="006815C9">
        <w:rPr>
          <w:rFonts w:cstheme="minorHAnsi"/>
          <w:color w:val="313132"/>
          <w:shd w:val="clear" w:color="auto" w:fill="FFFFFF"/>
        </w:rPr>
        <w:t xml:space="preserve">pipeline congestion is to establish one or more LNG import terminals in the southern states, as this may be cheaper than investing in expanding pipeline capacity. </w:t>
      </w:r>
      <w:r w:rsidRPr="006815C9">
        <w:rPr>
          <w:rFonts w:eastAsia="Times New Roman" w:cstheme="minorHAnsi"/>
          <w:color w:val="000000"/>
          <w:lang w:eastAsia="en-AU"/>
        </w:rPr>
        <w:t>A number of potential LNG import terminals are at various stages of development.  The Port Kembla import terminal proposed by Australian Industrial Energy is the most developed having attained planning approval in April 2019.</w:t>
      </w:r>
      <w:r w:rsidRPr="006815C9">
        <w:rPr>
          <w:rStyle w:val="FootnoteReference"/>
          <w:rFonts w:eastAsia="Times New Roman" w:cstheme="minorHAnsi"/>
          <w:color w:val="000000"/>
          <w:lang w:eastAsia="en-AU"/>
        </w:rPr>
        <w:footnoteReference w:id="32"/>
      </w:r>
      <w:r w:rsidRPr="006815C9">
        <w:rPr>
          <w:rFonts w:eastAsia="Times New Roman" w:cstheme="minorHAnsi"/>
          <w:color w:val="000000"/>
          <w:lang w:eastAsia="en-AU"/>
        </w:rPr>
        <w:t xml:space="preserve"> As noted in AEMO’s 2019 GSOO, ‘these terminals would </w:t>
      </w:r>
      <w:r w:rsidRPr="006815C9">
        <w:rPr>
          <w:rFonts w:eastAsia="Times New Roman" w:cstheme="minorHAnsi"/>
          <w:color w:val="000000"/>
          <w:lang w:eastAsia="en-AU"/>
        </w:rPr>
        <w:lastRenderedPageBreak/>
        <w:t>help relieve pressure on meeting southern gas demand during peak periods and assist in reducing pipeline constraints, but may do little to ease gas pricing pressures’.</w:t>
      </w:r>
      <w:r w:rsidRPr="006815C9">
        <w:rPr>
          <w:rStyle w:val="FootnoteReference"/>
          <w:rFonts w:eastAsia="Times New Roman" w:cstheme="minorHAnsi"/>
          <w:color w:val="000000"/>
          <w:lang w:eastAsia="en-AU"/>
        </w:rPr>
        <w:footnoteReference w:id="33"/>
      </w:r>
    </w:p>
    <w:p w14:paraId="72B8E215" w14:textId="212036A2" w:rsidR="00C90861" w:rsidRPr="006815C9" w:rsidRDefault="00C90861" w:rsidP="00C334D3">
      <w:pPr>
        <w:pStyle w:val="Heading2"/>
      </w:pPr>
      <w:bookmarkStart w:id="908" w:name="_Toc19628599"/>
      <w:bookmarkStart w:id="909" w:name="_Toc19628639"/>
      <w:bookmarkStart w:id="910" w:name="_Toc19717444"/>
      <w:bookmarkStart w:id="911" w:name="_Toc19720131"/>
      <w:bookmarkStart w:id="912" w:name="_Toc19789974"/>
      <w:bookmarkStart w:id="913" w:name="_Toc19888541"/>
      <w:bookmarkStart w:id="914" w:name="_Toc19889168"/>
      <w:bookmarkStart w:id="915" w:name="_Toc20237752"/>
      <w:bookmarkStart w:id="916" w:name="_Toc20322038"/>
      <w:bookmarkStart w:id="917" w:name="_Toc20322456"/>
      <w:bookmarkStart w:id="918" w:name="_Toc20398022"/>
      <w:bookmarkStart w:id="919" w:name="_Toc20401023"/>
      <w:bookmarkStart w:id="920" w:name="_Toc20410661"/>
      <w:bookmarkStart w:id="921" w:name="_Toc20412187"/>
      <w:bookmarkStart w:id="922" w:name="_Toc20469280"/>
      <w:bookmarkStart w:id="923" w:name="_Toc21705355"/>
      <w:bookmarkStart w:id="924" w:name="_Toc26349933"/>
      <w:bookmarkStart w:id="925" w:name="_Toc26448250"/>
      <w:bookmarkStart w:id="926" w:name="_Toc26454532"/>
      <w:bookmarkStart w:id="927" w:name="_Toc29823321"/>
      <w:bookmarkStart w:id="928" w:name="_Toc19803044"/>
      <w:bookmarkStart w:id="929" w:name="_Toc19804091"/>
      <w:bookmarkStart w:id="930" w:name="_Toc19804291"/>
      <w:bookmarkStart w:id="931" w:name="_Toc19804537"/>
      <w:bookmarkStart w:id="932" w:name="_Toc20232941"/>
      <w:r w:rsidRPr="006815C9">
        <w:t xml:space="preserve">LNG </w:t>
      </w:r>
      <w:bookmarkEnd w:id="908"/>
      <w:bookmarkEnd w:id="909"/>
      <w:bookmarkEnd w:id="910"/>
      <w:bookmarkEnd w:id="911"/>
      <w:bookmarkEnd w:id="912"/>
      <w:bookmarkEnd w:id="913"/>
      <w:bookmarkEnd w:id="914"/>
      <w:r w:rsidR="007577F8" w:rsidRPr="006815C9">
        <w:t>sector impacts</w:t>
      </w:r>
      <w:bookmarkEnd w:id="915"/>
      <w:bookmarkEnd w:id="916"/>
      <w:bookmarkEnd w:id="917"/>
      <w:bookmarkEnd w:id="918"/>
      <w:bookmarkEnd w:id="919"/>
      <w:bookmarkEnd w:id="920"/>
      <w:bookmarkEnd w:id="921"/>
      <w:bookmarkEnd w:id="922"/>
      <w:bookmarkEnd w:id="923"/>
      <w:bookmarkEnd w:id="924"/>
      <w:bookmarkEnd w:id="925"/>
      <w:bookmarkEnd w:id="926"/>
      <w:bookmarkEnd w:id="927"/>
    </w:p>
    <w:bookmarkEnd w:id="928"/>
    <w:bookmarkEnd w:id="929"/>
    <w:bookmarkEnd w:id="930"/>
    <w:bookmarkEnd w:id="931"/>
    <w:bookmarkEnd w:id="932"/>
    <w:p w14:paraId="16A0C303" w14:textId="1A1EA3E9" w:rsidR="008544C8" w:rsidRPr="006815C9" w:rsidRDefault="00C90861" w:rsidP="00C334D3">
      <w:r w:rsidRPr="006815C9">
        <w:t xml:space="preserve">The improved domestic gas market conditions have occurred </w:t>
      </w:r>
      <w:r w:rsidR="008544C8" w:rsidRPr="006815C9">
        <w:t xml:space="preserve">in tandem with </w:t>
      </w:r>
      <w:r w:rsidR="00C25D0F" w:rsidRPr="006815C9">
        <w:t xml:space="preserve">new </w:t>
      </w:r>
      <w:r w:rsidR="008544C8" w:rsidRPr="006815C9">
        <w:t xml:space="preserve">annual records for </w:t>
      </w:r>
      <w:r w:rsidR="005348A0" w:rsidRPr="006815C9">
        <w:t xml:space="preserve">east coast </w:t>
      </w:r>
      <w:r w:rsidR="008544C8" w:rsidRPr="006815C9">
        <w:t xml:space="preserve">LNG </w:t>
      </w:r>
      <w:r w:rsidR="00C25D0F" w:rsidRPr="006815C9">
        <w:t>projects’</w:t>
      </w:r>
      <w:r w:rsidR="008544C8" w:rsidRPr="006815C9">
        <w:t xml:space="preserve"> gas consumption and exports since </w:t>
      </w:r>
      <w:r w:rsidR="00C25D0F" w:rsidRPr="006815C9">
        <w:t>the projects</w:t>
      </w:r>
      <w:r w:rsidR="008544C8" w:rsidRPr="006815C9">
        <w:t xml:space="preserve"> started production. </w:t>
      </w:r>
      <w:r w:rsidR="00C334D3" w:rsidRPr="006815C9">
        <w:t xml:space="preserve">Figure </w:t>
      </w:r>
      <w:r w:rsidR="009E517F" w:rsidRPr="006815C9">
        <w:t>15</w:t>
      </w:r>
      <w:r w:rsidR="00AC27C7" w:rsidRPr="006815C9">
        <w:t xml:space="preserve"> shows monthly </w:t>
      </w:r>
      <w:r w:rsidR="00441E51" w:rsidRPr="006815C9">
        <w:t>east coast LNG exports</w:t>
      </w:r>
      <w:r w:rsidR="00AC27C7" w:rsidRPr="006815C9">
        <w:t xml:space="preserve">. </w:t>
      </w:r>
      <w:r w:rsidR="00632243" w:rsidRPr="006815C9">
        <w:t>Y</w:t>
      </w:r>
      <w:r w:rsidR="008544C8" w:rsidRPr="006815C9">
        <w:t xml:space="preserve">ear-to-date LNG exports </w:t>
      </w:r>
      <w:r w:rsidR="00632243" w:rsidRPr="006815C9">
        <w:t>in</w:t>
      </w:r>
      <w:r w:rsidR="008544C8" w:rsidRPr="006815C9">
        <w:t xml:space="preserve"> </w:t>
      </w:r>
      <w:r w:rsidR="00FE3D61">
        <w:t xml:space="preserve">October </w:t>
      </w:r>
      <w:r w:rsidR="008544C8" w:rsidRPr="006815C9">
        <w:t>2019 w</w:t>
      </w:r>
      <w:r w:rsidR="00632243" w:rsidRPr="006815C9">
        <w:t>ere</w:t>
      </w:r>
      <w:r w:rsidR="008544C8" w:rsidRPr="006815C9">
        <w:t xml:space="preserve"> approximately </w:t>
      </w:r>
      <w:r w:rsidR="00632243" w:rsidRPr="006815C9">
        <w:t>8</w:t>
      </w:r>
      <w:r w:rsidR="00FE3D61">
        <w:t>.6</w:t>
      </w:r>
      <w:r w:rsidR="008544C8" w:rsidRPr="006815C9">
        <w:t xml:space="preserve"> per cent ahead of </w:t>
      </w:r>
      <w:r w:rsidR="00632243" w:rsidRPr="006815C9">
        <w:t xml:space="preserve">year-to-date LNG </w:t>
      </w:r>
      <w:r w:rsidR="008544C8" w:rsidRPr="006815C9">
        <w:t xml:space="preserve">exports </w:t>
      </w:r>
      <w:r w:rsidR="00632243" w:rsidRPr="006815C9">
        <w:t xml:space="preserve">in August 2018 </w:t>
      </w:r>
      <w:r w:rsidR="008544C8" w:rsidRPr="006815C9">
        <w:t xml:space="preserve">at </w:t>
      </w:r>
      <w:r w:rsidR="00632243" w:rsidRPr="006815C9">
        <w:t>1</w:t>
      </w:r>
      <w:r w:rsidR="00FE3D61">
        <w:t>8</w:t>
      </w:r>
      <w:r w:rsidR="00632243" w:rsidRPr="006815C9">
        <w:t>.</w:t>
      </w:r>
      <w:r w:rsidR="00FE3D61">
        <w:t>3</w:t>
      </w:r>
      <w:r w:rsidR="008544C8" w:rsidRPr="006815C9">
        <w:t xml:space="preserve"> million tonnes.</w:t>
      </w:r>
      <w:r w:rsidR="002D57FD" w:rsidRPr="006815C9">
        <w:t xml:space="preserve">  This record production suggests that there has been minimum disruption to Australia’s LNG export industry since the introduction of the ADGSM</w:t>
      </w:r>
      <w:r w:rsidR="009D4774" w:rsidRPr="006815C9">
        <w:t xml:space="preserve"> and that Australia’s LNG industry is highly competitive in global LNG markets.</w:t>
      </w:r>
    </w:p>
    <w:p w14:paraId="07FA456F" w14:textId="55186A4E" w:rsidR="00C90861" w:rsidRPr="006815C9" w:rsidRDefault="00C334D3" w:rsidP="00FA0273">
      <w:pPr>
        <w:pStyle w:val="Caption"/>
        <w:rPr>
          <w:rFonts w:cstheme="minorHAnsi"/>
        </w:rPr>
      </w:pPr>
      <w:r w:rsidRPr="006815C9">
        <w:t xml:space="preserve">Figure </w:t>
      </w:r>
      <w:r w:rsidR="00343A69" w:rsidRPr="006815C9">
        <w:rPr>
          <w:noProof/>
        </w:rPr>
        <w:fldChar w:fldCharType="begin"/>
      </w:r>
      <w:r w:rsidR="00343A69" w:rsidRPr="006815C9">
        <w:rPr>
          <w:noProof/>
        </w:rPr>
        <w:instrText xml:space="preserve"> SEQ Figure \* ARABIC </w:instrText>
      </w:r>
      <w:r w:rsidR="00343A69" w:rsidRPr="006815C9">
        <w:rPr>
          <w:noProof/>
        </w:rPr>
        <w:fldChar w:fldCharType="separate"/>
      </w:r>
      <w:r w:rsidR="00E41BD3">
        <w:rPr>
          <w:noProof/>
        </w:rPr>
        <w:t>15</w:t>
      </w:r>
      <w:r w:rsidR="00343A69" w:rsidRPr="006815C9">
        <w:rPr>
          <w:noProof/>
        </w:rPr>
        <w:fldChar w:fldCharType="end"/>
      </w:r>
      <w:r w:rsidRPr="006815C9">
        <w:t xml:space="preserve">: Monthly </w:t>
      </w:r>
      <w:r w:rsidR="00441E51" w:rsidRPr="006815C9">
        <w:t>e</w:t>
      </w:r>
      <w:r w:rsidR="008236DA" w:rsidRPr="006815C9">
        <w:t xml:space="preserve">ast coast </w:t>
      </w:r>
      <w:r w:rsidR="00AC27C7" w:rsidRPr="006815C9">
        <w:t xml:space="preserve">LNG </w:t>
      </w:r>
      <w:r w:rsidRPr="006815C9">
        <w:t>export</w:t>
      </w:r>
      <w:r w:rsidR="006A1D4F" w:rsidRPr="006815C9">
        <w:t xml:space="preserve">s </w:t>
      </w:r>
    </w:p>
    <w:p w14:paraId="3526140D" w14:textId="0F3C9975" w:rsidR="00FA0E62" w:rsidRPr="006815C9" w:rsidRDefault="00DE7E21" w:rsidP="006C769C">
      <w:pPr>
        <w:pStyle w:val="ListParagraph"/>
        <w:ind w:left="0"/>
        <w:jc w:val="center"/>
        <w:rPr>
          <w:rFonts w:cstheme="minorHAnsi"/>
        </w:rPr>
      </w:pPr>
      <w:r>
        <w:rPr>
          <w:rFonts w:cstheme="minorHAnsi"/>
          <w:noProof/>
          <w:lang w:eastAsia="en-AU"/>
        </w:rPr>
        <w:drawing>
          <wp:inline distT="0" distB="0" distL="0" distR="0" wp14:anchorId="7B47B8A0" wp14:editId="48B4603D">
            <wp:extent cx="4578350" cy="2749550"/>
            <wp:effectExtent l="0" t="0" r="0" b="0"/>
            <wp:docPr id="4" name="Picture 4" descr="The relatively consitent level of exports between 2017 and 2019 suggests that there has been minimum disruption to Australia’s LNG export industry since the introduction of the ADGSM." title="Fig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2364DA0B" w14:textId="551EEDC3" w:rsidR="00E0752F" w:rsidRPr="006815C9" w:rsidRDefault="00C334D3" w:rsidP="00FA0E62">
      <w:pPr>
        <w:pStyle w:val="ListParagraph"/>
        <w:ind w:left="0"/>
        <w:rPr>
          <w:rFonts w:cstheme="minorHAnsi"/>
          <w:sz w:val="18"/>
          <w:szCs w:val="18"/>
        </w:rPr>
      </w:pPr>
      <w:r w:rsidRPr="006815C9">
        <w:rPr>
          <w:rFonts w:cstheme="minorHAnsi"/>
          <w:sz w:val="18"/>
          <w:szCs w:val="18"/>
        </w:rPr>
        <w:t xml:space="preserve">Source: </w:t>
      </w:r>
      <w:r w:rsidR="00E0752F" w:rsidRPr="006815C9">
        <w:rPr>
          <w:rFonts w:cstheme="minorHAnsi"/>
          <w:sz w:val="18"/>
          <w:szCs w:val="18"/>
        </w:rPr>
        <w:t>Gladstone Ports Corporation, Cargo Statistics Selections [http://content1.gpcl.com.au/viewcontent/CargoComparisonsSelection/CargoComparisonsSelection.aspx]</w:t>
      </w:r>
    </w:p>
    <w:p w14:paraId="22E27494" w14:textId="77777777" w:rsidR="008920D0" w:rsidRPr="006815C9" w:rsidRDefault="008920D0" w:rsidP="00175930">
      <w:pPr>
        <w:pStyle w:val="ListParagraph"/>
        <w:ind w:left="0"/>
        <w:rPr>
          <w:rFonts w:cstheme="minorHAnsi"/>
        </w:rPr>
      </w:pPr>
    </w:p>
    <w:p w14:paraId="49183D69" w14:textId="1027F61D" w:rsidR="00175930" w:rsidRPr="006815C9" w:rsidRDefault="009D4774" w:rsidP="00175930">
      <w:pPr>
        <w:pStyle w:val="ListParagraph"/>
        <w:ind w:left="0"/>
        <w:rPr>
          <w:rFonts w:cstheme="minorHAnsi"/>
        </w:rPr>
      </w:pPr>
      <w:r w:rsidRPr="006815C9">
        <w:rPr>
          <w:rFonts w:cstheme="minorHAnsi"/>
        </w:rPr>
        <w:t>Assessing the longer term impact on Australia’s reputation as a reliable LNG supplier and stable investment destination is harder to quantify</w:t>
      </w:r>
      <w:r w:rsidR="008743AA" w:rsidRPr="006815C9">
        <w:rPr>
          <w:rFonts w:cstheme="minorHAnsi"/>
        </w:rPr>
        <w:t xml:space="preserve"> due to both the </w:t>
      </w:r>
      <w:r w:rsidR="006B384E" w:rsidRPr="006815C9">
        <w:rPr>
          <w:rFonts w:cstheme="minorHAnsi"/>
        </w:rPr>
        <w:t>inherent uncertainty associated with longer time frames and the number of</w:t>
      </w:r>
      <w:r w:rsidR="008743AA" w:rsidRPr="006815C9">
        <w:rPr>
          <w:rFonts w:cstheme="minorHAnsi"/>
        </w:rPr>
        <w:t xml:space="preserve"> other factors that influence investment </w:t>
      </w:r>
      <w:r w:rsidR="006B384E" w:rsidRPr="006815C9">
        <w:rPr>
          <w:rFonts w:cstheme="minorHAnsi"/>
        </w:rPr>
        <w:t xml:space="preserve">decisions.  </w:t>
      </w:r>
      <w:r w:rsidR="005C739A" w:rsidRPr="006815C9">
        <w:rPr>
          <w:rFonts w:cstheme="minorHAnsi"/>
        </w:rPr>
        <w:t xml:space="preserve">Stakeholder submissions are varied in their views on the </w:t>
      </w:r>
      <w:r w:rsidR="00DF16A1" w:rsidRPr="006815C9">
        <w:rPr>
          <w:rFonts w:cstheme="minorHAnsi"/>
        </w:rPr>
        <w:t xml:space="preserve">ADGSM’s </w:t>
      </w:r>
      <w:r w:rsidR="005C739A" w:rsidRPr="006815C9">
        <w:rPr>
          <w:rFonts w:cstheme="minorHAnsi"/>
        </w:rPr>
        <w:t xml:space="preserve">impacts on </w:t>
      </w:r>
      <w:r w:rsidR="00175930" w:rsidRPr="006815C9">
        <w:rPr>
          <w:rFonts w:cstheme="minorHAnsi"/>
        </w:rPr>
        <w:t xml:space="preserve">Australia’s </w:t>
      </w:r>
      <w:r w:rsidR="005C739A" w:rsidRPr="006815C9">
        <w:rPr>
          <w:rFonts w:cstheme="minorHAnsi"/>
        </w:rPr>
        <w:t>LNG industry</w:t>
      </w:r>
      <w:r w:rsidR="008920D0" w:rsidRPr="006815C9">
        <w:rPr>
          <w:rFonts w:cstheme="minorHAnsi"/>
        </w:rPr>
        <w:t>, with gas producers highlighting some concerns while users contend</w:t>
      </w:r>
      <w:r w:rsidR="00245545" w:rsidRPr="006815C9">
        <w:rPr>
          <w:rFonts w:cstheme="minorHAnsi"/>
        </w:rPr>
        <w:t>ing</w:t>
      </w:r>
      <w:r w:rsidR="008920D0" w:rsidRPr="006815C9">
        <w:rPr>
          <w:rFonts w:cstheme="minorHAnsi"/>
        </w:rPr>
        <w:t xml:space="preserve"> any impacts are negligible.</w:t>
      </w:r>
    </w:p>
    <w:p w14:paraId="011F4010" w14:textId="77777777" w:rsidR="00175930" w:rsidRPr="006815C9" w:rsidRDefault="00175930" w:rsidP="00175930">
      <w:pPr>
        <w:pStyle w:val="ListParagraph"/>
        <w:ind w:left="0"/>
        <w:rPr>
          <w:rFonts w:cstheme="minorHAnsi"/>
        </w:rPr>
      </w:pPr>
    </w:p>
    <w:p w14:paraId="782B9954" w14:textId="12476194" w:rsidR="00175930" w:rsidRPr="006815C9" w:rsidRDefault="00175930" w:rsidP="00175930">
      <w:pPr>
        <w:pStyle w:val="ListParagraph"/>
        <w:ind w:left="0"/>
        <w:rPr>
          <w:rFonts w:cstheme="minorHAnsi"/>
        </w:rPr>
      </w:pPr>
      <w:r w:rsidRPr="006815C9">
        <w:rPr>
          <w:rFonts w:cstheme="minorHAnsi"/>
        </w:rPr>
        <w:t>APPEA’s submission state</w:t>
      </w:r>
      <w:r w:rsidR="00DF16A1" w:rsidRPr="006815C9">
        <w:rPr>
          <w:rFonts w:cstheme="minorHAnsi"/>
        </w:rPr>
        <w:t>s</w:t>
      </w:r>
      <w:r w:rsidRPr="006815C9">
        <w:rPr>
          <w:rFonts w:cstheme="minorHAnsi"/>
        </w:rPr>
        <w:t xml:space="preserve"> that the ADGSM is ‘putting at risk Australia’s long-standing reputation as a stable investment destination and reliable supplier to both domestic and global markets’. APPEA do</w:t>
      </w:r>
      <w:r w:rsidR="00E312A9" w:rsidRPr="006815C9">
        <w:rPr>
          <w:rFonts w:cstheme="minorHAnsi"/>
        </w:rPr>
        <w:t>es</w:t>
      </w:r>
      <w:r w:rsidRPr="006815C9">
        <w:rPr>
          <w:rFonts w:cstheme="minorHAnsi"/>
        </w:rPr>
        <w:t xml:space="preserve"> however acknowledge the Australian Government’s efforts to ‘reassure LNG customers in Asia of the value of their partnerships with Australia’.</w:t>
      </w:r>
      <w:r w:rsidR="008920D0" w:rsidRPr="006815C9">
        <w:rPr>
          <w:rFonts w:cstheme="minorHAnsi"/>
        </w:rPr>
        <w:t xml:space="preserve"> </w:t>
      </w:r>
      <w:r w:rsidR="00DF16A1" w:rsidRPr="006815C9">
        <w:rPr>
          <w:rFonts w:cstheme="minorHAnsi"/>
        </w:rPr>
        <w:t>Conversely, t</w:t>
      </w:r>
      <w:r w:rsidRPr="006815C9">
        <w:rPr>
          <w:rFonts w:cstheme="minorHAnsi"/>
        </w:rPr>
        <w:t>he E</w:t>
      </w:r>
      <w:r w:rsidR="00245545" w:rsidRPr="006815C9">
        <w:rPr>
          <w:rFonts w:cstheme="minorHAnsi"/>
        </w:rPr>
        <w:t xml:space="preserve">nergy </w:t>
      </w:r>
      <w:r w:rsidRPr="006815C9">
        <w:rPr>
          <w:rFonts w:cstheme="minorHAnsi"/>
        </w:rPr>
        <w:t>U</w:t>
      </w:r>
      <w:r w:rsidR="00245545" w:rsidRPr="006815C9">
        <w:rPr>
          <w:rFonts w:cstheme="minorHAnsi"/>
        </w:rPr>
        <w:t xml:space="preserve">sers Association of </w:t>
      </w:r>
      <w:r w:rsidRPr="006815C9">
        <w:rPr>
          <w:rFonts w:cstheme="minorHAnsi"/>
        </w:rPr>
        <w:t>A</w:t>
      </w:r>
      <w:r w:rsidR="00245545" w:rsidRPr="006815C9">
        <w:rPr>
          <w:rFonts w:cstheme="minorHAnsi"/>
        </w:rPr>
        <w:t>ustralia</w:t>
      </w:r>
      <w:r w:rsidRPr="006815C9">
        <w:rPr>
          <w:rFonts w:cstheme="minorHAnsi"/>
        </w:rPr>
        <w:t xml:space="preserve"> state they ‘do not believe the ADGSM has had any material impact on the competitiveness of Australia’s LNG industry or Australia’s investment reputation’.</w:t>
      </w:r>
    </w:p>
    <w:p w14:paraId="0F5FB479" w14:textId="77777777" w:rsidR="008920D0" w:rsidRPr="006815C9" w:rsidRDefault="008920D0" w:rsidP="00175930">
      <w:pPr>
        <w:pStyle w:val="ListParagraph"/>
        <w:ind w:left="0"/>
        <w:rPr>
          <w:rFonts w:cstheme="minorHAnsi"/>
        </w:rPr>
      </w:pPr>
    </w:p>
    <w:p w14:paraId="00408254" w14:textId="21F9F0DB" w:rsidR="008920D0" w:rsidRPr="006815C9" w:rsidRDefault="008920D0" w:rsidP="00175930">
      <w:pPr>
        <w:pStyle w:val="ListParagraph"/>
        <w:ind w:left="0"/>
        <w:rPr>
          <w:rFonts w:cstheme="minorHAnsi"/>
        </w:rPr>
      </w:pPr>
      <w:r w:rsidRPr="006815C9">
        <w:rPr>
          <w:rFonts w:cstheme="minorHAnsi"/>
        </w:rPr>
        <w:t xml:space="preserve">As highlighted </w:t>
      </w:r>
      <w:r w:rsidR="008743AA" w:rsidRPr="006815C9">
        <w:rPr>
          <w:rFonts w:cstheme="minorHAnsi"/>
        </w:rPr>
        <w:t xml:space="preserve">in section </w:t>
      </w:r>
      <w:r w:rsidR="00053DEB" w:rsidRPr="006815C9">
        <w:rPr>
          <w:rFonts w:cstheme="minorHAnsi"/>
        </w:rPr>
        <w:t>3.5</w:t>
      </w:r>
      <w:r w:rsidRPr="006815C9">
        <w:rPr>
          <w:rFonts w:cstheme="minorHAnsi"/>
        </w:rPr>
        <w:t xml:space="preserve">, there is evidence of ongoing investment in </w:t>
      </w:r>
      <w:r w:rsidR="00DF16A1" w:rsidRPr="006815C9">
        <w:rPr>
          <w:rFonts w:cstheme="minorHAnsi"/>
        </w:rPr>
        <w:t xml:space="preserve">the </w:t>
      </w:r>
      <w:r w:rsidRPr="006815C9">
        <w:rPr>
          <w:rFonts w:cstheme="minorHAnsi"/>
        </w:rPr>
        <w:t xml:space="preserve">development of Australia’s gas resources for both domestic use and export. A range of factors influence this activity, </w:t>
      </w:r>
      <w:r w:rsidRPr="006815C9">
        <w:rPr>
          <w:rFonts w:cstheme="minorHAnsi"/>
        </w:rPr>
        <w:lastRenderedPageBreak/>
        <w:t xml:space="preserve">not the least being prevailing gas market conditions. </w:t>
      </w:r>
      <w:r w:rsidR="00DF16A1" w:rsidRPr="006815C9">
        <w:rPr>
          <w:rFonts w:cstheme="minorHAnsi"/>
        </w:rPr>
        <w:t>I</w:t>
      </w:r>
      <w:r w:rsidR="003C1509" w:rsidRPr="006815C9">
        <w:rPr>
          <w:rFonts w:cstheme="minorHAnsi"/>
        </w:rPr>
        <w:t>nvestment plans beyond Australia’</w:t>
      </w:r>
      <w:r w:rsidR="00DA0A9B" w:rsidRPr="006815C9">
        <w:rPr>
          <w:rFonts w:cstheme="minorHAnsi"/>
        </w:rPr>
        <w:t>s new LNG projects</w:t>
      </w:r>
      <w:r w:rsidR="003C1509" w:rsidRPr="006815C9">
        <w:rPr>
          <w:rFonts w:cstheme="minorHAnsi"/>
        </w:rPr>
        <w:t xml:space="preserve">, including backfilling existing LNG projects in Australia’s </w:t>
      </w:r>
      <w:r w:rsidR="00DA0A9B" w:rsidRPr="006815C9">
        <w:rPr>
          <w:rFonts w:cstheme="minorHAnsi"/>
        </w:rPr>
        <w:t xml:space="preserve">west and north continue to </w:t>
      </w:r>
      <w:r w:rsidR="006B384E" w:rsidRPr="006815C9">
        <w:rPr>
          <w:rFonts w:cstheme="minorHAnsi"/>
        </w:rPr>
        <w:t>progress</w:t>
      </w:r>
      <w:r w:rsidR="00DA0A9B" w:rsidRPr="006815C9">
        <w:rPr>
          <w:rFonts w:cstheme="minorHAnsi"/>
        </w:rPr>
        <w:t>. T</w:t>
      </w:r>
      <w:r w:rsidRPr="006815C9">
        <w:rPr>
          <w:rFonts w:cstheme="minorHAnsi"/>
        </w:rPr>
        <w:t>he</w:t>
      </w:r>
      <w:r w:rsidR="008743AA" w:rsidRPr="006815C9">
        <w:rPr>
          <w:rFonts w:cstheme="minorHAnsi"/>
        </w:rPr>
        <w:t>re is no evidence</w:t>
      </w:r>
      <w:r w:rsidR="00C3385D" w:rsidRPr="006815C9">
        <w:rPr>
          <w:rFonts w:cstheme="minorHAnsi"/>
        </w:rPr>
        <w:t xml:space="preserve"> suggesting the </w:t>
      </w:r>
      <w:r w:rsidRPr="006815C9">
        <w:rPr>
          <w:rFonts w:cstheme="minorHAnsi"/>
        </w:rPr>
        <w:t xml:space="preserve">ADGSM </w:t>
      </w:r>
      <w:r w:rsidR="00C3385D" w:rsidRPr="006815C9">
        <w:rPr>
          <w:rFonts w:cstheme="minorHAnsi"/>
        </w:rPr>
        <w:t xml:space="preserve">has had any impact on the prospects for these </w:t>
      </w:r>
      <w:r w:rsidRPr="006815C9">
        <w:rPr>
          <w:rFonts w:cstheme="minorHAnsi"/>
        </w:rPr>
        <w:t>investment</w:t>
      </w:r>
      <w:r w:rsidR="00DA0A9B" w:rsidRPr="006815C9">
        <w:rPr>
          <w:rFonts w:cstheme="minorHAnsi"/>
        </w:rPr>
        <w:t>s</w:t>
      </w:r>
      <w:r w:rsidRPr="006815C9">
        <w:rPr>
          <w:rFonts w:cstheme="minorHAnsi"/>
        </w:rPr>
        <w:t>.</w:t>
      </w:r>
    </w:p>
    <w:p w14:paraId="7EE7010E" w14:textId="77777777" w:rsidR="008920D0" w:rsidRPr="006815C9" w:rsidRDefault="008920D0" w:rsidP="00175930">
      <w:pPr>
        <w:pStyle w:val="ListParagraph"/>
        <w:ind w:left="0"/>
        <w:rPr>
          <w:rFonts w:cstheme="minorHAnsi"/>
        </w:rPr>
      </w:pPr>
    </w:p>
    <w:p w14:paraId="6F8D35B9" w14:textId="19557818" w:rsidR="008920D0" w:rsidRPr="006815C9" w:rsidRDefault="00DF16A1" w:rsidP="00175930">
      <w:pPr>
        <w:pStyle w:val="ListParagraph"/>
        <w:ind w:left="0"/>
        <w:rPr>
          <w:rFonts w:cstheme="minorHAnsi"/>
        </w:rPr>
      </w:pPr>
      <w:r w:rsidRPr="006815C9">
        <w:rPr>
          <w:rFonts w:cstheme="minorHAnsi"/>
        </w:rPr>
        <w:t xml:space="preserve">When the ADGSM was </w:t>
      </w:r>
      <w:r w:rsidR="008920D0" w:rsidRPr="006815C9">
        <w:rPr>
          <w:rFonts w:cstheme="minorHAnsi"/>
        </w:rPr>
        <w:t>introduc</w:t>
      </w:r>
      <w:r w:rsidRPr="006815C9">
        <w:rPr>
          <w:rFonts w:cstheme="minorHAnsi"/>
        </w:rPr>
        <w:t>ed</w:t>
      </w:r>
      <w:r w:rsidR="008920D0" w:rsidRPr="006815C9">
        <w:rPr>
          <w:rFonts w:cstheme="minorHAnsi"/>
        </w:rPr>
        <w:t xml:space="preserve">, Australia’s </w:t>
      </w:r>
      <w:r w:rsidRPr="006815C9">
        <w:rPr>
          <w:rFonts w:cstheme="minorHAnsi"/>
        </w:rPr>
        <w:t xml:space="preserve">LNG </w:t>
      </w:r>
      <w:r w:rsidR="006B384E" w:rsidRPr="006815C9">
        <w:rPr>
          <w:rFonts w:cstheme="minorHAnsi"/>
        </w:rPr>
        <w:t xml:space="preserve">trading partners expressed </w:t>
      </w:r>
      <w:r w:rsidR="008920D0" w:rsidRPr="006815C9">
        <w:rPr>
          <w:rFonts w:cstheme="minorHAnsi"/>
        </w:rPr>
        <w:t xml:space="preserve">concern </w:t>
      </w:r>
      <w:r w:rsidR="006B384E" w:rsidRPr="006815C9">
        <w:rPr>
          <w:rFonts w:cstheme="minorHAnsi"/>
        </w:rPr>
        <w:t xml:space="preserve">about </w:t>
      </w:r>
      <w:r w:rsidR="008920D0" w:rsidRPr="006815C9">
        <w:rPr>
          <w:rFonts w:cstheme="minorHAnsi"/>
        </w:rPr>
        <w:t xml:space="preserve">the </w:t>
      </w:r>
      <w:r w:rsidRPr="006815C9">
        <w:rPr>
          <w:rFonts w:cstheme="minorHAnsi"/>
        </w:rPr>
        <w:t xml:space="preserve">ADGSM’s </w:t>
      </w:r>
      <w:r w:rsidR="008920D0" w:rsidRPr="006815C9">
        <w:rPr>
          <w:rFonts w:cstheme="minorHAnsi"/>
        </w:rPr>
        <w:t xml:space="preserve">impact on Australia’s reputation as </w:t>
      </w:r>
      <w:r w:rsidR="00E312A9" w:rsidRPr="006815C9">
        <w:rPr>
          <w:rFonts w:cstheme="minorHAnsi"/>
        </w:rPr>
        <w:t xml:space="preserve">a </w:t>
      </w:r>
      <w:r w:rsidR="008920D0" w:rsidRPr="006815C9">
        <w:rPr>
          <w:rFonts w:cstheme="minorHAnsi"/>
        </w:rPr>
        <w:t>reliable LNG suppl</w:t>
      </w:r>
      <w:r w:rsidR="00E312A9" w:rsidRPr="006815C9">
        <w:rPr>
          <w:rFonts w:cstheme="minorHAnsi"/>
        </w:rPr>
        <w:t>i</w:t>
      </w:r>
      <w:r w:rsidR="008920D0" w:rsidRPr="006815C9">
        <w:rPr>
          <w:rFonts w:cstheme="minorHAnsi"/>
        </w:rPr>
        <w:t>er a</w:t>
      </w:r>
      <w:r w:rsidR="002F6E3B" w:rsidRPr="006815C9">
        <w:rPr>
          <w:rFonts w:cstheme="minorHAnsi"/>
        </w:rPr>
        <w:t>nd stable investment destination.</w:t>
      </w:r>
      <w:r w:rsidR="007B03F9" w:rsidRPr="006815C9">
        <w:rPr>
          <w:rStyle w:val="FootnoteReference"/>
          <w:rFonts w:cstheme="minorHAnsi"/>
        </w:rPr>
        <w:footnoteReference w:id="34"/>
      </w:r>
      <w:r w:rsidR="007B03F9" w:rsidRPr="006815C9">
        <w:rPr>
          <w:rFonts w:cstheme="minorHAnsi"/>
          <w:vertAlign w:val="superscript"/>
        </w:rPr>
        <w:t xml:space="preserve">, </w:t>
      </w:r>
      <w:r w:rsidR="007B03F9" w:rsidRPr="006815C9">
        <w:rPr>
          <w:rStyle w:val="FootnoteReference"/>
          <w:rFonts w:cstheme="minorHAnsi"/>
        </w:rPr>
        <w:footnoteReference w:id="35"/>
      </w:r>
      <w:r w:rsidR="002F6E3B" w:rsidRPr="006815C9">
        <w:rPr>
          <w:rFonts w:cstheme="minorHAnsi"/>
        </w:rPr>
        <w:t xml:space="preserve"> To date, the ADGSM has not been triggered to restrict LNG exports. As such, this level of concern has largely dissipated</w:t>
      </w:r>
      <w:r w:rsidR="00A84E9B" w:rsidRPr="006815C9">
        <w:rPr>
          <w:rFonts w:cstheme="minorHAnsi"/>
        </w:rPr>
        <w:t xml:space="preserve"> and there is a greater understanding around the ADGSM’s objective and operation</w:t>
      </w:r>
      <w:r w:rsidR="00BB476F" w:rsidRPr="006815C9">
        <w:rPr>
          <w:rFonts w:cstheme="minorHAnsi"/>
        </w:rPr>
        <w:t xml:space="preserve">. The Government is conscious of the potential impact of </w:t>
      </w:r>
      <w:r w:rsidR="001C0D59" w:rsidRPr="006815C9">
        <w:rPr>
          <w:rFonts w:cstheme="minorHAnsi"/>
        </w:rPr>
        <w:t>triggering</w:t>
      </w:r>
      <w:r w:rsidR="00BB476F" w:rsidRPr="006815C9">
        <w:rPr>
          <w:rFonts w:cstheme="minorHAnsi"/>
        </w:rPr>
        <w:t xml:space="preserve"> the ADGSM on </w:t>
      </w:r>
      <w:r w:rsidR="00D91BEF" w:rsidRPr="006815C9">
        <w:rPr>
          <w:rFonts w:cstheme="minorHAnsi"/>
        </w:rPr>
        <w:t>certainty for investment and supply</w:t>
      </w:r>
      <w:r w:rsidR="002F6E3B" w:rsidRPr="006815C9">
        <w:rPr>
          <w:rFonts w:cstheme="minorHAnsi"/>
        </w:rPr>
        <w:t>.</w:t>
      </w:r>
    </w:p>
    <w:p w14:paraId="37BDFAB6" w14:textId="77777777" w:rsidR="002F6E3B" w:rsidRPr="006815C9" w:rsidRDefault="002F6E3B" w:rsidP="00175930">
      <w:pPr>
        <w:pStyle w:val="ListParagraph"/>
        <w:ind w:left="0"/>
        <w:rPr>
          <w:rFonts w:cstheme="minorHAnsi"/>
        </w:rPr>
      </w:pPr>
    </w:p>
    <w:p w14:paraId="5A53DE20" w14:textId="577736F7" w:rsidR="002F6E3B" w:rsidRPr="006815C9" w:rsidRDefault="0039714E" w:rsidP="00175930">
      <w:pPr>
        <w:pStyle w:val="ListParagraph"/>
        <w:ind w:left="0"/>
        <w:rPr>
          <w:rFonts w:cstheme="minorHAnsi"/>
        </w:rPr>
      </w:pPr>
      <w:r w:rsidRPr="006815C9">
        <w:rPr>
          <w:rFonts w:cstheme="minorHAnsi"/>
        </w:rPr>
        <w:t xml:space="preserve">The ADGSM as currently designed aims to ensure sufficient domestic supply is not compromised by LNG exports. As a ‘backstop’ mechanism, regulatory intervention only occurs in the event of issues with the behaviour of market participants. To date, the ADGSM has been effective in </w:t>
      </w:r>
      <w:r w:rsidR="00532A76" w:rsidRPr="006815C9">
        <w:rPr>
          <w:rFonts w:cstheme="minorHAnsi"/>
        </w:rPr>
        <w:t xml:space="preserve">this regard as sufficient domestic supply has negated the need for regulatory intervention. </w:t>
      </w:r>
      <w:r w:rsidR="00027E19" w:rsidRPr="006815C9">
        <w:rPr>
          <w:rFonts w:cstheme="minorHAnsi"/>
        </w:rPr>
        <w:t>More broadly, t</w:t>
      </w:r>
      <w:r w:rsidR="00532A76" w:rsidRPr="006815C9">
        <w:rPr>
          <w:rFonts w:cstheme="minorHAnsi"/>
        </w:rPr>
        <w:t>he Government, and stakeholders, acknowledge that increasing gas supply is the preferred means of addressing gas market pressures.</w:t>
      </w:r>
    </w:p>
    <w:p w14:paraId="749F3C38" w14:textId="77777777" w:rsidR="006824D8" w:rsidRPr="006815C9" w:rsidRDefault="00A046C4" w:rsidP="00A046C4">
      <w:pPr>
        <w:pStyle w:val="Heading1"/>
      </w:pPr>
      <w:bookmarkStart w:id="933" w:name="_Toc19537967"/>
      <w:bookmarkStart w:id="934" w:name="_Toc19545373"/>
      <w:bookmarkStart w:id="935" w:name="_Toc19611846"/>
      <w:bookmarkStart w:id="936" w:name="_Toc19628600"/>
      <w:bookmarkStart w:id="937" w:name="_Toc19628640"/>
      <w:bookmarkStart w:id="938" w:name="_Toc19717445"/>
      <w:bookmarkStart w:id="939" w:name="_Toc19720132"/>
      <w:bookmarkStart w:id="940" w:name="_Toc19789975"/>
      <w:bookmarkStart w:id="941" w:name="_Toc19803045"/>
      <w:bookmarkStart w:id="942" w:name="_Toc19804092"/>
      <w:bookmarkStart w:id="943" w:name="_Toc19804292"/>
      <w:bookmarkStart w:id="944" w:name="_Toc19804538"/>
      <w:bookmarkStart w:id="945" w:name="_Toc19888542"/>
      <w:bookmarkStart w:id="946" w:name="_Toc19889169"/>
      <w:bookmarkStart w:id="947" w:name="_Toc20232943"/>
      <w:bookmarkStart w:id="948" w:name="_Toc20237753"/>
      <w:bookmarkStart w:id="949" w:name="_Toc20322039"/>
      <w:bookmarkStart w:id="950" w:name="_Toc20322457"/>
      <w:bookmarkStart w:id="951" w:name="_Toc20398023"/>
      <w:bookmarkStart w:id="952" w:name="_Toc20401024"/>
      <w:bookmarkStart w:id="953" w:name="_Toc20410662"/>
      <w:bookmarkStart w:id="954" w:name="_Toc20412188"/>
      <w:bookmarkStart w:id="955" w:name="_Toc20469281"/>
      <w:bookmarkStart w:id="956" w:name="_Toc21705356"/>
      <w:bookmarkStart w:id="957" w:name="_Toc26349934"/>
      <w:bookmarkStart w:id="958" w:name="_Toc26448251"/>
      <w:bookmarkStart w:id="959" w:name="_Toc26454533"/>
      <w:bookmarkStart w:id="960" w:name="_Toc29823322"/>
      <w:r w:rsidRPr="006815C9">
        <w:t>Future of the ADGSM</w:t>
      </w:r>
      <w:bookmarkEnd w:id="601"/>
      <w:bookmarkEnd w:id="602"/>
      <w:bookmarkEnd w:id="603"/>
      <w:bookmarkEnd w:id="604"/>
      <w:bookmarkEnd w:id="605"/>
      <w:bookmarkEnd w:id="606"/>
      <w:bookmarkEnd w:id="607"/>
      <w:bookmarkEnd w:id="608"/>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bookmarkStart w:id="961" w:name="_Complementary_gas_market"/>
    <w:bookmarkStart w:id="962" w:name="_Toc19189790"/>
    <w:bookmarkStart w:id="963" w:name="_Toc19271073"/>
    <w:bookmarkStart w:id="964" w:name="_Toc19280651"/>
    <w:bookmarkStart w:id="965" w:name="_Toc19281145"/>
    <w:bookmarkEnd w:id="961"/>
    <w:p w14:paraId="0E007845" w14:textId="77777777" w:rsidR="001A4839" w:rsidRPr="006815C9" w:rsidRDefault="001459EA" w:rsidP="00E01C06">
      <w:pPr>
        <w:pStyle w:val="Heading2"/>
        <w:rPr>
          <w:rStyle w:val="Hyperlink"/>
          <w:u w:val="none"/>
        </w:rPr>
      </w:pPr>
      <w:r w:rsidRPr="006815C9">
        <w:rPr>
          <w:rStyle w:val="Hyperlink"/>
          <w:u w:val="none"/>
        </w:rPr>
        <w:fldChar w:fldCharType="begin"/>
      </w:r>
      <w:r w:rsidRPr="006815C9">
        <w:rPr>
          <w:rStyle w:val="Hyperlink"/>
          <w:u w:val="none"/>
        </w:rPr>
        <w:instrText xml:space="preserve"> HYPERLINK \l "Outline" </w:instrText>
      </w:r>
      <w:r w:rsidRPr="006815C9">
        <w:rPr>
          <w:rStyle w:val="Hyperlink"/>
          <w:u w:val="none"/>
        </w:rPr>
        <w:fldChar w:fldCharType="separate"/>
      </w:r>
      <w:bookmarkStart w:id="966" w:name="_Toc26349935"/>
      <w:bookmarkStart w:id="967" w:name="_Toc20401025"/>
      <w:bookmarkStart w:id="968" w:name="_Toc20398024"/>
      <w:bookmarkStart w:id="969" w:name="_Toc20322040"/>
      <w:bookmarkStart w:id="970" w:name="_Toc20322458"/>
      <w:bookmarkStart w:id="971" w:name="_Toc20237754"/>
      <w:bookmarkStart w:id="972" w:name="_Toc20232944"/>
      <w:bookmarkStart w:id="973" w:name="_Toc19888543"/>
      <w:bookmarkStart w:id="974" w:name="_Toc19889170"/>
      <w:bookmarkStart w:id="975" w:name="_Toc19789976"/>
      <w:bookmarkStart w:id="976" w:name="_Toc19628601"/>
      <w:bookmarkStart w:id="977" w:name="_Toc19628641"/>
      <w:bookmarkStart w:id="978" w:name="_Ref19622647"/>
      <w:bookmarkStart w:id="979" w:name="_Toc19611847"/>
      <w:bookmarkStart w:id="980" w:name="_Toc19545374"/>
      <w:bookmarkStart w:id="981" w:name="_Toc19537968"/>
      <w:bookmarkStart w:id="982" w:name="_Toc18592146"/>
      <w:bookmarkStart w:id="983" w:name="_Toc18590681"/>
      <w:bookmarkStart w:id="984" w:name="_Toc19113897"/>
      <w:bookmarkStart w:id="985" w:name="_Toc19109854"/>
      <w:bookmarkStart w:id="986" w:name="_Toc19189786"/>
      <w:bookmarkStart w:id="987" w:name="_Toc19280647"/>
      <w:bookmarkStart w:id="988" w:name="_Toc19271069"/>
      <w:bookmarkStart w:id="989" w:name="_Toc19281141"/>
      <w:bookmarkStart w:id="990" w:name="_Toc19717446"/>
      <w:bookmarkStart w:id="991" w:name="_Toc19720133"/>
      <w:bookmarkStart w:id="992" w:name="_Toc19804539"/>
      <w:bookmarkStart w:id="993" w:name="_Toc19804293"/>
      <w:bookmarkStart w:id="994" w:name="_Toc19804093"/>
      <w:bookmarkStart w:id="995" w:name="_Toc19803046"/>
      <w:bookmarkStart w:id="996" w:name="_Toc20412189"/>
      <w:bookmarkStart w:id="997" w:name="_Toc20410663"/>
      <w:bookmarkStart w:id="998" w:name="_Toc20469282"/>
      <w:bookmarkStart w:id="999" w:name="_Toc21705357"/>
      <w:bookmarkStart w:id="1000" w:name="_Toc26448252"/>
      <w:bookmarkStart w:id="1001" w:name="_Toc26454534"/>
      <w:bookmarkStart w:id="1002" w:name="_Toc29823323"/>
      <w:r w:rsidR="001A4839" w:rsidRPr="006815C9">
        <w:rPr>
          <w:rStyle w:val="Hyperlink"/>
          <w:u w:val="none"/>
        </w:rPr>
        <w:t>Total Market Security Obligation</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6815C9">
        <w:rPr>
          <w:rStyle w:val="Hyperlink"/>
          <w:u w:val="none"/>
        </w:rPr>
        <w:fldChar w:fldCharType="end"/>
      </w:r>
    </w:p>
    <w:p w14:paraId="26E342A1" w14:textId="77BA2866" w:rsidR="0083683C" w:rsidRPr="006815C9" w:rsidRDefault="00E007F3" w:rsidP="001A4839">
      <w:pPr>
        <w:spacing w:after="0" w:line="240" w:lineRule="auto"/>
        <w:rPr>
          <w:rFonts w:cstheme="minorHAnsi"/>
        </w:rPr>
      </w:pPr>
      <w:r>
        <w:rPr>
          <w:rFonts w:cstheme="minorHAnsi"/>
        </w:rPr>
        <w:t>T</w:t>
      </w:r>
      <w:r w:rsidR="001A4839" w:rsidRPr="006815C9">
        <w:rPr>
          <w:rFonts w:cstheme="minorHAnsi"/>
        </w:rPr>
        <w:t xml:space="preserve">he </w:t>
      </w:r>
      <w:r w:rsidR="002C353C" w:rsidRPr="006815C9">
        <w:rPr>
          <w:rFonts w:cstheme="minorHAnsi"/>
        </w:rPr>
        <w:t>Total Market Security Obligation (</w:t>
      </w:r>
      <w:r w:rsidR="001A4839" w:rsidRPr="006815C9">
        <w:rPr>
          <w:rFonts w:cstheme="minorHAnsi"/>
        </w:rPr>
        <w:t>TMSO</w:t>
      </w:r>
      <w:r w:rsidR="002C353C" w:rsidRPr="006815C9">
        <w:rPr>
          <w:rFonts w:cstheme="minorHAnsi"/>
        </w:rPr>
        <w:t>)</w:t>
      </w:r>
      <w:r w:rsidR="001A4839" w:rsidRPr="006815C9">
        <w:rPr>
          <w:rFonts w:cstheme="minorHAnsi"/>
        </w:rPr>
        <w:t xml:space="preserve"> is that part of a gas shortfall the Minister considers attributable to LNG </w:t>
      </w:r>
      <w:r w:rsidR="00492686" w:rsidRPr="006815C9">
        <w:rPr>
          <w:rFonts w:cstheme="minorHAnsi"/>
        </w:rPr>
        <w:t>p</w:t>
      </w:r>
      <w:r w:rsidR="001A4839" w:rsidRPr="006815C9">
        <w:rPr>
          <w:rFonts w:cstheme="minorHAnsi"/>
        </w:rPr>
        <w:t>rojects</w:t>
      </w:r>
      <w:r w:rsidR="00822D87" w:rsidRPr="006815C9">
        <w:rPr>
          <w:rFonts w:cstheme="minorHAnsi"/>
        </w:rPr>
        <w:t xml:space="preserve"> in net-deficit</w:t>
      </w:r>
      <w:r w:rsidR="001A4839" w:rsidRPr="006815C9">
        <w:rPr>
          <w:rFonts w:cstheme="minorHAnsi"/>
        </w:rPr>
        <w:t>. Where the Minister determines a domestic shortfall year, the Minister calculate</w:t>
      </w:r>
      <w:r w:rsidR="002C353C" w:rsidRPr="006815C9">
        <w:rPr>
          <w:rFonts w:cstheme="minorHAnsi"/>
        </w:rPr>
        <w:t>s</w:t>
      </w:r>
      <w:r w:rsidR="001A4839" w:rsidRPr="006815C9">
        <w:rPr>
          <w:rFonts w:cstheme="minorHAnsi"/>
        </w:rPr>
        <w:t xml:space="preserve"> the TMSO and allocate</w:t>
      </w:r>
      <w:r w:rsidR="002C353C" w:rsidRPr="006815C9">
        <w:rPr>
          <w:rFonts w:cstheme="minorHAnsi"/>
        </w:rPr>
        <w:t>s</w:t>
      </w:r>
      <w:r w:rsidR="001A4839" w:rsidRPr="006815C9">
        <w:rPr>
          <w:rFonts w:cstheme="minorHAnsi"/>
        </w:rPr>
        <w:t xml:space="preserve"> it to net-deficit LNG </w:t>
      </w:r>
      <w:r w:rsidR="002C353C" w:rsidRPr="006815C9">
        <w:rPr>
          <w:rFonts w:cstheme="minorHAnsi"/>
        </w:rPr>
        <w:t>p</w:t>
      </w:r>
      <w:r w:rsidR="001A4839" w:rsidRPr="006815C9">
        <w:rPr>
          <w:rFonts w:cstheme="minorHAnsi"/>
        </w:rPr>
        <w:t>rojects on a pro-rata basis</w:t>
      </w:r>
      <w:r w:rsidR="00492686" w:rsidRPr="006815C9">
        <w:rPr>
          <w:rFonts w:cstheme="minorHAnsi"/>
        </w:rPr>
        <w:t xml:space="preserve"> </w:t>
      </w:r>
      <w:r w:rsidR="00D41429" w:rsidRPr="006815C9">
        <w:rPr>
          <w:rFonts w:cstheme="minorHAnsi"/>
        </w:rPr>
        <w:t xml:space="preserve">according to </w:t>
      </w:r>
      <w:r w:rsidR="0083683C" w:rsidRPr="006815C9">
        <w:rPr>
          <w:rFonts w:cstheme="minorHAnsi"/>
        </w:rPr>
        <w:t xml:space="preserve">the amount by which they are in net deficit. </w:t>
      </w:r>
      <w:r w:rsidR="00297307" w:rsidRPr="006815C9">
        <w:rPr>
          <w:rFonts w:cstheme="minorHAnsi"/>
        </w:rPr>
        <w:t>This determine</w:t>
      </w:r>
      <w:r w:rsidR="002C353C" w:rsidRPr="006815C9">
        <w:rPr>
          <w:rFonts w:cstheme="minorHAnsi"/>
        </w:rPr>
        <w:t>s</w:t>
      </w:r>
      <w:r w:rsidR="00297307" w:rsidRPr="006815C9">
        <w:rPr>
          <w:rFonts w:cstheme="minorHAnsi"/>
        </w:rPr>
        <w:t xml:space="preserve"> the</w:t>
      </w:r>
      <w:r w:rsidR="001A4839" w:rsidRPr="006815C9">
        <w:rPr>
          <w:rFonts w:cstheme="minorHAnsi"/>
        </w:rPr>
        <w:t xml:space="preserve"> Exporter Market Security Obligation (EMSO)</w:t>
      </w:r>
      <w:r w:rsidR="00D7130C" w:rsidRPr="006815C9">
        <w:rPr>
          <w:rFonts w:cstheme="minorHAnsi"/>
        </w:rPr>
        <w:t xml:space="preserve"> </w:t>
      </w:r>
      <w:r w:rsidR="002F138C" w:rsidRPr="006815C9">
        <w:rPr>
          <w:rFonts w:cstheme="minorHAnsi"/>
        </w:rPr>
        <w:t xml:space="preserve">that each </w:t>
      </w:r>
      <w:r w:rsidR="008B5A0A" w:rsidRPr="006815C9">
        <w:rPr>
          <w:rFonts w:cstheme="minorHAnsi"/>
        </w:rPr>
        <w:t xml:space="preserve">exporter in net deficit </w:t>
      </w:r>
      <w:r w:rsidR="002C353C" w:rsidRPr="006815C9">
        <w:rPr>
          <w:rFonts w:cstheme="minorHAnsi"/>
        </w:rPr>
        <w:t xml:space="preserve">is </w:t>
      </w:r>
      <w:r w:rsidR="008B5A0A" w:rsidRPr="006815C9">
        <w:rPr>
          <w:rFonts w:cstheme="minorHAnsi"/>
        </w:rPr>
        <w:t>responsible for,</w:t>
      </w:r>
      <w:r w:rsidR="00D7130C" w:rsidRPr="006815C9">
        <w:rPr>
          <w:rFonts w:cstheme="minorHAnsi"/>
        </w:rPr>
        <w:t xml:space="preserve"> which</w:t>
      </w:r>
      <w:r w:rsidR="0083683C" w:rsidRPr="006815C9">
        <w:rPr>
          <w:rFonts w:cstheme="minorHAnsi"/>
        </w:rPr>
        <w:t xml:space="preserve"> </w:t>
      </w:r>
      <w:r w:rsidR="002C353C" w:rsidRPr="006815C9">
        <w:rPr>
          <w:rFonts w:cstheme="minorHAnsi"/>
        </w:rPr>
        <w:t xml:space="preserve">is </w:t>
      </w:r>
      <w:r w:rsidR="0083683C" w:rsidRPr="006815C9">
        <w:rPr>
          <w:rFonts w:cstheme="minorHAnsi"/>
        </w:rPr>
        <w:t xml:space="preserve">the lesser of the pro-rata TMSO allocation and the project’s net deficit amount. </w:t>
      </w:r>
    </w:p>
    <w:p w14:paraId="7E521FC9" w14:textId="74B5EAA0" w:rsidR="0083683C" w:rsidRPr="006815C9" w:rsidRDefault="0083683C" w:rsidP="001A4839">
      <w:pPr>
        <w:spacing w:after="0" w:line="240" w:lineRule="auto"/>
        <w:rPr>
          <w:rFonts w:cstheme="minorHAnsi"/>
        </w:rPr>
      </w:pPr>
    </w:p>
    <w:p w14:paraId="3D17DE7D" w14:textId="777FD66E" w:rsidR="001A4839" w:rsidRPr="006815C9" w:rsidRDefault="001A4839" w:rsidP="001A4839">
      <w:pPr>
        <w:spacing w:after="0" w:line="240" w:lineRule="auto"/>
        <w:rPr>
          <w:rFonts w:cstheme="minorHAnsi"/>
        </w:rPr>
      </w:pPr>
      <w:r w:rsidRPr="006815C9">
        <w:rPr>
          <w:rFonts w:cstheme="minorHAnsi"/>
        </w:rPr>
        <w:t>The TMSO is calculated by determining the extent to which an LNG project is drawing from, or adding to, the quantity of gas to the domestic market over the forthcoming calendar year. This net market position of an LNG project will be calculated by reference to that project’s tenements</w:t>
      </w:r>
      <w:r w:rsidR="00492686" w:rsidRPr="006815C9">
        <w:rPr>
          <w:rFonts w:cstheme="minorHAnsi"/>
        </w:rPr>
        <w:t>,</w:t>
      </w:r>
      <w:r w:rsidRPr="006815C9">
        <w:rPr>
          <w:rFonts w:cstheme="minorHAnsi"/>
        </w:rPr>
        <w:t xml:space="preserve"> </w:t>
      </w:r>
      <w:r w:rsidR="00AA4739" w:rsidRPr="006815C9">
        <w:rPr>
          <w:rFonts w:cstheme="minorHAnsi"/>
        </w:rPr>
        <w:t>including</w:t>
      </w:r>
      <w:r w:rsidRPr="006815C9">
        <w:rPr>
          <w:rFonts w:cstheme="minorHAnsi"/>
        </w:rPr>
        <w:t xml:space="preserve"> all tenements considered </w:t>
      </w:r>
      <w:r w:rsidR="00DC4BA7" w:rsidRPr="006815C9">
        <w:rPr>
          <w:rFonts w:cstheme="minorHAnsi"/>
        </w:rPr>
        <w:t>‘</w:t>
      </w:r>
      <w:r w:rsidRPr="006815C9">
        <w:rPr>
          <w:rFonts w:cstheme="minorHAnsi"/>
        </w:rPr>
        <w:t>own gas</w:t>
      </w:r>
      <w:r w:rsidR="00DC4BA7" w:rsidRPr="006815C9">
        <w:rPr>
          <w:rFonts w:cstheme="minorHAnsi"/>
        </w:rPr>
        <w:t>’</w:t>
      </w:r>
      <w:r w:rsidRPr="006815C9">
        <w:rPr>
          <w:rFonts w:cstheme="minorHAnsi"/>
        </w:rPr>
        <w:t xml:space="preserve"> or </w:t>
      </w:r>
      <w:r w:rsidR="00DC4BA7" w:rsidRPr="006815C9">
        <w:rPr>
          <w:rFonts w:cstheme="minorHAnsi"/>
        </w:rPr>
        <w:t>‘</w:t>
      </w:r>
      <w:r w:rsidRPr="006815C9">
        <w:rPr>
          <w:rFonts w:cstheme="minorHAnsi"/>
        </w:rPr>
        <w:t>third party export compatible gas</w:t>
      </w:r>
      <w:r w:rsidR="00DC4BA7" w:rsidRPr="006815C9">
        <w:rPr>
          <w:rFonts w:cstheme="minorHAnsi"/>
        </w:rPr>
        <w:t>’</w:t>
      </w:r>
      <w:r w:rsidRPr="006815C9">
        <w:rPr>
          <w:rFonts w:cstheme="minorHAnsi"/>
        </w:rPr>
        <w:t>.</w:t>
      </w:r>
    </w:p>
    <w:p w14:paraId="57BF2B97" w14:textId="77777777" w:rsidR="001A4839" w:rsidRPr="006815C9" w:rsidRDefault="001A4839" w:rsidP="001A4839">
      <w:pPr>
        <w:spacing w:after="0" w:line="240" w:lineRule="auto"/>
        <w:rPr>
          <w:rFonts w:cstheme="minorHAnsi"/>
        </w:rPr>
      </w:pPr>
    </w:p>
    <w:p w14:paraId="5BF812F3" w14:textId="13C1D788" w:rsidR="001A4839" w:rsidRPr="006815C9" w:rsidRDefault="001A4839" w:rsidP="001A4839">
      <w:pPr>
        <w:spacing w:after="0" w:line="240" w:lineRule="auto"/>
        <w:rPr>
          <w:rFonts w:cstheme="minorHAnsi"/>
        </w:rPr>
      </w:pPr>
      <w:r w:rsidRPr="006815C9">
        <w:rPr>
          <w:rFonts w:cstheme="minorHAnsi"/>
        </w:rPr>
        <w:t xml:space="preserve">Own gas can come from tenements that are wholly or partly owned by one or more entities of the LNG project, where the gas is contracted directly to supply the project and was developed primarily for export. Third party export compatible gas is produced from tenements owned by a third party where the gas is contracted directly to supply the LNG project and the gas was </w:t>
      </w:r>
      <w:r w:rsidR="00090357" w:rsidRPr="006815C9">
        <w:rPr>
          <w:rFonts w:cstheme="minorHAnsi"/>
        </w:rPr>
        <w:t xml:space="preserve">either: </w:t>
      </w:r>
      <w:r w:rsidRPr="006815C9">
        <w:rPr>
          <w:rFonts w:cstheme="minorHAnsi"/>
        </w:rPr>
        <w:t>primarily developed for the purpose of supplying the export market</w:t>
      </w:r>
      <w:r w:rsidR="00090357" w:rsidRPr="006815C9">
        <w:rPr>
          <w:rFonts w:cstheme="minorHAnsi"/>
        </w:rPr>
        <w:t>;</w:t>
      </w:r>
      <w:r w:rsidRPr="006815C9">
        <w:rPr>
          <w:rFonts w:cstheme="minorHAnsi"/>
        </w:rPr>
        <w:t xml:space="preserve"> or</w:t>
      </w:r>
      <w:r w:rsidR="00090357" w:rsidRPr="006815C9">
        <w:rPr>
          <w:rFonts w:cstheme="minorHAnsi"/>
        </w:rPr>
        <w:t>,</w:t>
      </w:r>
      <w:r w:rsidRPr="006815C9">
        <w:rPr>
          <w:rFonts w:cstheme="minorHAnsi"/>
        </w:rPr>
        <w:t xml:space="preserve"> the contract for </w:t>
      </w:r>
      <w:r w:rsidR="00090357" w:rsidRPr="006815C9">
        <w:rPr>
          <w:rFonts w:cstheme="minorHAnsi"/>
        </w:rPr>
        <w:t>gas</w:t>
      </w:r>
      <w:r w:rsidRPr="006815C9">
        <w:rPr>
          <w:rFonts w:cstheme="minorHAnsi"/>
        </w:rPr>
        <w:t xml:space="preserve"> supply was entered into for the purpose of supplying the LNG project before a final investment decision was made </w:t>
      </w:r>
      <w:r w:rsidR="00090357" w:rsidRPr="006815C9">
        <w:rPr>
          <w:rFonts w:cstheme="minorHAnsi"/>
        </w:rPr>
        <w:t xml:space="preserve">on </w:t>
      </w:r>
      <w:r w:rsidRPr="006815C9">
        <w:rPr>
          <w:rFonts w:cstheme="minorHAnsi"/>
        </w:rPr>
        <w:t>the project.</w:t>
      </w:r>
    </w:p>
    <w:p w14:paraId="05392A0F" w14:textId="09DF66D0" w:rsidR="00BF6B18" w:rsidRPr="006815C9" w:rsidRDefault="00BF6B18" w:rsidP="001A4839">
      <w:pPr>
        <w:spacing w:after="0" w:line="240" w:lineRule="auto"/>
        <w:rPr>
          <w:rFonts w:cstheme="minorHAnsi"/>
        </w:rPr>
      </w:pPr>
    </w:p>
    <w:p w14:paraId="0D3E5B22" w14:textId="0BC18E7D" w:rsidR="00D7130C" w:rsidRPr="006815C9" w:rsidRDefault="00BF6B18" w:rsidP="001A4839">
      <w:pPr>
        <w:spacing w:after="0" w:line="240" w:lineRule="auto"/>
        <w:rPr>
          <w:rFonts w:cstheme="minorHAnsi"/>
        </w:rPr>
      </w:pPr>
      <w:r w:rsidRPr="006815C9">
        <w:rPr>
          <w:rFonts w:cstheme="minorHAnsi"/>
        </w:rPr>
        <w:t xml:space="preserve">The inclusion of own gas and third party export compatible gas in the consideration of the LNG project’s net market position </w:t>
      </w:r>
      <w:r w:rsidR="003A7FEE" w:rsidRPr="006815C9">
        <w:rPr>
          <w:rFonts w:cstheme="minorHAnsi"/>
        </w:rPr>
        <w:t xml:space="preserve">aims to </w:t>
      </w:r>
      <w:r w:rsidRPr="006815C9">
        <w:rPr>
          <w:rFonts w:cstheme="minorHAnsi"/>
        </w:rPr>
        <w:t xml:space="preserve">recognise that some </w:t>
      </w:r>
      <w:r w:rsidR="003A7FEE" w:rsidRPr="006815C9">
        <w:rPr>
          <w:rFonts w:cstheme="minorHAnsi"/>
        </w:rPr>
        <w:t xml:space="preserve">exported </w:t>
      </w:r>
      <w:r w:rsidRPr="006815C9">
        <w:rPr>
          <w:rFonts w:cstheme="minorHAnsi"/>
        </w:rPr>
        <w:t xml:space="preserve">gas </w:t>
      </w:r>
      <w:r w:rsidR="003A7FEE" w:rsidRPr="006815C9">
        <w:rPr>
          <w:rFonts w:cstheme="minorHAnsi"/>
        </w:rPr>
        <w:t>i</w:t>
      </w:r>
      <w:r w:rsidRPr="006815C9">
        <w:rPr>
          <w:rFonts w:cstheme="minorHAnsi"/>
        </w:rPr>
        <w:t xml:space="preserve">s sourced from gas fields developed specifically for export, and ensure development of such fields </w:t>
      </w:r>
      <w:r w:rsidR="003A7FEE" w:rsidRPr="006815C9">
        <w:rPr>
          <w:rFonts w:cstheme="minorHAnsi"/>
        </w:rPr>
        <w:t>is</w:t>
      </w:r>
      <w:r w:rsidRPr="006815C9">
        <w:rPr>
          <w:rFonts w:cstheme="minorHAnsi"/>
        </w:rPr>
        <w:t xml:space="preserve"> not disadvantaged.</w:t>
      </w:r>
      <w:r w:rsidR="003A4316" w:rsidRPr="006815C9">
        <w:rPr>
          <w:rFonts w:cstheme="minorHAnsi"/>
        </w:rPr>
        <w:t xml:space="preserve"> </w:t>
      </w:r>
      <w:r w:rsidR="00AA4739" w:rsidRPr="006815C9">
        <w:rPr>
          <w:rFonts w:cstheme="minorHAnsi"/>
        </w:rPr>
        <w:t>An</w:t>
      </w:r>
      <w:r w:rsidR="001A4839" w:rsidRPr="006815C9">
        <w:rPr>
          <w:rFonts w:cstheme="minorHAnsi"/>
        </w:rPr>
        <w:t xml:space="preserve"> LNG </w:t>
      </w:r>
      <w:r w:rsidR="00AA4739" w:rsidRPr="006815C9">
        <w:rPr>
          <w:rFonts w:cstheme="minorHAnsi"/>
        </w:rPr>
        <w:t xml:space="preserve">Project </w:t>
      </w:r>
      <w:r w:rsidR="00750C87" w:rsidRPr="006815C9">
        <w:rPr>
          <w:rFonts w:cstheme="minorHAnsi"/>
        </w:rPr>
        <w:t xml:space="preserve">is </w:t>
      </w:r>
      <w:r w:rsidR="00AA4739" w:rsidRPr="006815C9">
        <w:rPr>
          <w:rFonts w:cstheme="minorHAnsi"/>
        </w:rPr>
        <w:t xml:space="preserve">regarded as being in net-deficit in the forthcoming calendar year if its </w:t>
      </w:r>
      <w:r w:rsidR="001A4839" w:rsidRPr="006815C9">
        <w:rPr>
          <w:rFonts w:cstheme="minorHAnsi"/>
        </w:rPr>
        <w:t xml:space="preserve">total gas used </w:t>
      </w:r>
      <w:r w:rsidR="00AA4739" w:rsidRPr="006815C9">
        <w:rPr>
          <w:rFonts w:cstheme="minorHAnsi"/>
        </w:rPr>
        <w:t>is greater than</w:t>
      </w:r>
      <w:r w:rsidR="001A4839" w:rsidRPr="006815C9">
        <w:rPr>
          <w:rFonts w:cstheme="minorHAnsi"/>
        </w:rPr>
        <w:t xml:space="preserve"> the sum of its own gas and </w:t>
      </w:r>
      <w:r w:rsidR="006F7F8F" w:rsidRPr="006815C9">
        <w:rPr>
          <w:rFonts w:cstheme="minorHAnsi"/>
        </w:rPr>
        <w:t>t</w:t>
      </w:r>
      <w:r w:rsidR="00AA4739" w:rsidRPr="006815C9">
        <w:rPr>
          <w:rFonts w:cstheme="minorHAnsi"/>
        </w:rPr>
        <w:t>hird</w:t>
      </w:r>
      <w:r w:rsidR="001A4839" w:rsidRPr="006815C9">
        <w:rPr>
          <w:rFonts w:cstheme="minorHAnsi"/>
        </w:rPr>
        <w:t xml:space="preserve"> party export compatible gas</w:t>
      </w:r>
      <w:r w:rsidR="00AA4739" w:rsidRPr="006815C9">
        <w:rPr>
          <w:rFonts w:cstheme="minorHAnsi"/>
        </w:rPr>
        <w:t xml:space="preserve">. </w:t>
      </w:r>
    </w:p>
    <w:p w14:paraId="69F2F136" w14:textId="624712B0" w:rsidR="001A4839" w:rsidRPr="006815C9" w:rsidRDefault="001A4839" w:rsidP="001A4839">
      <w:pPr>
        <w:spacing w:after="0" w:line="240" w:lineRule="auto"/>
        <w:rPr>
          <w:rFonts w:cstheme="minorHAnsi"/>
        </w:rPr>
      </w:pPr>
    </w:p>
    <w:p w14:paraId="281C9CBB" w14:textId="496AAF8F" w:rsidR="001A4839" w:rsidRDefault="00E71962" w:rsidP="001A4839">
      <w:pPr>
        <w:rPr>
          <w:rFonts w:cstheme="minorHAnsi"/>
        </w:rPr>
      </w:pPr>
      <w:r w:rsidRPr="006815C9">
        <w:rPr>
          <w:rFonts w:cstheme="minorHAnsi"/>
        </w:rPr>
        <w:lastRenderedPageBreak/>
        <w:t xml:space="preserve">LNG exporters, in aggregate, are currently net suppliers to the domestic gas market </w:t>
      </w:r>
      <w:r w:rsidRPr="004E48B3">
        <w:rPr>
          <w:rFonts w:cstheme="minorHAnsi"/>
        </w:rPr>
        <w:t>(see Figure 5).</w:t>
      </w:r>
      <w:r w:rsidRPr="006815C9">
        <w:rPr>
          <w:rFonts w:cstheme="minorHAnsi"/>
        </w:rPr>
        <w:t xml:space="preserve"> </w:t>
      </w:r>
      <w:r w:rsidR="001A4839" w:rsidRPr="006815C9">
        <w:rPr>
          <w:rFonts w:cstheme="minorHAnsi"/>
        </w:rPr>
        <w:t xml:space="preserve">If all LNG exporters are net suppliers to the domestic market, an </w:t>
      </w:r>
      <w:r w:rsidR="00434063" w:rsidRPr="006815C9">
        <w:rPr>
          <w:rFonts w:cstheme="minorHAnsi"/>
        </w:rPr>
        <w:t xml:space="preserve">expected </w:t>
      </w:r>
      <w:r w:rsidR="001A4839" w:rsidRPr="006815C9">
        <w:rPr>
          <w:rFonts w:cstheme="minorHAnsi"/>
        </w:rPr>
        <w:t xml:space="preserve">shortfall </w:t>
      </w:r>
      <w:r w:rsidR="00183D9B">
        <w:rPr>
          <w:rFonts w:cstheme="minorHAnsi"/>
        </w:rPr>
        <w:t>can</w:t>
      </w:r>
      <w:r w:rsidR="00D2591B" w:rsidRPr="006815C9">
        <w:rPr>
          <w:rFonts w:cstheme="minorHAnsi"/>
        </w:rPr>
        <w:t>not be recover</w:t>
      </w:r>
      <w:r w:rsidR="00183D9B">
        <w:rPr>
          <w:rFonts w:cstheme="minorHAnsi"/>
        </w:rPr>
        <w:t xml:space="preserve">ed </w:t>
      </w:r>
      <w:r w:rsidR="00091377">
        <w:rPr>
          <w:rFonts w:cstheme="minorHAnsi"/>
        </w:rPr>
        <w:t xml:space="preserve">under the TMSO’s existing </w:t>
      </w:r>
      <w:r w:rsidR="00183D9B">
        <w:rPr>
          <w:rFonts w:cstheme="minorHAnsi"/>
        </w:rPr>
        <w:t>arrangements</w:t>
      </w:r>
      <w:r w:rsidR="001A4839" w:rsidRPr="006815C9">
        <w:rPr>
          <w:rFonts w:cstheme="minorHAnsi"/>
        </w:rPr>
        <w:t xml:space="preserve">. </w:t>
      </w:r>
    </w:p>
    <w:p w14:paraId="6381753B" w14:textId="148D5EF3" w:rsidR="006278F3" w:rsidRPr="006815C9" w:rsidRDefault="005336EF" w:rsidP="00660855">
      <w:pPr>
        <w:pStyle w:val="Heading3"/>
      </w:pPr>
      <w:bookmarkStart w:id="1003" w:name="_Toc21705358"/>
      <w:bookmarkStart w:id="1004" w:name="_Toc26349936"/>
      <w:bookmarkStart w:id="1005" w:name="_Toc26448253"/>
      <w:bookmarkStart w:id="1006" w:name="_Toc26454535"/>
      <w:bookmarkStart w:id="1007" w:name="_Toc29823324"/>
      <w:r w:rsidRPr="006815C9">
        <w:t>P</w:t>
      </w:r>
      <w:r w:rsidR="008E7C7E">
        <w:t xml:space="preserve">otential </w:t>
      </w:r>
      <w:r w:rsidRPr="006815C9">
        <w:t>change to the TMSO</w:t>
      </w:r>
      <w:bookmarkEnd w:id="1003"/>
      <w:bookmarkEnd w:id="1004"/>
      <w:bookmarkEnd w:id="1005"/>
      <w:bookmarkEnd w:id="1006"/>
      <w:bookmarkEnd w:id="1007"/>
    </w:p>
    <w:p w14:paraId="2DC5A196" w14:textId="47FCD41B" w:rsidR="004D114B" w:rsidRPr="006815C9" w:rsidRDefault="008C367B" w:rsidP="0087438A">
      <w:r w:rsidRPr="006815C9">
        <w:t xml:space="preserve">The review has examined the TMSO and found that </w:t>
      </w:r>
      <w:r w:rsidR="002E7333" w:rsidRPr="006815C9">
        <w:t xml:space="preserve">as </w:t>
      </w:r>
      <w:r w:rsidRPr="006815C9">
        <w:t>current</w:t>
      </w:r>
      <w:r w:rsidR="002E7333" w:rsidRPr="006815C9">
        <w:t>ly</w:t>
      </w:r>
      <w:r w:rsidRPr="006815C9">
        <w:t xml:space="preserve"> design</w:t>
      </w:r>
      <w:r w:rsidR="002E7333" w:rsidRPr="006815C9">
        <w:t>ed</w:t>
      </w:r>
      <w:r w:rsidRPr="006815C9">
        <w:t xml:space="preserve">, it may not be able to recover sufficient domestic gas to address a </w:t>
      </w:r>
      <w:r w:rsidR="005432DC" w:rsidRPr="006815C9">
        <w:t xml:space="preserve">potential </w:t>
      </w:r>
      <w:r w:rsidRPr="006815C9">
        <w:t xml:space="preserve">market shortfall. This is </w:t>
      </w:r>
      <w:r w:rsidR="002E7333" w:rsidRPr="006815C9">
        <w:t xml:space="preserve">due to </w:t>
      </w:r>
      <w:r w:rsidRPr="006815C9">
        <w:t>the ‘net deficit’ component only enabl</w:t>
      </w:r>
      <w:r w:rsidR="002E7333" w:rsidRPr="006815C9">
        <w:t>ing</w:t>
      </w:r>
      <w:r w:rsidRPr="006815C9">
        <w:t xml:space="preserve"> export restrictions </w:t>
      </w:r>
      <w:r w:rsidR="002E7333" w:rsidRPr="006815C9">
        <w:t xml:space="preserve">on </w:t>
      </w:r>
      <w:r w:rsidRPr="006815C9">
        <w:t xml:space="preserve">volumes of gas </w:t>
      </w:r>
      <w:r w:rsidR="002E7333" w:rsidRPr="006815C9">
        <w:t xml:space="preserve">where </w:t>
      </w:r>
      <w:r w:rsidRPr="006815C9">
        <w:t xml:space="preserve">exporters are drawing </w:t>
      </w:r>
      <w:r w:rsidR="002E7333" w:rsidRPr="006815C9">
        <w:t xml:space="preserve">more gas from the </w:t>
      </w:r>
      <w:r w:rsidR="00DE7E21">
        <w:t xml:space="preserve">domestic </w:t>
      </w:r>
      <w:r w:rsidR="002E7333" w:rsidRPr="006815C9">
        <w:t>market than they are putting in</w:t>
      </w:r>
      <w:r w:rsidRPr="006815C9">
        <w:t>.</w:t>
      </w:r>
    </w:p>
    <w:p w14:paraId="6D38C445" w14:textId="4ED4261F" w:rsidR="0099494C" w:rsidRDefault="00183D9B" w:rsidP="0087438A">
      <w:r>
        <w:t>To address this</w:t>
      </w:r>
      <w:r w:rsidR="00CE4BF7" w:rsidRPr="006815C9">
        <w:t xml:space="preserve">, the review recommends </w:t>
      </w:r>
      <w:r w:rsidR="00A2054F">
        <w:t>consider</w:t>
      </w:r>
      <w:r>
        <w:t xml:space="preserve">ation be given </w:t>
      </w:r>
      <w:r w:rsidR="00A2054F">
        <w:t>to</w:t>
      </w:r>
      <w:r>
        <w:t xml:space="preserve"> changing</w:t>
      </w:r>
      <w:r w:rsidR="00A2054F">
        <w:t xml:space="preserve"> the </w:t>
      </w:r>
      <w:r w:rsidR="00CE4BF7" w:rsidRPr="006815C9">
        <w:t xml:space="preserve">TMSO </w:t>
      </w:r>
      <w:r w:rsidR="00736F51">
        <w:t xml:space="preserve">in a way </w:t>
      </w:r>
      <w:r w:rsidR="0099494C">
        <w:t>that</w:t>
      </w:r>
      <w:r w:rsidR="00A2054F">
        <w:t xml:space="preserve"> </w:t>
      </w:r>
      <w:r w:rsidR="0099494C">
        <w:t xml:space="preserve">enables the recovery of </w:t>
      </w:r>
      <w:r w:rsidR="00A2054F">
        <w:t xml:space="preserve">gas </w:t>
      </w:r>
      <w:r w:rsidR="0099494C">
        <w:t>beyond that currently permitted under the ‘ne</w:t>
      </w:r>
      <w:r w:rsidR="005C63A4">
        <w:t>t</w:t>
      </w:r>
      <w:r w:rsidR="0099494C">
        <w:t>-deficit’ test.</w:t>
      </w:r>
      <w:r w:rsidR="00A2054F">
        <w:t xml:space="preserve"> </w:t>
      </w:r>
      <w:r w:rsidR="005C63A4">
        <w:t>T</w:t>
      </w:r>
      <w:r w:rsidR="00A2054F">
        <w:t xml:space="preserve">his change would </w:t>
      </w:r>
      <w:r w:rsidR="005C63A4">
        <w:t xml:space="preserve">be based on a requirement for applicable </w:t>
      </w:r>
      <w:r w:rsidR="0099494C">
        <w:t xml:space="preserve">LNG projects to </w:t>
      </w:r>
      <w:r w:rsidR="005C63A4">
        <w:t>meet a shortfall in</w:t>
      </w:r>
      <w:r w:rsidR="0099494C">
        <w:t xml:space="preserve"> the domestic </w:t>
      </w:r>
      <w:r w:rsidR="005C63A4">
        <w:t xml:space="preserve">gas </w:t>
      </w:r>
      <w:r w:rsidR="0099494C">
        <w:t xml:space="preserve">market </w:t>
      </w:r>
      <w:r w:rsidR="005C63A4">
        <w:t>while recognising</w:t>
      </w:r>
      <w:r w:rsidR="0099494C">
        <w:t xml:space="preserve"> their </w:t>
      </w:r>
      <w:r w:rsidR="00A96BDC">
        <w:t xml:space="preserve">gas </w:t>
      </w:r>
      <w:r w:rsidR="0099494C">
        <w:t>contribution</w:t>
      </w:r>
      <w:r w:rsidR="005C63A4">
        <w:t xml:space="preserve"> </w:t>
      </w:r>
      <w:r w:rsidR="0099494C">
        <w:t>to that market. As such, the</w:t>
      </w:r>
      <w:r w:rsidR="00BE6316">
        <w:t xml:space="preserve"> mechanism </w:t>
      </w:r>
      <w:r w:rsidR="005C63A4">
        <w:t>w</w:t>
      </w:r>
      <w:r w:rsidR="00BE6316">
        <w:t xml:space="preserve">ould be a </w:t>
      </w:r>
      <w:r w:rsidR="0099494C">
        <w:t xml:space="preserve">‘50/50’ </w:t>
      </w:r>
      <w:r w:rsidR="00BE6316">
        <w:t xml:space="preserve">hybrid </w:t>
      </w:r>
      <w:r w:rsidR="005C63A4">
        <w:t>which</w:t>
      </w:r>
      <w:r w:rsidR="00E5068D">
        <w:t xml:space="preserve"> allocates</w:t>
      </w:r>
      <w:r w:rsidR="0099494C">
        <w:t>:</w:t>
      </w:r>
    </w:p>
    <w:p w14:paraId="1388F70E" w14:textId="1000FE7F" w:rsidR="00A35F89" w:rsidRDefault="00BE6316" w:rsidP="009557E2">
      <w:pPr>
        <w:pStyle w:val="ListParagraph"/>
        <w:numPr>
          <w:ilvl w:val="0"/>
          <w:numId w:val="23"/>
        </w:numPr>
      </w:pPr>
      <w:r>
        <w:t xml:space="preserve">half </w:t>
      </w:r>
      <w:r w:rsidR="00E00EEB">
        <w:t xml:space="preserve">of </w:t>
      </w:r>
      <w:r>
        <w:t xml:space="preserve">the identified shortfall volume </w:t>
      </w:r>
      <w:r w:rsidR="00A96BDC">
        <w:t xml:space="preserve">to applicable LNG projects </w:t>
      </w:r>
      <w:r w:rsidR="00E00EEB">
        <w:t xml:space="preserve">on a pro-rata basis </w:t>
      </w:r>
      <w:r w:rsidR="00A35F89">
        <w:t xml:space="preserve">against </w:t>
      </w:r>
      <w:r w:rsidR="00A96BDC">
        <w:t xml:space="preserve">LNG production </w:t>
      </w:r>
      <w:r w:rsidR="00A35F89">
        <w:t>capacity</w:t>
      </w:r>
      <w:r>
        <w:t>, and</w:t>
      </w:r>
    </w:p>
    <w:p w14:paraId="70EB8B29" w14:textId="78C56280" w:rsidR="00E83A62" w:rsidRDefault="00BE6316" w:rsidP="009557E2">
      <w:pPr>
        <w:pStyle w:val="ListParagraph"/>
        <w:numPr>
          <w:ilvl w:val="0"/>
          <w:numId w:val="23"/>
        </w:numPr>
      </w:pPr>
      <w:r>
        <w:t xml:space="preserve">the </w:t>
      </w:r>
      <w:r w:rsidR="005C63A4">
        <w:t>remaining</w:t>
      </w:r>
      <w:r>
        <w:t xml:space="preserve"> half of the shortfall</w:t>
      </w:r>
      <w:r w:rsidR="00D017CE">
        <w:t>, split in a way that is</w:t>
      </w:r>
      <w:r>
        <w:t xml:space="preserve"> inversely proportional to the </w:t>
      </w:r>
      <w:r w:rsidR="00A35F89">
        <w:t xml:space="preserve">domestic gas </w:t>
      </w:r>
      <w:r>
        <w:t xml:space="preserve">contributed by each </w:t>
      </w:r>
      <w:r w:rsidR="005C63A4">
        <w:t>project</w:t>
      </w:r>
      <w:r>
        <w:t>.</w:t>
      </w:r>
    </w:p>
    <w:p w14:paraId="5AE89345" w14:textId="6C1B2FDC" w:rsidR="001D21F7" w:rsidRPr="006815C9" w:rsidRDefault="00B42F01" w:rsidP="0087438A">
      <w:r>
        <w:t xml:space="preserve">Only those </w:t>
      </w:r>
      <w:r w:rsidR="00E515C8">
        <w:t>LNG projects</w:t>
      </w:r>
      <w:r>
        <w:t xml:space="preserve"> </w:t>
      </w:r>
      <w:r w:rsidR="00077CD1" w:rsidRPr="006815C9">
        <w:t>export</w:t>
      </w:r>
      <w:r w:rsidR="001E60A9">
        <w:t>ing</w:t>
      </w:r>
      <w:r w:rsidR="00077CD1" w:rsidRPr="006815C9">
        <w:t xml:space="preserve"> gas from </w:t>
      </w:r>
      <w:r w:rsidR="001D21F7">
        <w:t>a</w:t>
      </w:r>
      <w:r w:rsidR="00CE4BF7" w:rsidRPr="006815C9">
        <w:t xml:space="preserve"> </w:t>
      </w:r>
      <w:r w:rsidR="00806C64" w:rsidRPr="006815C9">
        <w:t xml:space="preserve">market that is in </w:t>
      </w:r>
      <w:r w:rsidR="00CE4BF7" w:rsidRPr="006815C9">
        <w:t>shortfall</w:t>
      </w:r>
      <w:r>
        <w:t xml:space="preserve"> would be su</w:t>
      </w:r>
      <w:r w:rsidR="00E515C8">
        <w:t xml:space="preserve">bject </w:t>
      </w:r>
      <w:r>
        <w:t xml:space="preserve">to </w:t>
      </w:r>
      <w:r w:rsidR="001D21F7">
        <w:t>e</w:t>
      </w:r>
      <w:r>
        <w:t>xport restrict</w:t>
      </w:r>
      <w:r w:rsidR="001D21F7">
        <w:t>ions</w:t>
      </w:r>
      <w:r w:rsidR="00CE4BF7" w:rsidRPr="006815C9">
        <w:t>.</w:t>
      </w:r>
    </w:p>
    <w:p w14:paraId="66F52DFB" w14:textId="45B7B843" w:rsidR="00666799" w:rsidRDefault="00CE4BF7" w:rsidP="0087438A">
      <w:r w:rsidRPr="006815C9">
        <w:t>Th</w:t>
      </w:r>
      <w:r w:rsidR="00E515C8">
        <w:t xml:space="preserve">is </w:t>
      </w:r>
      <w:r w:rsidRPr="006815C9">
        <w:t xml:space="preserve">change </w:t>
      </w:r>
      <w:r w:rsidR="0080547D">
        <w:t>c</w:t>
      </w:r>
      <w:r w:rsidRPr="006815C9">
        <w:t xml:space="preserve">ould be </w:t>
      </w:r>
      <w:r w:rsidR="00666799">
        <w:t>e</w:t>
      </w:r>
      <w:r w:rsidRPr="006815C9">
        <w:t>ffected by revisi</w:t>
      </w:r>
      <w:r w:rsidR="001B4F59">
        <w:t>ons to the ADGSM’s guidelines. Therefore,</w:t>
      </w:r>
      <w:r w:rsidR="001D21F7">
        <w:t xml:space="preserve"> </w:t>
      </w:r>
      <w:r w:rsidRPr="006815C9">
        <w:t>in th</w:t>
      </w:r>
      <w:r w:rsidR="00D017CE">
        <w:t xml:space="preserve">e unlikely event of a shortfall </w:t>
      </w:r>
      <w:r w:rsidR="00D017CE" w:rsidRPr="001B4F59">
        <w:t xml:space="preserve">that could not be addressed by the Heads of Agreement or other measures (as outlined </w:t>
      </w:r>
      <w:r w:rsidR="00C85132" w:rsidRPr="001B4F59">
        <w:t>in s</w:t>
      </w:r>
      <w:r w:rsidR="00D017CE" w:rsidRPr="001B4F59">
        <w:t>ection 2.4),</w:t>
      </w:r>
      <w:r w:rsidRPr="001B4F59">
        <w:t xml:space="preserve"> the Minister for Resources would be able to take action to s</w:t>
      </w:r>
      <w:r w:rsidR="001D21F7" w:rsidRPr="001B4F59">
        <w:t xml:space="preserve">ecure </w:t>
      </w:r>
      <w:r w:rsidR="001B4F59" w:rsidRPr="001B4F59">
        <w:t xml:space="preserve">domestic </w:t>
      </w:r>
      <w:r w:rsidRPr="001B4F59">
        <w:t xml:space="preserve">gas </w:t>
      </w:r>
      <w:r w:rsidR="001D21F7" w:rsidRPr="001B4F59">
        <w:t>supply</w:t>
      </w:r>
      <w:r w:rsidR="001B4F59" w:rsidRPr="001B4F59">
        <w:t xml:space="preserve">. </w:t>
      </w:r>
    </w:p>
    <w:p w14:paraId="16403A55" w14:textId="18F76BF4" w:rsidR="008019F5" w:rsidRPr="006815C9" w:rsidRDefault="00E515C8" w:rsidP="0087438A">
      <w:r>
        <w:t>As per current arrangements, d</w:t>
      </w:r>
      <w:r w:rsidR="00B11B04" w:rsidRPr="006815C9">
        <w:t>ur</w:t>
      </w:r>
      <w:r w:rsidR="00D8249F" w:rsidRPr="006815C9">
        <w:t>i</w:t>
      </w:r>
      <w:r w:rsidR="00CE4BF7" w:rsidRPr="006815C9">
        <w:t>n</w:t>
      </w:r>
      <w:r w:rsidR="00B11B04" w:rsidRPr="006815C9">
        <w:t>g</w:t>
      </w:r>
      <w:r w:rsidR="00CE4BF7" w:rsidRPr="006815C9">
        <w:t xml:space="preserve"> a shortfall year LNG </w:t>
      </w:r>
      <w:r w:rsidR="00077CD1" w:rsidRPr="006815C9">
        <w:t xml:space="preserve">producers who </w:t>
      </w:r>
      <w:r w:rsidR="000376FC">
        <w:t>are exporting</w:t>
      </w:r>
      <w:r w:rsidR="00077CD1" w:rsidRPr="006815C9">
        <w:t xml:space="preserve"> from</w:t>
      </w:r>
      <w:r w:rsidR="00CE4BF7" w:rsidRPr="006815C9">
        <w:t xml:space="preserve"> a shortfall market would be issued with an </w:t>
      </w:r>
      <w:r w:rsidR="00580FEE" w:rsidRPr="006815C9">
        <w:t>A</w:t>
      </w:r>
      <w:r w:rsidR="00CE4BF7" w:rsidRPr="006815C9">
        <w:t xml:space="preserve">llowable </w:t>
      </w:r>
      <w:r w:rsidR="00580FEE" w:rsidRPr="006815C9">
        <w:t>V</w:t>
      </w:r>
      <w:r w:rsidR="00CE4BF7" w:rsidRPr="006815C9">
        <w:t xml:space="preserve">olume export permission equivalent to their planned export volume minus </w:t>
      </w:r>
      <w:r w:rsidR="00532B34">
        <w:t>their</w:t>
      </w:r>
      <w:r w:rsidR="003B4FF9" w:rsidRPr="006815C9">
        <w:t xml:space="preserve"> share of the TMSO</w:t>
      </w:r>
      <w:r w:rsidR="00CE4BF7" w:rsidRPr="006815C9">
        <w:t xml:space="preserve">. </w:t>
      </w:r>
      <w:r w:rsidR="008019F5">
        <w:t xml:space="preserve">For </w:t>
      </w:r>
      <w:r>
        <w:t>the</w:t>
      </w:r>
      <w:r w:rsidR="008019F5">
        <w:t xml:space="preserve"> purposes of determining a project’s contribution to the domestic market, the ADGSM would </w:t>
      </w:r>
      <w:r>
        <w:t>retain the existing</w:t>
      </w:r>
      <w:r w:rsidR="008019F5">
        <w:t xml:space="preserve"> definitions </w:t>
      </w:r>
      <w:r>
        <w:t>of</w:t>
      </w:r>
      <w:r w:rsidR="008019F5">
        <w:t xml:space="preserve"> ‘own’ and ‘third party</w:t>
      </w:r>
      <w:r w:rsidR="00E35CF9">
        <w:t xml:space="preserve"> export compatible</w:t>
      </w:r>
      <w:r w:rsidR="008019F5">
        <w:t>’ gas.</w:t>
      </w:r>
    </w:p>
    <w:p w14:paraId="134BED7D" w14:textId="12CCB27A" w:rsidR="003B4FF9" w:rsidRPr="006815C9" w:rsidRDefault="003B4FF9" w:rsidP="00C37A0E">
      <w:r w:rsidRPr="006815C9">
        <w:t>Importantly, this review does not consider it likely</w:t>
      </w:r>
      <w:r w:rsidR="00715714">
        <w:t xml:space="preserve"> </w:t>
      </w:r>
      <w:r w:rsidRPr="006815C9">
        <w:t xml:space="preserve">that there will be a </w:t>
      </w:r>
      <w:r w:rsidR="001D21F7">
        <w:t xml:space="preserve">domestic </w:t>
      </w:r>
      <w:r w:rsidRPr="006815C9">
        <w:t>gas shortfall</w:t>
      </w:r>
      <w:r w:rsidR="00715714">
        <w:t xml:space="preserve"> </w:t>
      </w:r>
      <w:r w:rsidR="00715714" w:rsidRPr="00715714">
        <w:t xml:space="preserve">over the life of the ADGSM </w:t>
      </w:r>
      <w:r w:rsidR="00715714">
        <w:t>- based on reporting by AEMO and the ACCC</w:t>
      </w:r>
      <w:r w:rsidR="009557E2">
        <w:t>.</w:t>
      </w:r>
      <w:r w:rsidR="00715714">
        <w:t xml:space="preserve"> </w:t>
      </w:r>
      <w:r w:rsidR="009557E2">
        <w:t xml:space="preserve">As such, export restrictions are not envisaged </w:t>
      </w:r>
      <w:r w:rsidRPr="006815C9">
        <w:t xml:space="preserve">particularly if LNG projects continue their contributions to domestic supply. </w:t>
      </w:r>
    </w:p>
    <w:p w14:paraId="68CE8281" w14:textId="61C86D84" w:rsidR="008019F5" w:rsidRPr="006815C9" w:rsidRDefault="008019F5" w:rsidP="00806C64">
      <w:r w:rsidRPr="004E48B3">
        <w:t>Any change to the TMSO would be developed in consultation with industry and other affected s</w:t>
      </w:r>
      <w:r w:rsidR="00250E94" w:rsidRPr="004E48B3">
        <w:t>takeholders to avoid</w:t>
      </w:r>
      <w:r w:rsidRPr="004E48B3">
        <w:t xml:space="preserve"> any unintended consequences. Th</w:t>
      </w:r>
      <w:r w:rsidR="00486DB2" w:rsidRPr="004E48B3">
        <w:t>e Government’s intent remains to ensure</w:t>
      </w:r>
      <w:r w:rsidR="00250E94" w:rsidRPr="004E48B3">
        <w:t xml:space="preserve"> domestic market security while </w:t>
      </w:r>
      <w:r w:rsidR="00486DB2" w:rsidRPr="004E48B3">
        <w:t>continuing to attract investment in gas exploration and development and remain a reliable LNG supplier.</w:t>
      </w:r>
    </w:p>
    <w:p w14:paraId="74C75AA7" w14:textId="08CC3D5E" w:rsidR="00161B3F" w:rsidRPr="006815C9" w:rsidRDefault="00161B3F" w:rsidP="00161B3F">
      <w:pPr>
        <w:spacing w:after="0" w:line="240" w:lineRule="auto"/>
        <w:rPr>
          <w:rFonts w:cstheme="minorHAnsi"/>
        </w:rPr>
      </w:pPr>
      <w:bookmarkStart w:id="1008" w:name="_Toc26349937"/>
      <w:bookmarkStart w:id="1009" w:name="_Toc26349995"/>
      <w:bookmarkEnd w:id="1008"/>
      <w:bookmarkEnd w:id="1009"/>
    </w:p>
    <w:p w14:paraId="4D6F6029" w14:textId="77777777" w:rsidR="001A4839" w:rsidRPr="006815C9" w:rsidRDefault="00E41BD3" w:rsidP="001A4839">
      <w:pPr>
        <w:pStyle w:val="Heading2"/>
      </w:pPr>
      <w:hyperlink w:anchor="Outline" w:history="1">
        <w:bookmarkStart w:id="1010" w:name="_Toc29823325"/>
        <w:bookmarkStart w:id="1011" w:name="_Toc26454536"/>
        <w:bookmarkStart w:id="1012" w:name="_Toc26448254"/>
        <w:bookmarkStart w:id="1013" w:name="_Toc26349938"/>
        <w:bookmarkStart w:id="1014" w:name="_Toc21705360"/>
        <w:bookmarkStart w:id="1015" w:name="_Toc20469283"/>
        <w:bookmarkStart w:id="1016" w:name="_Toc20412190"/>
        <w:bookmarkStart w:id="1017" w:name="_Toc20410664"/>
        <w:bookmarkStart w:id="1018" w:name="_Toc20401026"/>
        <w:bookmarkStart w:id="1019" w:name="_Toc20398025"/>
        <w:bookmarkStart w:id="1020" w:name="_Toc20322459"/>
        <w:bookmarkStart w:id="1021" w:name="_Toc20322041"/>
        <w:bookmarkStart w:id="1022" w:name="_Toc20237755"/>
        <w:bookmarkStart w:id="1023" w:name="_Toc20232945"/>
        <w:bookmarkStart w:id="1024" w:name="_Toc19889171"/>
        <w:bookmarkStart w:id="1025" w:name="_Toc19888544"/>
        <w:bookmarkStart w:id="1026" w:name="_Toc19804540"/>
        <w:bookmarkStart w:id="1027" w:name="_Toc19804294"/>
        <w:bookmarkStart w:id="1028" w:name="_Toc19804094"/>
        <w:bookmarkStart w:id="1029" w:name="_Toc19803047"/>
        <w:bookmarkStart w:id="1030" w:name="_Toc19789977"/>
        <w:bookmarkStart w:id="1031" w:name="_Toc19720134"/>
        <w:bookmarkStart w:id="1032" w:name="_Toc19717447"/>
        <w:bookmarkStart w:id="1033" w:name="_Toc18590682"/>
        <w:bookmarkStart w:id="1034" w:name="_Toc18592147"/>
        <w:bookmarkStart w:id="1035" w:name="_Toc19109855"/>
        <w:bookmarkStart w:id="1036" w:name="_Toc19113898"/>
        <w:bookmarkStart w:id="1037" w:name="_Toc19189787"/>
        <w:bookmarkStart w:id="1038" w:name="_Toc19271070"/>
        <w:bookmarkStart w:id="1039" w:name="_Toc19280648"/>
        <w:bookmarkStart w:id="1040" w:name="_Toc19281142"/>
        <w:bookmarkStart w:id="1041" w:name="_Toc19537969"/>
        <w:bookmarkStart w:id="1042" w:name="_Toc19545375"/>
        <w:bookmarkStart w:id="1043" w:name="_Toc19611848"/>
        <w:bookmarkStart w:id="1044" w:name="_Ref19622955"/>
        <w:bookmarkStart w:id="1045" w:name="_Toc19628602"/>
        <w:bookmarkStart w:id="1046" w:name="_Toc19628642"/>
        <w:r w:rsidR="001A4839" w:rsidRPr="006815C9">
          <w:rPr>
            <w:rStyle w:val="Hyperlink"/>
            <w:u w:val="none"/>
          </w:rPr>
          <w:t>LNG Netback Price</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hyperlink>
    </w:p>
    <w:p w14:paraId="6C2F0046" w14:textId="77777777" w:rsidR="001A4839" w:rsidRPr="006815C9" w:rsidRDefault="001A4839" w:rsidP="001A4839">
      <w:pPr>
        <w:pStyle w:val="Heading4"/>
      </w:pPr>
      <w:r w:rsidRPr="006815C9">
        <w:t xml:space="preserve">ACCC LNG netback price </w:t>
      </w:r>
    </w:p>
    <w:p w14:paraId="0F56ED50" w14:textId="0FA07C9A" w:rsidR="001A4839" w:rsidRPr="006815C9" w:rsidRDefault="001A4839" w:rsidP="001A4839">
      <w:pPr>
        <w:spacing w:after="0" w:line="240" w:lineRule="auto"/>
        <w:rPr>
          <w:rFonts w:cstheme="minorHAnsi"/>
        </w:rPr>
      </w:pPr>
      <w:r w:rsidRPr="006815C9">
        <w:rPr>
          <w:rFonts w:cstheme="minorHAnsi"/>
        </w:rPr>
        <w:t xml:space="preserve">The ACCC commenced publishing its LNG netback price series on 2 October 2018 as one of the measures to improve transparency of gas prices in the </w:t>
      </w:r>
      <w:r w:rsidR="009C3FA8" w:rsidRPr="006815C9">
        <w:rPr>
          <w:rFonts w:cstheme="minorHAnsi"/>
        </w:rPr>
        <w:t>eastern market</w:t>
      </w:r>
      <w:r w:rsidRPr="006815C9">
        <w:rPr>
          <w:rFonts w:cstheme="minorHAnsi"/>
        </w:rPr>
        <w:t xml:space="preserve">. The ACCC’s LNG netback series is calculated by taking the Asian LNG spot price </w:t>
      </w:r>
      <w:r w:rsidR="00D558C2" w:rsidRPr="006815C9">
        <w:rPr>
          <w:rFonts w:cstheme="minorHAnsi"/>
        </w:rPr>
        <w:t>and</w:t>
      </w:r>
      <w:r w:rsidRPr="006815C9">
        <w:rPr>
          <w:rFonts w:cstheme="minorHAnsi"/>
        </w:rPr>
        <w:t xml:space="preserve"> subtracting</w:t>
      </w:r>
      <w:r w:rsidR="00D67AD6">
        <w:rPr>
          <w:rFonts w:cstheme="minorHAnsi"/>
        </w:rPr>
        <w:t>,</w:t>
      </w:r>
      <w:r w:rsidRPr="006815C9">
        <w:rPr>
          <w:rFonts w:cstheme="minorHAnsi"/>
        </w:rPr>
        <w:t xml:space="preserve"> or ‘netting back’</w:t>
      </w:r>
      <w:r w:rsidR="00D67AD6">
        <w:rPr>
          <w:rFonts w:cstheme="minorHAnsi"/>
        </w:rPr>
        <w:t>,</w:t>
      </w:r>
      <w:r w:rsidRPr="006815C9">
        <w:rPr>
          <w:rFonts w:cstheme="minorHAnsi"/>
        </w:rPr>
        <w:t xml:space="preserve"> the costs of getting the gas from Australia (specifically, from </w:t>
      </w:r>
      <w:r w:rsidR="0088645C" w:rsidRPr="006815C9">
        <w:rPr>
          <w:rFonts w:cstheme="minorHAnsi"/>
        </w:rPr>
        <w:t xml:space="preserve">the </w:t>
      </w:r>
      <w:r w:rsidRPr="006815C9">
        <w:rPr>
          <w:rFonts w:cstheme="minorHAnsi"/>
        </w:rPr>
        <w:t>Wallumbilla</w:t>
      </w:r>
      <w:r w:rsidR="0088645C" w:rsidRPr="006815C9">
        <w:rPr>
          <w:rFonts w:cstheme="minorHAnsi"/>
        </w:rPr>
        <w:t xml:space="preserve"> GSH</w:t>
      </w:r>
      <w:r w:rsidRPr="006815C9">
        <w:rPr>
          <w:rFonts w:cstheme="minorHAnsi"/>
        </w:rPr>
        <w:t xml:space="preserve">) to </w:t>
      </w:r>
      <w:r w:rsidR="00D67AD6">
        <w:rPr>
          <w:rFonts w:cstheme="minorHAnsi"/>
        </w:rPr>
        <w:t>its</w:t>
      </w:r>
      <w:r w:rsidRPr="006815C9">
        <w:rPr>
          <w:rFonts w:cstheme="minorHAnsi"/>
        </w:rPr>
        <w:t xml:space="preserve"> destination. These costs </w:t>
      </w:r>
      <w:r w:rsidRPr="006815C9">
        <w:rPr>
          <w:rFonts w:cstheme="minorHAnsi"/>
        </w:rPr>
        <w:lastRenderedPageBreak/>
        <w:t xml:space="preserve">include pipeline transportation to the </w:t>
      </w:r>
      <w:r w:rsidR="00D67AD6">
        <w:rPr>
          <w:rFonts w:cstheme="minorHAnsi"/>
        </w:rPr>
        <w:t>LNG</w:t>
      </w:r>
      <w:r w:rsidRPr="006815C9">
        <w:rPr>
          <w:rFonts w:cstheme="minorHAnsi"/>
        </w:rPr>
        <w:t xml:space="preserve"> plant, liquefaction (i.e. conversion of the gas to LNG) and shipping to the destination port.</w:t>
      </w:r>
    </w:p>
    <w:p w14:paraId="14DADBE6" w14:textId="77777777" w:rsidR="001A4839" w:rsidRPr="006815C9" w:rsidRDefault="001A4839" w:rsidP="001A4839">
      <w:pPr>
        <w:spacing w:after="0" w:line="240" w:lineRule="auto"/>
        <w:rPr>
          <w:rFonts w:cstheme="minorHAnsi"/>
        </w:rPr>
      </w:pPr>
    </w:p>
    <w:p w14:paraId="2B32C51F" w14:textId="2523AB8B" w:rsidR="001A4839" w:rsidRPr="006815C9" w:rsidRDefault="001A4839" w:rsidP="001A4839">
      <w:pPr>
        <w:spacing w:after="0" w:line="240" w:lineRule="auto"/>
        <w:rPr>
          <w:rFonts w:cstheme="minorHAnsi"/>
        </w:rPr>
      </w:pPr>
      <w:r w:rsidRPr="006815C9">
        <w:rPr>
          <w:rFonts w:cstheme="minorHAnsi"/>
        </w:rPr>
        <w:t xml:space="preserve">The ACCC’s LNG netback price represents the theoretical price at which a gas supplier should be indifferent between exporting gas and supplying that gas to a domestic customer. </w:t>
      </w:r>
      <w:r w:rsidR="00061024">
        <w:rPr>
          <w:rFonts w:cstheme="minorHAnsi"/>
        </w:rPr>
        <w:t>Effectively, it is</w:t>
      </w:r>
      <w:r w:rsidRPr="006815C9">
        <w:rPr>
          <w:rFonts w:cstheme="minorHAnsi"/>
        </w:rPr>
        <w:t xml:space="preserve"> the ‘opportunity cost’ to a gas supplier of choosing to sell gas into the domestic market, i.e. the revenue foregone as a result of selling gas domestically. </w:t>
      </w:r>
    </w:p>
    <w:p w14:paraId="55C10370" w14:textId="77777777" w:rsidR="001A4839" w:rsidRPr="006815C9" w:rsidRDefault="001A4839" w:rsidP="001A4839">
      <w:pPr>
        <w:spacing w:after="0" w:line="240" w:lineRule="auto"/>
        <w:rPr>
          <w:rFonts w:cstheme="minorHAnsi"/>
        </w:rPr>
      </w:pPr>
    </w:p>
    <w:p w14:paraId="07DE6A3E" w14:textId="6AED62F1" w:rsidR="00F437B1" w:rsidRDefault="00F437B1" w:rsidP="00F437B1">
      <w:pPr>
        <w:spacing w:after="0" w:line="240" w:lineRule="auto"/>
        <w:rPr>
          <w:rFonts w:cstheme="minorHAnsi"/>
        </w:rPr>
      </w:pPr>
      <w:r w:rsidRPr="006815C9">
        <w:rPr>
          <w:rFonts w:cstheme="minorHAnsi"/>
        </w:rPr>
        <w:t>The ACCC has acknowledged the limitations of its LNG netback price series. It notes that the publication of the price series does not represent the ACCC setting gas prices in the eastern gas market, nor the ACCC forecast of international or domestic gas prices. It notes that the LNG netback price is not the sole factor that influences gas prices in the eastern gas market and that different pricing dynamics apply in states and territories outside Queensland.</w:t>
      </w:r>
      <w:r w:rsidRPr="006815C9">
        <w:rPr>
          <w:rStyle w:val="FootnoteReference"/>
          <w:rFonts w:cstheme="minorHAnsi"/>
        </w:rPr>
        <w:t xml:space="preserve"> </w:t>
      </w:r>
      <w:r w:rsidRPr="006815C9">
        <w:rPr>
          <w:rStyle w:val="FootnoteReference"/>
          <w:rFonts w:cstheme="minorHAnsi"/>
        </w:rPr>
        <w:footnoteReference w:id="36"/>
      </w:r>
    </w:p>
    <w:p w14:paraId="523C67C9" w14:textId="55ED98AA" w:rsidR="00D2771D" w:rsidRDefault="00D2771D" w:rsidP="00F437B1">
      <w:pPr>
        <w:spacing w:after="0" w:line="240" w:lineRule="auto"/>
        <w:rPr>
          <w:rFonts w:cstheme="minorHAnsi"/>
        </w:rPr>
      </w:pPr>
    </w:p>
    <w:p w14:paraId="41CA56B2" w14:textId="7279DA39" w:rsidR="00D2771D" w:rsidRDefault="00D2771D" w:rsidP="00D2771D">
      <w:pPr>
        <w:spacing w:after="0" w:line="240" w:lineRule="auto"/>
        <w:rPr>
          <w:rFonts w:cstheme="minorHAnsi"/>
        </w:rPr>
      </w:pPr>
      <w:r w:rsidRPr="00432AE3">
        <w:rPr>
          <w:rFonts w:cstheme="minorHAnsi"/>
        </w:rPr>
        <w:t xml:space="preserve">Figure 16 shows the difference between the </w:t>
      </w:r>
      <w:r w:rsidR="00B626F4" w:rsidRPr="00432AE3">
        <w:rPr>
          <w:rFonts w:cstheme="minorHAnsi"/>
        </w:rPr>
        <w:t xml:space="preserve">historical </w:t>
      </w:r>
      <w:r w:rsidRPr="00432AE3">
        <w:rPr>
          <w:rFonts w:cstheme="minorHAnsi"/>
        </w:rPr>
        <w:t xml:space="preserve">LNG netback price as observed by the ACCC and the Wallumbilla spot price. </w:t>
      </w:r>
      <w:r w:rsidR="003F630E" w:rsidRPr="00432AE3">
        <w:rPr>
          <w:rFonts w:cstheme="minorHAnsi"/>
        </w:rPr>
        <w:t>As shown there is limited correlation between these two prices</w:t>
      </w:r>
      <w:r w:rsidR="00BC7A28" w:rsidRPr="00432AE3">
        <w:rPr>
          <w:rFonts w:cstheme="minorHAnsi"/>
        </w:rPr>
        <w:t>.</w:t>
      </w:r>
      <w:r w:rsidR="003F630E" w:rsidRPr="00432AE3">
        <w:rPr>
          <w:rFonts w:cstheme="minorHAnsi"/>
        </w:rPr>
        <w:t xml:space="preserve"> </w:t>
      </w:r>
      <w:r w:rsidR="00BC7A28" w:rsidRPr="00432AE3">
        <w:rPr>
          <w:rFonts w:cstheme="minorHAnsi"/>
        </w:rPr>
        <w:t>H</w:t>
      </w:r>
      <w:r w:rsidR="00F136D7" w:rsidRPr="00432AE3">
        <w:rPr>
          <w:rFonts w:cstheme="minorHAnsi"/>
        </w:rPr>
        <w:t>owever</w:t>
      </w:r>
      <w:r w:rsidR="00BC7A28" w:rsidRPr="00432AE3">
        <w:rPr>
          <w:rFonts w:cstheme="minorHAnsi"/>
        </w:rPr>
        <w:t>,</w:t>
      </w:r>
      <w:r w:rsidR="00F136D7" w:rsidRPr="00432AE3">
        <w:rPr>
          <w:rFonts w:cstheme="minorHAnsi"/>
        </w:rPr>
        <w:t xml:space="preserve"> it is important to note that </w:t>
      </w:r>
      <w:r w:rsidR="009A7FD1" w:rsidRPr="00432AE3">
        <w:rPr>
          <w:rFonts w:cstheme="minorHAnsi"/>
        </w:rPr>
        <w:t>the</w:t>
      </w:r>
      <w:r w:rsidR="00F136D7" w:rsidRPr="00432AE3">
        <w:rPr>
          <w:rFonts w:cstheme="minorHAnsi"/>
        </w:rPr>
        <w:t xml:space="preserve"> gas</w:t>
      </w:r>
      <w:r w:rsidR="00DD23D3" w:rsidRPr="00432AE3">
        <w:rPr>
          <w:rFonts w:cstheme="minorHAnsi"/>
        </w:rPr>
        <w:t xml:space="preserve"> price</w:t>
      </w:r>
      <w:r w:rsidR="00F136D7" w:rsidRPr="00432AE3">
        <w:rPr>
          <w:rFonts w:cstheme="minorHAnsi"/>
        </w:rPr>
        <w:t xml:space="preserve"> traded at Wallumbilla </w:t>
      </w:r>
      <w:r w:rsidR="00940836" w:rsidRPr="00432AE3">
        <w:rPr>
          <w:rFonts w:cstheme="minorHAnsi"/>
        </w:rPr>
        <w:t xml:space="preserve">represents a small proportion of </w:t>
      </w:r>
      <w:r w:rsidR="00F136D7" w:rsidRPr="00432AE3">
        <w:rPr>
          <w:rFonts w:cstheme="minorHAnsi"/>
        </w:rPr>
        <w:t>domestic gas sales</w:t>
      </w:r>
      <w:r w:rsidR="00940836" w:rsidRPr="00432AE3">
        <w:rPr>
          <w:rFonts w:cstheme="minorHAnsi"/>
        </w:rPr>
        <w:t xml:space="preserve"> and is not yet accompanied by the range and diversity of financial products and hedging opportunities that is seen at somewhere like the </w:t>
      </w:r>
      <w:r w:rsidR="008F32BE" w:rsidRPr="00432AE3">
        <w:rPr>
          <w:rFonts w:cstheme="minorHAnsi"/>
        </w:rPr>
        <w:t>Henry Hub in the United States.</w:t>
      </w:r>
    </w:p>
    <w:p w14:paraId="25667C2B" w14:textId="472A7490" w:rsidR="00DB0C39" w:rsidRDefault="00DB0C39" w:rsidP="00F437B1">
      <w:pPr>
        <w:spacing w:after="0" w:line="240" w:lineRule="auto"/>
        <w:rPr>
          <w:rFonts w:cstheme="minorHAnsi"/>
        </w:rPr>
      </w:pPr>
    </w:p>
    <w:p w14:paraId="2672618A" w14:textId="1DE15939" w:rsidR="00DB0C39" w:rsidRPr="00D2771D" w:rsidRDefault="00D2771D" w:rsidP="001257AE">
      <w:pPr>
        <w:keepNext/>
        <w:spacing w:after="0" w:line="240" w:lineRule="auto"/>
        <w:rPr>
          <w:b/>
        </w:rPr>
      </w:pPr>
      <w:r w:rsidRPr="00432AE3">
        <w:rPr>
          <w:b/>
        </w:rPr>
        <w:t xml:space="preserve">Figure 16: Comparison between ACCC’s </w:t>
      </w:r>
      <w:r w:rsidR="00432AE3" w:rsidRPr="00432AE3">
        <w:rPr>
          <w:b/>
        </w:rPr>
        <w:t>h</w:t>
      </w:r>
      <w:r w:rsidR="00B626F4" w:rsidRPr="00432AE3">
        <w:rPr>
          <w:b/>
        </w:rPr>
        <w:t xml:space="preserve">istorical </w:t>
      </w:r>
      <w:r w:rsidR="00A27C7A" w:rsidRPr="00432AE3">
        <w:rPr>
          <w:b/>
        </w:rPr>
        <w:t xml:space="preserve">LNG </w:t>
      </w:r>
      <w:r w:rsidRPr="00432AE3">
        <w:rPr>
          <w:b/>
        </w:rPr>
        <w:t xml:space="preserve">netback price and Wallumbilla gas supply hub </w:t>
      </w:r>
      <w:r w:rsidR="00B626F4" w:rsidRPr="00432AE3">
        <w:rPr>
          <w:b/>
        </w:rPr>
        <w:t xml:space="preserve">spot </w:t>
      </w:r>
      <w:r w:rsidRPr="00432AE3">
        <w:rPr>
          <w:b/>
        </w:rPr>
        <w:t>price July 2017- January 2020</w:t>
      </w:r>
    </w:p>
    <w:p w14:paraId="34BCB9A3" w14:textId="1B900199" w:rsidR="00DB0C39" w:rsidRPr="00432AE3" w:rsidRDefault="00924F92" w:rsidP="00F437B1">
      <w:pPr>
        <w:spacing w:after="0" w:line="240" w:lineRule="auto"/>
        <w:rPr>
          <w:rFonts w:cstheme="minorHAnsi"/>
        </w:rPr>
      </w:pPr>
      <w:r w:rsidRPr="00432AE3">
        <w:rPr>
          <w:noProof/>
          <w:lang w:eastAsia="en-AU"/>
        </w:rPr>
        <w:drawing>
          <wp:inline distT="0" distB="0" distL="0" distR="0" wp14:anchorId="7E9A0C11" wp14:editId="136D0AB0">
            <wp:extent cx="5731510" cy="3357880"/>
            <wp:effectExtent l="0" t="0" r="2540" b="0"/>
            <wp:docPr id="7" name="Chart 7" descr="There is only limited correlation between the ACCC's historical LNG netback price and the Wallumbilla spot price. " title="Figur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81CCA5E" w14:textId="44A62023" w:rsidR="00B626F4" w:rsidRDefault="00B626F4" w:rsidP="007270FF">
      <w:pPr>
        <w:pStyle w:val="ListParagraph"/>
        <w:ind w:left="0"/>
        <w:rPr>
          <w:rFonts w:cstheme="minorHAnsi"/>
          <w:sz w:val="18"/>
          <w:szCs w:val="18"/>
        </w:rPr>
      </w:pPr>
      <w:r w:rsidRPr="00432AE3">
        <w:rPr>
          <w:rFonts w:cstheme="minorHAnsi"/>
          <w:sz w:val="18"/>
          <w:szCs w:val="18"/>
        </w:rPr>
        <w:t xml:space="preserve">Note: The January 2020 </w:t>
      </w:r>
      <w:r w:rsidR="000B0AE7" w:rsidRPr="00432AE3">
        <w:rPr>
          <w:rFonts w:cstheme="minorHAnsi"/>
          <w:sz w:val="18"/>
          <w:szCs w:val="18"/>
        </w:rPr>
        <w:t xml:space="preserve">average </w:t>
      </w:r>
      <w:r w:rsidRPr="00432AE3">
        <w:rPr>
          <w:rFonts w:cstheme="minorHAnsi"/>
          <w:sz w:val="18"/>
          <w:szCs w:val="18"/>
        </w:rPr>
        <w:t>Wallumbilla spot price is</w:t>
      </w:r>
      <w:r w:rsidR="000B0AE7" w:rsidRPr="00432AE3">
        <w:rPr>
          <w:rFonts w:cstheme="minorHAnsi"/>
          <w:sz w:val="18"/>
          <w:szCs w:val="18"/>
        </w:rPr>
        <w:t xml:space="preserve"> calculated</w:t>
      </w:r>
      <w:r w:rsidRPr="00432AE3">
        <w:rPr>
          <w:rFonts w:cstheme="minorHAnsi"/>
          <w:sz w:val="18"/>
          <w:szCs w:val="18"/>
        </w:rPr>
        <w:t xml:space="preserve"> to </w:t>
      </w:r>
      <w:r w:rsidR="00733787" w:rsidRPr="00432AE3">
        <w:rPr>
          <w:rFonts w:cstheme="minorHAnsi"/>
          <w:sz w:val="18"/>
          <w:szCs w:val="18"/>
        </w:rPr>
        <w:t>15</w:t>
      </w:r>
      <w:r w:rsidRPr="00432AE3">
        <w:rPr>
          <w:rFonts w:cstheme="minorHAnsi"/>
          <w:sz w:val="18"/>
          <w:szCs w:val="18"/>
        </w:rPr>
        <w:t xml:space="preserve"> January 2020.</w:t>
      </w:r>
    </w:p>
    <w:p w14:paraId="038C7356" w14:textId="77777777" w:rsidR="00B626F4" w:rsidRDefault="00B626F4" w:rsidP="007270FF">
      <w:pPr>
        <w:pStyle w:val="ListParagraph"/>
        <w:ind w:left="0"/>
        <w:rPr>
          <w:rFonts w:cstheme="minorHAnsi"/>
          <w:sz w:val="18"/>
          <w:szCs w:val="18"/>
        </w:rPr>
      </w:pPr>
    </w:p>
    <w:p w14:paraId="6A19CB6C" w14:textId="04A056EE" w:rsidR="007270FF" w:rsidRPr="006815C9" w:rsidRDefault="007270FF" w:rsidP="007270FF">
      <w:pPr>
        <w:pStyle w:val="ListParagraph"/>
        <w:ind w:left="0"/>
        <w:rPr>
          <w:rFonts w:cstheme="minorHAnsi"/>
          <w:sz w:val="18"/>
          <w:szCs w:val="18"/>
        </w:rPr>
      </w:pPr>
      <w:r w:rsidRPr="006815C9">
        <w:rPr>
          <w:rFonts w:cstheme="minorHAnsi"/>
          <w:sz w:val="18"/>
          <w:szCs w:val="18"/>
        </w:rPr>
        <w:t xml:space="preserve">Source: DIIS analysis of data obtained from AEMO via </w:t>
      </w:r>
      <w:r w:rsidRPr="006815C9">
        <w:rPr>
          <w:sz w:val="18"/>
          <w:szCs w:val="18"/>
        </w:rPr>
        <w:t>Energy Edge, Gas Market Analysis Tool [www.energyedge.com.au/Products/GasMarketAnalysisTool.aspx]</w:t>
      </w:r>
      <w:r>
        <w:rPr>
          <w:sz w:val="18"/>
          <w:szCs w:val="18"/>
        </w:rPr>
        <w:t xml:space="preserve"> and ACCC LNG netback price series [</w:t>
      </w:r>
      <w:r w:rsidRPr="007270FF">
        <w:rPr>
          <w:sz w:val="18"/>
          <w:szCs w:val="18"/>
        </w:rPr>
        <w:t>www.accc.gov.au/regulated-infrastructure/energy/gas-inquiry-2017-2025/lng-netback-price-series</w:t>
      </w:r>
      <w:r>
        <w:rPr>
          <w:sz w:val="18"/>
          <w:szCs w:val="18"/>
        </w:rPr>
        <w:t>]</w:t>
      </w:r>
    </w:p>
    <w:p w14:paraId="7A9E80F8" w14:textId="77777777" w:rsidR="00F437B1" w:rsidRPr="006815C9" w:rsidRDefault="00F437B1" w:rsidP="00F437B1">
      <w:pPr>
        <w:spacing w:after="0" w:line="240" w:lineRule="auto"/>
        <w:rPr>
          <w:rFonts w:cstheme="minorHAnsi"/>
        </w:rPr>
      </w:pPr>
    </w:p>
    <w:p w14:paraId="68ADBCF9" w14:textId="3F521885" w:rsidR="001A4839" w:rsidRPr="006815C9" w:rsidRDefault="00940836" w:rsidP="001A4839">
      <w:pPr>
        <w:spacing w:after="0" w:line="240" w:lineRule="auto"/>
        <w:rPr>
          <w:rFonts w:cstheme="minorHAnsi"/>
        </w:rPr>
      </w:pPr>
      <w:r>
        <w:rPr>
          <w:rFonts w:cstheme="minorHAnsi"/>
        </w:rPr>
        <w:lastRenderedPageBreak/>
        <w:t>T</w:t>
      </w:r>
      <w:r w:rsidR="00F136D7">
        <w:rPr>
          <w:rFonts w:cstheme="minorHAnsi"/>
        </w:rPr>
        <w:t>here</w:t>
      </w:r>
      <w:r w:rsidR="00F136D7" w:rsidRPr="006815C9">
        <w:rPr>
          <w:rFonts w:cstheme="minorHAnsi"/>
        </w:rPr>
        <w:t xml:space="preserve"> </w:t>
      </w:r>
      <w:r w:rsidR="009172A5" w:rsidRPr="006815C9">
        <w:rPr>
          <w:rFonts w:cstheme="minorHAnsi"/>
        </w:rPr>
        <w:t>were some common views expressed</w:t>
      </w:r>
      <w:r w:rsidR="001A4839" w:rsidRPr="006815C9">
        <w:rPr>
          <w:rFonts w:cstheme="minorHAnsi"/>
        </w:rPr>
        <w:t xml:space="preserve"> across the submissions </w:t>
      </w:r>
      <w:r w:rsidR="009172A5" w:rsidRPr="006815C9">
        <w:rPr>
          <w:rFonts w:cstheme="minorHAnsi"/>
        </w:rPr>
        <w:t>on</w:t>
      </w:r>
      <w:r w:rsidR="001A4839" w:rsidRPr="006815C9">
        <w:rPr>
          <w:rFonts w:cstheme="minorHAnsi"/>
        </w:rPr>
        <w:t xml:space="preserve"> the utility of the ACCC’s LNG netback price series. APPEA stated that the series </w:t>
      </w:r>
      <w:r w:rsidR="00AB78A4" w:rsidRPr="006815C9">
        <w:rPr>
          <w:rFonts w:cstheme="minorHAnsi"/>
        </w:rPr>
        <w:t>‘</w:t>
      </w:r>
      <w:r w:rsidR="001A4839" w:rsidRPr="006815C9">
        <w:rPr>
          <w:rFonts w:cstheme="minorHAnsi"/>
        </w:rPr>
        <w:t xml:space="preserve">provides useful </w:t>
      </w:r>
      <w:r w:rsidR="00AB78A4" w:rsidRPr="006815C9">
        <w:rPr>
          <w:rFonts w:cstheme="minorHAnsi"/>
        </w:rPr>
        <w:t>information’</w:t>
      </w:r>
      <w:r w:rsidR="001A4839" w:rsidRPr="006815C9">
        <w:rPr>
          <w:rFonts w:cstheme="minorHAnsi"/>
        </w:rPr>
        <w:t xml:space="preserve">, while Origin noted that it </w:t>
      </w:r>
      <w:r w:rsidR="00AB78A4" w:rsidRPr="006815C9">
        <w:rPr>
          <w:rFonts w:cstheme="minorHAnsi"/>
        </w:rPr>
        <w:t>‘</w:t>
      </w:r>
      <w:r w:rsidR="001A4839" w:rsidRPr="006815C9">
        <w:rPr>
          <w:rFonts w:cstheme="minorHAnsi"/>
        </w:rPr>
        <w:t>provides an indicator of the opportunity cost to LNG producers for making domestic sales</w:t>
      </w:r>
      <w:r w:rsidR="00AB78A4" w:rsidRPr="006815C9">
        <w:rPr>
          <w:rFonts w:cstheme="minorHAnsi"/>
        </w:rPr>
        <w:t>’</w:t>
      </w:r>
      <w:r w:rsidR="000B79E9" w:rsidRPr="006815C9">
        <w:rPr>
          <w:rFonts w:cstheme="minorHAnsi"/>
        </w:rPr>
        <w:t>.</w:t>
      </w:r>
      <w:r w:rsidR="001A4839" w:rsidRPr="006815C9">
        <w:t xml:space="preserve"> </w:t>
      </w:r>
      <w:r w:rsidR="001A4839" w:rsidRPr="006815C9">
        <w:rPr>
          <w:rFonts w:cstheme="minorHAnsi"/>
        </w:rPr>
        <w:t xml:space="preserve">Manufacturing Australia applauded </w:t>
      </w:r>
      <w:r w:rsidR="00AB78A4" w:rsidRPr="006815C9">
        <w:rPr>
          <w:rFonts w:cstheme="minorHAnsi"/>
        </w:rPr>
        <w:t>‘</w:t>
      </w:r>
      <w:r w:rsidR="001A4839" w:rsidRPr="006815C9">
        <w:rPr>
          <w:rFonts w:cstheme="minorHAnsi"/>
        </w:rPr>
        <w:t>the valuable work of the ACCC to establish a benchmark price series for domestic gas</w:t>
      </w:r>
      <w:r w:rsidR="00AB78A4" w:rsidRPr="006815C9">
        <w:rPr>
          <w:rFonts w:cstheme="minorHAnsi"/>
        </w:rPr>
        <w:t>’</w:t>
      </w:r>
      <w:r w:rsidR="001A4839" w:rsidRPr="006815C9">
        <w:rPr>
          <w:rFonts w:cstheme="minorHAnsi"/>
        </w:rPr>
        <w:t xml:space="preserve">. A number of other limitations were also identified with the LNG netback price series, with producers and consumers expressing </w:t>
      </w:r>
      <w:r w:rsidR="005C3362" w:rsidRPr="006815C9">
        <w:rPr>
          <w:rFonts w:cstheme="minorHAnsi"/>
        </w:rPr>
        <w:t xml:space="preserve">differing </w:t>
      </w:r>
      <w:r w:rsidR="001A4839" w:rsidRPr="006815C9">
        <w:rPr>
          <w:rFonts w:cstheme="minorHAnsi"/>
        </w:rPr>
        <w:t>view</w:t>
      </w:r>
      <w:r w:rsidR="005C3362" w:rsidRPr="006815C9">
        <w:rPr>
          <w:rFonts w:cstheme="minorHAnsi"/>
        </w:rPr>
        <w:t>s</w:t>
      </w:r>
      <w:r w:rsidR="001A4839" w:rsidRPr="006815C9">
        <w:rPr>
          <w:rFonts w:cstheme="minorHAnsi"/>
        </w:rPr>
        <w:t xml:space="preserve"> </w:t>
      </w:r>
      <w:r w:rsidR="009172A5" w:rsidRPr="006815C9">
        <w:rPr>
          <w:rFonts w:cstheme="minorHAnsi"/>
        </w:rPr>
        <w:t>on</w:t>
      </w:r>
      <w:r w:rsidR="001A4839" w:rsidRPr="006815C9">
        <w:rPr>
          <w:rFonts w:cstheme="minorHAnsi"/>
        </w:rPr>
        <w:t xml:space="preserve"> how it could be improved.</w:t>
      </w:r>
    </w:p>
    <w:p w14:paraId="5BF4AB07" w14:textId="77108B37" w:rsidR="00741CEC" w:rsidRPr="006815C9" w:rsidRDefault="00741CEC" w:rsidP="001A4839">
      <w:pPr>
        <w:spacing w:after="0" w:line="240" w:lineRule="auto"/>
        <w:rPr>
          <w:rFonts w:cstheme="minorHAnsi"/>
        </w:rPr>
      </w:pPr>
    </w:p>
    <w:p w14:paraId="7C4263A0" w14:textId="21CF4242" w:rsidR="00B67AC9" w:rsidRPr="006815C9" w:rsidRDefault="00B67AC9" w:rsidP="00D41429">
      <w:pPr>
        <w:spacing w:after="0" w:line="240" w:lineRule="auto"/>
      </w:pPr>
      <w:r w:rsidRPr="006815C9">
        <w:t xml:space="preserve">Forward LNG netback prices in the ACCC’s price series are derived using prices for JKM futures contracts quoted by </w:t>
      </w:r>
      <w:r w:rsidR="00C7654F" w:rsidRPr="006815C9">
        <w:t>Intercontinental Exchange</w:t>
      </w:r>
      <w:r w:rsidRPr="006815C9">
        <w:t>, as at the time of publication. The average of forward LNG netback prices over a given period of future gas supply can be used by gas buyers (such as C&amp;I users) in negotiations with suppliers. For example, if a gas user w</w:t>
      </w:r>
      <w:r w:rsidR="007C2CA9">
        <w:t>as</w:t>
      </w:r>
      <w:r w:rsidRPr="006815C9">
        <w:t xml:space="preserve"> seeking gas supply over the next full calendar year, the LNG netback price series would allow them to calculate the average of forward LNG netback prices over that year. The user would then be able to use this average to, for example, assess price offers made by suppliers for that same period of supply </w:t>
      </w:r>
      <w:r w:rsidR="007C2CA9">
        <w:t xml:space="preserve">- </w:t>
      </w:r>
      <w:r w:rsidRPr="006815C9">
        <w:t>noting that other factors such as transportation costs, the terms and conditions of gas supply, and retailer charges may be relevant</w:t>
      </w:r>
      <w:r w:rsidR="007C2CA9">
        <w:t>.</w:t>
      </w:r>
    </w:p>
    <w:p w14:paraId="6235F98F" w14:textId="77777777" w:rsidR="00D41429" w:rsidRPr="006815C9" w:rsidRDefault="00D41429" w:rsidP="00D41429">
      <w:pPr>
        <w:spacing w:after="0" w:line="240" w:lineRule="auto"/>
      </w:pPr>
    </w:p>
    <w:p w14:paraId="08904293" w14:textId="4AABB91A" w:rsidR="00A83A11" w:rsidRDefault="00B67AC9" w:rsidP="00B67AC9">
      <w:pPr>
        <w:spacing w:after="0" w:line="240" w:lineRule="auto"/>
      </w:pPr>
      <w:r w:rsidRPr="006815C9">
        <w:t xml:space="preserve">This review considers that the ACCC’s forward LNG netback prices are the </w:t>
      </w:r>
      <w:r w:rsidR="00C7654F" w:rsidRPr="006815C9">
        <w:t xml:space="preserve">most </w:t>
      </w:r>
      <w:r w:rsidRPr="006815C9">
        <w:t>applicable prices when estimating the likelihood and extent of a potential shortfall</w:t>
      </w:r>
      <w:r w:rsidR="001E4F7A">
        <w:t xml:space="preserve">. </w:t>
      </w:r>
      <w:r w:rsidR="001E4F7A" w:rsidRPr="001E4F7A">
        <w:t xml:space="preserve">As such, the review recommends </w:t>
      </w:r>
      <w:r w:rsidR="006328B8">
        <w:t xml:space="preserve">amending the </w:t>
      </w:r>
      <w:r w:rsidR="001E4F7A">
        <w:t>ADGSM</w:t>
      </w:r>
      <w:r w:rsidR="006328B8">
        <w:t>’s guidelines to</w:t>
      </w:r>
      <w:r w:rsidR="001E4F7A">
        <w:t xml:space="preserve"> include a reference to </w:t>
      </w:r>
      <w:r w:rsidR="006328B8">
        <w:t xml:space="preserve">the </w:t>
      </w:r>
      <w:r w:rsidR="001E4F7A">
        <w:t xml:space="preserve">ACCC’s LNG netback price series in </w:t>
      </w:r>
      <w:r w:rsidR="00515C3F">
        <w:t xml:space="preserve">estimating </w:t>
      </w:r>
      <w:r w:rsidR="001E4F7A">
        <w:t>a potential shortfall. Th</w:t>
      </w:r>
      <w:r w:rsidR="006328B8">
        <w:t xml:space="preserve">e guidelines currently reference </w:t>
      </w:r>
      <w:r w:rsidR="001E4F7A">
        <w:t>LNG netback prices</w:t>
      </w:r>
      <w:r w:rsidR="006328B8">
        <w:t xml:space="preserve"> in general</w:t>
      </w:r>
      <w:r w:rsidR="001E4F7A">
        <w:t xml:space="preserve">, </w:t>
      </w:r>
      <w:r w:rsidR="00515C3F">
        <w:t xml:space="preserve">without specifying </w:t>
      </w:r>
      <w:r w:rsidR="006328B8">
        <w:t xml:space="preserve">the </w:t>
      </w:r>
      <w:r w:rsidR="001E4F7A" w:rsidRPr="001E4F7A">
        <w:t>ACCC’s LNG netback price series</w:t>
      </w:r>
      <w:r w:rsidR="006328B8">
        <w:t xml:space="preserve"> as it had </w:t>
      </w:r>
      <w:r w:rsidR="001E4F7A" w:rsidRPr="001E4F7A">
        <w:t xml:space="preserve">not commenced when the guidelines were </w:t>
      </w:r>
      <w:r w:rsidR="006328B8">
        <w:t xml:space="preserve">developed and </w:t>
      </w:r>
      <w:r w:rsidR="001E4F7A" w:rsidRPr="001E4F7A">
        <w:t xml:space="preserve">introduced. </w:t>
      </w:r>
      <w:r w:rsidR="006328B8">
        <w:t xml:space="preserve">This </w:t>
      </w:r>
      <w:r w:rsidR="00C07109">
        <w:t xml:space="preserve">amendment </w:t>
      </w:r>
      <w:r w:rsidR="006328B8">
        <w:t>clarif</w:t>
      </w:r>
      <w:r w:rsidR="001105F8">
        <w:t>ies</w:t>
      </w:r>
      <w:r w:rsidR="006328B8">
        <w:t xml:space="preserve"> the relevance of </w:t>
      </w:r>
      <w:r w:rsidR="00C07109">
        <w:t xml:space="preserve">the </w:t>
      </w:r>
      <w:r w:rsidR="006328B8" w:rsidRPr="006328B8">
        <w:t xml:space="preserve">ACCC’s LNG netback price series </w:t>
      </w:r>
      <w:r w:rsidR="00515C3F">
        <w:t>to</w:t>
      </w:r>
      <w:r w:rsidR="006328B8">
        <w:t xml:space="preserve"> considerations under the ADGSM</w:t>
      </w:r>
      <w:r w:rsidR="001105F8">
        <w:t xml:space="preserve">. It will also </w:t>
      </w:r>
      <w:r w:rsidR="006328B8">
        <w:t xml:space="preserve">strengthen the </w:t>
      </w:r>
      <w:r w:rsidR="001105F8">
        <w:t>ADGSM’</w:t>
      </w:r>
      <w:r w:rsidR="00C07109">
        <w:t>s</w:t>
      </w:r>
      <w:r w:rsidR="006328B8">
        <w:t xml:space="preserve"> </w:t>
      </w:r>
      <w:r w:rsidR="001105F8">
        <w:t xml:space="preserve">ability to deliver on its </w:t>
      </w:r>
      <w:r w:rsidR="006328B8">
        <w:t>overall</w:t>
      </w:r>
      <w:r w:rsidR="00C07109">
        <w:t xml:space="preserve"> objective </w:t>
      </w:r>
      <w:r w:rsidR="001105F8">
        <w:t>of securing</w:t>
      </w:r>
      <w:r w:rsidR="00C07109">
        <w:t xml:space="preserve"> domestic </w:t>
      </w:r>
      <w:r w:rsidR="00515C3F">
        <w:t xml:space="preserve">gas </w:t>
      </w:r>
      <w:r w:rsidR="00C07109">
        <w:t>supply</w:t>
      </w:r>
      <w:r w:rsidRPr="006815C9">
        <w:t>.</w:t>
      </w:r>
    </w:p>
    <w:p w14:paraId="49A71177" w14:textId="0B8039F2" w:rsidR="00F136D7" w:rsidRDefault="00F136D7" w:rsidP="00B67AC9">
      <w:pPr>
        <w:spacing w:after="0" w:line="240" w:lineRule="auto"/>
      </w:pPr>
    </w:p>
    <w:p w14:paraId="7870692F" w14:textId="19013676" w:rsidR="00F136D7" w:rsidRPr="006815C9" w:rsidRDefault="00F136D7" w:rsidP="00B67AC9">
      <w:pPr>
        <w:spacing w:after="0" w:line="240" w:lineRule="auto"/>
      </w:pPr>
      <w:r>
        <w:t xml:space="preserve">While the ADGSM is not a mechanism to control price, if prices paid by Australian gas users are significantly higher than </w:t>
      </w:r>
      <w:r w:rsidR="000378E7">
        <w:t>the ACCC’s netback price, this would serve as an indication that the domestic gas market is not operatin</w:t>
      </w:r>
      <w:r w:rsidR="00112E70">
        <w:t>g</w:t>
      </w:r>
      <w:r w:rsidR="000378E7">
        <w:t xml:space="preserve"> efficiently. </w:t>
      </w:r>
      <w:r w:rsidR="00BA501B">
        <w:t>For this reason,</w:t>
      </w:r>
      <w:r w:rsidR="000378E7">
        <w:t xml:space="preserve"> a comparison of an average domestic price with the ACCC’s netback price </w:t>
      </w:r>
      <w:r w:rsidR="009006B0">
        <w:t>should</w:t>
      </w:r>
      <w:r w:rsidR="000378E7">
        <w:t xml:space="preserve"> be a factor for consideration in assessing the likelihood of a supply shortfall in the Australian domestic gas market. </w:t>
      </w:r>
      <w:r w:rsidR="00BA501B">
        <w:t>While comparing the ACCC’s average LNG netback price and the Wallumbilla gas supply hub price are an imperfect representation</w:t>
      </w:r>
      <w:r w:rsidR="003605E5">
        <w:t xml:space="preserve"> of market activities</w:t>
      </w:r>
      <w:r w:rsidR="00BA501B">
        <w:t xml:space="preserve">, </w:t>
      </w:r>
      <w:r w:rsidR="00AA2875">
        <w:t>such a comparison</w:t>
      </w:r>
      <w:r w:rsidR="00BA501B">
        <w:t xml:space="preserve"> would still stand </w:t>
      </w:r>
      <w:r w:rsidR="00AA2875">
        <w:t>as</w:t>
      </w:r>
      <w:r w:rsidR="00BA501B">
        <w:t xml:space="preserve"> an indication of the operation of the domestic gas market. </w:t>
      </w:r>
    </w:p>
    <w:p w14:paraId="12903E1F" w14:textId="77777777" w:rsidR="00B67AC9" w:rsidRPr="006815C9" w:rsidRDefault="00B67AC9" w:rsidP="00B67AC9">
      <w:pPr>
        <w:spacing w:after="0" w:line="240" w:lineRule="auto"/>
        <w:rPr>
          <w:rFonts w:cstheme="minorHAnsi"/>
        </w:rPr>
      </w:pPr>
    </w:p>
    <w:p w14:paraId="2793E9D8" w14:textId="77777777" w:rsidR="001A4839" w:rsidRPr="006815C9" w:rsidRDefault="001A4839" w:rsidP="001A4839">
      <w:pPr>
        <w:pStyle w:val="Heading4"/>
      </w:pPr>
      <w:r w:rsidRPr="006815C9">
        <w:t>Other LNG netback prices</w:t>
      </w:r>
    </w:p>
    <w:p w14:paraId="7DA37783" w14:textId="576A2ECE" w:rsidR="005C3362" w:rsidRPr="006815C9" w:rsidRDefault="001A4839" w:rsidP="001A4839">
      <w:pPr>
        <w:spacing w:after="0" w:line="240" w:lineRule="auto"/>
        <w:rPr>
          <w:rFonts w:cstheme="minorHAnsi"/>
        </w:rPr>
      </w:pPr>
      <w:r w:rsidRPr="006815C9">
        <w:rPr>
          <w:rFonts w:cstheme="minorHAnsi"/>
        </w:rPr>
        <w:t xml:space="preserve">As outlined above, the ACCC uses an Asian LNG spot price as the basis for its LNG netback price series, noting that the Asian LNG spot price represents the opportunity cost for suppliers of selling gas to domestic consumers. The relationship between domestic gas prices, LNG spot prices and LNG contract prices in the </w:t>
      </w:r>
      <w:r w:rsidR="009C3FA8" w:rsidRPr="006815C9">
        <w:rPr>
          <w:rFonts w:cstheme="minorHAnsi"/>
        </w:rPr>
        <w:t>eastern gas market</w:t>
      </w:r>
      <w:r w:rsidRPr="006815C9">
        <w:rPr>
          <w:rFonts w:cstheme="minorHAnsi"/>
        </w:rPr>
        <w:t xml:space="preserve"> is complicated. Given this complexity in price formation processes, the eastern gas market </w:t>
      </w:r>
      <w:r w:rsidR="007C2CA9">
        <w:rPr>
          <w:rFonts w:cstheme="minorHAnsi"/>
        </w:rPr>
        <w:t>may</w:t>
      </w:r>
      <w:r w:rsidRPr="006815C9">
        <w:rPr>
          <w:rFonts w:cstheme="minorHAnsi"/>
        </w:rPr>
        <w:t xml:space="preserve"> benefit from the development of other price benchmarks. </w:t>
      </w:r>
    </w:p>
    <w:p w14:paraId="6AF9CB3F" w14:textId="77777777" w:rsidR="005C3362" w:rsidRPr="006815C9" w:rsidRDefault="005C3362" w:rsidP="001A4839">
      <w:pPr>
        <w:spacing w:after="0" w:line="240" w:lineRule="auto"/>
        <w:rPr>
          <w:rFonts w:cstheme="minorHAnsi"/>
        </w:rPr>
      </w:pPr>
    </w:p>
    <w:p w14:paraId="707EBCA3" w14:textId="5002F0A4" w:rsidR="001A4839" w:rsidRPr="006815C9" w:rsidRDefault="001A4839" w:rsidP="001A4839">
      <w:pPr>
        <w:spacing w:after="0" w:line="240" w:lineRule="auto"/>
        <w:rPr>
          <w:rFonts w:cstheme="minorHAnsi"/>
        </w:rPr>
      </w:pPr>
      <w:r w:rsidRPr="006815C9">
        <w:rPr>
          <w:rFonts w:cstheme="minorHAnsi"/>
        </w:rPr>
        <w:t xml:space="preserve">It is possible, for example, that oil-linked LNG contract prices may influence the opportunity cost for gas suppliers of selling domestically, and thus exert some </w:t>
      </w:r>
      <w:r w:rsidR="005C3362" w:rsidRPr="006815C9">
        <w:rPr>
          <w:rFonts w:cstheme="minorHAnsi"/>
        </w:rPr>
        <w:t>influence</w:t>
      </w:r>
      <w:r w:rsidRPr="006815C9">
        <w:rPr>
          <w:rFonts w:cstheme="minorHAnsi"/>
        </w:rPr>
        <w:t xml:space="preserve"> over domestic gas prices. The fact that pricing arrangements in the eastern gas market have changed quickly, and may continue to change in the future, points to the need for ongoing monitoring and consideration of measures to assist with price transparency.</w:t>
      </w:r>
    </w:p>
    <w:p w14:paraId="23B76D7B" w14:textId="77777777" w:rsidR="001A4839" w:rsidRPr="006815C9" w:rsidRDefault="001A4839" w:rsidP="001A4839">
      <w:pPr>
        <w:spacing w:after="0" w:line="240" w:lineRule="auto"/>
        <w:rPr>
          <w:rFonts w:cstheme="minorHAnsi"/>
        </w:rPr>
      </w:pPr>
    </w:p>
    <w:p w14:paraId="7C618201" w14:textId="77777777" w:rsidR="007C2CA9" w:rsidRDefault="00127987" w:rsidP="001A4839">
      <w:pPr>
        <w:spacing w:after="0" w:line="240" w:lineRule="auto"/>
        <w:rPr>
          <w:rFonts w:cstheme="minorHAnsi"/>
        </w:rPr>
      </w:pPr>
      <w:r w:rsidRPr="006815C9">
        <w:rPr>
          <w:rFonts w:cstheme="minorHAnsi"/>
        </w:rPr>
        <w:t>There are a number of issues to consider when assessing the utility of alternative LNG netback benchmark</w:t>
      </w:r>
      <w:r w:rsidR="00751433" w:rsidRPr="006815C9">
        <w:rPr>
          <w:rFonts w:cstheme="minorHAnsi"/>
        </w:rPr>
        <w:t>s</w:t>
      </w:r>
      <w:r w:rsidRPr="006815C9">
        <w:rPr>
          <w:rFonts w:cstheme="minorHAnsi"/>
        </w:rPr>
        <w:t xml:space="preserve">. These include the transmission mechanisms between international and domestic </w:t>
      </w:r>
      <w:r w:rsidRPr="006815C9">
        <w:rPr>
          <w:rFonts w:cstheme="minorHAnsi"/>
        </w:rPr>
        <w:lastRenderedPageBreak/>
        <w:t xml:space="preserve">prices, and how a price benchmark would affect the efficiency of the market and the behaviour of market participants. </w:t>
      </w:r>
    </w:p>
    <w:p w14:paraId="68135E75" w14:textId="77777777" w:rsidR="00B230D1" w:rsidRDefault="00B230D1" w:rsidP="001A4839">
      <w:pPr>
        <w:spacing w:after="0" w:line="240" w:lineRule="auto"/>
        <w:rPr>
          <w:rFonts w:cstheme="minorHAnsi"/>
        </w:rPr>
      </w:pPr>
    </w:p>
    <w:p w14:paraId="751381CB" w14:textId="43C54E5C" w:rsidR="002C0DA8" w:rsidRPr="006815C9" w:rsidRDefault="002A0507" w:rsidP="001A4839">
      <w:pPr>
        <w:spacing w:after="0" w:line="240" w:lineRule="auto"/>
        <w:rPr>
          <w:rFonts w:cstheme="minorHAnsi"/>
        </w:rPr>
      </w:pPr>
      <w:r w:rsidRPr="006815C9">
        <w:rPr>
          <w:rFonts w:cstheme="minorHAnsi"/>
        </w:rPr>
        <w:t>The publication of an oil-linked contract netback price may provide additional information to buyers</w:t>
      </w:r>
      <w:r w:rsidR="003E32DF" w:rsidRPr="006815C9">
        <w:rPr>
          <w:rFonts w:cstheme="minorHAnsi"/>
        </w:rPr>
        <w:t xml:space="preserve">, </w:t>
      </w:r>
      <w:r w:rsidR="0098322F" w:rsidRPr="006815C9">
        <w:rPr>
          <w:rFonts w:cstheme="minorHAnsi"/>
        </w:rPr>
        <w:t xml:space="preserve">and a number of oil-linked netback price series are available </w:t>
      </w:r>
      <w:r w:rsidR="00C2004A" w:rsidRPr="006815C9">
        <w:rPr>
          <w:rFonts w:cstheme="minorHAnsi"/>
        </w:rPr>
        <w:t xml:space="preserve">through </w:t>
      </w:r>
      <w:r w:rsidR="0098322F" w:rsidRPr="006815C9">
        <w:rPr>
          <w:rFonts w:cstheme="minorHAnsi"/>
        </w:rPr>
        <w:t>private</w:t>
      </w:r>
      <w:r w:rsidR="00C2004A" w:rsidRPr="006815C9">
        <w:rPr>
          <w:rFonts w:cstheme="minorHAnsi"/>
        </w:rPr>
        <w:t>/commercial providers</w:t>
      </w:r>
      <w:r w:rsidR="00465BB8" w:rsidRPr="006815C9">
        <w:rPr>
          <w:rFonts w:cstheme="minorHAnsi"/>
        </w:rPr>
        <w:t>. APPEA states, ‘a better way to inform all market participants would be for the ACCC to publish in future editions other LNG price markers, including prices based on short-term multi-cargo LNG contracts and prices based on long-term LNG contracts’.</w:t>
      </w:r>
      <w:r w:rsidR="00465BB8" w:rsidRPr="006815C9">
        <w:rPr>
          <w:rStyle w:val="FootnoteReference"/>
          <w:rFonts w:cstheme="minorHAnsi"/>
        </w:rPr>
        <w:footnoteReference w:id="37"/>
      </w:r>
      <w:r w:rsidR="00465BB8" w:rsidRPr="006815C9">
        <w:rPr>
          <w:rFonts w:cstheme="minorHAnsi"/>
        </w:rPr>
        <w:t xml:space="preserve"> However,</w:t>
      </w:r>
      <w:r w:rsidR="00127987" w:rsidRPr="006815C9">
        <w:rPr>
          <w:rFonts w:cstheme="minorHAnsi"/>
        </w:rPr>
        <w:t xml:space="preserve"> </w:t>
      </w:r>
      <w:r w:rsidR="00751433" w:rsidRPr="006815C9">
        <w:rPr>
          <w:rFonts w:cstheme="minorHAnsi"/>
        </w:rPr>
        <w:t xml:space="preserve">these </w:t>
      </w:r>
      <w:r w:rsidR="00465BB8" w:rsidRPr="006815C9">
        <w:rPr>
          <w:rFonts w:cstheme="minorHAnsi"/>
        </w:rPr>
        <w:t>potential</w:t>
      </w:r>
      <w:r w:rsidR="00751433" w:rsidRPr="006815C9">
        <w:rPr>
          <w:rFonts w:cstheme="minorHAnsi"/>
        </w:rPr>
        <w:t xml:space="preserve"> benefits</w:t>
      </w:r>
      <w:r w:rsidR="00127987" w:rsidRPr="006815C9">
        <w:rPr>
          <w:rFonts w:cstheme="minorHAnsi"/>
        </w:rPr>
        <w:t xml:space="preserve"> would need to be weighed against a variety of other factors</w:t>
      </w:r>
      <w:r w:rsidRPr="006815C9">
        <w:rPr>
          <w:rFonts w:cstheme="minorHAnsi"/>
        </w:rPr>
        <w:t xml:space="preserve">. </w:t>
      </w:r>
    </w:p>
    <w:p w14:paraId="3F61DBAD" w14:textId="77777777" w:rsidR="002C0DA8" w:rsidRPr="006815C9" w:rsidRDefault="002C0DA8" w:rsidP="001A4839">
      <w:pPr>
        <w:spacing w:after="0" w:line="240" w:lineRule="auto"/>
        <w:rPr>
          <w:rFonts w:cstheme="minorHAnsi"/>
        </w:rPr>
      </w:pPr>
    </w:p>
    <w:p w14:paraId="4C9D3445" w14:textId="437D1459" w:rsidR="002A0507" w:rsidRPr="006815C9" w:rsidRDefault="008C7517" w:rsidP="001A4839">
      <w:pPr>
        <w:spacing w:after="0" w:line="240" w:lineRule="auto"/>
        <w:rPr>
          <w:rFonts w:cstheme="minorHAnsi"/>
        </w:rPr>
      </w:pPr>
      <w:r w:rsidRPr="006815C9">
        <w:rPr>
          <w:rFonts w:cstheme="minorHAnsi"/>
        </w:rPr>
        <w:t>The ACCC</w:t>
      </w:r>
      <w:r w:rsidR="002C0DA8" w:rsidRPr="006815C9">
        <w:rPr>
          <w:rFonts w:cstheme="minorHAnsi"/>
        </w:rPr>
        <w:t xml:space="preserve"> has stated</w:t>
      </w:r>
      <w:r w:rsidR="007C2CA9">
        <w:rPr>
          <w:rFonts w:cstheme="minorHAnsi"/>
        </w:rPr>
        <w:t>:</w:t>
      </w:r>
      <w:r w:rsidR="002C0DA8" w:rsidRPr="006815C9">
        <w:rPr>
          <w:rFonts w:cstheme="minorHAnsi"/>
        </w:rPr>
        <w:t xml:space="preserve"> ‘</w:t>
      </w:r>
      <w:r w:rsidR="00AC1025" w:rsidRPr="006815C9">
        <w:rPr>
          <w:rFonts w:cstheme="minorHAnsi"/>
        </w:rPr>
        <w:t>T</w:t>
      </w:r>
      <w:r w:rsidR="00AC1025" w:rsidRPr="006815C9">
        <w:t>o be of most use to domestic gas buyers under current market conditions, the prices published by the ACCC in the LNG netback price series are short-run LNG netback prices based on measures of Asian LNG spot prices. Over the course of its Gas Inquiry 2017-2020, the ACCC will consider whether to also publish LNG netback prices based on other LNG price markers.</w:t>
      </w:r>
      <w:r w:rsidR="006F18AE" w:rsidRPr="006815C9">
        <w:t>’</w:t>
      </w:r>
      <w:r w:rsidR="00CA0544" w:rsidRPr="006815C9">
        <w:rPr>
          <w:rStyle w:val="FootnoteReference"/>
        </w:rPr>
        <w:footnoteReference w:id="38"/>
      </w:r>
    </w:p>
    <w:p w14:paraId="5435DC15" w14:textId="77777777" w:rsidR="00127987" w:rsidRPr="006815C9" w:rsidRDefault="00127987" w:rsidP="001A4839">
      <w:pPr>
        <w:spacing w:after="0" w:line="240" w:lineRule="auto"/>
        <w:rPr>
          <w:rFonts w:cstheme="minorHAnsi"/>
        </w:rPr>
      </w:pPr>
    </w:p>
    <w:p w14:paraId="7AF6E1D9" w14:textId="60A86B02" w:rsidR="00127987" w:rsidRPr="006815C9" w:rsidRDefault="00127987" w:rsidP="00127987">
      <w:pPr>
        <w:spacing w:after="0" w:line="240" w:lineRule="auto"/>
        <w:rPr>
          <w:rFonts w:cstheme="minorHAnsi"/>
        </w:rPr>
      </w:pPr>
      <w:r w:rsidRPr="006815C9">
        <w:fldChar w:fldCharType="begin"/>
      </w:r>
      <w:r w:rsidRPr="006815C9">
        <w:instrText xml:space="preserve"> REF _Ref19526436 \h </w:instrText>
      </w:r>
      <w:r w:rsidR="006815C9">
        <w:instrText xml:space="preserve"> \* MERGEFORMAT </w:instrText>
      </w:r>
      <w:r w:rsidRPr="006815C9">
        <w:fldChar w:fldCharType="separate"/>
      </w:r>
      <w:r w:rsidR="00E41BD3" w:rsidRPr="006815C9">
        <w:t xml:space="preserve">Figure </w:t>
      </w:r>
      <w:r w:rsidRPr="006815C9">
        <w:fldChar w:fldCharType="end"/>
      </w:r>
      <w:r w:rsidRPr="006815C9">
        <w:t xml:space="preserve"> shows an indicative oil-linked contract price for LNG exports from Gladstone</w:t>
      </w:r>
      <w:r w:rsidR="00E90099">
        <w:t>,</w:t>
      </w:r>
      <w:r w:rsidRPr="006815C9">
        <w:t xml:space="preserve"> versus an Asian LNG spot price. LNG spot prices and oil-linked contract prices have diverged over the past year, with oil-linked contract prices substantially higher than LNG spot prices.</w:t>
      </w:r>
      <w:r w:rsidRPr="006815C9">
        <w:rPr>
          <w:rFonts w:cstheme="minorHAnsi"/>
        </w:rPr>
        <w:t xml:space="preserve"> </w:t>
      </w:r>
    </w:p>
    <w:p w14:paraId="7C6A9AEC" w14:textId="77777777" w:rsidR="002A0507" w:rsidRPr="006815C9" w:rsidRDefault="002A0507" w:rsidP="001A4839">
      <w:pPr>
        <w:spacing w:after="0" w:line="240" w:lineRule="auto"/>
        <w:rPr>
          <w:rFonts w:cstheme="minorHAnsi"/>
        </w:rPr>
      </w:pPr>
    </w:p>
    <w:p w14:paraId="183C2B24" w14:textId="7CCD0BBF" w:rsidR="00620423" w:rsidRPr="006815C9" w:rsidRDefault="00620423" w:rsidP="001E3835">
      <w:pPr>
        <w:pStyle w:val="Caption"/>
        <w:keepNext/>
      </w:pPr>
      <w:bookmarkStart w:id="1047" w:name="_Ref19526436"/>
      <w:bookmarkStart w:id="1048" w:name="_Ref19526430"/>
      <w:r w:rsidRPr="006815C9">
        <w:t xml:space="preserve">Figure </w:t>
      </w:r>
      <w:bookmarkEnd w:id="1047"/>
      <w:r w:rsidR="00D2771D">
        <w:t>1</w:t>
      </w:r>
      <w:r w:rsidR="00D2771D">
        <w:rPr>
          <w:noProof/>
        </w:rPr>
        <w:t>7</w:t>
      </w:r>
      <w:r w:rsidRPr="006815C9">
        <w:t>: Oil-linked LNG contract price versus LNG spot price</w:t>
      </w:r>
      <w:bookmarkEnd w:id="1048"/>
    </w:p>
    <w:p w14:paraId="60758856" w14:textId="7C63A9EB" w:rsidR="001A4839" w:rsidRPr="006815C9" w:rsidRDefault="00BD10A2" w:rsidP="006C769C">
      <w:pPr>
        <w:spacing w:after="0" w:line="240" w:lineRule="auto"/>
        <w:jc w:val="center"/>
        <w:rPr>
          <w:rFonts w:cstheme="minorHAnsi"/>
        </w:rPr>
      </w:pPr>
      <w:r>
        <w:rPr>
          <w:rFonts w:cstheme="minorHAnsi"/>
          <w:noProof/>
          <w:lang w:eastAsia="en-AU"/>
        </w:rPr>
        <w:drawing>
          <wp:inline distT="0" distB="0" distL="0" distR="0" wp14:anchorId="7E4DD8B0" wp14:editId="603AFD83">
            <wp:extent cx="5346700" cy="3249295"/>
            <wp:effectExtent l="0" t="0" r="6350" b="8255"/>
            <wp:docPr id="32" name="Picture 32" descr="LNG spot prices and oil-linked contract prices have diverged over the past year. By October 2019 oil-linked contract prices were substantially higher than LNG spot prices." title="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6700" cy="3249295"/>
                    </a:xfrm>
                    <a:prstGeom prst="rect">
                      <a:avLst/>
                    </a:prstGeom>
                    <a:noFill/>
                  </pic:spPr>
                </pic:pic>
              </a:graphicData>
            </a:graphic>
          </wp:inline>
        </w:drawing>
      </w:r>
    </w:p>
    <w:p w14:paraId="17FC405C" w14:textId="6D8349E7" w:rsidR="001A4839" w:rsidRPr="006815C9" w:rsidRDefault="00F17FE3" w:rsidP="001A4839">
      <w:pPr>
        <w:rPr>
          <w:sz w:val="18"/>
          <w:szCs w:val="18"/>
        </w:rPr>
      </w:pPr>
      <w:r w:rsidRPr="006815C9">
        <w:rPr>
          <w:sz w:val="18"/>
          <w:szCs w:val="18"/>
        </w:rPr>
        <w:t>Note</w:t>
      </w:r>
      <w:r w:rsidR="001A4839" w:rsidRPr="006815C9">
        <w:rPr>
          <w:sz w:val="18"/>
          <w:szCs w:val="18"/>
        </w:rPr>
        <w:t xml:space="preserve">: The Argus Northeast Asian spot price is shown. LNG prices are DES (Delivered Ex Ship). DES prices include shipping and insurance. The long-term oil-linked contract price is indicative only, and is estimated at 14 per cent of the 3-month lagged Japan Customs-cleared crude oil price plus shipping. </w:t>
      </w:r>
    </w:p>
    <w:p w14:paraId="433DB93A" w14:textId="27AD8077" w:rsidR="001A4839" w:rsidRPr="006815C9" w:rsidRDefault="001A4839" w:rsidP="001A4839">
      <w:pPr>
        <w:rPr>
          <w:sz w:val="18"/>
          <w:szCs w:val="18"/>
        </w:rPr>
      </w:pPr>
      <w:r w:rsidRPr="006815C9">
        <w:rPr>
          <w:sz w:val="18"/>
          <w:szCs w:val="18"/>
        </w:rPr>
        <w:t>Source: Argus</w:t>
      </w:r>
      <w:r w:rsidR="002B6169" w:rsidRPr="006815C9">
        <w:rPr>
          <w:sz w:val="18"/>
          <w:szCs w:val="18"/>
        </w:rPr>
        <w:t xml:space="preserve"> Media</w:t>
      </w:r>
      <w:r w:rsidR="00B75F99" w:rsidRPr="006815C9">
        <w:rPr>
          <w:sz w:val="18"/>
          <w:szCs w:val="18"/>
        </w:rPr>
        <w:t>,</w:t>
      </w:r>
      <w:r w:rsidRPr="006815C9">
        <w:rPr>
          <w:sz w:val="18"/>
          <w:szCs w:val="18"/>
        </w:rPr>
        <w:t xml:space="preserve"> </w:t>
      </w:r>
      <w:r w:rsidR="002B6169" w:rsidRPr="006815C9">
        <w:rPr>
          <w:sz w:val="18"/>
          <w:szCs w:val="18"/>
        </w:rPr>
        <w:t>LNG des Northeast Asia (ANEA) half-month 1</w:t>
      </w:r>
      <w:r w:rsidR="00B75F99" w:rsidRPr="006815C9">
        <w:rPr>
          <w:sz w:val="18"/>
          <w:szCs w:val="18"/>
        </w:rPr>
        <w:t xml:space="preserve"> [</w:t>
      </w:r>
      <w:r w:rsidR="002B6169" w:rsidRPr="006815C9">
        <w:rPr>
          <w:sz w:val="18"/>
          <w:szCs w:val="18"/>
        </w:rPr>
        <w:t>https://direct.argusmedia.com</w:t>
      </w:r>
      <w:r w:rsidR="00B75F99" w:rsidRPr="006815C9">
        <w:rPr>
          <w:sz w:val="18"/>
          <w:szCs w:val="18"/>
        </w:rPr>
        <w:t>]</w:t>
      </w:r>
      <w:r w:rsidRPr="006815C9">
        <w:rPr>
          <w:sz w:val="18"/>
          <w:szCs w:val="18"/>
        </w:rPr>
        <w:t>; Bloomberg</w:t>
      </w:r>
      <w:r w:rsidR="00B75F99" w:rsidRPr="006815C9">
        <w:rPr>
          <w:sz w:val="18"/>
          <w:szCs w:val="18"/>
        </w:rPr>
        <w:t>,</w:t>
      </w:r>
      <w:r w:rsidRPr="006815C9">
        <w:rPr>
          <w:sz w:val="18"/>
          <w:szCs w:val="18"/>
        </w:rPr>
        <w:t xml:space="preserve"> </w:t>
      </w:r>
      <w:r w:rsidR="002B6169" w:rsidRPr="006815C9">
        <w:rPr>
          <w:sz w:val="18"/>
          <w:szCs w:val="18"/>
        </w:rPr>
        <w:t>Japan Customs-cleared crude oil price</w:t>
      </w:r>
      <w:r w:rsidR="00B75F99" w:rsidRPr="006815C9">
        <w:rPr>
          <w:sz w:val="18"/>
          <w:szCs w:val="18"/>
        </w:rPr>
        <w:t xml:space="preserve"> [https://www.bloomberg.com/professional/solution/bloomberg-terminal/]</w:t>
      </w:r>
    </w:p>
    <w:p w14:paraId="54DFC5A0" w14:textId="564EE406" w:rsidR="00FC7CC3" w:rsidRPr="006815C9" w:rsidRDefault="00994815" w:rsidP="001A4839">
      <w:pPr>
        <w:rPr>
          <w:sz w:val="18"/>
          <w:szCs w:val="18"/>
        </w:rPr>
      </w:pPr>
      <w:r w:rsidRPr="006815C9">
        <w:rPr>
          <w:rFonts w:cstheme="minorHAnsi"/>
        </w:rPr>
        <w:t xml:space="preserve">Some submissions </w:t>
      </w:r>
      <w:r w:rsidR="00EC27E2" w:rsidRPr="006815C9">
        <w:rPr>
          <w:rFonts w:cstheme="minorHAnsi"/>
        </w:rPr>
        <w:t>from gas users</w:t>
      </w:r>
      <w:r w:rsidRPr="006815C9">
        <w:rPr>
          <w:rFonts w:cstheme="minorHAnsi"/>
        </w:rPr>
        <w:t xml:space="preserve"> suggested the use of a long-run LNG netback as a benchmark price for triggering the ADGSM.</w:t>
      </w:r>
      <w:r w:rsidR="009B622A">
        <w:t xml:space="preserve"> However, a</w:t>
      </w:r>
      <w:r w:rsidR="005A4E14" w:rsidRPr="006815C9">
        <w:t xml:space="preserve"> long-run LNG netback </w:t>
      </w:r>
      <w:r w:rsidR="00077CD1" w:rsidRPr="006815C9">
        <w:rPr>
          <w:rFonts w:cstheme="minorHAnsi"/>
        </w:rPr>
        <w:t>is</w:t>
      </w:r>
      <w:r w:rsidR="005A4E14" w:rsidRPr="006815C9">
        <w:rPr>
          <w:rFonts w:cstheme="minorHAnsi"/>
        </w:rPr>
        <w:t xml:space="preserve"> best seen as a tool that </w:t>
      </w:r>
      <w:r w:rsidR="005A4E14" w:rsidRPr="006815C9">
        <w:t xml:space="preserve">gas producers </w:t>
      </w:r>
      <w:r w:rsidR="005A4E14" w:rsidRPr="006815C9">
        <w:lastRenderedPageBreak/>
        <w:t>might use to</w:t>
      </w:r>
      <w:r w:rsidR="00574369">
        <w:t>:</w:t>
      </w:r>
      <w:r w:rsidR="005A4E14" w:rsidRPr="006815C9">
        <w:t xml:space="preserve"> determine which long-term commercial decision is most profitable</w:t>
      </w:r>
      <w:r w:rsidR="00574369">
        <w:t>;</w:t>
      </w:r>
      <w:r w:rsidR="005A4E14" w:rsidRPr="006815C9">
        <w:t xml:space="preserve"> enter a long-term domestic gas supply agreement</w:t>
      </w:r>
      <w:r w:rsidR="00574369">
        <w:t>;</w:t>
      </w:r>
      <w:r w:rsidR="005A4E14" w:rsidRPr="006815C9">
        <w:t xml:space="preserve"> enter a long-term LNG export agreement</w:t>
      </w:r>
      <w:r w:rsidR="00574369">
        <w:t>;</w:t>
      </w:r>
      <w:r w:rsidR="005A4E14" w:rsidRPr="006815C9">
        <w:t xml:space="preserve"> and</w:t>
      </w:r>
      <w:r w:rsidR="00574369">
        <w:t>,</w:t>
      </w:r>
      <w:r w:rsidR="005A4E14" w:rsidRPr="006815C9">
        <w:t xml:space="preserve"> invest in LNG export facilities or </w:t>
      </w:r>
      <w:r w:rsidR="00077CD1" w:rsidRPr="006815C9">
        <w:t>delay production</w:t>
      </w:r>
      <w:r w:rsidR="005A4E14" w:rsidRPr="006815C9">
        <w:t xml:space="preserve">. </w:t>
      </w:r>
    </w:p>
    <w:p w14:paraId="31F7BB91" w14:textId="77777777" w:rsidR="001A4839" w:rsidRPr="006815C9" w:rsidRDefault="001A4839" w:rsidP="001A4839">
      <w:pPr>
        <w:pStyle w:val="Heading2"/>
      </w:pPr>
      <w:bookmarkStart w:id="1049" w:name="_Toc18590683"/>
      <w:bookmarkStart w:id="1050" w:name="_Toc18592148"/>
      <w:bookmarkStart w:id="1051" w:name="_Toc19109856"/>
      <w:bookmarkStart w:id="1052" w:name="_Toc19113899"/>
      <w:bookmarkStart w:id="1053" w:name="_Toc19189788"/>
      <w:bookmarkStart w:id="1054" w:name="_Toc19271071"/>
      <w:bookmarkStart w:id="1055" w:name="_Toc19280649"/>
      <w:bookmarkStart w:id="1056" w:name="_Toc19281143"/>
      <w:bookmarkStart w:id="1057" w:name="_Toc19537970"/>
      <w:bookmarkStart w:id="1058" w:name="_Toc19545376"/>
      <w:bookmarkStart w:id="1059" w:name="_Toc19611849"/>
      <w:bookmarkStart w:id="1060" w:name="_Toc19628603"/>
      <w:bookmarkStart w:id="1061" w:name="_Toc19628643"/>
      <w:bookmarkStart w:id="1062" w:name="_Toc19717448"/>
      <w:bookmarkStart w:id="1063" w:name="_Toc19720135"/>
      <w:bookmarkStart w:id="1064" w:name="_Toc19789978"/>
      <w:bookmarkStart w:id="1065" w:name="_Toc19803048"/>
      <w:bookmarkStart w:id="1066" w:name="_Toc19804095"/>
      <w:bookmarkStart w:id="1067" w:name="_Toc19804295"/>
      <w:bookmarkStart w:id="1068" w:name="_Toc19804541"/>
      <w:bookmarkStart w:id="1069" w:name="_Toc19888545"/>
      <w:bookmarkStart w:id="1070" w:name="_Toc19889172"/>
      <w:bookmarkStart w:id="1071" w:name="_Toc20232946"/>
      <w:bookmarkStart w:id="1072" w:name="_Toc20237756"/>
      <w:bookmarkStart w:id="1073" w:name="_Toc20322042"/>
      <w:bookmarkStart w:id="1074" w:name="_Toc20322460"/>
      <w:bookmarkStart w:id="1075" w:name="_Toc20398026"/>
      <w:bookmarkStart w:id="1076" w:name="_Toc20401027"/>
      <w:bookmarkStart w:id="1077" w:name="_Toc20410665"/>
      <w:bookmarkStart w:id="1078" w:name="_Toc20412191"/>
      <w:bookmarkStart w:id="1079" w:name="_Toc20469284"/>
      <w:bookmarkStart w:id="1080" w:name="_Toc21705361"/>
      <w:bookmarkStart w:id="1081" w:name="_Toc26349939"/>
      <w:bookmarkStart w:id="1082" w:name="_Toc26448255"/>
      <w:bookmarkStart w:id="1083" w:name="_Toc26454537"/>
      <w:bookmarkStart w:id="1084" w:name="_Toc29823326"/>
      <w:r w:rsidRPr="006815C9">
        <w:t>Price trigger</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9EC4228" w14:textId="342273DD" w:rsidR="001A4839" w:rsidRPr="006815C9" w:rsidRDefault="001A4839" w:rsidP="001A4839">
      <w:pPr>
        <w:spacing w:after="0" w:line="240" w:lineRule="auto"/>
        <w:rPr>
          <w:rFonts w:cstheme="minorHAnsi"/>
        </w:rPr>
      </w:pPr>
      <w:r w:rsidRPr="006815C9">
        <w:rPr>
          <w:rFonts w:cstheme="minorHAnsi"/>
        </w:rPr>
        <w:t>A key theme in the submissions related to the potential use of a price trigger in the ADGSM</w:t>
      </w:r>
      <w:r w:rsidR="00F61648" w:rsidRPr="006815C9">
        <w:rPr>
          <w:rFonts w:cstheme="minorHAnsi"/>
        </w:rPr>
        <w:t>. Currently, the ADGSM</w:t>
      </w:r>
      <w:r w:rsidRPr="006815C9">
        <w:rPr>
          <w:rFonts w:cstheme="minorHAnsi"/>
        </w:rPr>
        <w:t xml:space="preserve"> can only be activated if a gas shortfall is forecast for the forthcoming calendar year. A number of submissions from gas users called for a price trigger to be adopted, although they differed on how it should be implemented. </w:t>
      </w:r>
    </w:p>
    <w:p w14:paraId="37B2D764" w14:textId="77777777" w:rsidR="001A4839" w:rsidRPr="006815C9" w:rsidRDefault="001A4839" w:rsidP="001A4839">
      <w:pPr>
        <w:spacing w:after="0" w:line="240" w:lineRule="auto"/>
        <w:rPr>
          <w:rFonts w:cstheme="minorHAnsi"/>
        </w:rPr>
      </w:pPr>
    </w:p>
    <w:p w14:paraId="62FDEF84" w14:textId="7C1F5332" w:rsidR="001A4839" w:rsidRPr="006815C9" w:rsidRDefault="001A4839" w:rsidP="001A4839">
      <w:pPr>
        <w:spacing w:after="0" w:line="240" w:lineRule="auto"/>
        <w:rPr>
          <w:rFonts w:cstheme="minorHAnsi"/>
        </w:rPr>
      </w:pPr>
      <w:r w:rsidRPr="006815C9">
        <w:rPr>
          <w:rFonts w:cstheme="minorHAnsi"/>
        </w:rPr>
        <w:t xml:space="preserve">Manufacturing Australia’s submission noted that a price trigger could be based on an LNG netback price that, unlike the ACCC’s current netback price series, </w:t>
      </w:r>
      <w:r w:rsidR="00714BCD">
        <w:rPr>
          <w:rFonts w:cstheme="minorHAnsi"/>
        </w:rPr>
        <w:t xml:space="preserve">subtracts </w:t>
      </w:r>
      <w:r w:rsidRPr="006815C9">
        <w:rPr>
          <w:rFonts w:cstheme="minorHAnsi"/>
        </w:rPr>
        <w:t xml:space="preserve">the cost of LNG capital investment. The submission noted that </w:t>
      </w:r>
      <w:r w:rsidR="00AB78A4" w:rsidRPr="006815C9">
        <w:rPr>
          <w:rFonts w:cstheme="minorHAnsi"/>
        </w:rPr>
        <w:t>‘</w:t>
      </w:r>
      <w:r w:rsidRPr="006815C9">
        <w:rPr>
          <w:rFonts w:cstheme="minorHAnsi"/>
        </w:rPr>
        <w:t xml:space="preserve">it is not reasonable to expect the domestic market to subsidise investments in LNG export </w:t>
      </w:r>
      <w:r w:rsidR="00AB78A4" w:rsidRPr="006815C9">
        <w:rPr>
          <w:rFonts w:cstheme="minorHAnsi"/>
        </w:rPr>
        <w:t>infrastructure’</w:t>
      </w:r>
      <w:r w:rsidRPr="006815C9">
        <w:rPr>
          <w:rFonts w:cstheme="minorHAnsi"/>
        </w:rPr>
        <w:t xml:space="preserve">. Calls for a price trigger are generally based on using either a set price or a price reflecting the relationship between domestic and international prices. </w:t>
      </w:r>
    </w:p>
    <w:p w14:paraId="42DA9323" w14:textId="77777777" w:rsidR="001A4839" w:rsidRPr="006815C9" w:rsidRDefault="001A4839" w:rsidP="001A4839">
      <w:pPr>
        <w:spacing w:after="0" w:line="240" w:lineRule="auto"/>
        <w:rPr>
          <w:rFonts w:cstheme="minorHAnsi"/>
        </w:rPr>
      </w:pPr>
    </w:p>
    <w:p w14:paraId="564B8D0A" w14:textId="000282F6" w:rsidR="001A4839" w:rsidRPr="006815C9" w:rsidRDefault="001A4839" w:rsidP="001A4839">
      <w:pPr>
        <w:spacing w:after="0" w:line="240" w:lineRule="auto"/>
        <w:rPr>
          <w:rFonts w:cstheme="minorHAnsi"/>
        </w:rPr>
      </w:pPr>
      <w:r w:rsidRPr="006815C9">
        <w:rPr>
          <w:rFonts w:cstheme="minorHAnsi"/>
        </w:rPr>
        <w:t>A number of other submissions</w:t>
      </w:r>
      <w:r w:rsidR="00F61648" w:rsidRPr="006815C9">
        <w:rPr>
          <w:rFonts w:cstheme="minorHAnsi"/>
        </w:rPr>
        <w:t>, typically from gas producers,</w:t>
      </w:r>
      <w:r w:rsidRPr="006815C9">
        <w:rPr>
          <w:rFonts w:cstheme="minorHAnsi"/>
        </w:rPr>
        <w:t xml:space="preserve"> made the case that the incorporation of a price trigger into the ADGSM would be problematic. These submissions emphasised the limitations of LNG netback calculations for determining an appropriate price for domestic gas. </w:t>
      </w:r>
      <w:r w:rsidR="00F61648" w:rsidRPr="006815C9">
        <w:rPr>
          <w:rFonts w:cstheme="minorHAnsi"/>
        </w:rPr>
        <w:t>They argued</w:t>
      </w:r>
      <w:r w:rsidRPr="006815C9">
        <w:rPr>
          <w:rFonts w:cstheme="minorHAnsi"/>
        </w:rPr>
        <w:t xml:space="preserve"> that non-price terms vary substantially between LNG spot sales and the domestic sales</w:t>
      </w:r>
      <w:r w:rsidR="004035FC">
        <w:rPr>
          <w:rFonts w:cstheme="minorHAnsi"/>
        </w:rPr>
        <w:t xml:space="preserve"> –</w:t>
      </w:r>
      <w:r w:rsidRPr="006815C9">
        <w:rPr>
          <w:rFonts w:cstheme="minorHAnsi"/>
        </w:rPr>
        <w:t xml:space="preserve"> </w:t>
      </w:r>
      <w:r w:rsidR="00F61648" w:rsidRPr="006815C9">
        <w:rPr>
          <w:rFonts w:cstheme="minorHAnsi"/>
        </w:rPr>
        <w:t>therefore</w:t>
      </w:r>
      <w:r w:rsidR="004035FC">
        <w:rPr>
          <w:rFonts w:cstheme="minorHAnsi"/>
        </w:rPr>
        <w:t>,</w:t>
      </w:r>
      <w:r w:rsidRPr="006815C9">
        <w:rPr>
          <w:rFonts w:cstheme="minorHAnsi"/>
        </w:rPr>
        <w:t xml:space="preserve"> LNG spot price netbacks and domestic prices are not directly comparable in a well-functioning market. </w:t>
      </w:r>
    </w:p>
    <w:p w14:paraId="2B6EA4FB" w14:textId="77777777" w:rsidR="001A4839" w:rsidRPr="006815C9" w:rsidRDefault="001A4839" w:rsidP="001A4839">
      <w:pPr>
        <w:spacing w:after="0" w:line="240" w:lineRule="auto"/>
        <w:rPr>
          <w:rFonts w:cstheme="minorHAnsi"/>
        </w:rPr>
      </w:pPr>
    </w:p>
    <w:p w14:paraId="4EBBFDAF" w14:textId="1A5A574C" w:rsidR="001A4839" w:rsidRPr="006815C9" w:rsidRDefault="001A4839" w:rsidP="001A4839">
      <w:pPr>
        <w:spacing w:after="0" w:line="240" w:lineRule="auto"/>
        <w:rPr>
          <w:rFonts w:cstheme="minorHAnsi"/>
        </w:rPr>
      </w:pPr>
      <w:r w:rsidRPr="006815C9">
        <w:rPr>
          <w:rFonts w:cstheme="minorHAnsi"/>
        </w:rPr>
        <w:t xml:space="preserve">For </w:t>
      </w:r>
      <w:r w:rsidR="00F61648" w:rsidRPr="006815C9">
        <w:rPr>
          <w:rFonts w:cstheme="minorHAnsi"/>
        </w:rPr>
        <w:t>instance</w:t>
      </w:r>
      <w:r w:rsidRPr="006815C9">
        <w:rPr>
          <w:rFonts w:cstheme="minorHAnsi"/>
        </w:rPr>
        <w:t xml:space="preserve">, Origin noted that an LNG netback price does not account for factors such as </w:t>
      </w:r>
      <w:r w:rsidR="00630785">
        <w:rPr>
          <w:rFonts w:cstheme="minorHAnsi"/>
        </w:rPr>
        <w:t>‘</w:t>
      </w:r>
      <w:r w:rsidRPr="006815C9">
        <w:rPr>
          <w:rFonts w:cstheme="minorHAnsi"/>
        </w:rPr>
        <w:t>take-or-pay</w:t>
      </w:r>
      <w:r w:rsidR="00630785">
        <w:rPr>
          <w:rFonts w:cstheme="minorHAnsi"/>
        </w:rPr>
        <w:t>’</w:t>
      </w:r>
      <w:r w:rsidRPr="006815C9">
        <w:rPr>
          <w:rFonts w:cstheme="minorHAnsi"/>
        </w:rPr>
        <w:t xml:space="preserve"> percentages, load factors, transportation arrangements and contract length. Similarly, APPEA noted that </w:t>
      </w:r>
      <w:r w:rsidR="00E33C53" w:rsidRPr="006815C9">
        <w:rPr>
          <w:rFonts w:cstheme="minorHAnsi"/>
        </w:rPr>
        <w:t>‘</w:t>
      </w:r>
      <w:r w:rsidRPr="006815C9">
        <w:rPr>
          <w:rFonts w:cstheme="minorHAnsi"/>
        </w:rPr>
        <w:t xml:space="preserve">LNG netback prices should not be viewed as a benchmark for domestic gas </w:t>
      </w:r>
      <w:r w:rsidR="00E33C53" w:rsidRPr="006815C9">
        <w:rPr>
          <w:rFonts w:cstheme="minorHAnsi"/>
        </w:rPr>
        <w:t>prices’</w:t>
      </w:r>
      <w:r w:rsidRPr="006815C9">
        <w:rPr>
          <w:rFonts w:cstheme="minorHAnsi"/>
        </w:rPr>
        <w:t xml:space="preserve"> and </w:t>
      </w:r>
      <w:r w:rsidR="00E33C53" w:rsidRPr="006815C9">
        <w:rPr>
          <w:rFonts w:cstheme="minorHAnsi"/>
        </w:rPr>
        <w:t>‘</w:t>
      </w:r>
      <w:r w:rsidRPr="006815C9">
        <w:rPr>
          <w:rFonts w:cstheme="minorHAnsi"/>
        </w:rPr>
        <w:t>contract prices vary according to many factors, such as the duration of the contract and the ways risks are shared by buyer and seller</w:t>
      </w:r>
      <w:r w:rsidR="00E33C53" w:rsidRPr="006815C9">
        <w:rPr>
          <w:rFonts w:cstheme="minorHAnsi"/>
        </w:rPr>
        <w:t>’</w:t>
      </w:r>
      <w:r w:rsidRPr="006815C9">
        <w:rPr>
          <w:rFonts w:cstheme="minorHAnsi"/>
        </w:rPr>
        <w:t>. The submissions noted that other factors, such as the seasonal movements in Asian LNG spot prices, also limit the comparability of domestic and international prices.</w:t>
      </w:r>
    </w:p>
    <w:p w14:paraId="1D000DE0" w14:textId="77777777" w:rsidR="001A4839" w:rsidRPr="006815C9" w:rsidRDefault="001A4839" w:rsidP="001A4839">
      <w:pPr>
        <w:spacing w:after="0" w:line="240" w:lineRule="auto"/>
        <w:rPr>
          <w:rFonts w:cstheme="minorHAnsi"/>
        </w:rPr>
      </w:pPr>
    </w:p>
    <w:p w14:paraId="12B6EFEC" w14:textId="16D3B6CF" w:rsidR="00192162" w:rsidRPr="006815C9" w:rsidRDefault="00192162" w:rsidP="00192162">
      <w:pPr>
        <w:spacing w:after="0" w:line="240" w:lineRule="auto"/>
        <w:rPr>
          <w:rFonts w:cstheme="minorHAnsi"/>
        </w:rPr>
      </w:pPr>
      <w:r w:rsidRPr="006815C9">
        <w:rPr>
          <w:rFonts w:cstheme="minorHAnsi"/>
        </w:rPr>
        <w:t>There are a number of issues with incorporating a price trigger into the ADGSM. Prices would still be determined by market forces in the event the ADGSM is triggered, and its activation may not deliver a targeted price level. Also, the ADGSM can restrict exports but it does not require LNG exporters to increase sales to the domestic market</w:t>
      </w:r>
      <w:r w:rsidR="003A33B3" w:rsidRPr="006815C9">
        <w:rPr>
          <w:rFonts w:cstheme="minorHAnsi"/>
        </w:rPr>
        <w:t xml:space="preserve">, </w:t>
      </w:r>
      <w:r w:rsidR="004F11AE" w:rsidRPr="006815C9">
        <w:rPr>
          <w:rFonts w:cstheme="minorHAnsi"/>
        </w:rPr>
        <w:t>nor</w:t>
      </w:r>
      <w:r w:rsidR="003A33B3" w:rsidRPr="006815C9">
        <w:rPr>
          <w:rFonts w:cstheme="minorHAnsi"/>
        </w:rPr>
        <w:t xml:space="preserve"> at a specified price</w:t>
      </w:r>
      <w:r w:rsidRPr="006815C9">
        <w:rPr>
          <w:rFonts w:cstheme="minorHAnsi"/>
        </w:rPr>
        <w:t xml:space="preserve">. It is </w:t>
      </w:r>
      <w:r w:rsidR="003A33B3" w:rsidRPr="006815C9">
        <w:rPr>
          <w:rFonts w:cstheme="minorHAnsi"/>
        </w:rPr>
        <w:t>possible</w:t>
      </w:r>
      <w:r w:rsidRPr="006815C9">
        <w:rPr>
          <w:rFonts w:cstheme="minorHAnsi"/>
        </w:rPr>
        <w:t xml:space="preserve"> that only a small </w:t>
      </w:r>
      <w:r w:rsidR="003A33B3" w:rsidRPr="006815C9">
        <w:rPr>
          <w:rFonts w:cstheme="minorHAnsi"/>
        </w:rPr>
        <w:t>proportion</w:t>
      </w:r>
      <w:r w:rsidRPr="006815C9">
        <w:rPr>
          <w:rFonts w:cstheme="minorHAnsi"/>
        </w:rPr>
        <w:t xml:space="preserve"> of any ADGSM-triggered reduction in exports would </w:t>
      </w:r>
      <w:r w:rsidR="003A33B3" w:rsidRPr="006815C9">
        <w:rPr>
          <w:rFonts w:cstheme="minorHAnsi"/>
        </w:rPr>
        <w:t>flow</w:t>
      </w:r>
      <w:r w:rsidRPr="006815C9">
        <w:rPr>
          <w:rFonts w:cstheme="minorHAnsi"/>
        </w:rPr>
        <w:t xml:space="preserve"> to the domestic market as high-cost production </w:t>
      </w:r>
      <w:r w:rsidR="003A33B3" w:rsidRPr="006815C9">
        <w:rPr>
          <w:rFonts w:cstheme="minorHAnsi"/>
        </w:rPr>
        <w:t>may be</w:t>
      </w:r>
      <w:r w:rsidRPr="006815C9">
        <w:rPr>
          <w:rFonts w:cstheme="minorHAnsi"/>
        </w:rPr>
        <w:t xml:space="preserve"> cancelled or delayed. Further, it does not address other factors affecting prices, such as developments in the electricity market, retailers’ margins</w:t>
      </w:r>
      <w:r w:rsidR="00630785">
        <w:rPr>
          <w:rFonts w:cstheme="minorHAnsi"/>
        </w:rPr>
        <w:t>,</w:t>
      </w:r>
      <w:r w:rsidRPr="006815C9">
        <w:rPr>
          <w:rFonts w:cstheme="minorHAnsi"/>
        </w:rPr>
        <w:t xml:space="preserve"> or constraints around pipeline transportation and capacity.</w:t>
      </w:r>
    </w:p>
    <w:p w14:paraId="0F1EED94" w14:textId="77777777" w:rsidR="00192162" w:rsidRPr="006815C9" w:rsidRDefault="00192162" w:rsidP="00192162">
      <w:pPr>
        <w:spacing w:after="0" w:line="240" w:lineRule="auto"/>
        <w:rPr>
          <w:rFonts w:cstheme="minorHAnsi"/>
        </w:rPr>
      </w:pPr>
    </w:p>
    <w:p w14:paraId="308D0D20" w14:textId="6D551742" w:rsidR="00192162" w:rsidRPr="006815C9" w:rsidRDefault="0090124F" w:rsidP="00192162">
      <w:pPr>
        <w:spacing w:after="0" w:line="240" w:lineRule="auto"/>
        <w:rPr>
          <w:rFonts w:cstheme="minorHAnsi"/>
        </w:rPr>
      </w:pPr>
      <w:r w:rsidRPr="006815C9">
        <w:rPr>
          <w:rFonts w:cstheme="minorHAnsi"/>
        </w:rPr>
        <w:t>Also</w:t>
      </w:r>
      <w:r w:rsidR="00192162" w:rsidRPr="006815C9">
        <w:rPr>
          <w:rFonts w:cstheme="minorHAnsi"/>
        </w:rPr>
        <w:t xml:space="preserve">, there are a variety of factors that make precise comparisons between international LNG prices and domestic gas prices difficult. This would complicate the operation of a price trigger in the ADGSM and </w:t>
      </w:r>
      <w:r w:rsidRPr="006815C9">
        <w:rPr>
          <w:rFonts w:cstheme="minorHAnsi"/>
        </w:rPr>
        <w:t xml:space="preserve">may </w:t>
      </w:r>
      <w:r w:rsidR="00192162" w:rsidRPr="006815C9">
        <w:rPr>
          <w:rFonts w:cstheme="minorHAnsi"/>
        </w:rPr>
        <w:t xml:space="preserve">introduce additional uncertainty about the direction of future domestic gas prices, even if the ADGSM were not activated. </w:t>
      </w:r>
    </w:p>
    <w:p w14:paraId="2E3D4D9B" w14:textId="77777777" w:rsidR="00192162" w:rsidRPr="006815C9" w:rsidRDefault="00192162" w:rsidP="00192162">
      <w:pPr>
        <w:spacing w:after="0" w:line="240" w:lineRule="auto"/>
        <w:rPr>
          <w:rFonts w:cstheme="minorHAnsi"/>
        </w:rPr>
      </w:pPr>
    </w:p>
    <w:p w14:paraId="00D70A01" w14:textId="55710545" w:rsidR="00192162" w:rsidRPr="006815C9" w:rsidRDefault="00192162" w:rsidP="00192162">
      <w:pPr>
        <w:spacing w:after="0" w:line="240" w:lineRule="auto"/>
        <w:rPr>
          <w:rFonts w:eastAsia="Times New Roman" w:cstheme="minorHAnsi"/>
          <w:color w:val="000000"/>
          <w:lang w:eastAsia="en-AU"/>
        </w:rPr>
      </w:pPr>
      <w:r w:rsidRPr="006815C9">
        <w:rPr>
          <w:rFonts w:cstheme="minorHAnsi"/>
        </w:rPr>
        <w:t xml:space="preserve">A price trigger may also impact Australia’s high standing as a reliable LNG supplier and a stable and attractive investment destination. </w:t>
      </w:r>
      <w:r w:rsidR="0090124F" w:rsidRPr="006815C9">
        <w:rPr>
          <w:rFonts w:eastAsia="Times New Roman" w:cstheme="minorHAnsi"/>
          <w:color w:val="000000"/>
          <w:lang w:eastAsia="en-AU"/>
        </w:rPr>
        <w:t>C</w:t>
      </w:r>
      <w:r w:rsidRPr="006815C9">
        <w:rPr>
          <w:rFonts w:eastAsia="Times New Roman" w:cstheme="minorHAnsi"/>
          <w:color w:val="000000"/>
          <w:lang w:eastAsia="en-AU"/>
        </w:rPr>
        <w:t xml:space="preserve">ompanies that invest in </w:t>
      </w:r>
      <w:r w:rsidR="0090124F" w:rsidRPr="006815C9">
        <w:rPr>
          <w:rFonts w:eastAsia="Times New Roman" w:cstheme="minorHAnsi"/>
          <w:color w:val="000000"/>
          <w:lang w:eastAsia="en-AU"/>
        </w:rPr>
        <w:t xml:space="preserve">long term projects will seek a level of certainty and stability that there will not be changes to regulatory or operating frameworks which could undermine their </w:t>
      </w:r>
      <w:r w:rsidRPr="006815C9">
        <w:rPr>
          <w:rFonts w:eastAsia="Times New Roman" w:cstheme="minorHAnsi"/>
          <w:color w:val="000000"/>
          <w:lang w:eastAsia="en-AU"/>
        </w:rPr>
        <w:t>investment</w:t>
      </w:r>
      <w:r w:rsidR="0090124F" w:rsidRPr="006815C9">
        <w:rPr>
          <w:rFonts w:eastAsia="Times New Roman" w:cstheme="minorHAnsi"/>
          <w:color w:val="000000"/>
          <w:lang w:eastAsia="en-AU"/>
        </w:rPr>
        <w:t>s</w:t>
      </w:r>
      <w:r w:rsidRPr="006815C9">
        <w:rPr>
          <w:rFonts w:eastAsia="Times New Roman" w:cstheme="minorHAnsi"/>
          <w:color w:val="000000"/>
          <w:lang w:eastAsia="en-AU"/>
        </w:rPr>
        <w:t>.</w:t>
      </w:r>
    </w:p>
    <w:p w14:paraId="54A781E8" w14:textId="77777777" w:rsidR="00192162" w:rsidRPr="006815C9" w:rsidRDefault="00192162" w:rsidP="00192162">
      <w:pPr>
        <w:spacing w:after="0" w:line="240" w:lineRule="auto"/>
      </w:pPr>
    </w:p>
    <w:p w14:paraId="392F8E4E" w14:textId="77777777" w:rsidR="00192162" w:rsidRPr="006815C9" w:rsidRDefault="00192162" w:rsidP="00192162">
      <w:pPr>
        <w:spacing w:after="0" w:line="240" w:lineRule="auto"/>
        <w:rPr>
          <w:rFonts w:cstheme="minorHAnsi"/>
        </w:rPr>
      </w:pPr>
      <w:r w:rsidRPr="006815C9">
        <w:lastRenderedPageBreak/>
        <w:t>More generally, t</w:t>
      </w:r>
      <w:r w:rsidRPr="006815C9">
        <w:rPr>
          <w:rFonts w:cstheme="minorHAnsi"/>
        </w:rPr>
        <w:t>he introduction of a price trigger has the potential to cause unintended consequences. In a market economy, prices play a crucial role. They indicate relative commodity values, transmit information about market conditions and help match supply to demand. The introduction of a price trigger could impede these functions. Limiting prices in the short-term has the potential to stifle incentives to invest in new production longer term.</w:t>
      </w:r>
    </w:p>
    <w:p w14:paraId="0234B4EA" w14:textId="3D4DF8DF" w:rsidR="001A4839" w:rsidRPr="006815C9" w:rsidRDefault="001A4839" w:rsidP="00FC7CC3">
      <w:pPr>
        <w:spacing w:after="0" w:line="240" w:lineRule="auto"/>
      </w:pPr>
      <w:bookmarkStart w:id="1085" w:name="_Toc19281144"/>
      <w:bookmarkEnd w:id="1085"/>
    </w:p>
    <w:p w14:paraId="2438671D" w14:textId="77777777" w:rsidR="00FA67E2" w:rsidRDefault="00FA67E2">
      <w:pPr>
        <w:rPr>
          <w:rFonts w:asciiTheme="majorHAnsi" w:eastAsiaTheme="majorEastAsia" w:hAnsiTheme="majorHAnsi" w:cstheme="majorBidi"/>
          <w:color w:val="2E74B5" w:themeColor="accent1" w:themeShade="BF"/>
          <w:sz w:val="32"/>
          <w:szCs w:val="32"/>
        </w:rPr>
      </w:pPr>
      <w:bookmarkStart w:id="1086" w:name="_Toc19537972"/>
      <w:bookmarkStart w:id="1087" w:name="_Toc19545377"/>
      <w:bookmarkStart w:id="1088" w:name="_Toc19611850"/>
      <w:bookmarkStart w:id="1089" w:name="_Toc19628604"/>
      <w:bookmarkStart w:id="1090" w:name="_Toc19628644"/>
      <w:bookmarkStart w:id="1091" w:name="_Toc19717449"/>
      <w:bookmarkStart w:id="1092" w:name="_Toc19720136"/>
      <w:bookmarkStart w:id="1093" w:name="_Toc19789979"/>
      <w:bookmarkStart w:id="1094" w:name="_Toc19803049"/>
      <w:bookmarkStart w:id="1095" w:name="_Toc19804096"/>
      <w:bookmarkStart w:id="1096" w:name="_Toc19804296"/>
      <w:bookmarkStart w:id="1097" w:name="_Toc19804542"/>
      <w:bookmarkStart w:id="1098" w:name="_Toc19888546"/>
      <w:bookmarkStart w:id="1099" w:name="_Toc19889173"/>
      <w:bookmarkStart w:id="1100" w:name="_Toc20232947"/>
      <w:bookmarkStart w:id="1101" w:name="_Toc20237757"/>
      <w:bookmarkStart w:id="1102" w:name="_Toc20322043"/>
      <w:bookmarkStart w:id="1103" w:name="_Toc20322461"/>
      <w:bookmarkStart w:id="1104" w:name="_Toc20398027"/>
      <w:bookmarkStart w:id="1105" w:name="_Toc20401028"/>
      <w:bookmarkStart w:id="1106" w:name="_Toc20410666"/>
      <w:bookmarkStart w:id="1107" w:name="_Toc20412192"/>
      <w:bookmarkStart w:id="1108" w:name="_Toc20469285"/>
      <w:bookmarkStart w:id="1109" w:name="_Toc21705362"/>
      <w:r>
        <w:br w:type="page"/>
      </w:r>
    </w:p>
    <w:p w14:paraId="1AAE7249" w14:textId="4955B822" w:rsidR="00385148" w:rsidRPr="006815C9" w:rsidRDefault="007F13DB" w:rsidP="008B6F4A">
      <w:pPr>
        <w:pStyle w:val="Heading1"/>
      </w:pPr>
      <w:bookmarkStart w:id="1110" w:name="_Toc26349940"/>
      <w:bookmarkStart w:id="1111" w:name="_Toc26448256"/>
      <w:bookmarkStart w:id="1112" w:name="_Toc26454538"/>
      <w:bookmarkStart w:id="1113" w:name="_Toc29823327"/>
      <w:r w:rsidRPr="006815C9">
        <w:lastRenderedPageBreak/>
        <w:t>Conclusion</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0037475E">
        <w:t xml:space="preserve"> and Recommendations</w:t>
      </w:r>
      <w:bookmarkEnd w:id="962"/>
      <w:bookmarkEnd w:id="963"/>
      <w:bookmarkEnd w:id="964"/>
      <w:bookmarkEnd w:id="965"/>
      <w:bookmarkEnd w:id="1110"/>
      <w:bookmarkEnd w:id="1111"/>
      <w:bookmarkEnd w:id="1112"/>
      <w:bookmarkEnd w:id="1113"/>
    </w:p>
    <w:p w14:paraId="077E7A1E" w14:textId="69423EAB" w:rsidR="00247575" w:rsidRPr="006815C9" w:rsidRDefault="007F13DB" w:rsidP="007F13DB">
      <w:r w:rsidRPr="006815C9">
        <w:t xml:space="preserve">Since the ADGSM’s introduction in 2017, pressures in the </w:t>
      </w:r>
      <w:r w:rsidR="009C3FA8" w:rsidRPr="006815C9">
        <w:t>eastern gas market</w:t>
      </w:r>
      <w:r w:rsidRPr="006815C9">
        <w:t xml:space="preserve"> have moderated. </w:t>
      </w:r>
      <w:r w:rsidR="00247575" w:rsidRPr="006815C9">
        <w:t>It is important to note the ADGSM is not a price control mechanism</w:t>
      </w:r>
      <w:r w:rsidR="0013623D" w:rsidRPr="006815C9">
        <w:t>, but rather aims to e</w:t>
      </w:r>
      <w:r w:rsidR="00247575" w:rsidRPr="006815C9">
        <w:t>nsur</w:t>
      </w:r>
      <w:r w:rsidR="0013623D" w:rsidRPr="006815C9">
        <w:t>e</w:t>
      </w:r>
      <w:r w:rsidR="00247575" w:rsidRPr="006815C9">
        <w:t xml:space="preserve"> domestic supply is not compromised by LNG exports. </w:t>
      </w:r>
      <w:r w:rsidR="005F5EDC" w:rsidRPr="006815C9">
        <w:t>Increasing</w:t>
      </w:r>
      <w:r w:rsidR="00247575" w:rsidRPr="006815C9">
        <w:t xml:space="preserve"> domestic gas </w:t>
      </w:r>
      <w:r w:rsidR="0013623D" w:rsidRPr="006815C9">
        <w:t>production</w:t>
      </w:r>
      <w:r w:rsidR="00247575" w:rsidRPr="006815C9">
        <w:t xml:space="preserve"> </w:t>
      </w:r>
      <w:r w:rsidR="005F5EDC" w:rsidRPr="006815C9">
        <w:t>remains</w:t>
      </w:r>
      <w:r w:rsidR="00247575" w:rsidRPr="006815C9">
        <w:t xml:space="preserve"> the </w:t>
      </w:r>
      <w:r w:rsidR="005F5EDC" w:rsidRPr="006815C9">
        <w:t xml:space="preserve">most effective </w:t>
      </w:r>
      <w:r w:rsidR="0013623D" w:rsidRPr="006815C9">
        <w:t>means</w:t>
      </w:r>
      <w:r w:rsidR="00247575" w:rsidRPr="006815C9">
        <w:t xml:space="preserve"> of </w:t>
      </w:r>
      <w:r w:rsidR="005F5EDC" w:rsidRPr="006815C9">
        <w:t xml:space="preserve">increasing competition, </w:t>
      </w:r>
      <w:r w:rsidR="00247575" w:rsidRPr="006815C9">
        <w:t xml:space="preserve">alleviating market tightness and </w:t>
      </w:r>
      <w:r w:rsidR="005F5EDC" w:rsidRPr="006815C9">
        <w:t>placing</w:t>
      </w:r>
      <w:r w:rsidR="00247575" w:rsidRPr="006815C9">
        <w:t xml:space="preserve"> downward pressure on prices.</w:t>
      </w:r>
    </w:p>
    <w:p w14:paraId="40EBF5A2" w14:textId="52848DC6" w:rsidR="007F13DB" w:rsidRPr="006815C9" w:rsidRDefault="007F13DB" w:rsidP="007F13DB">
      <w:r w:rsidRPr="006815C9">
        <w:t>The gas market and underlying supply chain</w:t>
      </w:r>
      <w:r w:rsidR="005F5EDC" w:rsidRPr="006815C9">
        <w:t>s</w:t>
      </w:r>
      <w:r w:rsidRPr="006815C9">
        <w:t xml:space="preserve"> are complex</w:t>
      </w:r>
      <w:r w:rsidR="00F34289" w:rsidRPr="006815C9">
        <w:t xml:space="preserve"> with</w:t>
      </w:r>
      <w:r w:rsidRPr="006815C9">
        <w:t xml:space="preserve"> a range of factors</w:t>
      </w:r>
      <w:r w:rsidR="00F34289" w:rsidRPr="006815C9">
        <w:t xml:space="preserve"> affecting market outcomes</w:t>
      </w:r>
      <w:r w:rsidRPr="006815C9">
        <w:t xml:space="preserve">. These complexities are reflected </w:t>
      </w:r>
      <w:r w:rsidR="00165124" w:rsidRPr="006815C9">
        <w:t xml:space="preserve">in </w:t>
      </w:r>
      <w:r w:rsidRPr="006815C9">
        <w:t xml:space="preserve">Australian governments’ </w:t>
      </w:r>
      <w:r w:rsidR="009E517F" w:rsidRPr="006815C9">
        <w:t xml:space="preserve">extensive </w:t>
      </w:r>
      <w:r w:rsidRPr="006815C9">
        <w:t xml:space="preserve">gas market reform agenda. It is difficult to quantify the impact of specific factors and reforms on </w:t>
      </w:r>
      <w:r w:rsidR="00F34289" w:rsidRPr="006815C9">
        <w:t xml:space="preserve">the </w:t>
      </w:r>
      <w:r w:rsidRPr="006815C9">
        <w:t xml:space="preserve">market, including </w:t>
      </w:r>
      <w:r w:rsidR="00F34289" w:rsidRPr="006815C9">
        <w:t>for</w:t>
      </w:r>
      <w:r w:rsidRPr="006815C9">
        <w:t xml:space="preserve"> the ADGSM. However, the improvement in the domestic supply outlook and subsequent market conditions </w:t>
      </w:r>
      <w:r w:rsidR="00F34289" w:rsidRPr="006815C9">
        <w:t>is at least partly credited</w:t>
      </w:r>
      <w:r w:rsidRPr="006815C9">
        <w:t xml:space="preserve"> </w:t>
      </w:r>
      <w:r w:rsidR="00165124" w:rsidRPr="006815C9">
        <w:t xml:space="preserve">to </w:t>
      </w:r>
      <w:r w:rsidRPr="006815C9">
        <w:t>the ADGSM</w:t>
      </w:r>
      <w:r w:rsidR="00F34289" w:rsidRPr="006815C9">
        <w:t xml:space="preserve"> – this has been acknowledged by </w:t>
      </w:r>
      <w:r w:rsidR="00165124" w:rsidRPr="006815C9">
        <w:t>energy</w:t>
      </w:r>
      <w:r w:rsidRPr="006815C9">
        <w:t xml:space="preserve"> market bodies and regulators (AEMO, AER and ACCC).</w:t>
      </w:r>
    </w:p>
    <w:p w14:paraId="373B2956" w14:textId="20DC66C6" w:rsidR="007F13DB" w:rsidRPr="006815C9" w:rsidRDefault="007F13DB" w:rsidP="007F13DB">
      <w:r w:rsidRPr="006815C9">
        <w:t xml:space="preserve">Submissions to this review have ranged from the general view of gas producers that the ADGSM is no longer required, to calls from gas users for stronger interventions in the gas market. </w:t>
      </w:r>
      <w:r w:rsidR="00F34289" w:rsidRPr="006815C9">
        <w:t>B</w:t>
      </w:r>
      <w:r w:rsidRPr="006815C9">
        <w:t xml:space="preserve">oth gas users and producers </w:t>
      </w:r>
      <w:r w:rsidR="00F34289" w:rsidRPr="006815C9">
        <w:t xml:space="preserve">have acknowledged </w:t>
      </w:r>
      <w:r w:rsidRPr="006815C9">
        <w:t>the ADGSM</w:t>
      </w:r>
      <w:r w:rsidR="00F34289" w:rsidRPr="006815C9">
        <w:t>’s effectiveness</w:t>
      </w:r>
      <w:r w:rsidRPr="006815C9">
        <w:t xml:space="preserve"> in </w:t>
      </w:r>
      <w:r w:rsidR="00F34289" w:rsidRPr="006815C9">
        <w:t>encouraging</w:t>
      </w:r>
      <w:r w:rsidRPr="006815C9">
        <w:t xml:space="preserve"> more domestic supply</w:t>
      </w:r>
      <w:r w:rsidR="00F34289" w:rsidRPr="006815C9">
        <w:t xml:space="preserve"> and recognised that it</w:t>
      </w:r>
      <w:r w:rsidRPr="006815C9">
        <w:t xml:space="preserve"> is </w:t>
      </w:r>
      <w:r w:rsidR="005F5EDC" w:rsidRPr="006815C9">
        <w:t xml:space="preserve">only </w:t>
      </w:r>
      <w:r w:rsidRPr="006815C9">
        <w:t xml:space="preserve">one of </w:t>
      </w:r>
      <w:r w:rsidR="00F34289" w:rsidRPr="006815C9">
        <w:t xml:space="preserve">a </w:t>
      </w:r>
      <w:r w:rsidRPr="006815C9">
        <w:t xml:space="preserve">suite of reforms </w:t>
      </w:r>
      <w:r w:rsidR="00F34289" w:rsidRPr="006815C9">
        <w:t>aimed at addressing</w:t>
      </w:r>
      <w:r w:rsidRPr="006815C9">
        <w:t xml:space="preserve"> gas market pressures.</w:t>
      </w:r>
    </w:p>
    <w:p w14:paraId="797E6409" w14:textId="77777777" w:rsidR="00C85132" w:rsidRDefault="00043EA6" w:rsidP="007F13DB">
      <w:r w:rsidRPr="00043EA6">
        <w:rPr>
          <w:b/>
        </w:rPr>
        <w:t>Recommendations:</w:t>
      </w:r>
      <w:r>
        <w:t xml:space="preserve"> </w:t>
      </w:r>
    </w:p>
    <w:p w14:paraId="3CFCB424" w14:textId="55FD9C66" w:rsidR="0037475E" w:rsidRDefault="008E7C7E" w:rsidP="00C85132">
      <w:pPr>
        <w:pStyle w:val="ListParagraph"/>
        <w:numPr>
          <w:ilvl w:val="0"/>
          <w:numId w:val="25"/>
        </w:numPr>
      </w:pPr>
      <w:r w:rsidRPr="008E7C7E">
        <w:t>The ADGSM was introduced as a temporary measure alongside a broad suite of gas market reforms aimed at addressing market pressures.</w:t>
      </w:r>
      <w:r>
        <w:t xml:space="preserve"> </w:t>
      </w:r>
      <w:r w:rsidR="0037475E" w:rsidRPr="0037475E">
        <w:t xml:space="preserve">While there have been clear improvements in the eastern gas market, the market remains uncertain and persisting pressures still need to be addressed. </w:t>
      </w:r>
      <w:r w:rsidRPr="001B4F59">
        <w:rPr>
          <w:i/>
        </w:rPr>
        <w:t>As such, the review recommends retaining the ADGSM until its scheduled cessation in 2023.</w:t>
      </w:r>
    </w:p>
    <w:p w14:paraId="2263493E" w14:textId="77777777" w:rsidR="00C85132" w:rsidRPr="006815C9" w:rsidRDefault="00C85132" w:rsidP="00C85132">
      <w:pPr>
        <w:pStyle w:val="ListParagraph"/>
      </w:pPr>
    </w:p>
    <w:p w14:paraId="1EBA2074" w14:textId="1286F110" w:rsidR="005A36D2" w:rsidRPr="004379D5" w:rsidRDefault="005A36D2" w:rsidP="004379D5">
      <w:pPr>
        <w:pStyle w:val="ListParagraph"/>
        <w:numPr>
          <w:ilvl w:val="0"/>
          <w:numId w:val="25"/>
        </w:numPr>
        <w:rPr>
          <w:i/>
        </w:rPr>
      </w:pPr>
      <w:r w:rsidRPr="006815C9">
        <w:t xml:space="preserve">Whilst the ADGSM has worked well to date, it is important to ensure its effectiveness </w:t>
      </w:r>
      <w:r>
        <w:t>should it be required</w:t>
      </w:r>
      <w:r w:rsidRPr="006815C9">
        <w:t xml:space="preserve">. This review has examined the </w:t>
      </w:r>
      <w:r>
        <w:t>Total Market Security Obligation (</w:t>
      </w:r>
      <w:r w:rsidRPr="006815C9">
        <w:t>TMSO</w:t>
      </w:r>
      <w:r>
        <w:t>)</w:t>
      </w:r>
      <w:r w:rsidRPr="006815C9">
        <w:t xml:space="preserve"> and found that it may not be able to recover sufficient domestic gas to address a market shortfall. </w:t>
      </w:r>
      <w:r w:rsidRPr="004379D5">
        <w:rPr>
          <w:i/>
        </w:rPr>
        <w:t>As such</w:t>
      </w:r>
      <w:r w:rsidR="006F429A" w:rsidRPr="004379D5">
        <w:rPr>
          <w:i/>
        </w:rPr>
        <w:t>,</w:t>
      </w:r>
      <w:r w:rsidRPr="004379D5">
        <w:rPr>
          <w:i/>
        </w:rPr>
        <w:t xml:space="preserve"> the review recommends consideration be given to changing the TMSO from the current ‘net-deficit’ test to a ‘50/50’ hybrid model which allocates:</w:t>
      </w:r>
      <w:r w:rsidRPr="004379D5">
        <w:rPr>
          <w:i/>
          <w:sz w:val="8"/>
        </w:rPr>
        <w:t xml:space="preserve"> </w:t>
      </w:r>
    </w:p>
    <w:p w14:paraId="657BC0B4" w14:textId="77777777" w:rsidR="005A36D2" w:rsidRPr="001B4F59" w:rsidRDefault="005A36D2" w:rsidP="005A36D2">
      <w:pPr>
        <w:pStyle w:val="ListParagraph"/>
        <w:rPr>
          <w:i/>
          <w:sz w:val="12"/>
        </w:rPr>
      </w:pPr>
    </w:p>
    <w:p w14:paraId="579CACEE" w14:textId="77777777" w:rsidR="005A36D2" w:rsidRPr="001B4F59" w:rsidRDefault="005A36D2" w:rsidP="005A36D2">
      <w:pPr>
        <w:pStyle w:val="ListParagraph"/>
        <w:numPr>
          <w:ilvl w:val="1"/>
          <w:numId w:val="29"/>
        </w:numPr>
        <w:rPr>
          <w:i/>
        </w:rPr>
      </w:pPr>
      <w:r w:rsidRPr="001B4F59">
        <w:rPr>
          <w:i/>
        </w:rPr>
        <w:t>half of the identified shortfall volume to applicable LNG projects on a pro-rata basis against LNG production capacity, and</w:t>
      </w:r>
    </w:p>
    <w:p w14:paraId="30A303BF" w14:textId="1CD482F7" w:rsidR="005A36D2" w:rsidRDefault="005A36D2" w:rsidP="005A36D2">
      <w:pPr>
        <w:pStyle w:val="ListParagraph"/>
        <w:numPr>
          <w:ilvl w:val="1"/>
          <w:numId w:val="29"/>
        </w:numPr>
      </w:pPr>
      <w:r w:rsidRPr="001B4F59">
        <w:rPr>
          <w:i/>
        </w:rPr>
        <w:t xml:space="preserve">the remaining half of the shortfall </w:t>
      </w:r>
      <w:r w:rsidR="008E6A7F" w:rsidRPr="001B4F59">
        <w:rPr>
          <w:i/>
        </w:rPr>
        <w:t xml:space="preserve">split in a way that is </w:t>
      </w:r>
      <w:r w:rsidRPr="001B4F59">
        <w:rPr>
          <w:i/>
        </w:rPr>
        <w:t>inversely proportional to the domestic gas contributed by each project.</w:t>
      </w:r>
    </w:p>
    <w:p w14:paraId="78D395B1" w14:textId="77777777" w:rsidR="005A36D2" w:rsidRPr="00E844E4" w:rsidRDefault="005A36D2" w:rsidP="005A36D2">
      <w:pPr>
        <w:pStyle w:val="ListParagraph"/>
        <w:rPr>
          <w:sz w:val="12"/>
        </w:rPr>
      </w:pPr>
    </w:p>
    <w:p w14:paraId="6822A94D" w14:textId="77777777" w:rsidR="005A36D2" w:rsidRDefault="005A36D2" w:rsidP="005A36D2">
      <w:pPr>
        <w:pStyle w:val="ListParagraph"/>
      </w:pPr>
      <w:r>
        <w:t>Any change to the TMSO would be developed in consultation with industry and other affected stakeholders to avoid any unintended consequences. The Government’s intent remains to ensure domestic market security while continuing to attract investment in gas exploration and development and remain a reliable LNG supplier.</w:t>
      </w:r>
    </w:p>
    <w:p w14:paraId="7EDB348B" w14:textId="06439AE1" w:rsidR="004379D5" w:rsidRDefault="004379D5" w:rsidP="005A36D2">
      <w:pPr>
        <w:pStyle w:val="ListParagraph"/>
      </w:pPr>
    </w:p>
    <w:p w14:paraId="563C77B0" w14:textId="293AD900" w:rsidR="008641E8" w:rsidRPr="008641E8" w:rsidRDefault="00BC7A28" w:rsidP="008641E8">
      <w:pPr>
        <w:pStyle w:val="ListParagraph"/>
        <w:numPr>
          <w:ilvl w:val="0"/>
          <w:numId w:val="25"/>
        </w:numPr>
      </w:pPr>
      <w:r w:rsidRPr="00BC7A28">
        <w:t>The review recognises that price is an important indicator in establishing whether the domestic market is functioning effectively</w:t>
      </w:r>
      <w:r w:rsidR="00CF7F89">
        <w:t xml:space="preserve"> and</w:t>
      </w:r>
      <w:r w:rsidR="008641E8" w:rsidRPr="008641E8">
        <w:t xml:space="preserve"> considers that the ACCC’s forward LNG netback </w:t>
      </w:r>
      <w:r w:rsidRPr="00BC7A28">
        <w:t xml:space="preserve">price series is the most applicable prices when estimating the likelihood and extent of a potential shortfall. </w:t>
      </w:r>
      <w:r w:rsidRPr="00E1602B">
        <w:rPr>
          <w:i/>
        </w:rPr>
        <w:t>As such, the review recommends amending the ADGSM’s guidelines to include referencing the ACCC’s LNG netback price series in estimating a potential shortfall.</w:t>
      </w:r>
      <w:r w:rsidRPr="00BC7A28">
        <w:t xml:space="preserve"> This amendment clarifies the relevance of the ACCC’s LNG netback price series to </w:t>
      </w:r>
      <w:r w:rsidRPr="00BC7A28">
        <w:lastRenderedPageBreak/>
        <w:t>considerations under the ADGSM and strengthens the ADGSM’s ability to deliver on its objective of securing domestic gas supply</w:t>
      </w:r>
      <w:r>
        <w:t>.</w:t>
      </w:r>
    </w:p>
    <w:p w14:paraId="59E5120A" w14:textId="7CAC74F9" w:rsidR="00FA0273" w:rsidRDefault="00FA0273" w:rsidP="00BE09EE"/>
    <w:sectPr w:rsidR="00FA0273" w:rsidSect="00F915F2">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6A44" w14:textId="77777777" w:rsidR="004B5604" w:rsidRDefault="004B5604" w:rsidP="00676C2B">
      <w:pPr>
        <w:spacing w:after="0" w:line="240" w:lineRule="auto"/>
      </w:pPr>
      <w:r>
        <w:separator/>
      </w:r>
    </w:p>
  </w:endnote>
  <w:endnote w:type="continuationSeparator" w:id="0">
    <w:p w14:paraId="7153AEB6" w14:textId="77777777" w:rsidR="004B5604" w:rsidRDefault="004B5604" w:rsidP="00676C2B">
      <w:pPr>
        <w:spacing w:after="0" w:line="240" w:lineRule="auto"/>
      </w:pPr>
      <w:r>
        <w:continuationSeparator/>
      </w:r>
    </w:p>
  </w:endnote>
  <w:endnote w:type="continuationNotice" w:id="1">
    <w:p w14:paraId="03E12EA7" w14:textId="77777777" w:rsidR="004B5604" w:rsidRDefault="004B5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152598016"/>
      <w:docPartObj>
        <w:docPartGallery w:val="Page Numbers (Bottom of Page)"/>
        <w:docPartUnique/>
      </w:docPartObj>
    </w:sdtPr>
    <w:sdtEndPr/>
    <w:sdtContent>
      <w:p w14:paraId="20245F77" w14:textId="59FE0763" w:rsidR="004B5604" w:rsidRPr="00B37596" w:rsidRDefault="004B5604" w:rsidP="00B37596">
        <w:pPr>
          <w:pStyle w:val="Footer"/>
          <w:jc w:val="center"/>
          <w:rPr>
            <w:rFonts w:ascii="Arial" w:hAnsi="Arial" w:cs="Arial"/>
            <w:sz w:val="18"/>
            <w:szCs w:val="18"/>
          </w:rPr>
        </w:pPr>
        <w:r w:rsidRPr="00B37596">
          <w:rPr>
            <w:rFonts w:ascii="Arial" w:hAnsi="Arial" w:cs="Arial"/>
            <w:sz w:val="18"/>
            <w:szCs w:val="18"/>
          </w:rPr>
          <w:t xml:space="preserve">Review of the ADGSM </w:t>
        </w:r>
        <w:r w:rsidRPr="00B37596">
          <w:rPr>
            <w:rFonts w:ascii="Arial" w:hAnsi="Arial" w:cs="Arial"/>
            <w:sz w:val="18"/>
            <w:szCs w:val="18"/>
          </w:rPr>
          <w:tab/>
        </w:r>
        <w:r w:rsidRPr="00B37596">
          <w:rPr>
            <w:rFonts w:ascii="Arial" w:eastAsia="Calibri" w:hAnsi="Arial" w:cs="Arial"/>
            <w:sz w:val="18"/>
            <w:szCs w:val="18"/>
          </w:rPr>
          <w:t>industry.gov.au</w:t>
        </w:r>
        <w:r w:rsidRPr="00B37596">
          <w:rPr>
            <w:rFonts w:ascii="Arial" w:hAnsi="Arial" w:cs="Arial"/>
            <w:sz w:val="18"/>
            <w:szCs w:val="18"/>
          </w:rPr>
          <w:tab/>
        </w:r>
        <w:r w:rsidRPr="00B37596">
          <w:rPr>
            <w:rFonts w:ascii="Arial" w:hAnsi="Arial" w:cs="Arial"/>
            <w:sz w:val="18"/>
            <w:szCs w:val="18"/>
          </w:rPr>
          <w:fldChar w:fldCharType="begin"/>
        </w:r>
        <w:r>
          <w:instrText xml:space="preserve"> PAGE   \* MERGEFORMAT </w:instrText>
        </w:r>
        <w:r w:rsidRPr="00B37596">
          <w:rPr>
            <w:rFonts w:ascii="Arial" w:hAnsi="Arial" w:cs="Arial"/>
            <w:sz w:val="18"/>
            <w:szCs w:val="18"/>
          </w:rPr>
          <w:fldChar w:fldCharType="separate"/>
        </w:r>
        <w:r w:rsidR="00E41BD3">
          <w:rPr>
            <w:noProof/>
          </w:rPr>
          <w:t>7</w:t>
        </w:r>
        <w:r w:rsidRPr="00B37596">
          <w:rPr>
            <w:rFonts w:ascii="Arial" w:hAnsi="Arial" w:cs="Arial"/>
            <w:sz w:val="18"/>
            <w:szCs w:val="18"/>
          </w:rPr>
          <w:fldChar w:fldCharType="end"/>
        </w:r>
      </w:p>
    </w:sdtContent>
  </w:sdt>
  <w:p w14:paraId="5422BD76" w14:textId="77777777" w:rsidR="004B5604" w:rsidRDefault="004B5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62BF" w14:textId="77777777" w:rsidR="004B5604" w:rsidRDefault="004B5604" w:rsidP="00676C2B">
      <w:pPr>
        <w:spacing w:after="0" w:line="240" w:lineRule="auto"/>
      </w:pPr>
      <w:r>
        <w:separator/>
      </w:r>
    </w:p>
  </w:footnote>
  <w:footnote w:type="continuationSeparator" w:id="0">
    <w:p w14:paraId="4A4AB9B5" w14:textId="77777777" w:rsidR="004B5604" w:rsidRDefault="004B5604" w:rsidP="00676C2B">
      <w:pPr>
        <w:spacing w:after="0" w:line="240" w:lineRule="auto"/>
      </w:pPr>
      <w:r>
        <w:continuationSeparator/>
      </w:r>
    </w:p>
  </w:footnote>
  <w:footnote w:type="continuationNotice" w:id="1">
    <w:p w14:paraId="6F12E10D" w14:textId="77777777" w:rsidR="004B5604" w:rsidRDefault="004B5604">
      <w:pPr>
        <w:spacing w:after="0" w:line="240" w:lineRule="auto"/>
      </w:pPr>
    </w:p>
  </w:footnote>
  <w:footnote w:id="2">
    <w:p w14:paraId="083F22DA" w14:textId="3AF21092" w:rsidR="004B5604" w:rsidRPr="00D87AFE" w:rsidRDefault="004B5604">
      <w:pPr>
        <w:pStyle w:val="FootnoteText"/>
        <w:rPr>
          <w:sz w:val="16"/>
          <w:szCs w:val="16"/>
        </w:rPr>
      </w:pPr>
      <w:r w:rsidRPr="00D87AFE">
        <w:rPr>
          <w:rStyle w:val="FootnoteReference"/>
          <w:sz w:val="16"/>
          <w:szCs w:val="16"/>
        </w:rPr>
        <w:footnoteRef/>
      </w:r>
      <w:r w:rsidRPr="00D87AFE">
        <w:rPr>
          <w:sz w:val="16"/>
          <w:szCs w:val="16"/>
        </w:rPr>
        <w:t xml:space="preserve"> ACCC, </w:t>
      </w:r>
      <w:r w:rsidRPr="00D87AFE">
        <w:rPr>
          <w:i/>
          <w:iCs/>
          <w:sz w:val="16"/>
          <w:szCs w:val="16"/>
        </w:rPr>
        <w:t>Gas Inquiry 2017–2020 Interim Report</w:t>
      </w:r>
      <w:r w:rsidRPr="00D87AFE">
        <w:rPr>
          <w:sz w:val="16"/>
          <w:szCs w:val="16"/>
        </w:rPr>
        <w:t>, September 2017, p. 66.</w:t>
      </w:r>
    </w:p>
  </w:footnote>
  <w:footnote w:id="3">
    <w:p w14:paraId="7D499446" w14:textId="07F1B67A" w:rsidR="004B5604" w:rsidRPr="00240C8D" w:rsidRDefault="004B5604" w:rsidP="00EF459B">
      <w:pPr>
        <w:pStyle w:val="Footnote"/>
      </w:pPr>
      <w:r w:rsidRPr="00BE31DA">
        <w:rPr>
          <w:rStyle w:val="FootnoteReference"/>
        </w:rPr>
        <w:footnoteRef/>
      </w:r>
      <w:r w:rsidRPr="00BE31DA">
        <w:t xml:space="preserve"> </w:t>
      </w:r>
      <w:r>
        <w:t xml:space="preserve">AER, </w:t>
      </w:r>
      <w:r w:rsidRPr="00240C8D">
        <w:rPr>
          <w:i/>
        </w:rPr>
        <w:t>State of the Energy Market 2018</w:t>
      </w:r>
      <w:r>
        <w:t xml:space="preserve">, December 2018, p. 180. </w:t>
      </w:r>
    </w:p>
  </w:footnote>
  <w:footnote w:id="4">
    <w:p w14:paraId="28095A77" w14:textId="3E2F3406" w:rsidR="004B5604" w:rsidRPr="000362D7" w:rsidRDefault="004B5604" w:rsidP="00EF459B">
      <w:pPr>
        <w:pStyle w:val="Footnote"/>
        <w:rPr>
          <w:i/>
        </w:rPr>
      </w:pPr>
      <w:r w:rsidRPr="000362D7">
        <w:rPr>
          <w:rStyle w:val="FootnoteReference"/>
        </w:rPr>
        <w:footnoteRef/>
      </w:r>
      <w:r w:rsidRPr="000362D7">
        <w:t xml:space="preserve"> ACCC, </w:t>
      </w:r>
      <w:r w:rsidRPr="000362D7">
        <w:rPr>
          <w:i/>
        </w:rPr>
        <w:t>Gas Inquiry 2017-2020</w:t>
      </w:r>
      <w:r>
        <w:rPr>
          <w:i/>
        </w:rPr>
        <w:t xml:space="preserve"> Interim Report</w:t>
      </w:r>
      <w:r w:rsidRPr="000362D7">
        <w:rPr>
          <w:i/>
        </w:rPr>
        <w:t xml:space="preserve">, </w:t>
      </w:r>
      <w:r w:rsidRPr="000362D7">
        <w:t>September 2017, p. 19</w:t>
      </w:r>
      <w:r>
        <w:t>.</w:t>
      </w:r>
    </w:p>
  </w:footnote>
  <w:footnote w:id="5">
    <w:p w14:paraId="3DCC1030" w14:textId="721179BE" w:rsidR="004B5604" w:rsidRPr="005A179A" w:rsidRDefault="004B5604" w:rsidP="00EF459B">
      <w:pPr>
        <w:pStyle w:val="Footnote"/>
      </w:pPr>
      <w:r w:rsidRPr="00BE31DA">
        <w:rPr>
          <w:rStyle w:val="FootnoteReference"/>
        </w:rPr>
        <w:footnoteRef/>
      </w:r>
      <w:r w:rsidRPr="00BE31DA">
        <w:t xml:space="preserve"> </w:t>
      </w:r>
      <w:r>
        <w:t>AEMO,</w:t>
      </w:r>
      <w:r w:rsidRPr="00BE31DA">
        <w:t xml:space="preserve"> </w:t>
      </w:r>
      <w:r w:rsidRPr="00BE31DA">
        <w:rPr>
          <w:i/>
        </w:rPr>
        <w:t>Gas Statement of Opportunities for Eastern and South Eastern Australia</w:t>
      </w:r>
      <w:r>
        <w:t xml:space="preserve">, </w:t>
      </w:r>
      <w:r w:rsidRPr="00BE31DA">
        <w:t>March 2017,</w:t>
      </w:r>
      <w:r>
        <w:t xml:space="preserve"> p. 13.</w:t>
      </w:r>
    </w:p>
  </w:footnote>
  <w:footnote w:id="6">
    <w:p w14:paraId="68DD3B4D" w14:textId="28C48F5E" w:rsidR="004B5604" w:rsidRPr="000242C6" w:rsidRDefault="004B5604" w:rsidP="00EF459B">
      <w:pPr>
        <w:pStyle w:val="Footnote"/>
      </w:pPr>
      <w:r w:rsidRPr="000242C6">
        <w:rPr>
          <w:rStyle w:val="FootnoteReference"/>
        </w:rPr>
        <w:footnoteRef/>
      </w:r>
      <w:r w:rsidRPr="000242C6">
        <w:t xml:space="preserve"> </w:t>
      </w:r>
      <w:r w:rsidRPr="00B12FDA">
        <w:t>AEMO, Gas Statement of Opportunities for Eastern and Sout</w:t>
      </w:r>
      <w:r>
        <w:t>h Eastern Australia, March 2017</w:t>
      </w:r>
      <w:r w:rsidRPr="000242C6">
        <w:t>, p. 2.</w:t>
      </w:r>
    </w:p>
  </w:footnote>
  <w:footnote w:id="7">
    <w:p w14:paraId="65E7ECBB" w14:textId="3A561639" w:rsidR="004B5604" w:rsidRPr="00966D67" w:rsidRDefault="004B5604" w:rsidP="00EF459B">
      <w:pPr>
        <w:pStyle w:val="Footnote"/>
      </w:pPr>
      <w:r w:rsidRPr="00966D67">
        <w:rPr>
          <w:rStyle w:val="FootnoteReference"/>
        </w:rPr>
        <w:footnoteRef/>
      </w:r>
      <w:r w:rsidRPr="00966D67">
        <w:t xml:space="preserve"> </w:t>
      </w:r>
      <w:r>
        <w:t>AEMO,</w:t>
      </w:r>
      <w:r w:rsidRPr="00BE31DA">
        <w:t xml:space="preserve"> </w:t>
      </w:r>
      <w:r>
        <w:t>Update to Gas Statement of Oppo</w:t>
      </w:r>
      <w:r w:rsidRPr="00BE31DA">
        <w:t>rtunities</w:t>
      </w:r>
      <w:r>
        <w:t xml:space="preserve">, September </w:t>
      </w:r>
      <w:r w:rsidRPr="00BE31DA">
        <w:t>2017,</w:t>
      </w:r>
      <w:r>
        <w:t xml:space="preserve"> p. 3</w:t>
      </w:r>
      <w:r w:rsidRPr="00966D67">
        <w:t>.</w:t>
      </w:r>
    </w:p>
  </w:footnote>
  <w:footnote w:id="8">
    <w:p w14:paraId="0D71B88D" w14:textId="5EB168F0" w:rsidR="004B5604" w:rsidRPr="00BE31DA" w:rsidRDefault="004B5604" w:rsidP="00EF459B">
      <w:pPr>
        <w:pStyle w:val="Footnote"/>
      </w:pPr>
      <w:r w:rsidRPr="00966D67">
        <w:rPr>
          <w:rStyle w:val="FootnoteReference"/>
        </w:rPr>
        <w:footnoteRef/>
      </w:r>
      <w:r w:rsidRPr="00966D67">
        <w:t xml:space="preserve"> ACCC, Gas Inquiry 2017-2020 Interim Report, September 2017</w:t>
      </w:r>
      <w:r>
        <w:t>, p. 10</w:t>
      </w:r>
      <w:r w:rsidRPr="00966D67">
        <w:t>.</w:t>
      </w:r>
    </w:p>
  </w:footnote>
  <w:footnote w:id="9">
    <w:p w14:paraId="5EC1A667" w14:textId="486BEFF7" w:rsidR="004B5604" w:rsidRPr="00966D67" w:rsidRDefault="004B5604" w:rsidP="00EF459B">
      <w:pPr>
        <w:pStyle w:val="Footnote"/>
      </w:pPr>
      <w:r w:rsidRPr="00966D67">
        <w:rPr>
          <w:rStyle w:val="FootnoteReference"/>
        </w:rPr>
        <w:footnoteRef/>
      </w:r>
      <w:r w:rsidRPr="00966D67">
        <w:t xml:space="preserve"> </w:t>
      </w:r>
      <w:r w:rsidRPr="00D6419A">
        <w:t>AEMO, 2018 Gas Statement o</w:t>
      </w:r>
      <w:r>
        <w:t>f Opportunities, June 2018, p.</w:t>
      </w:r>
      <w:r w:rsidRPr="00966D67">
        <w:t xml:space="preserve"> 3. </w:t>
      </w:r>
    </w:p>
  </w:footnote>
  <w:footnote w:id="10">
    <w:p w14:paraId="4619AB90" w14:textId="28A31E63" w:rsidR="004B5604" w:rsidRPr="00966D67" w:rsidRDefault="004B5604" w:rsidP="00EF459B">
      <w:pPr>
        <w:pStyle w:val="Footnote"/>
      </w:pPr>
      <w:r w:rsidRPr="00966D67">
        <w:rPr>
          <w:rStyle w:val="FootnoteReference"/>
        </w:rPr>
        <w:footnoteRef/>
      </w:r>
      <w:r w:rsidRPr="00966D67">
        <w:t xml:space="preserve"> ACCC, Gas inquiry 2017–2020, July 2018 interim repo</w:t>
      </w:r>
      <w:r>
        <w:t>rt, p. 19.</w:t>
      </w:r>
    </w:p>
  </w:footnote>
  <w:footnote w:id="11">
    <w:p w14:paraId="61D78D99" w14:textId="242936D2" w:rsidR="004B5604" w:rsidRPr="000242C6" w:rsidRDefault="004B5604" w:rsidP="00EF459B">
      <w:pPr>
        <w:pStyle w:val="Footnote"/>
      </w:pPr>
      <w:r w:rsidRPr="000242C6">
        <w:rPr>
          <w:rStyle w:val="FootnoteReference"/>
        </w:rPr>
        <w:footnoteRef/>
      </w:r>
      <w:r w:rsidRPr="000242C6">
        <w:t xml:space="preserve"> AEMO, 2018 Gas Statement of Opportunities, June 2018, p. 3.</w:t>
      </w:r>
    </w:p>
  </w:footnote>
  <w:footnote w:id="12">
    <w:p w14:paraId="0A0AA383" w14:textId="4852773A" w:rsidR="004B5604" w:rsidRDefault="004B5604" w:rsidP="00EF459B">
      <w:pPr>
        <w:pStyle w:val="Footnote"/>
      </w:pPr>
      <w:r w:rsidRPr="000242C6">
        <w:rPr>
          <w:rStyle w:val="FootnoteReference"/>
        </w:rPr>
        <w:footnoteRef/>
      </w:r>
      <w:r w:rsidRPr="000242C6">
        <w:t xml:space="preserve"> AEMO, Gas Statement of Opportunities, March 2019, p. 3.</w:t>
      </w:r>
    </w:p>
  </w:footnote>
  <w:footnote w:id="13">
    <w:p w14:paraId="109AAF31" w14:textId="1F3D902E" w:rsidR="004B5604" w:rsidRPr="00966D67" w:rsidRDefault="004B5604" w:rsidP="00EF459B">
      <w:pPr>
        <w:pStyle w:val="Footnote"/>
      </w:pPr>
      <w:r w:rsidRPr="00966D67">
        <w:rPr>
          <w:rStyle w:val="FootnoteReference"/>
        </w:rPr>
        <w:footnoteRef/>
      </w:r>
      <w:r w:rsidRPr="00966D67">
        <w:t xml:space="preserve"> A full discussion of how the netback price should be interpreted and the underlying methodologies associated with calculation of the netback price can be found in ACCC, </w:t>
      </w:r>
      <w:r w:rsidRPr="00DA68E3">
        <w:rPr>
          <w:i/>
        </w:rPr>
        <w:t>Gas Inquiry 2017—2020: Guide to the LNG netback price series</w:t>
      </w:r>
      <w:r w:rsidRPr="00966D67">
        <w:t xml:space="preserve">, October 2018, </w:t>
      </w:r>
      <w:r>
        <w:t>[</w:t>
      </w:r>
      <w:hyperlink r:id="rId1" w:history="1">
        <w:r w:rsidRPr="00966D67">
          <w:rPr>
            <w:rStyle w:val="Hyperlink"/>
          </w:rPr>
          <w:t>https://www.accc.gov.au/system/files/Guide%20to%20the%20LNG%20netback%20price%20series%20-%20October%202018.pdf</w:t>
        </w:r>
      </w:hyperlink>
      <w:r>
        <w:t>]</w:t>
      </w:r>
    </w:p>
  </w:footnote>
  <w:footnote w:id="14">
    <w:p w14:paraId="6DDC8DB0" w14:textId="4DC57DF8" w:rsidR="004B5604" w:rsidRDefault="004B5604" w:rsidP="00EB0DA4">
      <w:pPr>
        <w:pStyle w:val="FootnoteText"/>
      </w:pPr>
      <w:r w:rsidRPr="00C70347">
        <w:rPr>
          <w:rStyle w:val="FootnoteReference"/>
          <w:sz w:val="16"/>
          <w:szCs w:val="16"/>
        </w:rPr>
        <w:footnoteRef/>
      </w:r>
      <w:r w:rsidRPr="00C70347">
        <w:rPr>
          <w:sz w:val="16"/>
          <w:szCs w:val="16"/>
        </w:rPr>
        <w:t xml:space="preserve"> ACCC, Gas Inquiry 2017-2020 Interim Report, July 2018.</w:t>
      </w:r>
    </w:p>
  </w:footnote>
  <w:footnote w:id="15">
    <w:p w14:paraId="3C2785C6" w14:textId="1708D934" w:rsidR="004B5604" w:rsidRPr="000242C6" w:rsidRDefault="004B5604" w:rsidP="00EF459B">
      <w:pPr>
        <w:pStyle w:val="Footnote"/>
      </w:pPr>
      <w:r w:rsidRPr="000242C6">
        <w:rPr>
          <w:rStyle w:val="FootnoteReference"/>
        </w:rPr>
        <w:footnoteRef/>
      </w:r>
      <w:r w:rsidRPr="000242C6">
        <w:t xml:space="preserve"> ACCC, Gas Inquiry 2017–2020 Interim Report, September 2017, p. 7.</w:t>
      </w:r>
    </w:p>
  </w:footnote>
  <w:footnote w:id="16">
    <w:p w14:paraId="5343E348" w14:textId="775D2B62" w:rsidR="004B5604" w:rsidRPr="00966D67" w:rsidRDefault="004B5604" w:rsidP="00EF459B">
      <w:pPr>
        <w:pStyle w:val="Footnote"/>
      </w:pPr>
      <w:r w:rsidRPr="00966D67">
        <w:rPr>
          <w:rStyle w:val="FootnoteReference"/>
        </w:rPr>
        <w:footnoteRef/>
      </w:r>
      <w:r w:rsidRPr="00FD0D88">
        <w:t>APLNG, ‘</w:t>
      </w:r>
      <w:r w:rsidRPr="00EF459B">
        <w:rPr>
          <w:rStyle w:val="FootnoteChar"/>
        </w:rPr>
        <w:t>Australia Pacific LNG sells additional 41 PJ of gas</w:t>
      </w:r>
      <w:r w:rsidRPr="00FD0D88">
        <w:t xml:space="preserve"> to domestic market’</w:t>
      </w:r>
      <w:r>
        <w:t>, 26 October 2017 [</w:t>
      </w:r>
      <w:hyperlink r:id="rId2" w:history="1">
        <w:r w:rsidRPr="00966D67">
          <w:rPr>
            <w:rStyle w:val="Hyperlink"/>
          </w:rPr>
          <w:t>http://www.aplng.com.au/content/dam/aplng/media-release/2017/APLNG%20domestic%20gas%20sale%2041%20PJ%20-%20media%20release%20-%2020171026%20-%20FINAL.pdf</w:t>
        </w:r>
      </w:hyperlink>
      <w:r>
        <w:rPr>
          <w:rStyle w:val="Hyperlink"/>
        </w:rPr>
        <w:t>]</w:t>
      </w:r>
    </w:p>
  </w:footnote>
  <w:footnote w:id="17">
    <w:p w14:paraId="6E731FA3" w14:textId="360C2D91" w:rsidR="004B5604" w:rsidRPr="00966D67" w:rsidRDefault="004B5604" w:rsidP="00EF459B">
      <w:pPr>
        <w:pStyle w:val="Footnote"/>
      </w:pPr>
      <w:r w:rsidRPr="00966D67">
        <w:rPr>
          <w:rStyle w:val="FootnoteReference"/>
        </w:rPr>
        <w:footnoteRef/>
      </w:r>
      <w:r w:rsidRPr="00966D67">
        <w:t xml:space="preserve"> </w:t>
      </w:r>
      <w:r>
        <w:t xml:space="preserve">Santos, </w:t>
      </w:r>
      <w:r w:rsidRPr="00FD0D88">
        <w:t>‘</w:t>
      </w:r>
      <w:r>
        <w:t>Santos and GLNG partners deliver another 15PJ into Australian domestic gas market’, 20 December 2017 [</w:t>
      </w:r>
      <w:hyperlink r:id="rId3" w:history="1">
        <w:r w:rsidRPr="00966D67">
          <w:rPr>
            <w:rStyle w:val="Hyperlink"/>
          </w:rPr>
          <w:t>https://www.santos.com/media-centre/announcements/santos-and-glng-partners-deliver-another-15pj-into-australian-domestic-gas-market/</w:t>
        </w:r>
      </w:hyperlink>
      <w:r>
        <w:t>]</w:t>
      </w:r>
    </w:p>
  </w:footnote>
  <w:footnote w:id="18">
    <w:p w14:paraId="34B08420" w14:textId="7C6951C1" w:rsidR="004B5604" w:rsidRDefault="004B5604">
      <w:pPr>
        <w:pStyle w:val="FootnoteText"/>
      </w:pPr>
      <w:r w:rsidRPr="00B70DB3">
        <w:rPr>
          <w:rStyle w:val="FootnoteReference"/>
          <w:sz w:val="16"/>
          <w:szCs w:val="16"/>
        </w:rPr>
        <w:footnoteRef/>
      </w:r>
      <w:r w:rsidRPr="00B70DB3">
        <w:rPr>
          <w:sz w:val="16"/>
          <w:szCs w:val="16"/>
        </w:rPr>
        <w:t xml:space="preserve"> </w:t>
      </w:r>
      <w:r>
        <w:rPr>
          <w:sz w:val="16"/>
          <w:szCs w:val="16"/>
        </w:rPr>
        <w:t xml:space="preserve">Reuters, </w:t>
      </w:r>
      <w:r w:rsidRPr="007B03F9">
        <w:rPr>
          <w:sz w:val="16"/>
          <w:szCs w:val="16"/>
        </w:rPr>
        <w:t>‘</w:t>
      </w:r>
      <w:r>
        <w:rPr>
          <w:sz w:val="16"/>
          <w:szCs w:val="16"/>
        </w:rPr>
        <w:t>LNG prices seen wallowing at 10-year seasonal lows by year end: traders</w:t>
      </w:r>
      <w:r w:rsidRPr="007B03F9">
        <w:rPr>
          <w:sz w:val="16"/>
          <w:szCs w:val="16"/>
        </w:rPr>
        <w:t xml:space="preserve">’, 23 </w:t>
      </w:r>
      <w:r>
        <w:rPr>
          <w:sz w:val="16"/>
          <w:szCs w:val="16"/>
        </w:rPr>
        <w:t xml:space="preserve">September </w:t>
      </w:r>
      <w:r w:rsidRPr="007B03F9">
        <w:rPr>
          <w:sz w:val="16"/>
          <w:szCs w:val="16"/>
        </w:rPr>
        <w:t>201</w:t>
      </w:r>
      <w:r>
        <w:rPr>
          <w:sz w:val="16"/>
          <w:szCs w:val="16"/>
        </w:rPr>
        <w:t>9.</w:t>
      </w:r>
    </w:p>
  </w:footnote>
  <w:footnote w:id="19">
    <w:p w14:paraId="42267EDD" w14:textId="58292457" w:rsidR="004B5604" w:rsidRDefault="004B5604" w:rsidP="00C90861">
      <w:pPr>
        <w:pStyle w:val="FootnoteText"/>
      </w:pPr>
      <w:r w:rsidRPr="000242C6">
        <w:rPr>
          <w:rStyle w:val="FootnoteReference"/>
          <w:sz w:val="16"/>
          <w:szCs w:val="16"/>
        </w:rPr>
        <w:footnoteRef/>
      </w:r>
      <w:r>
        <w:t xml:space="preserve"> </w:t>
      </w:r>
      <w:r w:rsidRPr="002B2117">
        <w:rPr>
          <w:rFonts w:eastAsia="Times New Roman" w:cstheme="minorHAnsi"/>
          <w:color w:val="000000"/>
          <w:sz w:val="16"/>
          <w:szCs w:val="16"/>
          <w:lang w:eastAsia="en-AU"/>
        </w:rPr>
        <w:t xml:space="preserve">S&amp;P Global Platts </w:t>
      </w:r>
      <w:r w:rsidRPr="002B2117">
        <w:rPr>
          <w:rFonts w:eastAsia="Times New Roman" w:cstheme="minorHAnsi"/>
          <w:i/>
          <w:color w:val="000000"/>
          <w:sz w:val="16"/>
          <w:szCs w:val="16"/>
          <w:lang w:eastAsia="en-AU"/>
        </w:rPr>
        <w:t>Study on Global Natural Gas Prices to End-users for ACCC</w:t>
      </w:r>
      <w:r w:rsidRPr="002B2117">
        <w:rPr>
          <w:rFonts w:eastAsia="Times New Roman" w:cstheme="minorHAnsi"/>
          <w:color w:val="000000"/>
          <w:sz w:val="16"/>
          <w:szCs w:val="16"/>
          <w:lang w:eastAsia="en-AU"/>
        </w:rPr>
        <w:t>, June 2019, p. 4.</w:t>
      </w:r>
    </w:p>
  </w:footnote>
  <w:footnote w:id="20">
    <w:p w14:paraId="5191B24A" w14:textId="5B91D84C" w:rsidR="004B5604" w:rsidRDefault="004B5604" w:rsidP="00C90861">
      <w:pPr>
        <w:pStyle w:val="FootnoteText"/>
      </w:pPr>
      <w:r w:rsidRPr="000242C6">
        <w:rPr>
          <w:rStyle w:val="FootnoteReference"/>
          <w:sz w:val="16"/>
          <w:szCs w:val="16"/>
        </w:rPr>
        <w:footnoteRef/>
      </w:r>
      <w:r>
        <w:t xml:space="preserve"> </w:t>
      </w:r>
      <w:r w:rsidRPr="00E7096C">
        <w:rPr>
          <w:sz w:val="16"/>
          <w:szCs w:val="16"/>
        </w:rPr>
        <w:t>EnergyQuest, ‘FACT CHECK: do Australians pay more for Australian gas than LNG buyers?’, 14 August 2019 [https://www.energyquest.com.au/fact-check-do-australians-pay-more-for-australian-gas-than-lng-buyers/]</w:t>
      </w:r>
    </w:p>
  </w:footnote>
  <w:footnote w:id="21">
    <w:p w14:paraId="40BA7427" w14:textId="77777777" w:rsidR="004B5604" w:rsidRPr="00C7542E" w:rsidRDefault="004B5604" w:rsidP="00870678">
      <w:pPr>
        <w:pStyle w:val="FootnoteText"/>
        <w:rPr>
          <w:sz w:val="16"/>
          <w:szCs w:val="16"/>
        </w:rPr>
      </w:pPr>
      <w:r w:rsidRPr="00C7542E">
        <w:rPr>
          <w:rStyle w:val="FootnoteReference"/>
          <w:sz w:val="16"/>
          <w:szCs w:val="16"/>
        </w:rPr>
        <w:footnoteRef/>
      </w:r>
      <w:r w:rsidRPr="00C7542E">
        <w:rPr>
          <w:sz w:val="16"/>
          <w:szCs w:val="16"/>
        </w:rPr>
        <w:t xml:space="preserve"> </w:t>
      </w:r>
      <w:r>
        <w:rPr>
          <w:sz w:val="16"/>
          <w:szCs w:val="16"/>
        </w:rPr>
        <w:t>AEMC, Gas Markets [</w:t>
      </w:r>
      <w:r w:rsidRPr="00C7542E">
        <w:rPr>
          <w:sz w:val="16"/>
          <w:szCs w:val="16"/>
        </w:rPr>
        <w:t>https://www.aemc.gov.au/energy-system/gas/gas-markets</w:t>
      </w:r>
      <w:r>
        <w:rPr>
          <w:sz w:val="16"/>
          <w:szCs w:val="16"/>
        </w:rPr>
        <w:t>]</w:t>
      </w:r>
    </w:p>
  </w:footnote>
  <w:footnote w:id="22">
    <w:p w14:paraId="61A04B28" w14:textId="19826874" w:rsidR="004B5604" w:rsidRPr="00E0752F" w:rsidRDefault="004B5604">
      <w:pPr>
        <w:pStyle w:val="FootnoteText"/>
        <w:rPr>
          <w:sz w:val="16"/>
          <w:szCs w:val="16"/>
        </w:rPr>
      </w:pPr>
      <w:r w:rsidRPr="00E0752F">
        <w:rPr>
          <w:rStyle w:val="FootnoteReference"/>
          <w:sz w:val="16"/>
          <w:szCs w:val="16"/>
        </w:rPr>
        <w:footnoteRef/>
      </w:r>
      <w:r w:rsidRPr="00E0752F">
        <w:rPr>
          <w:sz w:val="16"/>
          <w:szCs w:val="16"/>
        </w:rPr>
        <w:t xml:space="preserve"> US Department of Justice, </w:t>
      </w:r>
      <w:r w:rsidRPr="00E0752F">
        <w:rPr>
          <w:i/>
          <w:sz w:val="16"/>
          <w:szCs w:val="16"/>
        </w:rPr>
        <w:t>Horizontal Merger Guidelines</w:t>
      </w:r>
      <w:r w:rsidRPr="00E0752F">
        <w:rPr>
          <w:sz w:val="16"/>
          <w:szCs w:val="16"/>
        </w:rPr>
        <w:t>, August 2010, p. 19.</w:t>
      </w:r>
    </w:p>
  </w:footnote>
  <w:footnote w:id="23">
    <w:p w14:paraId="0339CF1F" w14:textId="182F6ADC" w:rsidR="004B5604" w:rsidRPr="00652341" w:rsidRDefault="004B5604">
      <w:pPr>
        <w:pStyle w:val="FootnoteText"/>
      </w:pPr>
      <w:r w:rsidRPr="00E0752F">
        <w:rPr>
          <w:rStyle w:val="FootnoteReference"/>
          <w:sz w:val="16"/>
          <w:szCs w:val="16"/>
        </w:rPr>
        <w:footnoteRef/>
      </w:r>
      <w:r w:rsidRPr="00E0752F">
        <w:rPr>
          <w:sz w:val="16"/>
          <w:szCs w:val="16"/>
        </w:rPr>
        <w:t xml:space="preserve"> ACCC, </w:t>
      </w:r>
      <w:r w:rsidRPr="00E0752F">
        <w:rPr>
          <w:i/>
          <w:sz w:val="16"/>
          <w:szCs w:val="16"/>
        </w:rPr>
        <w:t>Merger Guidelines</w:t>
      </w:r>
      <w:r w:rsidRPr="00E0752F">
        <w:rPr>
          <w:sz w:val="16"/>
          <w:szCs w:val="16"/>
        </w:rPr>
        <w:t>, November 2008, p. 35,</w:t>
      </w:r>
    </w:p>
  </w:footnote>
  <w:footnote w:id="24">
    <w:p w14:paraId="5B845C61" w14:textId="7777777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Central Petroleum, Northern Territory's largest onshore gas producer to increase exploration, 26 February 2018, [</w:t>
      </w:r>
      <w:hyperlink r:id="rId4" w:history="1">
        <w:r w:rsidRPr="000242C6">
          <w:rPr>
            <w:rStyle w:val="Hyperlink"/>
            <w:sz w:val="16"/>
            <w:szCs w:val="16"/>
          </w:rPr>
          <w:t>http://centralpetroleum.com.au/wp-content/uploads/2018/03/20180225-ABC-Northern-Territorys-largest-onshore-gas-producer-to-increase-exploration.pdf.pdf</w:t>
        </w:r>
      </w:hyperlink>
      <w:r w:rsidRPr="000242C6">
        <w:rPr>
          <w:sz w:val="16"/>
          <w:szCs w:val="16"/>
        </w:rPr>
        <w:t>]</w:t>
      </w:r>
    </w:p>
  </w:footnote>
  <w:footnote w:id="25">
    <w:p w14:paraId="7FD8CA94" w14:textId="7777777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Jemena, Missing Gas Pipeline Link Complete [http://jemena.com.au/about/newsroom/media-release/2018/missing-gas-pipeline-link-complete]</w:t>
      </w:r>
    </w:p>
  </w:footnote>
  <w:footnote w:id="26">
    <w:p w14:paraId="3AE08BB3" w14:textId="7777777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ACCC, </w:t>
      </w:r>
      <w:r w:rsidRPr="000242C6">
        <w:rPr>
          <w:i/>
          <w:iCs/>
          <w:sz w:val="16"/>
          <w:szCs w:val="16"/>
        </w:rPr>
        <w:t>Gas Inquiry 2017–2020 Interim Report</w:t>
      </w:r>
      <w:r w:rsidRPr="000242C6">
        <w:rPr>
          <w:sz w:val="16"/>
          <w:szCs w:val="16"/>
        </w:rPr>
        <w:t>, July 2019, p. 37.</w:t>
      </w:r>
    </w:p>
  </w:footnote>
  <w:footnote w:id="27">
    <w:p w14:paraId="19A2DC6A" w14:textId="77777777" w:rsidR="004B5604" w:rsidRPr="0002658C" w:rsidRDefault="004B5604" w:rsidP="00822D87">
      <w:pPr>
        <w:spacing w:after="0"/>
        <w:rPr>
          <w:sz w:val="16"/>
          <w:szCs w:val="16"/>
        </w:rPr>
      </w:pPr>
      <w:r w:rsidRPr="0002658C">
        <w:rPr>
          <w:rStyle w:val="FootnoteReference"/>
          <w:sz w:val="16"/>
          <w:szCs w:val="16"/>
        </w:rPr>
        <w:footnoteRef/>
      </w:r>
      <w:r w:rsidRPr="0002658C">
        <w:rPr>
          <w:sz w:val="16"/>
          <w:szCs w:val="16"/>
        </w:rPr>
        <w:t xml:space="preserve"> Senex, 2018 Annual Reserves Statement, 31 July 2018, [https://www.senexenergy.com.au/wp-content/uploads/2018/07/2018.07.31-2018-Annual-Reserves-Statement.pdf]</w:t>
      </w:r>
    </w:p>
  </w:footnote>
  <w:footnote w:id="28">
    <w:p w14:paraId="535C1649" w14:textId="7777777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Cooper Energy, Sole Gas Project Update, 17 July 2019,  [</w:t>
      </w:r>
      <w:hyperlink r:id="rId5" w:history="1">
        <w:r w:rsidRPr="000242C6">
          <w:rPr>
            <w:rStyle w:val="Hyperlink"/>
            <w:sz w:val="16"/>
            <w:szCs w:val="16"/>
          </w:rPr>
          <w:t>https://www.cooperenergy.com.au/Upload/2019.06.17-Sole-Pipeline-update.pdf</w:t>
        </w:r>
      </w:hyperlink>
      <w:r w:rsidRPr="000242C6">
        <w:rPr>
          <w:sz w:val="16"/>
          <w:szCs w:val="16"/>
        </w:rPr>
        <w:t>]</w:t>
      </w:r>
    </w:p>
  </w:footnote>
  <w:footnote w:id="29">
    <w:p w14:paraId="0ECFDA92" w14:textId="73BB822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ACCC, </w:t>
      </w:r>
      <w:r w:rsidRPr="000242C6">
        <w:rPr>
          <w:i/>
          <w:iCs/>
          <w:sz w:val="16"/>
          <w:szCs w:val="16"/>
        </w:rPr>
        <w:t>Gas Inquiry 2017–2020 Interim Report</w:t>
      </w:r>
      <w:r w:rsidRPr="000242C6">
        <w:rPr>
          <w:sz w:val="16"/>
          <w:szCs w:val="16"/>
        </w:rPr>
        <w:t xml:space="preserve">, July 2019, p. 36. </w:t>
      </w:r>
    </w:p>
  </w:footnote>
  <w:footnote w:id="30">
    <w:p w14:paraId="5700C3AB" w14:textId="77777777"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The Standard, </w:t>
      </w:r>
      <w:r w:rsidRPr="000242C6">
        <w:rPr>
          <w:i/>
          <w:sz w:val="16"/>
          <w:szCs w:val="16"/>
        </w:rPr>
        <w:t>’Onshore and offshore gas wells to be drilled off Great Ocean Road in $1 billion search for gas’</w:t>
      </w:r>
      <w:r w:rsidRPr="000242C6">
        <w:rPr>
          <w:sz w:val="16"/>
          <w:szCs w:val="16"/>
        </w:rPr>
        <w:t>, 31 May 2019 [https://www.standard.net.au/story/6192202/1b-in-gas-projects-in-the-pipeline-for-south-west/]</w:t>
      </w:r>
    </w:p>
  </w:footnote>
  <w:footnote w:id="31">
    <w:p w14:paraId="535F4C8A" w14:textId="645BC23A"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w:t>
      </w:r>
      <w:r>
        <w:rPr>
          <w:sz w:val="16"/>
          <w:szCs w:val="16"/>
        </w:rPr>
        <w:t>Santos</w:t>
      </w:r>
      <w:r w:rsidRPr="000242C6">
        <w:rPr>
          <w:sz w:val="16"/>
          <w:szCs w:val="16"/>
        </w:rPr>
        <w:t>,</w:t>
      </w:r>
      <w:r>
        <w:rPr>
          <w:sz w:val="16"/>
          <w:szCs w:val="16"/>
        </w:rPr>
        <w:t xml:space="preserve"> Narrabri Gas Project, </w:t>
      </w:r>
      <w:r w:rsidRPr="000242C6">
        <w:rPr>
          <w:sz w:val="16"/>
          <w:szCs w:val="16"/>
        </w:rPr>
        <w:t xml:space="preserve"> </w:t>
      </w:r>
      <w:hyperlink r:id="rId6" w:history="1">
        <w:r w:rsidRPr="000242C6">
          <w:rPr>
            <w:rStyle w:val="Hyperlink"/>
            <w:sz w:val="16"/>
            <w:szCs w:val="16"/>
          </w:rPr>
          <w:t>https://www.santos.com/what-we-do/activities/new-south-wales/gunnedah-basin/narrabri-gas-project</w:t>
        </w:r>
      </w:hyperlink>
      <w:r>
        <w:rPr>
          <w:rStyle w:val="Hyperlink"/>
          <w:sz w:val="16"/>
          <w:szCs w:val="16"/>
        </w:rPr>
        <w:t>]</w:t>
      </w:r>
    </w:p>
  </w:footnote>
  <w:footnote w:id="32">
    <w:p w14:paraId="0A0826AC" w14:textId="2F3714B8" w:rsidR="004B5604" w:rsidRPr="000242C6" w:rsidRDefault="004B5604" w:rsidP="006B384E">
      <w:pPr>
        <w:pStyle w:val="FootnoteText"/>
        <w:rPr>
          <w:sz w:val="16"/>
          <w:szCs w:val="16"/>
        </w:rPr>
      </w:pPr>
      <w:r w:rsidRPr="000242C6">
        <w:rPr>
          <w:rStyle w:val="FootnoteReference"/>
          <w:sz w:val="16"/>
          <w:szCs w:val="16"/>
        </w:rPr>
        <w:footnoteRef/>
      </w:r>
      <w:r w:rsidRPr="000242C6">
        <w:rPr>
          <w:sz w:val="16"/>
          <w:szCs w:val="16"/>
        </w:rPr>
        <w:t xml:space="preserve"> NSW Government, ‘Port Kembla gas terminal gets planning approval’, 29 April 2019, [https://www.nsw.gov.au/news-and-events/news/port-kembla-gas-terminal-gets-planning-approval]</w:t>
      </w:r>
    </w:p>
  </w:footnote>
  <w:footnote w:id="33">
    <w:p w14:paraId="6E758470" w14:textId="77777777" w:rsidR="004B5604" w:rsidRPr="00966D67" w:rsidRDefault="004B5604" w:rsidP="006B384E">
      <w:pPr>
        <w:pStyle w:val="FootnoteText"/>
        <w:rPr>
          <w:sz w:val="16"/>
          <w:szCs w:val="16"/>
        </w:rPr>
      </w:pPr>
      <w:r w:rsidRPr="00966D67">
        <w:rPr>
          <w:rStyle w:val="FootnoteReference"/>
          <w:sz w:val="16"/>
          <w:szCs w:val="16"/>
        </w:rPr>
        <w:footnoteRef/>
      </w:r>
      <w:r>
        <w:rPr>
          <w:sz w:val="16"/>
          <w:szCs w:val="16"/>
        </w:rPr>
        <w:t>AEMO,</w:t>
      </w:r>
      <w:r w:rsidRPr="00BE31DA">
        <w:rPr>
          <w:sz w:val="16"/>
          <w:szCs w:val="16"/>
        </w:rPr>
        <w:t xml:space="preserve"> </w:t>
      </w:r>
      <w:r w:rsidRPr="00BE31DA">
        <w:rPr>
          <w:i/>
          <w:sz w:val="16"/>
          <w:szCs w:val="16"/>
        </w:rPr>
        <w:t>Gas Statement of Opportunities</w:t>
      </w:r>
      <w:r>
        <w:rPr>
          <w:sz w:val="16"/>
          <w:szCs w:val="16"/>
        </w:rPr>
        <w:t xml:space="preserve">, </w:t>
      </w:r>
      <w:r w:rsidRPr="00BE31DA">
        <w:rPr>
          <w:sz w:val="16"/>
          <w:szCs w:val="16"/>
        </w:rPr>
        <w:t>March 20</w:t>
      </w:r>
      <w:r>
        <w:rPr>
          <w:sz w:val="16"/>
          <w:szCs w:val="16"/>
        </w:rPr>
        <w:t>19</w:t>
      </w:r>
      <w:r w:rsidRPr="00BE31DA">
        <w:rPr>
          <w:sz w:val="16"/>
          <w:szCs w:val="16"/>
        </w:rPr>
        <w:t>,</w:t>
      </w:r>
      <w:r>
        <w:rPr>
          <w:sz w:val="16"/>
          <w:szCs w:val="16"/>
        </w:rPr>
        <w:t xml:space="preserve"> p. </w:t>
      </w:r>
      <w:r w:rsidRPr="00966D67">
        <w:rPr>
          <w:sz w:val="16"/>
          <w:szCs w:val="16"/>
        </w:rPr>
        <w:t>3.</w:t>
      </w:r>
    </w:p>
  </w:footnote>
  <w:footnote w:id="34">
    <w:p w14:paraId="72B467AB" w14:textId="77777777" w:rsidR="004B5604" w:rsidRDefault="004B5604" w:rsidP="007B03F9">
      <w:pPr>
        <w:pStyle w:val="FootnoteText"/>
      </w:pPr>
      <w:r w:rsidRPr="007B03F9">
        <w:rPr>
          <w:rStyle w:val="FootnoteReference"/>
          <w:sz w:val="16"/>
          <w:szCs w:val="16"/>
        </w:rPr>
        <w:footnoteRef/>
      </w:r>
      <w:r w:rsidRPr="007B03F9">
        <w:rPr>
          <w:sz w:val="16"/>
          <w:szCs w:val="16"/>
        </w:rPr>
        <w:t xml:space="preserve"> The Courier-Mail</w:t>
      </w:r>
      <w:r>
        <w:rPr>
          <w:sz w:val="16"/>
          <w:szCs w:val="16"/>
        </w:rPr>
        <w:t xml:space="preserve">, </w:t>
      </w:r>
      <w:r w:rsidRPr="007B03F9">
        <w:rPr>
          <w:sz w:val="16"/>
          <w:szCs w:val="16"/>
        </w:rPr>
        <w:t>‘Korean giant Kogas warns Australia’s reputation is at risk because of plan to restrict gas exports‘</w:t>
      </w:r>
      <w:r>
        <w:rPr>
          <w:sz w:val="16"/>
          <w:szCs w:val="16"/>
        </w:rPr>
        <w:t>, 14 November 2017.</w:t>
      </w:r>
    </w:p>
  </w:footnote>
  <w:footnote w:id="35">
    <w:p w14:paraId="3A07D29D" w14:textId="77777777" w:rsidR="004B5604" w:rsidRPr="007B03F9" w:rsidRDefault="004B5604" w:rsidP="007B03F9">
      <w:pPr>
        <w:pStyle w:val="FootnoteText"/>
        <w:rPr>
          <w:sz w:val="16"/>
          <w:szCs w:val="16"/>
        </w:rPr>
      </w:pPr>
      <w:r w:rsidRPr="007B03F9">
        <w:rPr>
          <w:rStyle w:val="FootnoteReference"/>
          <w:sz w:val="16"/>
          <w:szCs w:val="16"/>
        </w:rPr>
        <w:footnoteRef/>
      </w:r>
      <w:r w:rsidRPr="007B03F9">
        <w:rPr>
          <w:sz w:val="16"/>
          <w:szCs w:val="16"/>
        </w:rPr>
        <w:t xml:space="preserve"> Australian Financial Review, ‘Federal Resources Minister Matt Canavan dashes to Asia to calm anxious LNG investors’, 23 January 2018</w:t>
      </w:r>
      <w:r>
        <w:rPr>
          <w:sz w:val="16"/>
          <w:szCs w:val="16"/>
        </w:rPr>
        <w:t>.</w:t>
      </w:r>
    </w:p>
  </w:footnote>
  <w:footnote w:id="36">
    <w:p w14:paraId="2DC6AFFE" w14:textId="77777777" w:rsidR="004B5604" w:rsidRPr="00E0752F" w:rsidRDefault="004B5604" w:rsidP="00F437B1">
      <w:pPr>
        <w:pStyle w:val="FootnoteText"/>
        <w:rPr>
          <w:sz w:val="16"/>
          <w:szCs w:val="16"/>
        </w:rPr>
      </w:pPr>
      <w:r w:rsidRPr="00E0752F">
        <w:rPr>
          <w:rStyle w:val="FootnoteReference"/>
          <w:sz w:val="16"/>
          <w:szCs w:val="16"/>
        </w:rPr>
        <w:footnoteRef/>
      </w:r>
      <w:r w:rsidRPr="00E0752F">
        <w:rPr>
          <w:sz w:val="16"/>
          <w:szCs w:val="16"/>
        </w:rPr>
        <w:t xml:space="preserve"> </w:t>
      </w:r>
      <w:r>
        <w:rPr>
          <w:sz w:val="16"/>
          <w:szCs w:val="16"/>
        </w:rPr>
        <w:t xml:space="preserve">ACCC, </w:t>
      </w:r>
      <w:r>
        <w:rPr>
          <w:i/>
          <w:iCs/>
          <w:sz w:val="16"/>
          <w:szCs w:val="16"/>
        </w:rPr>
        <w:t>Gas Inquiry 2017–2020 Guide to the LNG netback price series</w:t>
      </w:r>
      <w:r>
        <w:rPr>
          <w:sz w:val="16"/>
          <w:szCs w:val="16"/>
        </w:rPr>
        <w:t>, October 2018, p. 6-7.</w:t>
      </w:r>
    </w:p>
  </w:footnote>
  <w:footnote w:id="37">
    <w:p w14:paraId="6B18840C" w14:textId="7A4C91AB" w:rsidR="004B5604" w:rsidRPr="00E0752F" w:rsidRDefault="004B5604" w:rsidP="00E0752F">
      <w:pPr>
        <w:rPr>
          <w:sz w:val="16"/>
          <w:szCs w:val="16"/>
        </w:rPr>
      </w:pPr>
      <w:r w:rsidRPr="00E0752F">
        <w:rPr>
          <w:rStyle w:val="FootnoteReference"/>
          <w:sz w:val="16"/>
          <w:szCs w:val="16"/>
        </w:rPr>
        <w:footnoteRef/>
      </w:r>
      <w:r w:rsidRPr="00E0752F">
        <w:rPr>
          <w:sz w:val="16"/>
          <w:szCs w:val="16"/>
        </w:rPr>
        <w:t xml:space="preserve"> </w:t>
      </w:r>
      <w:r>
        <w:rPr>
          <w:sz w:val="16"/>
          <w:szCs w:val="16"/>
        </w:rPr>
        <w:t>APPEA, Understanding LNG netback prices [</w:t>
      </w:r>
      <w:r w:rsidRPr="00414B63">
        <w:rPr>
          <w:sz w:val="16"/>
          <w:szCs w:val="16"/>
        </w:rPr>
        <w:t>https://www.appea.com.au/wp-content/uploads/2018/10/Fact-Sheet-Understanding-LNG-netback-prices-1.pdf</w:t>
      </w:r>
      <w:r>
        <w:rPr>
          <w:sz w:val="16"/>
          <w:szCs w:val="16"/>
        </w:rPr>
        <w:t>]</w:t>
      </w:r>
    </w:p>
  </w:footnote>
  <w:footnote w:id="38">
    <w:p w14:paraId="4499D3C2" w14:textId="196D1FAD" w:rsidR="004B5604" w:rsidRPr="00E0752F" w:rsidRDefault="004B5604">
      <w:pPr>
        <w:pStyle w:val="FootnoteText"/>
        <w:rPr>
          <w:sz w:val="16"/>
          <w:szCs w:val="16"/>
        </w:rPr>
      </w:pPr>
      <w:r w:rsidRPr="00E0752F">
        <w:rPr>
          <w:rStyle w:val="FootnoteReference"/>
          <w:sz w:val="16"/>
          <w:szCs w:val="16"/>
        </w:rPr>
        <w:footnoteRef/>
      </w:r>
      <w:r w:rsidRPr="00E0752F">
        <w:rPr>
          <w:sz w:val="16"/>
          <w:szCs w:val="16"/>
        </w:rPr>
        <w:t xml:space="preserve"> </w:t>
      </w:r>
      <w:r>
        <w:rPr>
          <w:sz w:val="16"/>
          <w:szCs w:val="16"/>
        </w:rPr>
        <w:t xml:space="preserve">ACCC, </w:t>
      </w:r>
      <w:r>
        <w:rPr>
          <w:i/>
          <w:iCs/>
          <w:sz w:val="16"/>
          <w:szCs w:val="16"/>
        </w:rPr>
        <w:t>Gas Inquiry 2017–2020 Guide to the LNG netback price series</w:t>
      </w:r>
      <w:r>
        <w:rPr>
          <w:sz w:val="16"/>
          <w:szCs w:val="16"/>
        </w:rPr>
        <w:t>, October 2018,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27C2" w14:textId="58E9D0EB" w:rsidR="004B5604" w:rsidRDefault="004B5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5CB6" w14:textId="56E3B35E" w:rsidR="004B5604" w:rsidRDefault="004B5604">
    <w:pPr>
      <w:pStyle w:val="Header"/>
    </w:pPr>
    <w:r w:rsidRPr="00F915F2">
      <w:rPr>
        <w:rFonts w:ascii="Arial" w:eastAsia="Calibri" w:hAnsi="Arial" w:cs="Times New Roman"/>
        <w:noProof/>
        <w:lang w:eastAsia="en-AU"/>
      </w:rPr>
      <w:drawing>
        <wp:inline distT="0" distB="0" distL="0" distR="0" wp14:anchorId="78650093" wp14:editId="55D40907">
          <wp:extent cx="2448560" cy="727710"/>
          <wp:effectExtent l="0" t="0" r="8890" b="0"/>
          <wp:docPr id="20" name="Picture 20"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6DDD"/>
    <w:multiLevelType w:val="hybridMultilevel"/>
    <w:tmpl w:val="EBEEC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6D3EB9"/>
    <w:multiLevelType w:val="hybridMultilevel"/>
    <w:tmpl w:val="FB7A3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24B3E"/>
    <w:multiLevelType w:val="hybridMultilevel"/>
    <w:tmpl w:val="4DA406F2"/>
    <w:lvl w:ilvl="0" w:tplc="A0E283F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B546B"/>
    <w:multiLevelType w:val="hybridMultilevel"/>
    <w:tmpl w:val="9A9E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A6BDE"/>
    <w:multiLevelType w:val="hybridMultilevel"/>
    <w:tmpl w:val="763A2FF4"/>
    <w:lvl w:ilvl="0" w:tplc="9C1A19C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1B471B"/>
    <w:multiLevelType w:val="hybridMultilevel"/>
    <w:tmpl w:val="50C636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0C2F87"/>
    <w:multiLevelType w:val="hybridMultilevel"/>
    <w:tmpl w:val="13B2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7D1FAD"/>
    <w:multiLevelType w:val="hybridMultilevel"/>
    <w:tmpl w:val="B13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52462"/>
    <w:multiLevelType w:val="hybridMultilevel"/>
    <w:tmpl w:val="E4E8595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3C4DB2"/>
    <w:multiLevelType w:val="hybridMultilevel"/>
    <w:tmpl w:val="F8A6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7A48FC"/>
    <w:multiLevelType w:val="hybridMultilevel"/>
    <w:tmpl w:val="3FEA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793BF2"/>
    <w:multiLevelType w:val="hybridMultilevel"/>
    <w:tmpl w:val="1D12C636"/>
    <w:lvl w:ilvl="0" w:tplc="AEA6898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B955C8F"/>
    <w:multiLevelType w:val="hybridMultilevel"/>
    <w:tmpl w:val="27E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3D129E"/>
    <w:multiLevelType w:val="hybridMultilevel"/>
    <w:tmpl w:val="764CBE04"/>
    <w:lvl w:ilvl="0" w:tplc="4EF461CA">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423A46"/>
    <w:multiLevelType w:val="hybridMultilevel"/>
    <w:tmpl w:val="B056515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4643C0"/>
    <w:multiLevelType w:val="hybridMultilevel"/>
    <w:tmpl w:val="DFCC5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86C00B7"/>
    <w:multiLevelType w:val="hybridMultilevel"/>
    <w:tmpl w:val="1FA6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C31AE0"/>
    <w:multiLevelType w:val="hybridMultilevel"/>
    <w:tmpl w:val="18421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37301A2"/>
    <w:multiLevelType w:val="hybridMultilevel"/>
    <w:tmpl w:val="2FD448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3922EA"/>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256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C3D3BAE"/>
    <w:multiLevelType w:val="hybridMultilevel"/>
    <w:tmpl w:val="291C9A2C"/>
    <w:lvl w:ilvl="0" w:tplc="9CCE16A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895FA0"/>
    <w:multiLevelType w:val="hybridMultilevel"/>
    <w:tmpl w:val="A302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300EFB"/>
    <w:multiLevelType w:val="hybridMultilevel"/>
    <w:tmpl w:val="B6DC97F0"/>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3" w15:restartNumberingAfterBreak="0">
    <w:nsid w:val="71B91825"/>
    <w:multiLevelType w:val="hybridMultilevel"/>
    <w:tmpl w:val="FE9EA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576090"/>
    <w:multiLevelType w:val="hybridMultilevel"/>
    <w:tmpl w:val="5838C8C6"/>
    <w:lvl w:ilvl="0" w:tplc="E348F67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6C63B4"/>
    <w:multiLevelType w:val="hybridMultilevel"/>
    <w:tmpl w:val="659462A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94FFE"/>
    <w:multiLevelType w:val="hybridMultilevel"/>
    <w:tmpl w:val="FD1EF7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E66068"/>
    <w:multiLevelType w:val="hybridMultilevel"/>
    <w:tmpl w:val="E4DA2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2E0EF5"/>
    <w:multiLevelType w:val="hybridMultilevel"/>
    <w:tmpl w:val="01E0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6"/>
  </w:num>
  <w:num w:numId="4">
    <w:abstractNumId w:val="10"/>
  </w:num>
  <w:num w:numId="5">
    <w:abstractNumId w:val="16"/>
  </w:num>
  <w:num w:numId="6">
    <w:abstractNumId w:val="7"/>
  </w:num>
  <w:num w:numId="7">
    <w:abstractNumId w:val="28"/>
  </w:num>
  <w:num w:numId="8">
    <w:abstractNumId w:val="2"/>
  </w:num>
  <w:num w:numId="9">
    <w:abstractNumId w:val="4"/>
  </w:num>
  <w:num w:numId="10">
    <w:abstractNumId w:val="22"/>
  </w:num>
  <w:num w:numId="11">
    <w:abstractNumId w:val="3"/>
  </w:num>
  <w:num w:numId="12">
    <w:abstractNumId w:val="15"/>
  </w:num>
  <w:num w:numId="13">
    <w:abstractNumId w:val="17"/>
  </w:num>
  <w:num w:numId="14">
    <w:abstractNumId w:val="26"/>
  </w:num>
  <w:num w:numId="15">
    <w:abstractNumId w:val="1"/>
  </w:num>
  <w:num w:numId="16">
    <w:abstractNumId w:val="19"/>
  </w:num>
  <w:num w:numId="17">
    <w:abstractNumId w:val="18"/>
  </w:num>
  <w:num w:numId="18">
    <w:abstractNumId w:val="0"/>
  </w:num>
  <w:num w:numId="19">
    <w:abstractNumId w:val="20"/>
  </w:num>
  <w:num w:numId="20">
    <w:abstractNumId w:val="23"/>
  </w:num>
  <w:num w:numId="21">
    <w:abstractNumId w:val="27"/>
  </w:num>
  <w:num w:numId="22">
    <w:abstractNumId w:val="12"/>
  </w:num>
  <w:num w:numId="23">
    <w:abstractNumId w:val="11"/>
  </w:num>
  <w:num w:numId="24">
    <w:abstractNumId w:val="1"/>
  </w:num>
  <w:num w:numId="25">
    <w:abstractNumId w:val="24"/>
  </w:num>
  <w:num w:numId="26">
    <w:abstractNumId w:val="8"/>
  </w:num>
  <w:num w:numId="27">
    <w:abstractNumId w:val="25"/>
  </w:num>
  <w:num w:numId="28">
    <w:abstractNumId w:val="13"/>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F7"/>
    <w:rsid w:val="00001C01"/>
    <w:rsid w:val="00002187"/>
    <w:rsid w:val="00004BA5"/>
    <w:rsid w:val="00004C4B"/>
    <w:rsid w:val="00005C51"/>
    <w:rsid w:val="00006194"/>
    <w:rsid w:val="00006B8A"/>
    <w:rsid w:val="0000753B"/>
    <w:rsid w:val="00007B89"/>
    <w:rsid w:val="0001012B"/>
    <w:rsid w:val="00011500"/>
    <w:rsid w:val="00011F6A"/>
    <w:rsid w:val="000121C7"/>
    <w:rsid w:val="000124BF"/>
    <w:rsid w:val="000126D0"/>
    <w:rsid w:val="00012A13"/>
    <w:rsid w:val="00013E38"/>
    <w:rsid w:val="00014933"/>
    <w:rsid w:val="000152BF"/>
    <w:rsid w:val="00015B57"/>
    <w:rsid w:val="000176A4"/>
    <w:rsid w:val="00017C4F"/>
    <w:rsid w:val="00017DDB"/>
    <w:rsid w:val="000205A8"/>
    <w:rsid w:val="00020E23"/>
    <w:rsid w:val="00021B6B"/>
    <w:rsid w:val="00021D8B"/>
    <w:rsid w:val="00023049"/>
    <w:rsid w:val="000239BC"/>
    <w:rsid w:val="000242C6"/>
    <w:rsid w:val="00024E3E"/>
    <w:rsid w:val="00025F91"/>
    <w:rsid w:val="00026A78"/>
    <w:rsid w:val="000274B9"/>
    <w:rsid w:val="00027B8D"/>
    <w:rsid w:val="00027CC5"/>
    <w:rsid w:val="00027E19"/>
    <w:rsid w:val="00031303"/>
    <w:rsid w:val="0003223E"/>
    <w:rsid w:val="0003283B"/>
    <w:rsid w:val="00032B3C"/>
    <w:rsid w:val="000336EE"/>
    <w:rsid w:val="000342FC"/>
    <w:rsid w:val="000343E6"/>
    <w:rsid w:val="000344BE"/>
    <w:rsid w:val="000351BD"/>
    <w:rsid w:val="00035D67"/>
    <w:rsid w:val="000362D7"/>
    <w:rsid w:val="000365EF"/>
    <w:rsid w:val="0003695C"/>
    <w:rsid w:val="000376FC"/>
    <w:rsid w:val="000378E7"/>
    <w:rsid w:val="00041E16"/>
    <w:rsid w:val="00043EA6"/>
    <w:rsid w:val="000450D2"/>
    <w:rsid w:val="00046382"/>
    <w:rsid w:val="000471D8"/>
    <w:rsid w:val="00047F3C"/>
    <w:rsid w:val="00051C33"/>
    <w:rsid w:val="000520B0"/>
    <w:rsid w:val="000528F1"/>
    <w:rsid w:val="0005321D"/>
    <w:rsid w:val="00053604"/>
    <w:rsid w:val="00053DEB"/>
    <w:rsid w:val="00053E2F"/>
    <w:rsid w:val="00054238"/>
    <w:rsid w:val="00054735"/>
    <w:rsid w:val="00054A87"/>
    <w:rsid w:val="00055099"/>
    <w:rsid w:val="000561A1"/>
    <w:rsid w:val="00056982"/>
    <w:rsid w:val="00060379"/>
    <w:rsid w:val="00061024"/>
    <w:rsid w:val="00061EBD"/>
    <w:rsid w:val="000627E5"/>
    <w:rsid w:val="0006294A"/>
    <w:rsid w:val="00062985"/>
    <w:rsid w:val="00062C2D"/>
    <w:rsid w:val="00063421"/>
    <w:rsid w:val="00063B16"/>
    <w:rsid w:val="00065BA4"/>
    <w:rsid w:val="00065C7B"/>
    <w:rsid w:val="00066B86"/>
    <w:rsid w:val="000704F3"/>
    <w:rsid w:val="00070999"/>
    <w:rsid w:val="00070D2A"/>
    <w:rsid w:val="0007184B"/>
    <w:rsid w:val="000736BE"/>
    <w:rsid w:val="000741BB"/>
    <w:rsid w:val="0007587F"/>
    <w:rsid w:val="00076AF3"/>
    <w:rsid w:val="00076EBF"/>
    <w:rsid w:val="00077C78"/>
    <w:rsid w:val="00077CD1"/>
    <w:rsid w:val="00081A05"/>
    <w:rsid w:val="00081A62"/>
    <w:rsid w:val="00081BFD"/>
    <w:rsid w:val="00082595"/>
    <w:rsid w:val="000831E9"/>
    <w:rsid w:val="00083D7A"/>
    <w:rsid w:val="000849CD"/>
    <w:rsid w:val="00085A2D"/>
    <w:rsid w:val="00085C5C"/>
    <w:rsid w:val="0008692C"/>
    <w:rsid w:val="00086AA7"/>
    <w:rsid w:val="00090357"/>
    <w:rsid w:val="00090653"/>
    <w:rsid w:val="00090824"/>
    <w:rsid w:val="00090973"/>
    <w:rsid w:val="00091329"/>
    <w:rsid w:val="00091377"/>
    <w:rsid w:val="00091AB6"/>
    <w:rsid w:val="00091B14"/>
    <w:rsid w:val="000948CE"/>
    <w:rsid w:val="000961C3"/>
    <w:rsid w:val="00096DB3"/>
    <w:rsid w:val="0009703C"/>
    <w:rsid w:val="000971F1"/>
    <w:rsid w:val="00097F99"/>
    <w:rsid w:val="000A0353"/>
    <w:rsid w:val="000A082A"/>
    <w:rsid w:val="000A0BF5"/>
    <w:rsid w:val="000A32BD"/>
    <w:rsid w:val="000A33B7"/>
    <w:rsid w:val="000A34FD"/>
    <w:rsid w:val="000A4DD1"/>
    <w:rsid w:val="000A4DD2"/>
    <w:rsid w:val="000A5050"/>
    <w:rsid w:val="000A5812"/>
    <w:rsid w:val="000A5D37"/>
    <w:rsid w:val="000A61A0"/>
    <w:rsid w:val="000A77BF"/>
    <w:rsid w:val="000A7986"/>
    <w:rsid w:val="000A7AE1"/>
    <w:rsid w:val="000B0AE7"/>
    <w:rsid w:val="000B1864"/>
    <w:rsid w:val="000B2207"/>
    <w:rsid w:val="000B2631"/>
    <w:rsid w:val="000B2BB1"/>
    <w:rsid w:val="000B3AD9"/>
    <w:rsid w:val="000B48E5"/>
    <w:rsid w:val="000B56CE"/>
    <w:rsid w:val="000B601A"/>
    <w:rsid w:val="000B6026"/>
    <w:rsid w:val="000B79E9"/>
    <w:rsid w:val="000B7B21"/>
    <w:rsid w:val="000B7F09"/>
    <w:rsid w:val="000C07BC"/>
    <w:rsid w:val="000C08AF"/>
    <w:rsid w:val="000C0E98"/>
    <w:rsid w:val="000C0F69"/>
    <w:rsid w:val="000C1AD0"/>
    <w:rsid w:val="000C1B64"/>
    <w:rsid w:val="000C2168"/>
    <w:rsid w:val="000C244E"/>
    <w:rsid w:val="000C27B7"/>
    <w:rsid w:val="000C285B"/>
    <w:rsid w:val="000C2A8D"/>
    <w:rsid w:val="000C4A48"/>
    <w:rsid w:val="000C5533"/>
    <w:rsid w:val="000C5B83"/>
    <w:rsid w:val="000C601D"/>
    <w:rsid w:val="000C64CB"/>
    <w:rsid w:val="000D019B"/>
    <w:rsid w:val="000D1F92"/>
    <w:rsid w:val="000D2B8B"/>
    <w:rsid w:val="000D302F"/>
    <w:rsid w:val="000D3371"/>
    <w:rsid w:val="000D5309"/>
    <w:rsid w:val="000D5365"/>
    <w:rsid w:val="000D549D"/>
    <w:rsid w:val="000D6B25"/>
    <w:rsid w:val="000E023A"/>
    <w:rsid w:val="000E0463"/>
    <w:rsid w:val="000E145A"/>
    <w:rsid w:val="000E253D"/>
    <w:rsid w:val="000E284A"/>
    <w:rsid w:val="000E31BF"/>
    <w:rsid w:val="000E4D69"/>
    <w:rsid w:val="000E4DAC"/>
    <w:rsid w:val="000E4DEE"/>
    <w:rsid w:val="000E6177"/>
    <w:rsid w:val="000E6888"/>
    <w:rsid w:val="000E6DE8"/>
    <w:rsid w:val="000E72A7"/>
    <w:rsid w:val="000F0F27"/>
    <w:rsid w:val="000F136D"/>
    <w:rsid w:val="000F1681"/>
    <w:rsid w:val="000F1F94"/>
    <w:rsid w:val="000F27EA"/>
    <w:rsid w:val="000F2974"/>
    <w:rsid w:val="000F3934"/>
    <w:rsid w:val="000F3C2B"/>
    <w:rsid w:val="000F7886"/>
    <w:rsid w:val="00100903"/>
    <w:rsid w:val="001010F4"/>
    <w:rsid w:val="0010146E"/>
    <w:rsid w:val="00101A52"/>
    <w:rsid w:val="00101B58"/>
    <w:rsid w:val="00102209"/>
    <w:rsid w:val="00103882"/>
    <w:rsid w:val="00103948"/>
    <w:rsid w:val="001045C4"/>
    <w:rsid w:val="00106315"/>
    <w:rsid w:val="00106859"/>
    <w:rsid w:val="00110185"/>
    <w:rsid w:val="001105F8"/>
    <w:rsid w:val="00110833"/>
    <w:rsid w:val="00110D9C"/>
    <w:rsid w:val="00111542"/>
    <w:rsid w:val="00111A3C"/>
    <w:rsid w:val="00112250"/>
    <w:rsid w:val="001126D7"/>
    <w:rsid w:val="001127FE"/>
    <w:rsid w:val="00112DA0"/>
    <w:rsid w:val="00112E70"/>
    <w:rsid w:val="001133A7"/>
    <w:rsid w:val="00113C8C"/>
    <w:rsid w:val="00113C8D"/>
    <w:rsid w:val="00114481"/>
    <w:rsid w:val="0011562E"/>
    <w:rsid w:val="00115C59"/>
    <w:rsid w:val="00116193"/>
    <w:rsid w:val="0011673A"/>
    <w:rsid w:val="001202BB"/>
    <w:rsid w:val="001202C0"/>
    <w:rsid w:val="0012277E"/>
    <w:rsid w:val="00123448"/>
    <w:rsid w:val="00123EB6"/>
    <w:rsid w:val="00123FEA"/>
    <w:rsid w:val="00124164"/>
    <w:rsid w:val="00124334"/>
    <w:rsid w:val="00124C79"/>
    <w:rsid w:val="00125056"/>
    <w:rsid w:val="0012552D"/>
    <w:rsid w:val="00125584"/>
    <w:rsid w:val="001257AE"/>
    <w:rsid w:val="00126AEB"/>
    <w:rsid w:val="00126C1C"/>
    <w:rsid w:val="001273C1"/>
    <w:rsid w:val="001277AF"/>
    <w:rsid w:val="00127987"/>
    <w:rsid w:val="001302BC"/>
    <w:rsid w:val="00130859"/>
    <w:rsid w:val="0013103D"/>
    <w:rsid w:val="00131ADA"/>
    <w:rsid w:val="00131F90"/>
    <w:rsid w:val="001322EC"/>
    <w:rsid w:val="00133FF2"/>
    <w:rsid w:val="00134D93"/>
    <w:rsid w:val="00135E09"/>
    <w:rsid w:val="0013623D"/>
    <w:rsid w:val="00137834"/>
    <w:rsid w:val="00137F10"/>
    <w:rsid w:val="001401F7"/>
    <w:rsid w:val="00142120"/>
    <w:rsid w:val="00142334"/>
    <w:rsid w:val="0014289C"/>
    <w:rsid w:val="00142D2E"/>
    <w:rsid w:val="00143CCB"/>
    <w:rsid w:val="001459EA"/>
    <w:rsid w:val="0015132E"/>
    <w:rsid w:val="00151528"/>
    <w:rsid w:val="00151AC1"/>
    <w:rsid w:val="00151CDE"/>
    <w:rsid w:val="001549D1"/>
    <w:rsid w:val="00156591"/>
    <w:rsid w:val="0015713B"/>
    <w:rsid w:val="00160A33"/>
    <w:rsid w:val="00160B39"/>
    <w:rsid w:val="00161B3F"/>
    <w:rsid w:val="00162062"/>
    <w:rsid w:val="00162066"/>
    <w:rsid w:val="00162657"/>
    <w:rsid w:val="00162734"/>
    <w:rsid w:val="00163AA2"/>
    <w:rsid w:val="00163B12"/>
    <w:rsid w:val="00165124"/>
    <w:rsid w:val="00166E37"/>
    <w:rsid w:val="0016789E"/>
    <w:rsid w:val="00167ABD"/>
    <w:rsid w:val="00170BEB"/>
    <w:rsid w:val="00172BFB"/>
    <w:rsid w:val="00172E00"/>
    <w:rsid w:val="00175930"/>
    <w:rsid w:val="001759E7"/>
    <w:rsid w:val="0017725C"/>
    <w:rsid w:val="00177475"/>
    <w:rsid w:val="0017789E"/>
    <w:rsid w:val="0018061B"/>
    <w:rsid w:val="00181384"/>
    <w:rsid w:val="0018140C"/>
    <w:rsid w:val="0018186B"/>
    <w:rsid w:val="00181F74"/>
    <w:rsid w:val="001821A2"/>
    <w:rsid w:val="00182667"/>
    <w:rsid w:val="00182D0F"/>
    <w:rsid w:val="00183D9B"/>
    <w:rsid w:val="0018440F"/>
    <w:rsid w:val="00184DE1"/>
    <w:rsid w:val="00185BAC"/>
    <w:rsid w:val="0019030B"/>
    <w:rsid w:val="0019036F"/>
    <w:rsid w:val="00192162"/>
    <w:rsid w:val="001922E0"/>
    <w:rsid w:val="001928F1"/>
    <w:rsid w:val="0019343C"/>
    <w:rsid w:val="00194967"/>
    <w:rsid w:val="00194D8C"/>
    <w:rsid w:val="00196CEF"/>
    <w:rsid w:val="00196E3A"/>
    <w:rsid w:val="001A2215"/>
    <w:rsid w:val="001A4839"/>
    <w:rsid w:val="001A4A1E"/>
    <w:rsid w:val="001A4B34"/>
    <w:rsid w:val="001A4BEC"/>
    <w:rsid w:val="001A4D38"/>
    <w:rsid w:val="001A546C"/>
    <w:rsid w:val="001B14D8"/>
    <w:rsid w:val="001B2471"/>
    <w:rsid w:val="001B2689"/>
    <w:rsid w:val="001B28B7"/>
    <w:rsid w:val="001B2CA8"/>
    <w:rsid w:val="001B303C"/>
    <w:rsid w:val="001B33F9"/>
    <w:rsid w:val="001B4F59"/>
    <w:rsid w:val="001B53A6"/>
    <w:rsid w:val="001B5DB3"/>
    <w:rsid w:val="001B764C"/>
    <w:rsid w:val="001B7F6A"/>
    <w:rsid w:val="001C0B12"/>
    <w:rsid w:val="001C0D59"/>
    <w:rsid w:val="001C289E"/>
    <w:rsid w:val="001C2B68"/>
    <w:rsid w:val="001C662D"/>
    <w:rsid w:val="001C6943"/>
    <w:rsid w:val="001C6A3B"/>
    <w:rsid w:val="001C6ED8"/>
    <w:rsid w:val="001C72D6"/>
    <w:rsid w:val="001D1048"/>
    <w:rsid w:val="001D1180"/>
    <w:rsid w:val="001D18A7"/>
    <w:rsid w:val="001D18C6"/>
    <w:rsid w:val="001D21F7"/>
    <w:rsid w:val="001D36EE"/>
    <w:rsid w:val="001D3859"/>
    <w:rsid w:val="001D3B28"/>
    <w:rsid w:val="001D3D8F"/>
    <w:rsid w:val="001D41A2"/>
    <w:rsid w:val="001D6479"/>
    <w:rsid w:val="001D6825"/>
    <w:rsid w:val="001D6D95"/>
    <w:rsid w:val="001D6DC9"/>
    <w:rsid w:val="001E093C"/>
    <w:rsid w:val="001E0B38"/>
    <w:rsid w:val="001E1D15"/>
    <w:rsid w:val="001E2165"/>
    <w:rsid w:val="001E2D7A"/>
    <w:rsid w:val="001E30F2"/>
    <w:rsid w:val="001E3835"/>
    <w:rsid w:val="001E4F7A"/>
    <w:rsid w:val="001E5206"/>
    <w:rsid w:val="001E5F7E"/>
    <w:rsid w:val="001E60A9"/>
    <w:rsid w:val="001E63A6"/>
    <w:rsid w:val="001E75AA"/>
    <w:rsid w:val="001E7D22"/>
    <w:rsid w:val="001F0BA1"/>
    <w:rsid w:val="001F0C86"/>
    <w:rsid w:val="001F0D3C"/>
    <w:rsid w:val="001F2051"/>
    <w:rsid w:val="001F4819"/>
    <w:rsid w:val="001F5006"/>
    <w:rsid w:val="001F50A0"/>
    <w:rsid w:val="001F748A"/>
    <w:rsid w:val="001F7E08"/>
    <w:rsid w:val="00200B3D"/>
    <w:rsid w:val="0020147E"/>
    <w:rsid w:val="00201A13"/>
    <w:rsid w:val="00201C84"/>
    <w:rsid w:val="00202D54"/>
    <w:rsid w:val="00203707"/>
    <w:rsid w:val="0020509F"/>
    <w:rsid w:val="00205276"/>
    <w:rsid w:val="00205410"/>
    <w:rsid w:val="00205ACB"/>
    <w:rsid w:val="00207168"/>
    <w:rsid w:val="00210AF0"/>
    <w:rsid w:val="00210C11"/>
    <w:rsid w:val="0021100C"/>
    <w:rsid w:val="00211389"/>
    <w:rsid w:val="0021183A"/>
    <w:rsid w:val="00211926"/>
    <w:rsid w:val="00212521"/>
    <w:rsid w:val="002125D0"/>
    <w:rsid w:val="0021301B"/>
    <w:rsid w:val="00213832"/>
    <w:rsid w:val="00213A6C"/>
    <w:rsid w:val="00215A71"/>
    <w:rsid w:val="00216A98"/>
    <w:rsid w:val="0022221F"/>
    <w:rsid w:val="002223E2"/>
    <w:rsid w:val="00223224"/>
    <w:rsid w:val="00224274"/>
    <w:rsid w:val="00226534"/>
    <w:rsid w:val="00226620"/>
    <w:rsid w:val="00226C80"/>
    <w:rsid w:val="00227633"/>
    <w:rsid w:val="00230225"/>
    <w:rsid w:val="002317B4"/>
    <w:rsid w:val="00234487"/>
    <w:rsid w:val="00234A53"/>
    <w:rsid w:val="00235B07"/>
    <w:rsid w:val="00237FB7"/>
    <w:rsid w:val="00240316"/>
    <w:rsid w:val="00240C8D"/>
    <w:rsid w:val="00240DF8"/>
    <w:rsid w:val="00240EF8"/>
    <w:rsid w:val="00241BCF"/>
    <w:rsid w:val="00242700"/>
    <w:rsid w:val="002432BD"/>
    <w:rsid w:val="002432FC"/>
    <w:rsid w:val="0024386D"/>
    <w:rsid w:val="00244821"/>
    <w:rsid w:val="00245545"/>
    <w:rsid w:val="00247575"/>
    <w:rsid w:val="002476A2"/>
    <w:rsid w:val="002477B1"/>
    <w:rsid w:val="00250B5D"/>
    <w:rsid w:val="00250E94"/>
    <w:rsid w:val="002517F1"/>
    <w:rsid w:val="0025303A"/>
    <w:rsid w:val="00253DDC"/>
    <w:rsid w:val="00256787"/>
    <w:rsid w:val="00257469"/>
    <w:rsid w:val="00260E1F"/>
    <w:rsid w:val="0026170B"/>
    <w:rsid w:val="002621AD"/>
    <w:rsid w:val="00263670"/>
    <w:rsid w:val="00263CDB"/>
    <w:rsid w:val="00264D06"/>
    <w:rsid w:val="00265D84"/>
    <w:rsid w:val="00266D8B"/>
    <w:rsid w:val="00267B59"/>
    <w:rsid w:val="0027125A"/>
    <w:rsid w:val="00271BDF"/>
    <w:rsid w:val="00271F09"/>
    <w:rsid w:val="00272F6A"/>
    <w:rsid w:val="00273307"/>
    <w:rsid w:val="00274862"/>
    <w:rsid w:val="002750C3"/>
    <w:rsid w:val="00276119"/>
    <w:rsid w:val="002768C2"/>
    <w:rsid w:val="002770ED"/>
    <w:rsid w:val="002775E0"/>
    <w:rsid w:val="00277FE6"/>
    <w:rsid w:val="00280673"/>
    <w:rsid w:val="00281F7F"/>
    <w:rsid w:val="002828DF"/>
    <w:rsid w:val="0028370C"/>
    <w:rsid w:val="00283BFB"/>
    <w:rsid w:val="0028565D"/>
    <w:rsid w:val="00286086"/>
    <w:rsid w:val="002865F0"/>
    <w:rsid w:val="0028780A"/>
    <w:rsid w:val="0028797A"/>
    <w:rsid w:val="002900D1"/>
    <w:rsid w:val="0029072D"/>
    <w:rsid w:val="002916F9"/>
    <w:rsid w:val="00291F68"/>
    <w:rsid w:val="002927AE"/>
    <w:rsid w:val="00294685"/>
    <w:rsid w:val="00294EF9"/>
    <w:rsid w:val="00295D1E"/>
    <w:rsid w:val="002970B8"/>
    <w:rsid w:val="00297307"/>
    <w:rsid w:val="002973AC"/>
    <w:rsid w:val="002975E8"/>
    <w:rsid w:val="002A0507"/>
    <w:rsid w:val="002A14F4"/>
    <w:rsid w:val="002A266C"/>
    <w:rsid w:val="002A2A17"/>
    <w:rsid w:val="002A3A9C"/>
    <w:rsid w:val="002A448F"/>
    <w:rsid w:val="002A4D9F"/>
    <w:rsid w:val="002A4E06"/>
    <w:rsid w:val="002A6F05"/>
    <w:rsid w:val="002A7099"/>
    <w:rsid w:val="002A7836"/>
    <w:rsid w:val="002A7B63"/>
    <w:rsid w:val="002B1C9B"/>
    <w:rsid w:val="002B24A3"/>
    <w:rsid w:val="002B3513"/>
    <w:rsid w:val="002B41C6"/>
    <w:rsid w:val="002B4A15"/>
    <w:rsid w:val="002B5A5D"/>
    <w:rsid w:val="002B5FD6"/>
    <w:rsid w:val="002B6169"/>
    <w:rsid w:val="002B63AB"/>
    <w:rsid w:val="002B75FC"/>
    <w:rsid w:val="002B7609"/>
    <w:rsid w:val="002B7F75"/>
    <w:rsid w:val="002C0C71"/>
    <w:rsid w:val="002C0DA8"/>
    <w:rsid w:val="002C2142"/>
    <w:rsid w:val="002C245C"/>
    <w:rsid w:val="002C247D"/>
    <w:rsid w:val="002C2499"/>
    <w:rsid w:val="002C27B5"/>
    <w:rsid w:val="002C283D"/>
    <w:rsid w:val="002C2E67"/>
    <w:rsid w:val="002C353C"/>
    <w:rsid w:val="002C3B85"/>
    <w:rsid w:val="002C4123"/>
    <w:rsid w:val="002C5BA9"/>
    <w:rsid w:val="002C6E1C"/>
    <w:rsid w:val="002C744E"/>
    <w:rsid w:val="002C7739"/>
    <w:rsid w:val="002D03CE"/>
    <w:rsid w:val="002D166B"/>
    <w:rsid w:val="002D35C0"/>
    <w:rsid w:val="002D35DB"/>
    <w:rsid w:val="002D3786"/>
    <w:rsid w:val="002D3AEB"/>
    <w:rsid w:val="002D3ECC"/>
    <w:rsid w:val="002D4597"/>
    <w:rsid w:val="002D488D"/>
    <w:rsid w:val="002D53D0"/>
    <w:rsid w:val="002D57FD"/>
    <w:rsid w:val="002D6021"/>
    <w:rsid w:val="002D61B0"/>
    <w:rsid w:val="002D6DA7"/>
    <w:rsid w:val="002E0BA1"/>
    <w:rsid w:val="002E1B08"/>
    <w:rsid w:val="002E26D7"/>
    <w:rsid w:val="002E2A1E"/>
    <w:rsid w:val="002E2A8F"/>
    <w:rsid w:val="002E311C"/>
    <w:rsid w:val="002E3EF9"/>
    <w:rsid w:val="002E48CF"/>
    <w:rsid w:val="002E4CD2"/>
    <w:rsid w:val="002E6C42"/>
    <w:rsid w:val="002E715F"/>
    <w:rsid w:val="002E7333"/>
    <w:rsid w:val="002F054E"/>
    <w:rsid w:val="002F138C"/>
    <w:rsid w:val="002F13CB"/>
    <w:rsid w:val="002F17C0"/>
    <w:rsid w:val="002F23A1"/>
    <w:rsid w:val="002F2A6C"/>
    <w:rsid w:val="002F3457"/>
    <w:rsid w:val="002F4618"/>
    <w:rsid w:val="002F49E6"/>
    <w:rsid w:val="002F520A"/>
    <w:rsid w:val="002F5662"/>
    <w:rsid w:val="002F57EA"/>
    <w:rsid w:val="002F5B0B"/>
    <w:rsid w:val="002F6B78"/>
    <w:rsid w:val="002F6E3B"/>
    <w:rsid w:val="002F702A"/>
    <w:rsid w:val="002F798F"/>
    <w:rsid w:val="002F7DEC"/>
    <w:rsid w:val="00300949"/>
    <w:rsid w:val="00300D11"/>
    <w:rsid w:val="00301A87"/>
    <w:rsid w:val="003023BA"/>
    <w:rsid w:val="00302A94"/>
    <w:rsid w:val="00303F78"/>
    <w:rsid w:val="0030497C"/>
    <w:rsid w:val="003060AC"/>
    <w:rsid w:val="003070BF"/>
    <w:rsid w:val="00310109"/>
    <w:rsid w:val="00310FEB"/>
    <w:rsid w:val="003117FD"/>
    <w:rsid w:val="00311E20"/>
    <w:rsid w:val="00313253"/>
    <w:rsid w:val="00313F10"/>
    <w:rsid w:val="003144D0"/>
    <w:rsid w:val="0031460E"/>
    <w:rsid w:val="003166BE"/>
    <w:rsid w:val="003208CC"/>
    <w:rsid w:val="003231CA"/>
    <w:rsid w:val="003243F0"/>
    <w:rsid w:val="00325011"/>
    <w:rsid w:val="003253B2"/>
    <w:rsid w:val="003268A3"/>
    <w:rsid w:val="00326E60"/>
    <w:rsid w:val="003274D7"/>
    <w:rsid w:val="0033050A"/>
    <w:rsid w:val="0033139B"/>
    <w:rsid w:val="00331507"/>
    <w:rsid w:val="0033225F"/>
    <w:rsid w:val="00332880"/>
    <w:rsid w:val="00333279"/>
    <w:rsid w:val="00333371"/>
    <w:rsid w:val="003339EF"/>
    <w:rsid w:val="003354EE"/>
    <w:rsid w:val="00336D7C"/>
    <w:rsid w:val="0034063B"/>
    <w:rsid w:val="003408E4"/>
    <w:rsid w:val="0034117E"/>
    <w:rsid w:val="003419CA"/>
    <w:rsid w:val="003425DB"/>
    <w:rsid w:val="00342B9F"/>
    <w:rsid w:val="0034341C"/>
    <w:rsid w:val="00343A69"/>
    <w:rsid w:val="0034427A"/>
    <w:rsid w:val="003463F9"/>
    <w:rsid w:val="00346A97"/>
    <w:rsid w:val="00347C37"/>
    <w:rsid w:val="003508C6"/>
    <w:rsid w:val="003517A9"/>
    <w:rsid w:val="00352928"/>
    <w:rsid w:val="00352F69"/>
    <w:rsid w:val="00354B6D"/>
    <w:rsid w:val="003603F6"/>
    <w:rsid w:val="003603FA"/>
    <w:rsid w:val="003605E5"/>
    <w:rsid w:val="0036076A"/>
    <w:rsid w:val="00363898"/>
    <w:rsid w:val="00363C8B"/>
    <w:rsid w:val="00365723"/>
    <w:rsid w:val="00366C71"/>
    <w:rsid w:val="003678D5"/>
    <w:rsid w:val="00371D8D"/>
    <w:rsid w:val="003722AE"/>
    <w:rsid w:val="0037230F"/>
    <w:rsid w:val="00372D5D"/>
    <w:rsid w:val="00372F87"/>
    <w:rsid w:val="0037341B"/>
    <w:rsid w:val="00373CDC"/>
    <w:rsid w:val="003743B5"/>
    <w:rsid w:val="0037475E"/>
    <w:rsid w:val="00374B1F"/>
    <w:rsid w:val="003750D3"/>
    <w:rsid w:val="003754AB"/>
    <w:rsid w:val="00375507"/>
    <w:rsid w:val="003761D7"/>
    <w:rsid w:val="00376215"/>
    <w:rsid w:val="00376E6B"/>
    <w:rsid w:val="00380245"/>
    <w:rsid w:val="00380274"/>
    <w:rsid w:val="003809A6"/>
    <w:rsid w:val="00380D95"/>
    <w:rsid w:val="003814F2"/>
    <w:rsid w:val="0038249B"/>
    <w:rsid w:val="00382D54"/>
    <w:rsid w:val="00382ED5"/>
    <w:rsid w:val="00382FCC"/>
    <w:rsid w:val="00383E8E"/>
    <w:rsid w:val="00384A38"/>
    <w:rsid w:val="00385148"/>
    <w:rsid w:val="00385A4F"/>
    <w:rsid w:val="00386F2C"/>
    <w:rsid w:val="0039003A"/>
    <w:rsid w:val="003919F5"/>
    <w:rsid w:val="00391A18"/>
    <w:rsid w:val="003922B4"/>
    <w:rsid w:val="0039255A"/>
    <w:rsid w:val="00392E36"/>
    <w:rsid w:val="0039306A"/>
    <w:rsid w:val="003932AD"/>
    <w:rsid w:val="003934D2"/>
    <w:rsid w:val="003941D3"/>
    <w:rsid w:val="00395D73"/>
    <w:rsid w:val="0039618D"/>
    <w:rsid w:val="00396530"/>
    <w:rsid w:val="0039714E"/>
    <w:rsid w:val="003973A6"/>
    <w:rsid w:val="00397870"/>
    <w:rsid w:val="003A186D"/>
    <w:rsid w:val="003A27A0"/>
    <w:rsid w:val="003A33B3"/>
    <w:rsid w:val="003A4316"/>
    <w:rsid w:val="003A5634"/>
    <w:rsid w:val="003A61E5"/>
    <w:rsid w:val="003A6495"/>
    <w:rsid w:val="003A6DFB"/>
    <w:rsid w:val="003A7222"/>
    <w:rsid w:val="003A75BE"/>
    <w:rsid w:val="003A7FEE"/>
    <w:rsid w:val="003B0F3C"/>
    <w:rsid w:val="003B22BC"/>
    <w:rsid w:val="003B2E47"/>
    <w:rsid w:val="003B3386"/>
    <w:rsid w:val="003B3707"/>
    <w:rsid w:val="003B44D3"/>
    <w:rsid w:val="003B4FF9"/>
    <w:rsid w:val="003B5E7A"/>
    <w:rsid w:val="003B6122"/>
    <w:rsid w:val="003B639A"/>
    <w:rsid w:val="003B658F"/>
    <w:rsid w:val="003B7170"/>
    <w:rsid w:val="003B7504"/>
    <w:rsid w:val="003C028A"/>
    <w:rsid w:val="003C0982"/>
    <w:rsid w:val="003C149E"/>
    <w:rsid w:val="003C1509"/>
    <w:rsid w:val="003C1FDC"/>
    <w:rsid w:val="003C2229"/>
    <w:rsid w:val="003C2388"/>
    <w:rsid w:val="003C28C5"/>
    <w:rsid w:val="003C430B"/>
    <w:rsid w:val="003C4717"/>
    <w:rsid w:val="003C58B5"/>
    <w:rsid w:val="003C6101"/>
    <w:rsid w:val="003C6D4E"/>
    <w:rsid w:val="003C7D25"/>
    <w:rsid w:val="003D055A"/>
    <w:rsid w:val="003D08DF"/>
    <w:rsid w:val="003D0B08"/>
    <w:rsid w:val="003D100F"/>
    <w:rsid w:val="003D1CC8"/>
    <w:rsid w:val="003D2C52"/>
    <w:rsid w:val="003D2DF5"/>
    <w:rsid w:val="003D2E61"/>
    <w:rsid w:val="003D387C"/>
    <w:rsid w:val="003D438C"/>
    <w:rsid w:val="003D5193"/>
    <w:rsid w:val="003D62F8"/>
    <w:rsid w:val="003D681D"/>
    <w:rsid w:val="003D7538"/>
    <w:rsid w:val="003D7DDF"/>
    <w:rsid w:val="003E0180"/>
    <w:rsid w:val="003E1A87"/>
    <w:rsid w:val="003E1D8A"/>
    <w:rsid w:val="003E204F"/>
    <w:rsid w:val="003E2197"/>
    <w:rsid w:val="003E281A"/>
    <w:rsid w:val="003E28D1"/>
    <w:rsid w:val="003E32DF"/>
    <w:rsid w:val="003E371B"/>
    <w:rsid w:val="003E3A2C"/>
    <w:rsid w:val="003E3B00"/>
    <w:rsid w:val="003E4A7C"/>
    <w:rsid w:val="003E51BA"/>
    <w:rsid w:val="003E52C3"/>
    <w:rsid w:val="003E59A8"/>
    <w:rsid w:val="003E69B0"/>
    <w:rsid w:val="003E69E7"/>
    <w:rsid w:val="003F00AD"/>
    <w:rsid w:val="003F0291"/>
    <w:rsid w:val="003F1119"/>
    <w:rsid w:val="003F15F4"/>
    <w:rsid w:val="003F1EAB"/>
    <w:rsid w:val="003F458F"/>
    <w:rsid w:val="003F46F4"/>
    <w:rsid w:val="003F4BB0"/>
    <w:rsid w:val="003F5D44"/>
    <w:rsid w:val="003F627F"/>
    <w:rsid w:val="003F630E"/>
    <w:rsid w:val="003F767C"/>
    <w:rsid w:val="0040068A"/>
    <w:rsid w:val="0040152D"/>
    <w:rsid w:val="00401A49"/>
    <w:rsid w:val="00402981"/>
    <w:rsid w:val="0040351A"/>
    <w:rsid w:val="004035FC"/>
    <w:rsid w:val="00404273"/>
    <w:rsid w:val="004043B4"/>
    <w:rsid w:val="00405BFA"/>
    <w:rsid w:val="0040612E"/>
    <w:rsid w:val="00407069"/>
    <w:rsid w:val="0040747E"/>
    <w:rsid w:val="004104D1"/>
    <w:rsid w:val="00412BAA"/>
    <w:rsid w:val="0041311E"/>
    <w:rsid w:val="004135AA"/>
    <w:rsid w:val="004139A1"/>
    <w:rsid w:val="00413B6D"/>
    <w:rsid w:val="004146AE"/>
    <w:rsid w:val="004149A6"/>
    <w:rsid w:val="00415584"/>
    <w:rsid w:val="004177DC"/>
    <w:rsid w:val="00417EDA"/>
    <w:rsid w:val="00420292"/>
    <w:rsid w:val="00420E33"/>
    <w:rsid w:val="00421529"/>
    <w:rsid w:val="004215FC"/>
    <w:rsid w:val="0042169E"/>
    <w:rsid w:val="00421789"/>
    <w:rsid w:val="00421921"/>
    <w:rsid w:val="00421EE9"/>
    <w:rsid w:val="00421F1A"/>
    <w:rsid w:val="00421FDB"/>
    <w:rsid w:val="00422081"/>
    <w:rsid w:val="0042374B"/>
    <w:rsid w:val="00423E79"/>
    <w:rsid w:val="00423FC5"/>
    <w:rsid w:val="0042444E"/>
    <w:rsid w:val="00424B06"/>
    <w:rsid w:val="0042567A"/>
    <w:rsid w:val="004256D1"/>
    <w:rsid w:val="00426CAC"/>
    <w:rsid w:val="00430505"/>
    <w:rsid w:val="004308C1"/>
    <w:rsid w:val="0043090A"/>
    <w:rsid w:val="00430A1F"/>
    <w:rsid w:val="00431499"/>
    <w:rsid w:val="00431623"/>
    <w:rsid w:val="00431808"/>
    <w:rsid w:val="00431D28"/>
    <w:rsid w:val="00432AE3"/>
    <w:rsid w:val="00434063"/>
    <w:rsid w:val="004359DA"/>
    <w:rsid w:val="00435BF3"/>
    <w:rsid w:val="00435C68"/>
    <w:rsid w:val="004360CC"/>
    <w:rsid w:val="004379D5"/>
    <w:rsid w:val="00437A04"/>
    <w:rsid w:val="00437BBB"/>
    <w:rsid w:val="00437E27"/>
    <w:rsid w:val="00441BEC"/>
    <w:rsid w:val="00441E51"/>
    <w:rsid w:val="00441F12"/>
    <w:rsid w:val="00442511"/>
    <w:rsid w:val="00442C0E"/>
    <w:rsid w:val="004435E8"/>
    <w:rsid w:val="00444181"/>
    <w:rsid w:val="00444B6E"/>
    <w:rsid w:val="00444FFB"/>
    <w:rsid w:val="0044538A"/>
    <w:rsid w:val="0044545B"/>
    <w:rsid w:val="00445EE2"/>
    <w:rsid w:val="004460E5"/>
    <w:rsid w:val="00450737"/>
    <w:rsid w:val="004520BF"/>
    <w:rsid w:val="00453ABF"/>
    <w:rsid w:val="00454C54"/>
    <w:rsid w:val="004552AC"/>
    <w:rsid w:val="004553C0"/>
    <w:rsid w:val="004556FB"/>
    <w:rsid w:val="00455F7D"/>
    <w:rsid w:val="00455FA5"/>
    <w:rsid w:val="0045620E"/>
    <w:rsid w:val="00456950"/>
    <w:rsid w:val="00457AC6"/>
    <w:rsid w:val="00457F63"/>
    <w:rsid w:val="0046006A"/>
    <w:rsid w:val="00461E32"/>
    <w:rsid w:val="00463663"/>
    <w:rsid w:val="0046370C"/>
    <w:rsid w:val="0046397F"/>
    <w:rsid w:val="00465162"/>
    <w:rsid w:val="00465BB8"/>
    <w:rsid w:val="00467046"/>
    <w:rsid w:val="0046726A"/>
    <w:rsid w:val="00467828"/>
    <w:rsid w:val="0047135F"/>
    <w:rsid w:val="004719C0"/>
    <w:rsid w:val="0047298B"/>
    <w:rsid w:val="00472CE0"/>
    <w:rsid w:val="004733C6"/>
    <w:rsid w:val="004737E2"/>
    <w:rsid w:val="00474E11"/>
    <w:rsid w:val="00476C62"/>
    <w:rsid w:val="00476D3F"/>
    <w:rsid w:val="00477CED"/>
    <w:rsid w:val="004804C9"/>
    <w:rsid w:val="00481448"/>
    <w:rsid w:val="00482963"/>
    <w:rsid w:val="0048316F"/>
    <w:rsid w:val="004834BB"/>
    <w:rsid w:val="0048416E"/>
    <w:rsid w:val="00485099"/>
    <w:rsid w:val="00485387"/>
    <w:rsid w:val="0048693E"/>
    <w:rsid w:val="00486C05"/>
    <w:rsid w:val="00486DB2"/>
    <w:rsid w:val="004873BF"/>
    <w:rsid w:val="00487D86"/>
    <w:rsid w:val="0049028E"/>
    <w:rsid w:val="00490B0B"/>
    <w:rsid w:val="00490E9A"/>
    <w:rsid w:val="004916E1"/>
    <w:rsid w:val="00492686"/>
    <w:rsid w:val="00494ECF"/>
    <w:rsid w:val="00494F01"/>
    <w:rsid w:val="00495793"/>
    <w:rsid w:val="00495C08"/>
    <w:rsid w:val="00496771"/>
    <w:rsid w:val="00496B30"/>
    <w:rsid w:val="004970BB"/>
    <w:rsid w:val="004A0891"/>
    <w:rsid w:val="004A0F02"/>
    <w:rsid w:val="004A1DBC"/>
    <w:rsid w:val="004A3090"/>
    <w:rsid w:val="004A383B"/>
    <w:rsid w:val="004A441E"/>
    <w:rsid w:val="004A4AD9"/>
    <w:rsid w:val="004A57BB"/>
    <w:rsid w:val="004A5A74"/>
    <w:rsid w:val="004A5DB2"/>
    <w:rsid w:val="004A5DE6"/>
    <w:rsid w:val="004A65E7"/>
    <w:rsid w:val="004A66ED"/>
    <w:rsid w:val="004A738C"/>
    <w:rsid w:val="004B058D"/>
    <w:rsid w:val="004B1878"/>
    <w:rsid w:val="004B39F8"/>
    <w:rsid w:val="004B508B"/>
    <w:rsid w:val="004B5604"/>
    <w:rsid w:val="004B5A6C"/>
    <w:rsid w:val="004B6339"/>
    <w:rsid w:val="004B6A10"/>
    <w:rsid w:val="004B6BB9"/>
    <w:rsid w:val="004B6CF9"/>
    <w:rsid w:val="004C05B6"/>
    <w:rsid w:val="004C0E01"/>
    <w:rsid w:val="004C0FF0"/>
    <w:rsid w:val="004C1BBA"/>
    <w:rsid w:val="004C1C8C"/>
    <w:rsid w:val="004C1F18"/>
    <w:rsid w:val="004C5340"/>
    <w:rsid w:val="004C60AB"/>
    <w:rsid w:val="004C6296"/>
    <w:rsid w:val="004C642D"/>
    <w:rsid w:val="004C6C8D"/>
    <w:rsid w:val="004C7D18"/>
    <w:rsid w:val="004D0568"/>
    <w:rsid w:val="004D0772"/>
    <w:rsid w:val="004D0837"/>
    <w:rsid w:val="004D114B"/>
    <w:rsid w:val="004D1A40"/>
    <w:rsid w:val="004D291A"/>
    <w:rsid w:val="004D296A"/>
    <w:rsid w:val="004D3993"/>
    <w:rsid w:val="004D3E83"/>
    <w:rsid w:val="004D515A"/>
    <w:rsid w:val="004D5353"/>
    <w:rsid w:val="004D5846"/>
    <w:rsid w:val="004D61A1"/>
    <w:rsid w:val="004D6A34"/>
    <w:rsid w:val="004D6D2F"/>
    <w:rsid w:val="004E0DE3"/>
    <w:rsid w:val="004E1A08"/>
    <w:rsid w:val="004E1F24"/>
    <w:rsid w:val="004E2801"/>
    <w:rsid w:val="004E3436"/>
    <w:rsid w:val="004E48B3"/>
    <w:rsid w:val="004E4D10"/>
    <w:rsid w:val="004E4E81"/>
    <w:rsid w:val="004E5521"/>
    <w:rsid w:val="004E5A36"/>
    <w:rsid w:val="004E653B"/>
    <w:rsid w:val="004E6BF2"/>
    <w:rsid w:val="004E6E0F"/>
    <w:rsid w:val="004E735D"/>
    <w:rsid w:val="004F01D4"/>
    <w:rsid w:val="004F0CEB"/>
    <w:rsid w:val="004F102B"/>
    <w:rsid w:val="004F11AE"/>
    <w:rsid w:val="004F151D"/>
    <w:rsid w:val="004F2088"/>
    <w:rsid w:val="004F4224"/>
    <w:rsid w:val="004F476B"/>
    <w:rsid w:val="004F6B19"/>
    <w:rsid w:val="005021CC"/>
    <w:rsid w:val="0050242E"/>
    <w:rsid w:val="00503663"/>
    <w:rsid w:val="005038F6"/>
    <w:rsid w:val="005040B7"/>
    <w:rsid w:val="00505A3A"/>
    <w:rsid w:val="005062D6"/>
    <w:rsid w:val="00506C3E"/>
    <w:rsid w:val="00506C80"/>
    <w:rsid w:val="00510612"/>
    <w:rsid w:val="00510E11"/>
    <w:rsid w:val="00511ECC"/>
    <w:rsid w:val="00512E6D"/>
    <w:rsid w:val="00513844"/>
    <w:rsid w:val="00514546"/>
    <w:rsid w:val="00514D00"/>
    <w:rsid w:val="00515986"/>
    <w:rsid w:val="00515C3F"/>
    <w:rsid w:val="00515C42"/>
    <w:rsid w:val="00516E43"/>
    <w:rsid w:val="005170FB"/>
    <w:rsid w:val="005212DA"/>
    <w:rsid w:val="0052204C"/>
    <w:rsid w:val="005224EE"/>
    <w:rsid w:val="00522D4C"/>
    <w:rsid w:val="00523AE0"/>
    <w:rsid w:val="00523BF7"/>
    <w:rsid w:val="00523C58"/>
    <w:rsid w:val="00523C8D"/>
    <w:rsid w:val="00523CDB"/>
    <w:rsid w:val="005246B8"/>
    <w:rsid w:val="005248FA"/>
    <w:rsid w:val="005251E9"/>
    <w:rsid w:val="00525390"/>
    <w:rsid w:val="00525579"/>
    <w:rsid w:val="005259AA"/>
    <w:rsid w:val="00526B39"/>
    <w:rsid w:val="0052749C"/>
    <w:rsid w:val="00527511"/>
    <w:rsid w:val="0053111A"/>
    <w:rsid w:val="00531325"/>
    <w:rsid w:val="00531AF9"/>
    <w:rsid w:val="00531C62"/>
    <w:rsid w:val="00532175"/>
    <w:rsid w:val="00532A76"/>
    <w:rsid w:val="00532B34"/>
    <w:rsid w:val="00532CC3"/>
    <w:rsid w:val="005336EF"/>
    <w:rsid w:val="00533EF9"/>
    <w:rsid w:val="005348A0"/>
    <w:rsid w:val="00534EAE"/>
    <w:rsid w:val="005351DE"/>
    <w:rsid w:val="00535D02"/>
    <w:rsid w:val="005375E1"/>
    <w:rsid w:val="00537993"/>
    <w:rsid w:val="005408DB"/>
    <w:rsid w:val="00540927"/>
    <w:rsid w:val="005432DC"/>
    <w:rsid w:val="0054673F"/>
    <w:rsid w:val="00550070"/>
    <w:rsid w:val="0055077C"/>
    <w:rsid w:val="0055300D"/>
    <w:rsid w:val="005531FB"/>
    <w:rsid w:val="0055320B"/>
    <w:rsid w:val="00553F0D"/>
    <w:rsid w:val="005553AB"/>
    <w:rsid w:val="0055607E"/>
    <w:rsid w:val="005570E2"/>
    <w:rsid w:val="00560634"/>
    <w:rsid w:val="00561E64"/>
    <w:rsid w:val="005623B8"/>
    <w:rsid w:val="00563319"/>
    <w:rsid w:val="005635CD"/>
    <w:rsid w:val="005662F9"/>
    <w:rsid w:val="005666DA"/>
    <w:rsid w:val="005671C1"/>
    <w:rsid w:val="00567930"/>
    <w:rsid w:val="00570012"/>
    <w:rsid w:val="005700EF"/>
    <w:rsid w:val="0057046A"/>
    <w:rsid w:val="00570C30"/>
    <w:rsid w:val="005731E9"/>
    <w:rsid w:val="0057383F"/>
    <w:rsid w:val="00573844"/>
    <w:rsid w:val="00574369"/>
    <w:rsid w:val="005746F5"/>
    <w:rsid w:val="00574C9F"/>
    <w:rsid w:val="00575097"/>
    <w:rsid w:val="005751AA"/>
    <w:rsid w:val="00576943"/>
    <w:rsid w:val="00576D27"/>
    <w:rsid w:val="00577037"/>
    <w:rsid w:val="00577ACE"/>
    <w:rsid w:val="00580205"/>
    <w:rsid w:val="00580FEE"/>
    <w:rsid w:val="00581314"/>
    <w:rsid w:val="00581649"/>
    <w:rsid w:val="00581AC0"/>
    <w:rsid w:val="00581FAB"/>
    <w:rsid w:val="005823A0"/>
    <w:rsid w:val="00582C04"/>
    <w:rsid w:val="00582E19"/>
    <w:rsid w:val="00582EE6"/>
    <w:rsid w:val="00583758"/>
    <w:rsid w:val="00583E8F"/>
    <w:rsid w:val="00585404"/>
    <w:rsid w:val="00586F06"/>
    <w:rsid w:val="00587864"/>
    <w:rsid w:val="0058787E"/>
    <w:rsid w:val="005879CF"/>
    <w:rsid w:val="00590EEC"/>
    <w:rsid w:val="00592DC0"/>
    <w:rsid w:val="00593C28"/>
    <w:rsid w:val="00594933"/>
    <w:rsid w:val="005954AE"/>
    <w:rsid w:val="00596203"/>
    <w:rsid w:val="005963C0"/>
    <w:rsid w:val="005967AE"/>
    <w:rsid w:val="00596985"/>
    <w:rsid w:val="005979D9"/>
    <w:rsid w:val="00597B3D"/>
    <w:rsid w:val="00597CD4"/>
    <w:rsid w:val="005A0CC9"/>
    <w:rsid w:val="005A0FFB"/>
    <w:rsid w:val="005A106E"/>
    <w:rsid w:val="005A179A"/>
    <w:rsid w:val="005A1B55"/>
    <w:rsid w:val="005A2F92"/>
    <w:rsid w:val="005A36D2"/>
    <w:rsid w:val="005A4199"/>
    <w:rsid w:val="005A47BD"/>
    <w:rsid w:val="005A4954"/>
    <w:rsid w:val="005A4E14"/>
    <w:rsid w:val="005A53E4"/>
    <w:rsid w:val="005A5783"/>
    <w:rsid w:val="005A586A"/>
    <w:rsid w:val="005A6A52"/>
    <w:rsid w:val="005A6EC9"/>
    <w:rsid w:val="005B0A63"/>
    <w:rsid w:val="005B2780"/>
    <w:rsid w:val="005B2FDA"/>
    <w:rsid w:val="005B3A61"/>
    <w:rsid w:val="005B3B74"/>
    <w:rsid w:val="005B4F01"/>
    <w:rsid w:val="005B4FF1"/>
    <w:rsid w:val="005B57AA"/>
    <w:rsid w:val="005B58A7"/>
    <w:rsid w:val="005B5B99"/>
    <w:rsid w:val="005B5BFC"/>
    <w:rsid w:val="005B5E0A"/>
    <w:rsid w:val="005B635E"/>
    <w:rsid w:val="005B76C0"/>
    <w:rsid w:val="005B7A18"/>
    <w:rsid w:val="005B7BAA"/>
    <w:rsid w:val="005B7E5F"/>
    <w:rsid w:val="005C00D0"/>
    <w:rsid w:val="005C01BB"/>
    <w:rsid w:val="005C0FA1"/>
    <w:rsid w:val="005C28B8"/>
    <w:rsid w:val="005C2F76"/>
    <w:rsid w:val="005C3084"/>
    <w:rsid w:val="005C3362"/>
    <w:rsid w:val="005C3958"/>
    <w:rsid w:val="005C49BD"/>
    <w:rsid w:val="005C4B36"/>
    <w:rsid w:val="005C6001"/>
    <w:rsid w:val="005C63A4"/>
    <w:rsid w:val="005C671A"/>
    <w:rsid w:val="005C739A"/>
    <w:rsid w:val="005C75E4"/>
    <w:rsid w:val="005C7D46"/>
    <w:rsid w:val="005D0D26"/>
    <w:rsid w:val="005D13B8"/>
    <w:rsid w:val="005D22E5"/>
    <w:rsid w:val="005D2534"/>
    <w:rsid w:val="005D27D9"/>
    <w:rsid w:val="005D455C"/>
    <w:rsid w:val="005D4DD6"/>
    <w:rsid w:val="005D60D3"/>
    <w:rsid w:val="005D70B0"/>
    <w:rsid w:val="005D75FF"/>
    <w:rsid w:val="005E01E7"/>
    <w:rsid w:val="005E0ECF"/>
    <w:rsid w:val="005E15EF"/>
    <w:rsid w:val="005E21F5"/>
    <w:rsid w:val="005E2300"/>
    <w:rsid w:val="005E25D2"/>
    <w:rsid w:val="005E25F4"/>
    <w:rsid w:val="005E28F1"/>
    <w:rsid w:val="005E5A01"/>
    <w:rsid w:val="005E5A04"/>
    <w:rsid w:val="005E5C3E"/>
    <w:rsid w:val="005E6398"/>
    <w:rsid w:val="005E66C3"/>
    <w:rsid w:val="005E66DA"/>
    <w:rsid w:val="005E7F1D"/>
    <w:rsid w:val="005F0534"/>
    <w:rsid w:val="005F1099"/>
    <w:rsid w:val="005F4319"/>
    <w:rsid w:val="005F4596"/>
    <w:rsid w:val="005F4911"/>
    <w:rsid w:val="005F5258"/>
    <w:rsid w:val="005F5EDC"/>
    <w:rsid w:val="005F6150"/>
    <w:rsid w:val="005F6C39"/>
    <w:rsid w:val="005F78A7"/>
    <w:rsid w:val="00600027"/>
    <w:rsid w:val="006009EA"/>
    <w:rsid w:val="00602706"/>
    <w:rsid w:val="00602B81"/>
    <w:rsid w:val="00603165"/>
    <w:rsid w:val="00603A04"/>
    <w:rsid w:val="00603AD9"/>
    <w:rsid w:val="00604330"/>
    <w:rsid w:val="00605990"/>
    <w:rsid w:val="00606256"/>
    <w:rsid w:val="00606A34"/>
    <w:rsid w:val="0060753E"/>
    <w:rsid w:val="00607C3E"/>
    <w:rsid w:val="00607F07"/>
    <w:rsid w:val="00611A33"/>
    <w:rsid w:val="00614A0A"/>
    <w:rsid w:val="00615012"/>
    <w:rsid w:val="006170D7"/>
    <w:rsid w:val="00620423"/>
    <w:rsid w:val="00621989"/>
    <w:rsid w:val="00621DC1"/>
    <w:rsid w:val="006221AA"/>
    <w:rsid w:val="00624026"/>
    <w:rsid w:val="006249B2"/>
    <w:rsid w:val="00624FF0"/>
    <w:rsid w:val="006252ED"/>
    <w:rsid w:val="006254E1"/>
    <w:rsid w:val="00626766"/>
    <w:rsid w:val="006278F3"/>
    <w:rsid w:val="006302CD"/>
    <w:rsid w:val="00630785"/>
    <w:rsid w:val="00630AD5"/>
    <w:rsid w:val="00630D72"/>
    <w:rsid w:val="00630E63"/>
    <w:rsid w:val="00631919"/>
    <w:rsid w:val="00631C6C"/>
    <w:rsid w:val="00632243"/>
    <w:rsid w:val="006323BA"/>
    <w:rsid w:val="006328B8"/>
    <w:rsid w:val="00632918"/>
    <w:rsid w:val="00633E23"/>
    <w:rsid w:val="006341E6"/>
    <w:rsid w:val="00635891"/>
    <w:rsid w:val="006359F2"/>
    <w:rsid w:val="0063652F"/>
    <w:rsid w:val="00636B28"/>
    <w:rsid w:val="00637529"/>
    <w:rsid w:val="00640762"/>
    <w:rsid w:val="00640CB5"/>
    <w:rsid w:val="00640D14"/>
    <w:rsid w:val="0064118D"/>
    <w:rsid w:val="006413EE"/>
    <w:rsid w:val="00641F61"/>
    <w:rsid w:val="0064204B"/>
    <w:rsid w:val="0064326E"/>
    <w:rsid w:val="006456A8"/>
    <w:rsid w:val="006456E1"/>
    <w:rsid w:val="00647596"/>
    <w:rsid w:val="006501F9"/>
    <w:rsid w:val="006508AD"/>
    <w:rsid w:val="00651A19"/>
    <w:rsid w:val="00652261"/>
    <w:rsid w:val="00652341"/>
    <w:rsid w:val="006524B2"/>
    <w:rsid w:val="00652BA2"/>
    <w:rsid w:val="0065306C"/>
    <w:rsid w:val="00654122"/>
    <w:rsid w:val="00654CE4"/>
    <w:rsid w:val="0065534E"/>
    <w:rsid w:val="0065551B"/>
    <w:rsid w:val="006555FE"/>
    <w:rsid w:val="006564D0"/>
    <w:rsid w:val="00656648"/>
    <w:rsid w:val="00656CA1"/>
    <w:rsid w:val="00657775"/>
    <w:rsid w:val="0065797F"/>
    <w:rsid w:val="00660855"/>
    <w:rsid w:val="006613F7"/>
    <w:rsid w:val="00661D9F"/>
    <w:rsid w:val="006629E7"/>
    <w:rsid w:val="00662BA5"/>
    <w:rsid w:val="00662E63"/>
    <w:rsid w:val="00663390"/>
    <w:rsid w:val="0066382B"/>
    <w:rsid w:val="00664220"/>
    <w:rsid w:val="0066466A"/>
    <w:rsid w:val="00664FB3"/>
    <w:rsid w:val="0066554B"/>
    <w:rsid w:val="00665B41"/>
    <w:rsid w:val="00665FE3"/>
    <w:rsid w:val="006665B3"/>
    <w:rsid w:val="00666799"/>
    <w:rsid w:val="00667895"/>
    <w:rsid w:val="00667AF0"/>
    <w:rsid w:val="00667C7A"/>
    <w:rsid w:val="006706E1"/>
    <w:rsid w:val="0067091F"/>
    <w:rsid w:val="00670D4D"/>
    <w:rsid w:val="006719B5"/>
    <w:rsid w:val="00671CB2"/>
    <w:rsid w:val="00671E69"/>
    <w:rsid w:val="00672D02"/>
    <w:rsid w:val="0067335E"/>
    <w:rsid w:val="00673A9A"/>
    <w:rsid w:val="00675D04"/>
    <w:rsid w:val="00676809"/>
    <w:rsid w:val="00676C2B"/>
    <w:rsid w:val="006777B1"/>
    <w:rsid w:val="00677A77"/>
    <w:rsid w:val="00680732"/>
    <w:rsid w:val="006815C9"/>
    <w:rsid w:val="00681D1E"/>
    <w:rsid w:val="006824D8"/>
    <w:rsid w:val="00682730"/>
    <w:rsid w:val="00683C7C"/>
    <w:rsid w:val="0068471B"/>
    <w:rsid w:val="00684783"/>
    <w:rsid w:val="0068520E"/>
    <w:rsid w:val="00685E5D"/>
    <w:rsid w:val="00685FED"/>
    <w:rsid w:val="0068676E"/>
    <w:rsid w:val="006869BC"/>
    <w:rsid w:val="00690995"/>
    <w:rsid w:val="00693A9C"/>
    <w:rsid w:val="0069464F"/>
    <w:rsid w:val="00694826"/>
    <w:rsid w:val="00694C84"/>
    <w:rsid w:val="0069697A"/>
    <w:rsid w:val="006A1D4F"/>
    <w:rsid w:val="006A1F55"/>
    <w:rsid w:val="006A2227"/>
    <w:rsid w:val="006A249A"/>
    <w:rsid w:val="006A25EC"/>
    <w:rsid w:val="006A2AAE"/>
    <w:rsid w:val="006A2DE6"/>
    <w:rsid w:val="006A2E55"/>
    <w:rsid w:val="006A38C1"/>
    <w:rsid w:val="006A4270"/>
    <w:rsid w:val="006A519B"/>
    <w:rsid w:val="006A5998"/>
    <w:rsid w:val="006A65A0"/>
    <w:rsid w:val="006A71C9"/>
    <w:rsid w:val="006A74B3"/>
    <w:rsid w:val="006A7A87"/>
    <w:rsid w:val="006A7E2A"/>
    <w:rsid w:val="006B09B3"/>
    <w:rsid w:val="006B18AA"/>
    <w:rsid w:val="006B1DE0"/>
    <w:rsid w:val="006B2698"/>
    <w:rsid w:val="006B2F4A"/>
    <w:rsid w:val="006B340A"/>
    <w:rsid w:val="006B384E"/>
    <w:rsid w:val="006B4038"/>
    <w:rsid w:val="006B55B6"/>
    <w:rsid w:val="006B67DB"/>
    <w:rsid w:val="006B67F0"/>
    <w:rsid w:val="006B6B1C"/>
    <w:rsid w:val="006C0566"/>
    <w:rsid w:val="006C0E3B"/>
    <w:rsid w:val="006C105B"/>
    <w:rsid w:val="006C1B98"/>
    <w:rsid w:val="006C2735"/>
    <w:rsid w:val="006C3908"/>
    <w:rsid w:val="006C3982"/>
    <w:rsid w:val="006C41F4"/>
    <w:rsid w:val="006C513A"/>
    <w:rsid w:val="006C6369"/>
    <w:rsid w:val="006C6F7A"/>
    <w:rsid w:val="006C769C"/>
    <w:rsid w:val="006C7CD4"/>
    <w:rsid w:val="006D0FDE"/>
    <w:rsid w:val="006D139D"/>
    <w:rsid w:val="006D1403"/>
    <w:rsid w:val="006D1790"/>
    <w:rsid w:val="006D1D09"/>
    <w:rsid w:val="006D22B3"/>
    <w:rsid w:val="006D313C"/>
    <w:rsid w:val="006D3C8D"/>
    <w:rsid w:val="006D3C97"/>
    <w:rsid w:val="006D42C3"/>
    <w:rsid w:val="006D433E"/>
    <w:rsid w:val="006D4C7F"/>
    <w:rsid w:val="006D5C51"/>
    <w:rsid w:val="006D71F8"/>
    <w:rsid w:val="006D7333"/>
    <w:rsid w:val="006D75B8"/>
    <w:rsid w:val="006D7C5F"/>
    <w:rsid w:val="006E1604"/>
    <w:rsid w:val="006E2FE9"/>
    <w:rsid w:val="006E4265"/>
    <w:rsid w:val="006E451B"/>
    <w:rsid w:val="006E4BB1"/>
    <w:rsid w:val="006E5025"/>
    <w:rsid w:val="006E5689"/>
    <w:rsid w:val="006E6350"/>
    <w:rsid w:val="006E6496"/>
    <w:rsid w:val="006E68F4"/>
    <w:rsid w:val="006E70D8"/>
    <w:rsid w:val="006E78B8"/>
    <w:rsid w:val="006F0418"/>
    <w:rsid w:val="006F094F"/>
    <w:rsid w:val="006F18AE"/>
    <w:rsid w:val="006F2956"/>
    <w:rsid w:val="006F3FE0"/>
    <w:rsid w:val="006F429A"/>
    <w:rsid w:val="006F440F"/>
    <w:rsid w:val="006F5540"/>
    <w:rsid w:val="006F5721"/>
    <w:rsid w:val="006F59F7"/>
    <w:rsid w:val="006F7F8F"/>
    <w:rsid w:val="007025DB"/>
    <w:rsid w:val="00702CC1"/>
    <w:rsid w:val="007049CE"/>
    <w:rsid w:val="00706E54"/>
    <w:rsid w:val="0070723E"/>
    <w:rsid w:val="007078A7"/>
    <w:rsid w:val="00711071"/>
    <w:rsid w:val="00712157"/>
    <w:rsid w:val="0071302A"/>
    <w:rsid w:val="00713106"/>
    <w:rsid w:val="00713583"/>
    <w:rsid w:val="007145C7"/>
    <w:rsid w:val="00714BCD"/>
    <w:rsid w:val="007151C4"/>
    <w:rsid w:val="00715714"/>
    <w:rsid w:val="00715FE2"/>
    <w:rsid w:val="0071604D"/>
    <w:rsid w:val="00716073"/>
    <w:rsid w:val="00716A13"/>
    <w:rsid w:val="007174E4"/>
    <w:rsid w:val="007176FB"/>
    <w:rsid w:val="007178A3"/>
    <w:rsid w:val="007207ED"/>
    <w:rsid w:val="00720CAB"/>
    <w:rsid w:val="00721187"/>
    <w:rsid w:val="00721687"/>
    <w:rsid w:val="00723433"/>
    <w:rsid w:val="00724C12"/>
    <w:rsid w:val="00724D3F"/>
    <w:rsid w:val="00724E66"/>
    <w:rsid w:val="0072526B"/>
    <w:rsid w:val="00725D29"/>
    <w:rsid w:val="0072638F"/>
    <w:rsid w:val="007270FF"/>
    <w:rsid w:val="00730EF0"/>
    <w:rsid w:val="007323D0"/>
    <w:rsid w:val="00732E52"/>
    <w:rsid w:val="0073303A"/>
    <w:rsid w:val="00733487"/>
    <w:rsid w:val="00733787"/>
    <w:rsid w:val="00734FD4"/>
    <w:rsid w:val="007354D1"/>
    <w:rsid w:val="0073551B"/>
    <w:rsid w:val="00736F51"/>
    <w:rsid w:val="00737E75"/>
    <w:rsid w:val="00740220"/>
    <w:rsid w:val="00740610"/>
    <w:rsid w:val="00740B4F"/>
    <w:rsid w:val="00741230"/>
    <w:rsid w:val="00741284"/>
    <w:rsid w:val="00741754"/>
    <w:rsid w:val="00741CEC"/>
    <w:rsid w:val="007458BE"/>
    <w:rsid w:val="00745942"/>
    <w:rsid w:val="00747C47"/>
    <w:rsid w:val="00750C87"/>
    <w:rsid w:val="0075108C"/>
    <w:rsid w:val="00751433"/>
    <w:rsid w:val="00751A04"/>
    <w:rsid w:val="00752040"/>
    <w:rsid w:val="007563CD"/>
    <w:rsid w:val="00757072"/>
    <w:rsid w:val="007577F8"/>
    <w:rsid w:val="00757D9E"/>
    <w:rsid w:val="00757E99"/>
    <w:rsid w:val="00757FBB"/>
    <w:rsid w:val="00760666"/>
    <w:rsid w:val="007612F3"/>
    <w:rsid w:val="007617DA"/>
    <w:rsid w:val="007619C9"/>
    <w:rsid w:val="00762091"/>
    <w:rsid w:val="00762554"/>
    <w:rsid w:val="0076379F"/>
    <w:rsid w:val="0076448B"/>
    <w:rsid w:val="007665E8"/>
    <w:rsid w:val="00766D8E"/>
    <w:rsid w:val="00767021"/>
    <w:rsid w:val="00767414"/>
    <w:rsid w:val="00770C04"/>
    <w:rsid w:val="007713BB"/>
    <w:rsid w:val="00771FB5"/>
    <w:rsid w:val="00773315"/>
    <w:rsid w:val="007744AF"/>
    <w:rsid w:val="00774FA2"/>
    <w:rsid w:val="007752DC"/>
    <w:rsid w:val="00776B38"/>
    <w:rsid w:val="00777E51"/>
    <w:rsid w:val="00780C2A"/>
    <w:rsid w:val="00780E6D"/>
    <w:rsid w:val="00781254"/>
    <w:rsid w:val="00781322"/>
    <w:rsid w:val="0078172F"/>
    <w:rsid w:val="00781FAD"/>
    <w:rsid w:val="007826E2"/>
    <w:rsid w:val="0078315A"/>
    <w:rsid w:val="007839EC"/>
    <w:rsid w:val="0078426F"/>
    <w:rsid w:val="007849A4"/>
    <w:rsid w:val="00785685"/>
    <w:rsid w:val="00785745"/>
    <w:rsid w:val="007866F0"/>
    <w:rsid w:val="00787B2A"/>
    <w:rsid w:val="00787FCF"/>
    <w:rsid w:val="00790925"/>
    <w:rsid w:val="007912F1"/>
    <w:rsid w:val="0079328A"/>
    <w:rsid w:val="007947B5"/>
    <w:rsid w:val="00794858"/>
    <w:rsid w:val="007949FD"/>
    <w:rsid w:val="00794E0E"/>
    <w:rsid w:val="007951A2"/>
    <w:rsid w:val="00796A55"/>
    <w:rsid w:val="007A18FF"/>
    <w:rsid w:val="007A1B80"/>
    <w:rsid w:val="007A29BB"/>
    <w:rsid w:val="007A2D86"/>
    <w:rsid w:val="007A2E02"/>
    <w:rsid w:val="007A2EE4"/>
    <w:rsid w:val="007A3017"/>
    <w:rsid w:val="007A49D4"/>
    <w:rsid w:val="007A5301"/>
    <w:rsid w:val="007A5507"/>
    <w:rsid w:val="007A5BC5"/>
    <w:rsid w:val="007A5DF8"/>
    <w:rsid w:val="007A7E82"/>
    <w:rsid w:val="007B008B"/>
    <w:rsid w:val="007B03F9"/>
    <w:rsid w:val="007B05B6"/>
    <w:rsid w:val="007B0E01"/>
    <w:rsid w:val="007B2238"/>
    <w:rsid w:val="007B2265"/>
    <w:rsid w:val="007B292D"/>
    <w:rsid w:val="007B2996"/>
    <w:rsid w:val="007B4216"/>
    <w:rsid w:val="007B5432"/>
    <w:rsid w:val="007B5845"/>
    <w:rsid w:val="007B5B8C"/>
    <w:rsid w:val="007B6865"/>
    <w:rsid w:val="007B6DAF"/>
    <w:rsid w:val="007B7228"/>
    <w:rsid w:val="007B7662"/>
    <w:rsid w:val="007B7C8E"/>
    <w:rsid w:val="007C036A"/>
    <w:rsid w:val="007C2CA9"/>
    <w:rsid w:val="007C2D96"/>
    <w:rsid w:val="007C3A36"/>
    <w:rsid w:val="007C3C11"/>
    <w:rsid w:val="007C4820"/>
    <w:rsid w:val="007C5A1D"/>
    <w:rsid w:val="007C6437"/>
    <w:rsid w:val="007C6443"/>
    <w:rsid w:val="007C66EA"/>
    <w:rsid w:val="007C6B10"/>
    <w:rsid w:val="007C700C"/>
    <w:rsid w:val="007C74DE"/>
    <w:rsid w:val="007D01B5"/>
    <w:rsid w:val="007D3164"/>
    <w:rsid w:val="007D3208"/>
    <w:rsid w:val="007D3F87"/>
    <w:rsid w:val="007D451F"/>
    <w:rsid w:val="007D6518"/>
    <w:rsid w:val="007D6B61"/>
    <w:rsid w:val="007D73D5"/>
    <w:rsid w:val="007D7BD0"/>
    <w:rsid w:val="007E2D2D"/>
    <w:rsid w:val="007E3F27"/>
    <w:rsid w:val="007E3F9C"/>
    <w:rsid w:val="007E4584"/>
    <w:rsid w:val="007E675E"/>
    <w:rsid w:val="007F0A4B"/>
    <w:rsid w:val="007F0A9E"/>
    <w:rsid w:val="007F13DB"/>
    <w:rsid w:val="007F171E"/>
    <w:rsid w:val="007F2800"/>
    <w:rsid w:val="007F2E96"/>
    <w:rsid w:val="007F3764"/>
    <w:rsid w:val="007F3B49"/>
    <w:rsid w:val="007F3F1B"/>
    <w:rsid w:val="007F443F"/>
    <w:rsid w:val="007F485B"/>
    <w:rsid w:val="007F5658"/>
    <w:rsid w:val="007F5D69"/>
    <w:rsid w:val="007F5EC0"/>
    <w:rsid w:val="007F5EC9"/>
    <w:rsid w:val="007F6D0A"/>
    <w:rsid w:val="007F73F2"/>
    <w:rsid w:val="007F74DE"/>
    <w:rsid w:val="007F7D3B"/>
    <w:rsid w:val="007F7D4D"/>
    <w:rsid w:val="007F7F2A"/>
    <w:rsid w:val="00800218"/>
    <w:rsid w:val="00800F2D"/>
    <w:rsid w:val="008019F5"/>
    <w:rsid w:val="00802347"/>
    <w:rsid w:val="00802DBE"/>
    <w:rsid w:val="00803C5A"/>
    <w:rsid w:val="008050FD"/>
    <w:rsid w:val="00805154"/>
    <w:rsid w:val="0080547D"/>
    <w:rsid w:val="00805618"/>
    <w:rsid w:val="00805695"/>
    <w:rsid w:val="00805B82"/>
    <w:rsid w:val="00806C64"/>
    <w:rsid w:val="00806F8D"/>
    <w:rsid w:val="0080792C"/>
    <w:rsid w:val="00807C36"/>
    <w:rsid w:val="0081154C"/>
    <w:rsid w:val="00813729"/>
    <w:rsid w:val="00814FF4"/>
    <w:rsid w:val="00815DE1"/>
    <w:rsid w:val="0081665B"/>
    <w:rsid w:val="008179FB"/>
    <w:rsid w:val="00817ED5"/>
    <w:rsid w:val="00817F7D"/>
    <w:rsid w:val="0082083C"/>
    <w:rsid w:val="008214E7"/>
    <w:rsid w:val="00821E2C"/>
    <w:rsid w:val="00821F42"/>
    <w:rsid w:val="00822D87"/>
    <w:rsid w:val="008231F0"/>
    <w:rsid w:val="008232CE"/>
    <w:rsid w:val="008236DA"/>
    <w:rsid w:val="00824360"/>
    <w:rsid w:val="00824A2F"/>
    <w:rsid w:val="00824CA7"/>
    <w:rsid w:val="00825544"/>
    <w:rsid w:val="00826B34"/>
    <w:rsid w:val="00827386"/>
    <w:rsid w:val="0083181F"/>
    <w:rsid w:val="0083189C"/>
    <w:rsid w:val="008326FE"/>
    <w:rsid w:val="0083290A"/>
    <w:rsid w:val="00832AB0"/>
    <w:rsid w:val="0083394A"/>
    <w:rsid w:val="00833BAB"/>
    <w:rsid w:val="00833D71"/>
    <w:rsid w:val="00835574"/>
    <w:rsid w:val="00836396"/>
    <w:rsid w:val="0083683C"/>
    <w:rsid w:val="00837532"/>
    <w:rsid w:val="00837E6C"/>
    <w:rsid w:val="008416CE"/>
    <w:rsid w:val="008417BB"/>
    <w:rsid w:val="00842F7C"/>
    <w:rsid w:val="008450D1"/>
    <w:rsid w:val="008452BE"/>
    <w:rsid w:val="00847076"/>
    <w:rsid w:val="00847266"/>
    <w:rsid w:val="008472CD"/>
    <w:rsid w:val="00847AF7"/>
    <w:rsid w:val="008501CB"/>
    <w:rsid w:val="00850F8F"/>
    <w:rsid w:val="008510CD"/>
    <w:rsid w:val="00852D89"/>
    <w:rsid w:val="008544C8"/>
    <w:rsid w:val="008552F9"/>
    <w:rsid w:val="00855556"/>
    <w:rsid w:val="008558F9"/>
    <w:rsid w:val="008573DA"/>
    <w:rsid w:val="008578A4"/>
    <w:rsid w:val="00857A3B"/>
    <w:rsid w:val="00860B31"/>
    <w:rsid w:val="008610D4"/>
    <w:rsid w:val="008617A9"/>
    <w:rsid w:val="008620D9"/>
    <w:rsid w:val="00862128"/>
    <w:rsid w:val="008624AE"/>
    <w:rsid w:val="00862FAC"/>
    <w:rsid w:val="008631FE"/>
    <w:rsid w:val="00863516"/>
    <w:rsid w:val="00863666"/>
    <w:rsid w:val="00863942"/>
    <w:rsid w:val="00863BAC"/>
    <w:rsid w:val="00863C20"/>
    <w:rsid w:val="008641E8"/>
    <w:rsid w:val="00864E74"/>
    <w:rsid w:val="00865308"/>
    <w:rsid w:val="00865E50"/>
    <w:rsid w:val="00866043"/>
    <w:rsid w:val="00866168"/>
    <w:rsid w:val="008669BA"/>
    <w:rsid w:val="00867A5E"/>
    <w:rsid w:val="00870379"/>
    <w:rsid w:val="00870678"/>
    <w:rsid w:val="00871DEC"/>
    <w:rsid w:val="00872A5E"/>
    <w:rsid w:val="00872B4D"/>
    <w:rsid w:val="0087387F"/>
    <w:rsid w:val="0087438A"/>
    <w:rsid w:val="008743AA"/>
    <w:rsid w:val="00875D86"/>
    <w:rsid w:val="00877088"/>
    <w:rsid w:val="0088042D"/>
    <w:rsid w:val="008809F1"/>
    <w:rsid w:val="008819E9"/>
    <w:rsid w:val="00881A75"/>
    <w:rsid w:val="00882598"/>
    <w:rsid w:val="008826C7"/>
    <w:rsid w:val="00883F97"/>
    <w:rsid w:val="00884AA3"/>
    <w:rsid w:val="0088569D"/>
    <w:rsid w:val="008856A8"/>
    <w:rsid w:val="00885A8A"/>
    <w:rsid w:val="00885D98"/>
    <w:rsid w:val="0088645C"/>
    <w:rsid w:val="00886D52"/>
    <w:rsid w:val="00887841"/>
    <w:rsid w:val="00890F16"/>
    <w:rsid w:val="00891318"/>
    <w:rsid w:val="00891398"/>
    <w:rsid w:val="0089155A"/>
    <w:rsid w:val="00891A70"/>
    <w:rsid w:val="008920D0"/>
    <w:rsid w:val="00892C07"/>
    <w:rsid w:val="008939AF"/>
    <w:rsid w:val="00894D35"/>
    <w:rsid w:val="00897D0D"/>
    <w:rsid w:val="008A07B2"/>
    <w:rsid w:val="008A0AB1"/>
    <w:rsid w:val="008A2271"/>
    <w:rsid w:val="008A2B88"/>
    <w:rsid w:val="008A383F"/>
    <w:rsid w:val="008A3B42"/>
    <w:rsid w:val="008A3D9E"/>
    <w:rsid w:val="008A453D"/>
    <w:rsid w:val="008A5695"/>
    <w:rsid w:val="008B0556"/>
    <w:rsid w:val="008B0CFA"/>
    <w:rsid w:val="008B0EB0"/>
    <w:rsid w:val="008B1280"/>
    <w:rsid w:val="008B30C1"/>
    <w:rsid w:val="008B408D"/>
    <w:rsid w:val="008B484D"/>
    <w:rsid w:val="008B519E"/>
    <w:rsid w:val="008B5A0A"/>
    <w:rsid w:val="008B5BF8"/>
    <w:rsid w:val="008B5D2A"/>
    <w:rsid w:val="008B6615"/>
    <w:rsid w:val="008B678F"/>
    <w:rsid w:val="008B6F4A"/>
    <w:rsid w:val="008B708C"/>
    <w:rsid w:val="008B711A"/>
    <w:rsid w:val="008B71BE"/>
    <w:rsid w:val="008B7718"/>
    <w:rsid w:val="008C09CB"/>
    <w:rsid w:val="008C0AB3"/>
    <w:rsid w:val="008C11F7"/>
    <w:rsid w:val="008C2650"/>
    <w:rsid w:val="008C29FD"/>
    <w:rsid w:val="008C3134"/>
    <w:rsid w:val="008C367B"/>
    <w:rsid w:val="008C669B"/>
    <w:rsid w:val="008C7219"/>
    <w:rsid w:val="008C7517"/>
    <w:rsid w:val="008D0B12"/>
    <w:rsid w:val="008D0BBC"/>
    <w:rsid w:val="008D0EF3"/>
    <w:rsid w:val="008D16A9"/>
    <w:rsid w:val="008D1CED"/>
    <w:rsid w:val="008D2340"/>
    <w:rsid w:val="008D2F35"/>
    <w:rsid w:val="008D3592"/>
    <w:rsid w:val="008D49BC"/>
    <w:rsid w:val="008D4B7C"/>
    <w:rsid w:val="008D58BE"/>
    <w:rsid w:val="008D58FE"/>
    <w:rsid w:val="008D5CB7"/>
    <w:rsid w:val="008D6724"/>
    <w:rsid w:val="008D698F"/>
    <w:rsid w:val="008D6D4F"/>
    <w:rsid w:val="008D7EA1"/>
    <w:rsid w:val="008E09A0"/>
    <w:rsid w:val="008E26B2"/>
    <w:rsid w:val="008E26E2"/>
    <w:rsid w:val="008E32A6"/>
    <w:rsid w:val="008E39C2"/>
    <w:rsid w:val="008E552D"/>
    <w:rsid w:val="008E5F60"/>
    <w:rsid w:val="008E6A7F"/>
    <w:rsid w:val="008E72F0"/>
    <w:rsid w:val="008E79B0"/>
    <w:rsid w:val="008E7B0C"/>
    <w:rsid w:val="008E7C7E"/>
    <w:rsid w:val="008F036A"/>
    <w:rsid w:val="008F07A7"/>
    <w:rsid w:val="008F194F"/>
    <w:rsid w:val="008F1D05"/>
    <w:rsid w:val="008F32BE"/>
    <w:rsid w:val="008F3FFE"/>
    <w:rsid w:val="008F5C0F"/>
    <w:rsid w:val="008F5E8F"/>
    <w:rsid w:val="008F67CF"/>
    <w:rsid w:val="008F6BBC"/>
    <w:rsid w:val="008F709C"/>
    <w:rsid w:val="008F7133"/>
    <w:rsid w:val="008F7FA6"/>
    <w:rsid w:val="009006B0"/>
    <w:rsid w:val="00900AEB"/>
    <w:rsid w:val="0090124F"/>
    <w:rsid w:val="009020A3"/>
    <w:rsid w:val="0090365A"/>
    <w:rsid w:val="00903E1F"/>
    <w:rsid w:val="009049BB"/>
    <w:rsid w:val="009076B9"/>
    <w:rsid w:val="009077F0"/>
    <w:rsid w:val="009079E8"/>
    <w:rsid w:val="00910C26"/>
    <w:rsid w:val="00911027"/>
    <w:rsid w:val="00912805"/>
    <w:rsid w:val="009144F3"/>
    <w:rsid w:val="009148A2"/>
    <w:rsid w:val="00914F3C"/>
    <w:rsid w:val="0091524E"/>
    <w:rsid w:val="00915603"/>
    <w:rsid w:val="009163E0"/>
    <w:rsid w:val="009164C7"/>
    <w:rsid w:val="00916F77"/>
    <w:rsid w:val="00917034"/>
    <w:rsid w:val="009172A5"/>
    <w:rsid w:val="00917348"/>
    <w:rsid w:val="00917613"/>
    <w:rsid w:val="009207A2"/>
    <w:rsid w:val="00920E21"/>
    <w:rsid w:val="0092322D"/>
    <w:rsid w:val="00923529"/>
    <w:rsid w:val="00923906"/>
    <w:rsid w:val="00923D32"/>
    <w:rsid w:val="00924F92"/>
    <w:rsid w:val="009254EB"/>
    <w:rsid w:val="00925F2B"/>
    <w:rsid w:val="00926403"/>
    <w:rsid w:val="00927DB9"/>
    <w:rsid w:val="00927E94"/>
    <w:rsid w:val="009303E9"/>
    <w:rsid w:val="00930C54"/>
    <w:rsid w:val="00931476"/>
    <w:rsid w:val="00931641"/>
    <w:rsid w:val="009316AD"/>
    <w:rsid w:val="00932D90"/>
    <w:rsid w:val="00933435"/>
    <w:rsid w:val="00933967"/>
    <w:rsid w:val="009340BB"/>
    <w:rsid w:val="00934146"/>
    <w:rsid w:val="00934297"/>
    <w:rsid w:val="00935117"/>
    <w:rsid w:val="00936F55"/>
    <w:rsid w:val="0093767A"/>
    <w:rsid w:val="00937A2D"/>
    <w:rsid w:val="00937EE6"/>
    <w:rsid w:val="00940836"/>
    <w:rsid w:val="00940B04"/>
    <w:rsid w:val="00941A1E"/>
    <w:rsid w:val="00941AA7"/>
    <w:rsid w:val="00941C2B"/>
    <w:rsid w:val="00943217"/>
    <w:rsid w:val="00943447"/>
    <w:rsid w:val="009434E2"/>
    <w:rsid w:val="0094366F"/>
    <w:rsid w:val="00944B62"/>
    <w:rsid w:val="00945F2D"/>
    <w:rsid w:val="0094621F"/>
    <w:rsid w:val="00946248"/>
    <w:rsid w:val="00946828"/>
    <w:rsid w:val="009470B6"/>
    <w:rsid w:val="009529CD"/>
    <w:rsid w:val="00952A63"/>
    <w:rsid w:val="009534F7"/>
    <w:rsid w:val="0095526B"/>
    <w:rsid w:val="009557E2"/>
    <w:rsid w:val="00955B40"/>
    <w:rsid w:val="00955C67"/>
    <w:rsid w:val="0095726D"/>
    <w:rsid w:val="00957DC6"/>
    <w:rsid w:val="009605EA"/>
    <w:rsid w:val="00960DB8"/>
    <w:rsid w:val="00962416"/>
    <w:rsid w:val="009662D8"/>
    <w:rsid w:val="009669EE"/>
    <w:rsid w:val="00966D67"/>
    <w:rsid w:val="009678E1"/>
    <w:rsid w:val="00967D54"/>
    <w:rsid w:val="00970EC5"/>
    <w:rsid w:val="00971AD4"/>
    <w:rsid w:val="00971F2D"/>
    <w:rsid w:val="00972264"/>
    <w:rsid w:val="0097466F"/>
    <w:rsid w:val="00974C63"/>
    <w:rsid w:val="009756A5"/>
    <w:rsid w:val="00975B17"/>
    <w:rsid w:val="0097645E"/>
    <w:rsid w:val="009765E4"/>
    <w:rsid w:val="00977397"/>
    <w:rsid w:val="009801EE"/>
    <w:rsid w:val="0098022B"/>
    <w:rsid w:val="00980352"/>
    <w:rsid w:val="00980CD2"/>
    <w:rsid w:val="0098248F"/>
    <w:rsid w:val="0098322F"/>
    <w:rsid w:val="009835A5"/>
    <w:rsid w:val="00984A6A"/>
    <w:rsid w:val="009858BE"/>
    <w:rsid w:val="00987073"/>
    <w:rsid w:val="00987B5A"/>
    <w:rsid w:val="00990777"/>
    <w:rsid w:val="00990B64"/>
    <w:rsid w:val="009911D7"/>
    <w:rsid w:val="00991B03"/>
    <w:rsid w:val="00992A9E"/>
    <w:rsid w:val="00994815"/>
    <w:rsid w:val="0099494C"/>
    <w:rsid w:val="00994BD8"/>
    <w:rsid w:val="00997AB2"/>
    <w:rsid w:val="009A0927"/>
    <w:rsid w:val="009A0C5A"/>
    <w:rsid w:val="009A0CB6"/>
    <w:rsid w:val="009A1C5D"/>
    <w:rsid w:val="009A356A"/>
    <w:rsid w:val="009A47B2"/>
    <w:rsid w:val="009A52B1"/>
    <w:rsid w:val="009A5D21"/>
    <w:rsid w:val="009A6B37"/>
    <w:rsid w:val="009A72F6"/>
    <w:rsid w:val="009A7710"/>
    <w:rsid w:val="009A7FD1"/>
    <w:rsid w:val="009B0B65"/>
    <w:rsid w:val="009B1127"/>
    <w:rsid w:val="009B15F8"/>
    <w:rsid w:val="009B2662"/>
    <w:rsid w:val="009B26AD"/>
    <w:rsid w:val="009B33B7"/>
    <w:rsid w:val="009B34ED"/>
    <w:rsid w:val="009B3C97"/>
    <w:rsid w:val="009B5603"/>
    <w:rsid w:val="009B5B04"/>
    <w:rsid w:val="009B622A"/>
    <w:rsid w:val="009B7CA7"/>
    <w:rsid w:val="009C05E9"/>
    <w:rsid w:val="009C1723"/>
    <w:rsid w:val="009C1FF2"/>
    <w:rsid w:val="009C3A19"/>
    <w:rsid w:val="009C3FA8"/>
    <w:rsid w:val="009C4254"/>
    <w:rsid w:val="009C5C40"/>
    <w:rsid w:val="009C620C"/>
    <w:rsid w:val="009D03AC"/>
    <w:rsid w:val="009D1820"/>
    <w:rsid w:val="009D1889"/>
    <w:rsid w:val="009D1BBA"/>
    <w:rsid w:val="009D1DA8"/>
    <w:rsid w:val="009D2AA4"/>
    <w:rsid w:val="009D2BC4"/>
    <w:rsid w:val="009D33F2"/>
    <w:rsid w:val="009D34E3"/>
    <w:rsid w:val="009D358A"/>
    <w:rsid w:val="009D3ED7"/>
    <w:rsid w:val="009D42F0"/>
    <w:rsid w:val="009D4774"/>
    <w:rsid w:val="009D4BD9"/>
    <w:rsid w:val="009D4DC8"/>
    <w:rsid w:val="009D4F15"/>
    <w:rsid w:val="009D4F7E"/>
    <w:rsid w:val="009D533C"/>
    <w:rsid w:val="009D5F9D"/>
    <w:rsid w:val="009D60A0"/>
    <w:rsid w:val="009D644E"/>
    <w:rsid w:val="009D6753"/>
    <w:rsid w:val="009D68F4"/>
    <w:rsid w:val="009D7657"/>
    <w:rsid w:val="009D78CC"/>
    <w:rsid w:val="009E00F4"/>
    <w:rsid w:val="009E0336"/>
    <w:rsid w:val="009E08B0"/>
    <w:rsid w:val="009E1581"/>
    <w:rsid w:val="009E2308"/>
    <w:rsid w:val="009E254C"/>
    <w:rsid w:val="009E2D9C"/>
    <w:rsid w:val="009E32DF"/>
    <w:rsid w:val="009E34DA"/>
    <w:rsid w:val="009E356D"/>
    <w:rsid w:val="009E39FC"/>
    <w:rsid w:val="009E4F3F"/>
    <w:rsid w:val="009E517F"/>
    <w:rsid w:val="009E5B12"/>
    <w:rsid w:val="009E5C91"/>
    <w:rsid w:val="009E7370"/>
    <w:rsid w:val="009E74F5"/>
    <w:rsid w:val="009E754A"/>
    <w:rsid w:val="009F13EF"/>
    <w:rsid w:val="009F4173"/>
    <w:rsid w:val="009F43D7"/>
    <w:rsid w:val="009F49DE"/>
    <w:rsid w:val="009F4AD0"/>
    <w:rsid w:val="009F4EDC"/>
    <w:rsid w:val="009F69FD"/>
    <w:rsid w:val="00A013C2"/>
    <w:rsid w:val="00A0142A"/>
    <w:rsid w:val="00A022B9"/>
    <w:rsid w:val="00A035F1"/>
    <w:rsid w:val="00A043A1"/>
    <w:rsid w:val="00A046C4"/>
    <w:rsid w:val="00A04759"/>
    <w:rsid w:val="00A05363"/>
    <w:rsid w:val="00A05EE6"/>
    <w:rsid w:val="00A06A3C"/>
    <w:rsid w:val="00A07438"/>
    <w:rsid w:val="00A10B1F"/>
    <w:rsid w:val="00A11863"/>
    <w:rsid w:val="00A12188"/>
    <w:rsid w:val="00A1342C"/>
    <w:rsid w:val="00A140EC"/>
    <w:rsid w:val="00A14741"/>
    <w:rsid w:val="00A14D72"/>
    <w:rsid w:val="00A14F19"/>
    <w:rsid w:val="00A16979"/>
    <w:rsid w:val="00A2054F"/>
    <w:rsid w:val="00A2065D"/>
    <w:rsid w:val="00A20DF6"/>
    <w:rsid w:val="00A2212E"/>
    <w:rsid w:val="00A22BB3"/>
    <w:rsid w:val="00A234B4"/>
    <w:rsid w:val="00A238A1"/>
    <w:rsid w:val="00A250F8"/>
    <w:rsid w:val="00A256BF"/>
    <w:rsid w:val="00A257E3"/>
    <w:rsid w:val="00A25D19"/>
    <w:rsid w:val="00A27128"/>
    <w:rsid w:val="00A2740B"/>
    <w:rsid w:val="00A27C7A"/>
    <w:rsid w:val="00A27DB0"/>
    <w:rsid w:val="00A32A3E"/>
    <w:rsid w:val="00A32A5E"/>
    <w:rsid w:val="00A331BA"/>
    <w:rsid w:val="00A33D5C"/>
    <w:rsid w:val="00A35A70"/>
    <w:rsid w:val="00A35F89"/>
    <w:rsid w:val="00A36B80"/>
    <w:rsid w:val="00A373A6"/>
    <w:rsid w:val="00A37616"/>
    <w:rsid w:val="00A40388"/>
    <w:rsid w:val="00A409A5"/>
    <w:rsid w:val="00A40BB1"/>
    <w:rsid w:val="00A41974"/>
    <w:rsid w:val="00A41B0B"/>
    <w:rsid w:val="00A42549"/>
    <w:rsid w:val="00A425A5"/>
    <w:rsid w:val="00A428E5"/>
    <w:rsid w:val="00A43457"/>
    <w:rsid w:val="00A43493"/>
    <w:rsid w:val="00A43534"/>
    <w:rsid w:val="00A43596"/>
    <w:rsid w:val="00A4386D"/>
    <w:rsid w:val="00A45126"/>
    <w:rsid w:val="00A457A2"/>
    <w:rsid w:val="00A459B5"/>
    <w:rsid w:val="00A4664D"/>
    <w:rsid w:val="00A47141"/>
    <w:rsid w:val="00A47696"/>
    <w:rsid w:val="00A47956"/>
    <w:rsid w:val="00A5073C"/>
    <w:rsid w:val="00A50A18"/>
    <w:rsid w:val="00A50E7A"/>
    <w:rsid w:val="00A510E8"/>
    <w:rsid w:val="00A520F8"/>
    <w:rsid w:val="00A52513"/>
    <w:rsid w:val="00A537BF"/>
    <w:rsid w:val="00A53E1D"/>
    <w:rsid w:val="00A5434B"/>
    <w:rsid w:val="00A54EA5"/>
    <w:rsid w:val="00A56B7C"/>
    <w:rsid w:val="00A56CBC"/>
    <w:rsid w:val="00A57578"/>
    <w:rsid w:val="00A57A38"/>
    <w:rsid w:val="00A60180"/>
    <w:rsid w:val="00A60748"/>
    <w:rsid w:val="00A60C1F"/>
    <w:rsid w:val="00A60F6D"/>
    <w:rsid w:val="00A61175"/>
    <w:rsid w:val="00A6188C"/>
    <w:rsid w:val="00A62837"/>
    <w:rsid w:val="00A63AF2"/>
    <w:rsid w:val="00A67142"/>
    <w:rsid w:val="00A67ADC"/>
    <w:rsid w:val="00A7037D"/>
    <w:rsid w:val="00A7281C"/>
    <w:rsid w:val="00A7297C"/>
    <w:rsid w:val="00A72CC8"/>
    <w:rsid w:val="00A72DE8"/>
    <w:rsid w:val="00A7337D"/>
    <w:rsid w:val="00A73382"/>
    <w:rsid w:val="00A73B39"/>
    <w:rsid w:val="00A75D77"/>
    <w:rsid w:val="00A76AB9"/>
    <w:rsid w:val="00A770DA"/>
    <w:rsid w:val="00A773B7"/>
    <w:rsid w:val="00A7762C"/>
    <w:rsid w:val="00A81474"/>
    <w:rsid w:val="00A837BA"/>
    <w:rsid w:val="00A838E5"/>
    <w:rsid w:val="00A83A11"/>
    <w:rsid w:val="00A840E9"/>
    <w:rsid w:val="00A84CB3"/>
    <w:rsid w:val="00A84E9B"/>
    <w:rsid w:val="00A86233"/>
    <w:rsid w:val="00A86B45"/>
    <w:rsid w:val="00A87AA2"/>
    <w:rsid w:val="00A92217"/>
    <w:rsid w:val="00A93E6A"/>
    <w:rsid w:val="00A946D4"/>
    <w:rsid w:val="00A94BBB"/>
    <w:rsid w:val="00A96BDC"/>
    <w:rsid w:val="00A96F00"/>
    <w:rsid w:val="00A974F6"/>
    <w:rsid w:val="00AA0FAF"/>
    <w:rsid w:val="00AA1295"/>
    <w:rsid w:val="00AA13EC"/>
    <w:rsid w:val="00AA2875"/>
    <w:rsid w:val="00AA29F2"/>
    <w:rsid w:val="00AA33A8"/>
    <w:rsid w:val="00AA34F8"/>
    <w:rsid w:val="00AA43AC"/>
    <w:rsid w:val="00AA4739"/>
    <w:rsid w:val="00AA5132"/>
    <w:rsid w:val="00AA524E"/>
    <w:rsid w:val="00AA5399"/>
    <w:rsid w:val="00AA62DD"/>
    <w:rsid w:val="00AA66AB"/>
    <w:rsid w:val="00AA6C9E"/>
    <w:rsid w:val="00AA7543"/>
    <w:rsid w:val="00AA79A6"/>
    <w:rsid w:val="00AA7DDE"/>
    <w:rsid w:val="00AB195E"/>
    <w:rsid w:val="00AB1FE2"/>
    <w:rsid w:val="00AB24BA"/>
    <w:rsid w:val="00AB3105"/>
    <w:rsid w:val="00AB3132"/>
    <w:rsid w:val="00AB3ADB"/>
    <w:rsid w:val="00AB3B88"/>
    <w:rsid w:val="00AB45C4"/>
    <w:rsid w:val="00AB508E"/>
    <w:rsid w:val="00AB5491"/>
    <w:rsid w:val="00AB5FF4"/>
    <w:rsid w:val="00AB6250"/>
    <w:rsid w:val="00AB706F"/>
    <w:rsid w:val="00AB722E"/>
    <w:rsid w:val="00AB78A4"/>
    <w:rsid w:val="00AB796B"/>
    <w:rsid w:val="00AC0A14"/>
    <w:rsid w:val="00AC1025"/>
    <w:rsid w:val="00AC1916"/>
    <w:rsid w:val="00AC19E7"/>
    <w:rsid w:val="00AC1B40"/>
    <w:rsid w:val="00AC1D5D"/>
    <w:rsid w:val="00AC1FDA"/>
    <w:rsid w:val="00AC2419"/>
    <w:rsid w:val="00AC27C7"/>
    <w:rsid w:val="00AC2B74"/>
    <w:rsid w:val="00AC3A54"/>
    <w:rsid w:val="00AC4315"/>
    <w:rsid w:val="00AC4491"/>
    <w:rsid w:val="00AC5CB8"/>
    <w:rsid w:val="00AC5E4D"/>
    <w:rsid w:val="00AC65CB"/>
    <w:rsid w:val="00AC6E59"/>
    <w:rsid w:val="00AC700E"/>
    <w:rsid w:val="00AC755A"/>
    <w:rsid w:val="00AD0299"/>
    <w:rsid w:val="00AD0437"/>
    <w:rsid w:val="00AD0496"/>
    <w:rsid w:val="00AD16F7"/>
    <w:rsid w:val="00AD1CEE"/>
    <w:rsid w:val="00AD2324"/>
    <w:rsid w:val="00AD25A5"/>
    <w:rsid w:val="00AD2E78"/>
    <w:rsid w:val="00AD387D"/>
    <w:rsid w:val="00AD39D5"/>
    <w:rsid w:val="00AD3AC1"/>
    <w:rsid w:val="00AD48CD"/>
    <w:rsid w:val="00AD5523"/>
    <w:rsid w:val="00AD6396"/>
    <w:rsid w:val="00AD650A"/>
    <w:rsid w:val="00AD6827"/>
    <w:rsid w:val="00AE0779"/>
    <w:rsid w:val="00AE2198"/>
    <w:rsid w:val="00AE4102"/>
    <w:rsid w:val="00AE4368"/>
    <w:rsid w:val="00AE478B"/>
    <w:rsid w:val="00AE4873"/>
    <w:rsid w:val="00AE5144"/>
    <w:rsid w:val="00AE536D"/>
    <w:rsid w:val="00AE6356"/>
    <w:rsid w:val="00AE6EAD"/>
    <w:rsid w:val="00AE7004"/>
    <w:rsid w:val="00AE7064"/>
    <w:rsid w:val="00AE74C8"/>
    <w:rsid w:val="00AF1154"/>
    <w:rsid w:val="00AF1D36"/>
    <w:rsid w:val="00AF2408"/>
    <w:rsid w:val="00AF2450"/>
    <w:rsid w:val="00AF31C9"/>
    <w:rsid w:val="00AF3293"/>
    <w:rsid w:val="00AF3330"/>
    <w:rsid w:val="00AF489C"/>
    <w:rsid w:val="00AF5276"/>
    <w:rsid w:val="00AF62B2"/>
    <w:rsid w:val="00AF6E13"/>
    <w:rsid w:val="00AF7C95"/>
    <w:rsid w:val="00B00ED0"/>
    <w:rsid w:val="00B010DB"/>
    <w:rsid w:val="00B019E5"/>
    <w:rsid w:val="00B0230D"/>
    <w:rsid w:val="00B02A7C"/>
    <w:rsid w:val="00B02E2A"/>
    <w:rsid w:val="00B047E4"/>
    <w:rsid w:val="00B06B60"/>
    <w:rsid w:val="00B06D46"/>
    <w:rsid w:val="00B07551"/>
    <w:rsid w:val="00B07AC3"/>
    <w:rsid w:val="00B1009F"/>
    <w:rsid w:val="00B10324"/>
    <w:rsid w:val="00B1057E"/>
    <w:rsid w:val="00B11B04"/>
    <w:rsid w:val="00B120CA"/>
    <w:rsid w:val="00B128F0"/>
    <w:rsid w:val="00B12C91"/>
    <w:rsid w:val="00B12FDA"/>
    <w:rsid w:val="00B13058"/>
    <w:rsid w:val="00B1324B"/>
    <w:rsid w:val="00B14265"/>
    <w:rsid w:val="00B14E09"/>
    <w:rsid w:val="00B14F42"/>
    <w:rsid w:val="00B15DF2"/>
    <w:rsid w:val="00B17119"/>
    <w:rsid w:val="00B173DD"/>
    <w:rsid w:val="00B175FB"/>
    <w:rsid w:val="00B17D0A"/>
    <w:rsid w:val="00B17E8E"/>
    <w:rsid w:val="00B20239"/>
    <w:rsid w:val="00B20245"/>
    <w:rsid w:val="00B20C5C"/>
    <w:rsid w:val="00B21ACD"/>
    <w:rsid w:val="00B21F35"/>
    <w:rsid w:val="00B22983"/>
    <w:rsid w:val="00B22AD3"/>
    <w:rsid w:val="00B230D1"/>
    <w:rsid w:val="00B2329F"/>
    <w:rsid w:val="00B24F00"/>
    <w:rsid w:val="00B26248"/>
    <w:rsid w:val="00B2647A"/>
    <w:rsid w:val="00B26547"/>
    <w:rsid w:val="00B26FC7"/>
    <w:rsid w:val="00B27C4B"/>
    <w:rsid w:val="00B30C0D"/>
    <w:rsid w:val="00B30E5C"/>
    <w:rsid w:val="00B31972"/>
    <w:rsid w:val="00B3489C"/>
    <w:rsid w:val="00B35275"/>
    <w:rsid w:val="00B35330"/>
    <w:rsid w:val="00B35AEF"/>
    <w:rsid w:val="00B35D04"/>
    <w:rsid w:val="00B37596"/>
    <w:rsid w:val="00B408C2"/>
    <w:rsid w:val="00B415BA"/>
    <w:rsid w:val="00B42006"/>
    <w:rsid w:val="00B42F01"/>
    <w:rsid w:val="00B4351B"/>
    <w:rsid w:val="00B4426A"/>
    <w:rsid w:val="00B45176"/>
    <w:rsid w:val="00B458CA"/>
    <w:rsid w:val="00B45E5D"/>
    <w:rsid w:val="00B470E3"/>
    <w:rsid w:val="00B4761B"/>
    <w:rsid w:val="00B51C20"/>
    <w:rsid w:val="00B51EC4"/>
    <w:rsid w:val="00B53205"/>
    <w:rsid w:val="00B534CA"/>
    <w:rsid w:val="00B5352E"/>
    <w:rsid w:val="00B556A1"/>
    <w:rsid w:val="00B56040"/>
    <w:rsid w:val="00B57619"/>
    <w:rsid w:val="00B57EB9"/>
    <w:rsid w:val="00B60144"/>
    <w:rsid w:val="00B60EC7"/>
    <w:rsid w:val="00B611EC"/>
    <w:rsid w:val="00B61579"/>
    <w:rsid w:val="00B626F4"/>
    <w:rsid w:val="00B62738"/>
    <w:rsid w:val="00B63356"/>
    <w:rsid w:val="00B63F0E"/>
    <w:rsid w:val="00B650AC"/>
    <w:rsid w:val="00B6564C"/>
    <w:rsid w:val="00B664E4"/>
    <w:rsid w:val="00B669C7"/>
    <w:rsid w:val="00B66B27"/>
    <w:rsid w:val="00B6723E"/>
    <w:rsid w:val="00B67AC9"/>
    <w:rsid w:val="00B67AE3"/>
    <w:rsid w:val="00B70DB3"/>
    <w:rsid w:val="00B71ED7"/>
    <w:rsid w:val="00B71F23"/>
    <w:rsid w:val="00B72870"/>
    <w:rsid w:val="00B72FAB"/>
    <w:rsid w:val="00B72FCC"/>
    <w:rsid w:val="00B738A4"/>
    <w:rsid w:val="00B73E09"/>
    <w:rsid w:val="00B74B9A"/>
    <w:rsid w:val="00B75F99"/>
    <w:rsid w:val="00B7724A"/>
    <w:rsid w:val="00B77C84"/>
    <w:rsid w:val="00B77E9E"/>
    <w:rsid w:val="00B80C4E"/>
    <w:rsid w:val="00B80C57"/>
    <w:rsid w:val="00B81A36"/>
    <w:rsid w:val="00B83E98"/>
    <w:rsid w:val="00B8401D"/>
    <w:rsid w:val="00B84109"/>
    <w:rsid w:val="00B84D6F"/>
    <w:rsid w:val="00B851CC"/>
    <w:rsid w:val="00B85310"/>
    <w:rsid w:val="00B86F1F"/>
    <w:rsid w:val="00B86FB2"/>
    <w:rsid w:val="00B86FB7"/>
    <w:rsid w:val="00B90515"/>
    <w:rsid w:val="00B92039"/>
    <w:rsid w:val="00B93C20"/>
    <w:rsid w:val="00B93F3A"/>
    <w:rsid w:val="00B944DD"/>
    <w:rsid w:val="00B956B0"/>
    <w:rsid w:val="00B95853"/>
    <w:rsid w:val="00B95C4D"/>
    <w:rsid w:val="00B95D76"/>
    <w:rsid w:val="00B9631C"/>
    <w:rsid w:val="00B96A13"/>
    <w:rsid w:val="00B97923"/>
    <w:rsid w:val="00B97D4E"/>
    <w:rsid w:val="00BA01D6"/>
    <w:rsid w:val="00BA0CAE"/>
    <w:rsid w:val="00BA1357"/>
    <w:rsid w:val="00BA202F"/>
    <w:rsid w:val="00BA3930"/>
    <w:rsid w:val="00BA3A3E"/>
    <w:rsid w:val="00BA4550"/>
    <w:rsid w:val="00BA4898"/>
    <w:rsid w:val="00BA4A4B"/>
    <w:rsid w:val="00BA4B6A"/>
    <w:rsid w:val="00BA501B"/>
    <w:rsid w:val="00BA5151"/>
    <w:rsid w:val="00BA5230"/>
    <w:rsid w:val="00BA66C3"/>
    <w:rsid w:val="00BA700A"/>
    <w:rsid w:val="00BA71A8"/>
    <w:rsid w:val="00BA7E79"/>
    <w:rsid w:val="00BA7F66"/>
    <w:rsid w:val="00BB07F2"/>
    <w:rsid w:val="00BB1D1B"/>
    <w:rsid w:val="00BB28B6"/>
    <w:rsid w:val="00BB3222"/>
    <w:rsid w:val="00BB476F"/>
    <w:rsid w:val="00BB4A1D"/>
    <w:rsid w:val="00BB65F6"/>
    <w:rsid w:val="00BB6B70"/>
    <w:rsid w:val="00BB7597"/>
    <w:rsid w:val="00BB7BD4"/>
    <w:rsid w:val="00BC15AB"/>
    <w:rsid w:val="00BC18E0"/>
    <w:rsid w:val="00BC332E"/>
    <w:rsid w:val="00BC4D9C"/>
    <w:rsid w:val="00BC4E09"/>
    <w:rsid w:val="00BC6D56"/>
    <w:rsid w:val="00BC6EE1"/>
    <w:rsid w:val="00BC7152"/>
    <w:rsid w:val="00BC72F8"/>
    <w:rsid w:val="00BC7328"/>
    <w:rsid w:val="00BC7A28"/>
    <w:rsid w:val="00BD00CC"/>
    <w:rsid w:val="00BD10A2"/>
    <w:rsid w:val="00BD2571"/>
    <w:rsid w:val="00BD2652"/>
    <w:rsid w:val="00BD2981"/>
    <w:rsid w:val="00BD3188"/>
    <w:rsid w:val="00BD3BC5"/>
    <w:rsid w:val="00BD3D4B"/>
    <w:rsid w:val="00BD3E37"/>
    <w:rsid w:val="00BD57BE"/>
    <w:rsid w:val="00BD6CE4"/>
    <w:rsid w:val="00BD7C93"/>
    <w:rsid w:val="00BE0519"/>
    <w:rsid w:val="00BE09EE"/>
    <w:rsid w:val="00BE2195"/>
    <w:rsid w:val="00BE31DA"/>
    <w:rsid w:val="00BE3CF1"/>
    <w:rsid w:val="00BE560E"/>
    <w:rsid w:val="00BE5D40"/>
    <w:rsid w:val="00BE6316"/>
    <w:rsid w:val="00BE750E"/>
    <w:rsid w:val="00BE7890"/>
    <w:rsid w:val="00BE7FF5"/>
    <w:rsid w:val="00BF0E0D"/>
    <w:rsid w:val="00BF1137"/>
    <w:rsid w:val="00BF14F9"/>
    <w:rsid w:val="00BF1812"/>
    <w:rsid w:val="00BF25FB"/>
    <w:rsid w:val="00BF336F"/>
    <w:rsid w:val="00BF47A8"/>
    <w:rsid w:val="00BF4BC2"/>
    <w:rsid w:val="00BF57F9"/>
    <w:rsid w:val="00BF5B20"/>
    <w:rsid w:val="00BF5F30"/>
    <w:rsid w:val="00BF6B18"/>
    <w:rsid w:val="00BF6ED1"/>
    <w:rsid w:val="00C00CF3"/>
    <w:rsid w:val="00C01E09"/>
    <w:rsid w:val="00C02A01"/>
    <w:rsid w:val="00C031DD"/>
    <w:rsid w:val="00C03310"/>
    <w:rsid w:val="00C037E0"/>
    <w:rsid w:val="00C05F89"/>
    <w:rsid w:val="00C068CD"/>
    <w:rsid w:val="00C06B66"/>
    <w:rsid w:val="00C06C68"/>
    <w:rsid w:val="00C07109"/>
    <w:rsid w:val="00C07791"/>
    <w:rsid w:val="00C07BE5"/>
    <w:rsid w:val="00C10129"/>
    <w:rsid w:val="00C111E0"/>
    <w:rsid w:val="00C127FB"/>
    <w:rsid w:val="00C12DA0"/>
    <w:rsid w:val="00C14538"/>
    <w:rsid w:val="00C14F60"/>
    <w:rsid w:val="00C155DE"/>
    <w:rsid w:val="00C162C4"/>
    <w:rsid w:val="00C162FF"/>
    <w:rsid w:val="00C174A8"/>
    <w:rsid w:val="00C17978"/>
    <w:rsid w:val="00C2004A"/>
    <w:rsid w:val="00C21538"/>
    <w:rsid w:val="00C21B6F"/>
    <w:rsid w:val="00C227A8"/>
    <w:rsid w:val="00C227B0"/>
    <w:rsid w:val="00C22AA6"/>
    <w:rsid w:val="00C22B48"/>
    <w:rsid w:val="00C234DA"/>
    <w:rsid w:val="00C25118"/>
    <w:rsid w:val="00C25D0F"/>
    <w:rsid w:val="00C26563"/>
    <w:rsid w:val="00C266FA"/>
    <w:rsid w:val="00C30030"/>
    <w:rsid w:val="00C30EBD"/>
    <w:rsid w:val="00C31447"/>
    <w:rsid w:val="00C31FDC"/>
    <w:rsid w:val="00C3235D"/>
    <w:rsid w:val="00C32C0D"/>
    <w:rsid w:val="00C32D05"/>
    <w:rsid w:val="00C33362"/>
    <w:rsid w:val="00C334D3"/>
    <w:rsid w:val="00C336F6"/>
    <w:rsid w:val="00C3385D"/>
    <w:rsid w:val="00C3390D"/>
    <w:rsid w:val="00C344BA"/>
    <w:rsid w:val="00C358C3"/>
    <w:rsid w:val="00C35E55"/>
    <w:rsid w:val="00C35E7A"/>
    <w:rsid w:val="00C3787F"/>
    <w:rsid w:val="00C37A0E"/>
    <w:rsid w:val="00C37A30"/>
    <w:rsid w:val="00C408D9"/>
    <w:rsid w:val="00C40FEE"/>
    <w:rsid w:val="00C41114"/>
    <w:rsid w:val="00C4121B"/>
    <w:rsid w:val="00C415FD"/>
    <w:rsid w:val="00C42901"/>
    <w:rsid w:val="00C43623"/>
    <w:rsid w:val="00C43F2B"/>
    <w:rsid w:val="00C44E02"/>
    <w:rsid w:val="00C45975"/>
    <w:rsid w:val="00C466E1"/>
    <w:rsid w:val="00C46763"/>
    <w:rsid w:val="00C4698C"/>
    <w:rsid w:val="00C475CB"/>
    <w:rsid w:val="00C516CA"/>
    <w:rsid w:val="00C520F2"/>
    <w:rsid w:val="00C534D0"/>
    <w:rsid w:val="00C53691"/>
    <w:rsid w:val="00C53AFA"/>
    <w:rsid w:val="00C53DFA"/>
    <w:rsid w:val="00C542DD"/>
    <w:rsid w:val="00C557CF"/>
    <w:rsid w:val="00C55E3E"/>
    <w:rsid w:val="00C57456"/>
    <w:rsid w:val="00C575D9"/>
    <w:rsid w:val="00C60270"/>
    <w:rsid w:val="00C60DC5"/>
    <w:rsid w:val="00C61C2E"/>
    <w:rsid w:val="00C61DA7"/>
    <w:rsid w:val="00C63864"/>
    <w:rsid w:val="00C63C2E"/>
    <w:rsid w:val="00C65EB4"/>
    <w:rsid w:val="00C667A6"/>
    <w:rsid w:val="00C66A73"/>
    <w:rsid w:val="00C67B36"/>
    <w:rsid w:val="00C714FC"/>
    <w:rsid w:val="00C71EE0"/>
    <w:rsid w:val="00C73A6D"/>
    <w:rsid w:val="00C73B2F"/>
    <w:rsid w:val="00C74056"/>
    <w:rsid w:val="00C74962"/>
    <w:rsid w:val="00C7542E"/>
    <w:rsid w:val="00C76535"/>
    <w:rsid w:val="00C7654F"/>
    <w:rsid w:val="00C76614"/>
    <w:rsid w:val="00C767C0"/>
    <w:rsid w:val="00C76EC0"/>
    <w:rsid w:val="00C776CA"/>
    <w:rsid w:val="00C80A60"/>
    <w:rsid w:val="00C81707"/>
    <w:rsid w:val="00C82D7A"/>
    <w:rsid w:val="00C84007"/>
    <w:rsid w:val="00C84221"/>
    <w:rsid w:val="00C84607"/>
    <w:rsid w:val="00C84AEB"/>
    <w:rsid w:val="00C85129"/>
    <w:rsid w:val="00C85132"/>
    <w:rsid w:val="00C8552F"/>
    <w:rsid w:val="00C85A4B"/>
    <w:rsid w:val="00C901BF"/>
    <w:rsid w:val="00C90861"/>
    <w:rsid w:val="00C9364D"/>
    <w:rsid w:val="00C9381D"/>
    <w:rsid w:val="00C94727"/>
    <w:rsid w:val="00C955FB"/>
    <w:rsid w:val="00C96B98"/>
    <w:rsid w:val="00C96F06"/>
    <w:rsid w:val="00C972AA"/>
    <w:rsid w:val="00C974AD"/>
    <w:rsid w:val="00C9759A"/>
    <w:rsid w:val="00C97CE2"/>
    <w:rsid w:val="00CA0544"/>
    <w:rsid w:val="00CA1596"/>
    <w:rsid w:val="00CA1843"/>
    <w:rsid w:val="00CA184D"/>
    <w:rsid w:val="00CA2621"/>
    <w:rsid w:val="00CA28B8"/>
    <w:rsid w:val="00CA2F2A"/>
    <w:rsid w:val="00CA381E"/>
    <w:rsid w:val="00CA3D0F"/>
    <w:rsid w:val="00CA4D7C"/>
    <w:rsid w:val="00CA63E9"/>
    <w:rsid w:val="00CA6A92"/>
    <w:rsid w:val="00CA70F8"/>
    <w:rsid w:val="00CA747A"/>
    <w:rsid w:val="00CA798C"/>
    <w:rsid w:val="00CA7CCC"/>
    <w:rsid w:val="00CB096C"/>
    <w:rsid w:val="00CB264A"/>
    <w:rsid w:val="00CB2EAC"/>
    <w:rsid w:val="00CB44D9"/>
    <w:rsid w:val="00CB45F9"/>
    <w:rsid w:val="00CB4DCE"/>
    <w:rsid w:val="00CB58DC"/>
    <w:rsid w:val="00CB67D0"/>
    <w:rsid w:val="00CB6B3A"/>
    <w:rsid w:val="00CB78E5"/>
    <w:rsid w:val="00CC2493"/>
    <w:rsid w:val="00CC2E85"/>
    <w:rsid w:val="00CC2E99"/>
    <w:rsid w:val="00CC33C3"/>
    <w:rsid w:val="00CC3CB1"/>
    <w:rsid w:val="00CC42E0"/>
    <w:rsid w:val="00CC499F"/>
    <w:rsid w:val="00CC4C43"/>
    <w:rsid w:val="00CC500E"/>
    <w:rsid w:val="00CC5175"/>
    <w:rsid w:val="00CC6E25"/>
    <w:rsid w:val="00CC701C"/>
    <w:rsid w:val="00CC7B55"/>
    <w:rsid w:val="00CD03F3"/>
    <w:rsid w:val="00CD2144"/>
    <w:rsid w:val="00CD2799"/>
    <w:rsid w:val="00CD4172"/>
    <w:rsid w:val="00CD567F"/>
    <w:rsid w:val="00CD59C7"/>
    <w:rsid w:val="00CD5CE1"/>
    <w:rsid w:val="00CD5D9B"/>
    <w:rsid w:val="00CD5E69"/>
    <w:rsid w:val="00CD70C1"/>
    <w:rsid w:val="00CD74C7"/>
    <w:rsid w:val="00CD7A7A"/>
    <w:rsid w:val="00CE08F7"/>
    <w:rsid w:val="00CE0AF3"/>
    <w:rsid w:val="00CE0DA3"/>
    <w:rsid w:val="00CE1F14"/>
    <w:rsid w:val="00CE1FDB"/>
    <w:rsid w:val="00CE2361"/>
    <w:rsid w:val="00CE3C35"/>
    <w:rsid w:val="00CE463B"/>
    <w:rsid w:val="00CE4BF7"/>
    <w:rsid w:val="00CE4C2D"/>
    <w:rsid w:val="00CE6132"/>
    <w:rsid w:val="00CE65B5"/>
    <w:rsid w:val="00CE6767"/>
    <w:rsid w:val="00CE68D9"/>
    <w:rsid w:val="00CE70C1"/>
    <w:rsid w:val="00CE7161"/>
    <w:rsid w:val="00CE734E"/>
    <w:rsid w:val="00CE7F38"/>
    <w:rsid w:val="00CF086B"/>
    <w:rsid w:val="00CF08CD"/>
    <w:rsid w:val="00CF32A5"/>
    <w:rsid w:val="00CF3B8F"/>
    <w:rsid w:val="00CF3DB1"/>
    <w:rsid w:val="00CF44A1"/>
    <w:rsid w:val="00CF50AB"/>
    <w:rsid w:val="00CF538C"/>
    <w:rsid w:val="00CF57AF"/>
    <w:rsid w:val="00CF62D4"/>
    <w:rsid w:val="00CF6C0C"/>
    <w:rsid w:val="00CF7009"/>
    <w:rsid w:val="00CF7F89"/>
    <w:rsid w:val="00CF7FA9"/>
    <w:rsid w:val="00D0084E"/>
    <w:rsid w:val="00D00BFA"/>
    <w:rsid w:val="00D017CE"/>
    <w:rsid w:val="00D01CCC"/>
    <w:rsid w:val="00D02AFD"/>
    <w:rsid w:val="00D042A6"/>
    <w:rsid w:val="00D04B64"/>
    <w:rsid w:val="00D06999"/>
    <w:rsid w:val="00D073DF"/>
    <w:rsid w:val="00D07B4B"/>
    <w:rsid w:val="00D1136C"/>
    <w:rsid w:val="00D132DC"/>
    <w:rsid w:val="00D13841"/>
    <w:rsid w:val="00D13874"/>
    <w:rsid w:val="00D13E21"/>
    <w:rsid w:val="00D142EC"/>
    <w:rsid w:val="00D14D41"/>
    <w:rsid w:val="00D15E6E"/>
    <w:rsid w:val="00D161BE"/>
    <w:rsid w:val="00D167FC"/>
    <w:rsid w:val="00D170DB"/>
    <w:rsid w:val="00D1739A"/>
    <w:rsid w:val="00D179FB"/>
    <w:rsid w:val="00D17C38"/>
    <w:rsid w:val="00D17CF3"/>
    <w:rsid w:val="00D2036A"/>
    <w:rsid w:val="00D21C35"/>
    <w:rsid w:val="00D21C6F"/>
    <w:rsid w:val="00D22270"/>
    <w:rsid w:val="00D224E9"/>
    <w:rsid w:val="00D22BC4"/>
    <w:rsid w:val="00D231F0"/>
    <w:rsid w:val="00D23906"/>
    <w:rsid w:val="00D239EA"/>
    <w:rsid w:val="00D24B16"/>
    <w:rsid w:val="00D25336"/>
    <w:rsid w:val="00D2591B"/>
    <w:rsid w:val="00D2771D"/>
    <w:rsid w:val="00D301BE"/>
    <w:rsid w:val="00D31FF2"/>
    <w:rsid w:val="00D32222"/>
    <w:rsid w:val="00D3484E"/>
    <w:rsid w:val="00D35C17"/>
    <w:rsid w:val="00D37BD4"/>
    <w:rsid w:val="00D41429"/>
    <w:rsid w:val="00D4200D"/>
    <w:rsid w:val="00D42652"/>
    <w:rsid w:val="00D43B31"/>
    <w:rsid w:val="00D43E7B"/>
    <w:rsid w:val="00D4425C"/>
    <w:rsid w:val="00D463C4"/>
    <w:rsid w:val="00D468FF"/>
    <w:rsid w:val="00D4713C"/>
    <w:rsid w:val="00D472BF"/>
    <w:rsid w:val="00D4753E"/>
    <w:rsid w:val="00D47810"/>
    <w:rsid w:val="00D478F7"/>
    <w:rsid w:val="00D47E61"/>
    <w:rsid w:val="00D5066E"/>
    <w:rsid w:val="00D52DCB"/>
    <w:rsid w:val="00D53E2A"/>
    <w:rsid w:val="00D53EEA"/>
    <w:rsid w:val="00D5462A"/>
    <w:rsid w:val="00D558C2"/>
    <w:rsid w:val="00D565E0"/>
    <w:rsid w:val="00D56A05"/>
    <w:rsid w:val="00D56A0D"/>
    <w:rsid w:val="00D56BD3"/>
    <w:rsid w:val="00D57F3B"/>
    <w:rsid w:val="00D607A7"/>
    <w:rsid w:val="00D609BE"/>
    <w:rsid w:val="00D619CB"/>
    <w:rsid w:val="00D62EA1"/>
    <w:rsid w:val="00D62F5F"/>
    <w:rsid w:val="00D638B4"/>
    <w:rsid w:val="00D6419A"/>
    <w:rsid w:val="00D650EF"/>
    <w:rsid w:val="00D65746"/>
    <w:rsid w:val="00D66104"/>
    <w:rsid w:val="00D66748"/>
    <w:rsid w:val="00D6715D"/>
    <w:rsid w:val="00D67AD6"/>
    <w:rsid w:val="00D701DA"/>
    <w:rsid w:val="00D705AF"/>
    <w:rsid w:val="00D7074E"/>
    <w:rsid w:val="00D7130C"/>
    <w:rsid w:val="00D71BD2"/>
    <w:rsid w:val="00D7347B"/>
    <w:rsid w:val="00D765B4"/>
    <w:rsid w:val="00D816D9"/>
    <w:rsid w:val="00D8181C"/>
    <w:rsid w:val="00D823A2"/>
    <w:rsid w:val="00D8249F"/>
    <w:rsid w:val="00D82C4B"/>
    <w:rsid w:val="00D84FD6"/>
    <w:rsid w:val="00D864E9"/>
    <w:rsid w:val="00D86B73"/>
    <w:rsid w:val="00D86EFD"/>
    <w:rsid w:val="00D87AFE"/>
    <w:rsid w:val="00D90DE0"/>
    <w:rsid w:val="00D9163F"/>
    <w:rsid w:val="00D91BEF"/>
    <w:rsid w:val="00D923D9"/>
    <w:rsid w:val="00D95569"/>
    <w:rsid w:val="00D955F6"/>
    <w:rsid w:val="00D95CC9"/>
    <w:rsid w:val="00D95EF9"/>
    <w:rsid w:val="00D96CF5"/>
    <w:rsid w:val="00D96D31"/>
    <w:rsid w:val="00D97398"/>
    <w:rsid w:val="00D97B53"/>
    <w:rsid w:val="00DA03AD"/>
    <w:rsid w:val="00DA0A9B"/>
    <w:rsid w:val="00DA1776"/>
    <w:rsid w:val="00DA1997"/>
    <w:rsid w:val="00DA3034"/>
    <w:rsid w:val="00DA31EE"/>
    <w:rsid w:val="00DA46DA"/>
    <w:rsid w:val="00DA4CCC"/>
    <w:rsid w:val="00DA4E12"/>
    <w:rsid w:val="00DA501D"/>
    <w:rsid w:val="00DA53D6"/>
    <w:rsid w:val="00DA5F9C"/>
    <w:rsid w:val="00DA68E3"/>
    <w:rsid w:val="00DA6AD1"/>
    <w:rsid w:val="00DA7656"/>
    <w:rsid w:val="00DA7FD7"/>
    <w:rsid w:val="00DB0C39"/>
    <w:rsid w:val="00DB1AC9"/>
    <w:rsid w:val="00DB256B"/>
    <w:rsid w:val="00DB29CD"/>
    <w:rsid w:val="00DB320C"/>
    <w:rsid w:val="00DB3337"/>
    <w:rsid w:val="00DB3B69"/>
    <w:rsid w:val="00DB3B8D"/>
    <w:rsid w:val="00DB3FB4"/>
    <w:rsid w:val="00DB4C38"/>
    <w:rsid w:val="00DB53F9"/>
    <w:rsid w:val="00DB59B7"/>
    <w:rsid w:val="00DB5DD5"/>
    <w:rsid w:val="00DB67E1"/>
    <w:rsid w:val="00DB6C30"/>
    <w:rsid w:val="00DB7D55"/>
    <w:rsid w:val="00DC048B"/>
    <w:rsid w:val="00DC10BB"/>
    <w:rsid w:val="00DC2157"/>
    <w:rsid w:val="00DC2216"/>
    <w:rsid w:val="00DC2806"/>
    <w:rsid w:val="00DC3C4A"/>
    <w:rsid w:val="00DC4BA7"/>
    <w:rsid w:val="00DC4CB7"/>
    <w:rsid w:val="00DC5998"/>
    <w:rsid w:val="00DC5A8F"/>
    <w:rsid w:val="00DC6A11"/>
    <w:rsid w:val="00DC71A3"/>
    <w:rsid w:val="00DC7957"/>
    <w:rsid w:val="00DC7A7F"/>
    <w:rsid w:val="00DD067A"/>
    <w:rsid w:val="00DD1410"/>
    <w:rsid w:val="00DD23D3"/>
    <w:rsid w:val="00DD2708"/>
    <w:rsid w:val="00DD3390"/>
    <w:rsid w:val="00DD3961"/>
    <w:rsid w:val="00DD4CB1"/>
    <w:rsid w:val="00DD50D7"/>
    <w:rsid w:val="00DD652E"/>
    <w:rsid w:val="00DE02E1"/>
    <w:rsid w:val="00DE0E92"/>
    <w:rsid w:val="00DE1D22"/>
    <w:rsid w:val="00DE239D"/>
    <w:rsid w:val="00DE3C31"/>
    <w:rsid w:val="00DE45CD"/>
    <w:rsid w:val="00DE4957"/>
    <w:rsid w:val="00DE4D5F"/>
    <w:rsid w:val="00DE4DC5"/>
    <w:rsid w:val="00DE4FAB"/>
    <w:rsid w:val="00DE5743"/>
    <w:rsid w:val="00DE5A30"/>
    <w:rsid w:val="00DE614D"/>
    <w:rsid w:val="00DE62C9"/>
    <w:rsid w:val="00DE7E21"/>
    <w:rsid w:val="00DF16A1"/>
    <w:rsid w:val="00DF1A59"/>
    <w:rsid w:val="00DF1BA3"/>
    <w:rsid w:val="00DF221D"/>
    <w:rsid w:val="00DF225B"/>
    <w:rsid w:val="00DF238C"/>
    <w:rsid w:val="00DF49C9"/>
    <w:rsid w:val="00DF731E"/>
    <w:rsid w:val="00DF7E3F"/>
    <w:rsid w:val="00E007F3"/>
    <w:rsid w:val="00E00EEB"/>
    <w:rsid w:val="00E011CF"/>
    <w:rsid w:val="00E01C06"/>
    <w:rsid w:val="00E02194"/>
    <w:rsid w:val="00E04B1C"/>
    <w:rsid w:val="00E05966"/>
    <w:rsid w:val="00E0752F"/>
    <w:rsid w:val="00E076A5"/>
    <w:rsid w:val="00E07CDF"/>
    <w:rsid w:val="00E108CC"/>
    <w:rsid w:val="00E10C48"/>
    <w:rsid w:val="00E11EB0"/>
    <w:rsid w:val="00E1217D"/>
    <w:rsid w:val="00E13A8B"/>
    <w:rsid w:val="00E13B29"/>
    <w:rsid w:val="00E1436B"/>
    <w:rsid w:val="00E15285"/>
    <w:rsid w:val="00E15603"/>
    <w:rsid w:val="00E1602B"/>
    <w:rsid w:val="00E16F04"/>
    <w:rsid w:val="00E20710"/>
    <w:rsid w:val="00E20EBF"/>
    <w:rsid w:val="00E216A1"/>
    <w:rsid w:val="00E223DA"/>
    <w:rsid w:val="00E2577F"/>
    <w:rsid w:val="00E25790"/>
    <w:rsid w:val="00E267A7"/>
    <w:rsid w:val="00E26C59"/>
    <w:rsid w:val="00E27A40"/>
    <w:rsid w:val="00E27F90"/>
    <w:rsid w:val="00E302F8"/>
    <w:rsid w:val="00E306A5"/>
    <w:rsid w:val="00E3098D"/>
    <w:rsid w:val="00E312A9"/>
    <w:rsid w:val="00E31F66"/>
    <w:rsid w:val="00E32D30"/>
    <w:rsid w:val="00E33C53"/>
    <w:rsid w:val="00E34535"/>
    <w:rsid w:val="00E348CD"/>
    <w:rsid w:val="00E35CF9"/>
    <w:rsid w:val="00E37243"/>
    <w:rsid w:val="00E37AE0"/>
    <w:rsid w:val="00E40009"/>
    <w:rsid w:val="00E40D64"/>
    <w:rsid w:val="00E41BD3"/>
    <w:rsid w:val="00E43D47"/>
    <w:rsid w:val="00E44021"/>
    <w:rsid w:val="00E44F3C"/>
    <w:rsid w:val="00E45B32"/>
    <w:rsid w:val="00E5068D"/>
    <w:rsid w:val="00E515C8"/>
    <w:rsid w:val="00E52A65"/>
    <w:rsid w:val="00E53DF6"/>
    <w:rsid w:val="00E5434A"/>
    <w:rsid w:val="00E5501F"/>
    <w:rsid w:val="00E57E2B"/>
    <w:rsid w:val="00E6007E"/>
    <w:rsid w:val="00E6139F"/>
    <w:rsid w:val="00E632A7"/>
    <w:rsid w:val="00E63DED"/>
    <w:rsid w:val="00E64049"/>
    <w:rsid w:val="00E640BF"/>
    <w:rsid w:val="00E642BE"/>
    <w:rsid w:val="00E65486"/>
    <w:rsid w:val="00E657E1"/>
    <w:rsid w:val="00E65B08"/>
    <w:rsid w:val="00E6679E"/>
    <w:rsid w:val="00E66A01"/>
    <w:rsid w:val="00E66D6A"/>
    <w:rsid w:val="00E66F7E"/>
    <w:rsid w:val="00E67010"/>
    <w:rsid w:val="00E674F2"/>
    <w:rsid w:val="00E67FE4"/>
    <w:rsid w:val="00E70746"/>
    <w:rsid w:val="00E7096C"/>
    <w:rsid w:val="00E70DB6"/>
    <w:rsid w:val="00E71962"/>
    <w:rsid w:val="00E71A99"/>
    <w:rsid w:val="00E72177"/>
    <w:rsid w:val="00E72674"/>
    <w:rsid w:val="00E7285B"/>
    <w:rsid w:val="00E7289D"/>
    <w:rsid w:val="00E73782"/>
    <w:rsid w:val="00E74207"/>
    <w:rsid w:val="00E7463E"/>
    <w:rsid w:val="00E74C4E"/>
    <w:rsid w:val="00E753F4"/>
    <w:rsid w:val="00E75C3D"/>
    <w:rsid w:val="00E767AF"/>
    <w:rsid w:val="00E77096"/>
    <w:rsid w:val="00E77656"/>
    <w:rsid w:val="00E7785B"/>
    <w:rsid w:val="00E813D9"/>
    <w:rsid w:val="00E81E2B"/>
    <w:rsid w:val="00E8349C"/>
    <w:rsid w:val="00E834AF"/>
    <w:rsid w:val="00E83743"/>
    <w:rsid w:val="00E83A62"/>
    <w:rsid w:val="00E84334"/>
    <w:rsid w:val="00E844E4"/>
    <w:rsid w:val="00E86044"/>
    <w:rsid w:val="00E8606D"/>
    <w:rsid w:val="00E86BDD"/>
    <w:rsid w:val="00E86CBE"/>
    <w:rsid w:val="00E90099"/>
    <w:rsid w:val="00E9079C"/>
    <w:rsid w:val="00E916DA"/>
    <w:rsid w:val="00E92F57"/>
    <w:rsid w:val="00E9382B"/>
    <w:rsid w:val="00E93971"/>
    <w:rsid w:val="00E93D9F"/>
    <w:rsid w:val="00E93F1E"/>
    <w:rsid w:val="00E955D4"/>
    <w:rsid w:val="00E955E1"/>
    <w:rsid w:val="00E95DFB"/>
    <w:rsid w:val="00E96516"/>
    <w:rsid w:val="00E9779E"/>
    <w:rsid w:val="00E97F94"/>
    <w:rsid w:val="00EA0B77"/>
    <w:rsid w:val="00EA2A84"/>
    <w:rsid w:val="00EA2EDD"/>
    <w:rsid w:val="00EA3421"/>
    <w:rsid w:val="00EA45C1"/>
    <w:rsid w:val="00EA48BE"/>
    <w:rsid w:val="00EA635A"/>
    <w:rsid w:val="00EA7062"/>
    <w:rsid w:val="00EA7146"/>
    <w:rsid w:val="00EA734E"/>
    <w:rsid w:val="00EA7354"/>
    <w:rsid w:val="00EB0619"/>
    <w:rsid w:val="00EB0DA4"/>
    <w:rsid w:val="00EB0F24"/>
    <w:rsid w:val="00EB1307"/>
    <w:rsid w:val="00EB230C"/>
    <w:rsid w:val="00EB25FE"/>
    <w:rsid w:val="00EB3AF9"/>
    <w:rsid w:val="00EB4121"/>
    <w:rsid w:val="00EB451C"/>
    <w:rsid w:val="00EB5079"/>
    <w:rsid w:val="00EB6ED0"/>
    <w:rsid w:val="00EB7E6E"/>
    <w:rsid w:val="00EC08CA"/>
    <w:rsid w:val="00EC0B03"/>
    <w:rsid w:val="00EC123A"/>
    <w:rsid w:val="00EC2179"/>
    <w:rsid w:val="00EC27E2"/>
    <w:rsid w:val="00EC294E"/>
    <w:rsid w:val="00EC41B6"/>
    <w:rsid w:val="00EC5CBB"/>
    <w:rsid w:val="00EC66CB"/>
    <w:rsid w:val="00EC7756"/>
    <w:rsid w:val="00EC7F45"/>
    <w:rsid w:val="00ED0AEF"/>
    <w:rsid w:val="00ED0BBB"/>
    <w:rsid w:val="00ED0C36"/>
    <w:rsid w:val="00ED1228"/>
    <w:rsid w:val="00ED1AA1"/>
    <w:rsid w:val="00ED280D"/>
    <w:rsid w:val="00ED33EE"/>
    <w:rsid w:val="00ED35E2"/>
    <w:rsid w:val="00ED3863"/>
    <w:rsid w:val="00ED3ADA"/>
    <w:rsid w:val="00ED4151"/>
    <w:rsid w:val="00ED45D3"/>
    <w:rsid w:val="00ED47F0"/>
    <w:rsid w:val="00ED5A3C"/>
    <w:rsid w:val="00ED6571"/>
    <w:rsid w:val="00ED71BD"/>
    <w:rsid w:val="00ED7553"/>
    <w:rsid w:val="00ED7A83"/>
    <w:rsid w:val="00EE051A"/>
    <w:rsid w:val="00EE05F6"/>
    <w:rsid w:val="00EE0E33"/>
    <w:rsid w:val="00EE107B"/>
    <w:rsid w:val="00EE134F"/>
    <w:rsid w:val="00EE1763"/>
    <w:rsid w:val="00EE1D2D"/>
    <w:rsid w:val="00EE2A22"/>
    <w:rsid w:val="00EE30A8"/>
    <w:rsid w:val="00EE3517"/>
    <w:rsid w:val="00EE39BF"/>
    <w:rsid w:val="00EE4654"/>
    <w:rsid w:val="00EE5E01"/>
    <w:rsid w:val="00EE6B9C"/>
    <w:rsid w:val="00EE7AEA"/>
    <w:rsid w:val="00EF0030"/>
    <w:rsid w:val="00EF02D7"/>
    <w:rsid w:val="00EF0D66"/>
    <w:rsid w:val="00EF187E"/>
    <w:rsid w:val="00EF1F6D"/>
    <w:rsid w:val="00EF3460"/>
    <w:rsid w:val="00EF362E"/>
    <w:rsid w:val="00EF4086"/>
    <w:rsid w:val="00EF459B"/>
    <w:rsid w:val="00EF4DBA"/>
    <w:rsid w:val="00EF544F"/>
    <w:rsid w:val="00EF54C3"/>
    <w:rsid w:val="00EF6934"/>
    <w:rsid w:val="00EF7216"/>
    <w:rsid w:val="00F003ED"/>
    <w:rsid w:val="00F00A6B"/>
    <w:rsid w:val="00F00B1D"/>
    <w:rsid w:val="00F01117"/>
    <w:rsid w:val="00F0136B"/>
    <w:rsid w:val="00F013BE"/>
    <w:rsid w:val="00F01496"/>
    <w:rsid w:val="00F017C9"/>
    <w:rsid w:val="00F0304C"/>
    <w:rsid w:val="00F053DB"/>
    <w:rsid w:val="00F05EDA"/>
    <w:rsid w:val="00F07B13"/>
    <w:rsid w:val="00F07ED7"/>
    <w:rsid w:val="00F10819"/>
    <w:rsid w:val="00F10936"/>
    <w:rsid w:val="00F1260A"/>
    <w:rsid w:val="00F12772"/>
    <w:rsid w:val="00F13513"/>
    <w:rsid w:val="00F136D7"/>
    <w:rsid w:val="00F146B7"/>
    <w:rsid w:val="00F14750"/>
    <w:rsid w:val="00F14F95"/>
    <w:rsid w:val="00F15782"/>
    <w:rsid w:val="00F15C90"/>
    <w:rsid w:val="00F164F6"/>
    <w:rsid w:val="00F17FE3"/>
    <w:rsid w:val="00F21697"/>
    <w:rsid w:val="00F21910"/>
    <w:rsid w:val="00F22524"/>
    <w:rsid w:val="00F230F9"/>
    <w:rsid w:val="00F23568"/>
    <w:rsid w:val="00F236F7"/>
    <w:rsid w:val="00F2461D"/>
    <w:rsid w:val="00F24FD8"/>
    <w:rsid w:val="00F25F6D"/>
    <w:rsid w:val="00F25FBE"/>
    <w:rsid w:val="00F2737B"/>
    <w:rsid w:val="00F309A2"/>
    <w:rsid w:val="00F31A2D"/>
    <w:rsid w:val="00F31E49"/>
    <w:rsid w:val="00F32844"/>
    <w:rsid w:val="00F34289"/>
    <w:rsid w:val="00F348C4"/>
    <w:rsid w:val="00F35137"/>
    <w:rsid w:val="00F35895"/>
    <w:rsid w:val="00F358DD"/>
    <w:rsid w:val="00F371C8"/>
    <w:rsid w:val="00F40658"/>
    <w:rsid w:val="00F415C7"/>
    <w:rsid w:val="00F4348E"/>
    <w:rsid w:val="00F437B1"/>
    <w:rsid w:val="00F446AD"/>
    <w:rsid w:val="00F4483C"/>
    <w:rsid w:val="00F44953"/>
    <w:rsid w:val="00F449A3"/>
    <w:rsid w:val="00F45B99"/>
    <w:rsid w:val="00F47352"/>
    <w:rsid w:val="00F501F0"/>
    <w:rsid w:val="00F517CA"/>
    <w:rsid w:val="00F53154"/>
    <w:rsid w:val="00F531E0"/>
    <w:rsid w:val="00F534A7"/>
    <w:rsid w:val="00F5369E"/>
    <w:rsid w:val="00F537D8"/>
    <w:rsid w:val="00F53C7C"/>
    <w:rsid w:val="00F548FD"/>
    <w:rsid w:val="00F551E6"/>
    <w:rsid w:val="00F553F3"/>
    <w:rsid w:val="00F56909"/>
    <w:rsid w:val="00F56A6C"/>
    <w:rsid w:val="00F57694"/>
    <w:rsid w:val="00F6013D"/>
    <w:rsid w:val="00F61648"/>
    <w:rsid w:val="00F623E5"/>
    <w:rsid w:val="00F63AF6"/>
    <w:rsid w:val="00F643E9"/>
    <w:rsid w:val="00F647F8"/>
    <w:rsid w:val="00F65310"/>
    <w:rsid w:val="00F65B0E"/>
    <w:rsid w:val="00F67078"/>
    <w:rsid w:val="00F6778A"/>
    <w:rsid w:val="00F70C11"/>
    <w:rsid w:val="00F70E99"/>
    <w:rsid w:val="00F7122E"/>
    <w:rsid w:val="00F71C15"/>
    <w:rsid w:val="00F72680"/>
    <w:rsid w:val="00F727B6"/>
    <w:rsid w:val="00F756AC"/>
    <w:rsid w:val="00F75D79"/>
    <w:rsid w:val="00F75E57"/>
    <w:rsid w:val="00F76D70"/>
    <w:rsid w:val="00F77D51"/>
    <w:rsid w:val="00F816C2"/>
    <w:rsid w:val="00F81DE3"/>
    <w:rsid w:val="00F829B7"/>
    <w:rsid w:val="00F83541"/>
    <w:rsid w:val="00F843CF"/>
    <w:rsid w:val="00F84BF9"/>
    <w:rsid w:val="00F84E2C"/>
    <w:rsid w:val="00F858DC"/>
    <w:rsid w:val="00F85B0D"/>
    <w:rsid w:val="00F85EA7"/>
    <w:rsid w:val="00F85F92"/>
    <w:rsid w:val="00F8617F"/>
    <w:rsid w:val="00F865E3"/>
    <w:rsid w:val="00F915F2"/>
    <w:rsid w:val="00F91820"/>
    <w:rsid w:val="00F91C9A"/>
    <w:rsid w:val="00F91D09"/>
    <w:rsid w:val="00F91D55"/>
    <w:rsid w:val="00F92A57"/>
    <w:rsid w:val="00F9344A"/>
    <w:rsid w:val="00F9353F"/>
    <w:rsid w:val="00F9441D"/>
    <w:rsid w:val="00F955DB"/>
    <w:rsid w:val="00F97130"/>
    <w:rsid w:val="00F973EB"/>
    <w:rsid w:val="00F976D1"/>
    <w:rsid w:val="00F97CCB"/>
    <w:rsid w:val="00FA0273"/>
    <w:rsid w:val="00FA0E62"/>
    <w:rsid w:val="00FA144E"/>
    <w:rsid w:val="00FA21BA"/>
    <w:rsid w:val="00FA330C"/>
    <w:rsid w:val="00FA33CE"/>
    <w:rsid w:val="00FA4F9D"/>
    <w:rsid w:val="00FA67E2"/>
    <w:rsid w:val="00FA6B5E"/>
    <w:rsid w:val="00FB0978"/>
    <w:rsid w:val="00FB0A8D"/>
    <w:rsid w:val="00FB0D8B"/>
    <w:rsid w:val="00FB0E0D"/>
    <w:rsid w:val="00FB183B"/>
    <w:rsid w:val="00FB282B"/>
    <w:rsid w:val="00FB2EF7"/>
    <w:rsid w:val="00FB3320"/>
    <w:rsid w:val="00FB3831"/>
    <w:rsid w:val="00FB38BB"/>
    <w:rsid w:val="00FB47EB"/>
    <w:rsid w:val="00FB4E3D"/>
    <w:rsid w:val="00FB5027"/>
    <w:rsid w:val="00FB535A"/>
    <w:rsid w:val="00FB5A18"/>
    <w:rsid w:val="00FB606A"/>
    <w:rsid w:val="00FC049F"/>
    <w:rsid w:val="00FC1CCA"/>
    <w:rsid w:val="00FC3998"/>
    <w:rsid w:val="00FC4CDD"/>
    <w:rsid w:val="00FC50A3"/>
    <w:rsid w:val="00FC532D"/>
    <w:rsid w:val="00FC7CC3"/>
    <w:rsid w:val="00FC7D3C"/>
    <w:rsid w:val="00FD09F8"/>
    <w:rsid w:val="00FD0D88"/>
    <w:rsid w:val="00FD1DB9"/>
    <w:rsid w:val="00FD3693"/>
    <w:rsid w:val="00FD3E21"/>
    <w:rsid w:val="00FD524D"/>
    <w:rsid w:val="00FD58C3"/>
    <w:rsid w:val="00FD59F7"/>
    <w:rsid w:val="00FD6B89"/>
    <w:rsid w:val="00FD6CEF"/>
    <w:rsid w:val="00FD7486"/>
    <w:rsid w:val="00FD7F64"/>
    <w:rsid w:val="00FE177E"/>
    <w:rsid w:val="00FE1D85"/>
    <w:rsid w:val="00FE218F"/>
    <w:rsid w:val="00FE2544"/>
    <w:rsid w:val="00FE26B9"/>
    <w:rsid w:val="00FE3702"/>
    <w:rsid w:val="00FE3D61"/>
    <w:rsid w:val="00FE46F5"/>
    <w:rsid w:val="00FE5560"/>
    <w:rsid w:val="00FE5784"/>
    <w:rsid w:val="00FE5ADE"/>
    <w:rsid w:val="00FE60EC"/>
    <w:rsid w:val="00FE6CC8"/>
    <w:rsid w:val="00FE6EAA"/>
    <w:rsid w:val="00FE733A"/>
    <w:rsid w:val="00FF1495"/>
    <w:rsid w:val="00FF17CC"/>
    <w:rsid w:val="00FF392E"/>
    <w:rsid w:val="00FF3CAB"/>
    <w:rsid w:val="00FF4155"/>
    <w:rsid w:val="00FF5437"/>
    <w:rsid w:val="00FF664A"/>
    <w:rsid w:val="00FF760D"/>
    <w:rsid w:val="00FF7808"/>
    <w:rsid w:val="00FF79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9A62F3"/>
  <w15:chartTrackingRefBased/>
  <w15:docId w15:val="{7F91FE51-5EC7-4428-9CB0-3713606F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0DE0"/>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0855"/>
    <w:pPr>
      <w:keepNext/>
      <w:keepLines/>
      <w:numPr>
        <w:ilvl w:val="1"/>
        <w:numId w:val="16"/>
      </w:numPr>
      <w:spacing w:before="40" w:after="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0DE0"/>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824D8"/>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7B0C"/>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7B0C"/>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7B0C"/>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7B0C"/>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7B0C"/>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F7"/>
    <w:pPr>
      <w:ind w:left="720"/>
      <w:contextualSpacing/>
    </w:pPr>
  </w:style>
  <w:style w:type="character" w:styleId="Hyperlink">
    <w:name w:val="Hyperlink"/>
    <w:basedOn w:val="DefaultParagraphFont"/>
    <w:uiPriority w:val="99"/>
    <w:unhideWhenUsed/>
    <w:rsid w:val="007E3F9C"/>
    <w:rPr>
      <w:color w:val="0563C1" w:themeColor="hyperlink"/>
      <w:u w:val="single"/>
    </w:rPr>
  </w:style>
  <w:style w:type="character" w:styleId="FollowedHyperlink">
    <w:name w:val="FollowedHyperlink"/>
    <w:basedOn w:val="DefaultParagraphFont"/>
    <w:uiPriority w:val="99"/>
    <w:semiHidden/>
    <w:unhideWhenUsed/>
    <w:rsid w:val="0045620E"/>
    <w:rPr>
      <w:color w:val="954F72" w:themeColor="followedHyperlink"/>
      <w:u w:val="single"/>
    </w:rPr>
  </w:style>
  <w:style w:type="paragraph" w:styleId="FootnoteText">
    <w:name w:val="footnote text"/>
    <w:basedOn w:val="Normal"/>
    <w:link w:val="FootnoteTextChar"/>
    <w:uiPriority w:val="99"/>
    <w:semiHidden/>
    <w:unhideWhenUsed/>
    <w:rsid w:val="00676C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C2B"/>
    <w:rPr>
      <w:sz w:val="20"/>
      <w:szCs w:val="20"/>
    </w:rPr>
  </w:style>
  <w:style w:type="character" w:styleId="FootnoteReference">
    <w:name w:val="footnote reference"/>
    <w:basedOn w:val="DefaultParagraphFont"/>
    <w:uiPriority w:val="99"/>
    <w:semiHidden/>
    <w:unhideWhenUsed/>
    <w:rsid w:val="00676C2B"/>
    <w:rPr>
      <w:vertAlign w:val="superscript"/>
    </w:rPr>
  </w:style>
  <w:style w:type="character" w:styleId="CommentReference">
    <w:name w:val="annotation reference"/>
    <w:basedOn w:val="DefaultParagraphFont"/>
    <w:uiPriority w:val="99"/>
    <w:semiHidden/>
    <w:unhideWhenUsed/>
    <w:rsid w:val="00676C2B"/>
    <w:rPr>
      <w:sz w:val="16"/>
      <w:szCs w:val="16"/>
    </w:rPr>
  </w:style>
  <w:style w:type="paragraph" w:styleId="CommentText">
    <w:name w:val="annotation text"/>
    <w:basedOn w:val="Normal"/>
    <w:link w:val="CommentTextChar"/>
    <w:uiPriority w:val="99"/>
    <w:unhideWhenUsed/>
    <w:rsid w:val="00676C2B"/>
    <w:pPr>
      <w:spacing w:line="240" w:lineRule="auto"/>
    </w:pPr>
    <w:rPr>
      <w:sz w:val="20"/>
      <w:szCs w:val="20"/>
    </w:rPr>
  </w:style>
  <w:style w:type="character" w:customStyle="1" w:styleId="CommentTextChar">
    <w:name w:val="Comment Text Char"/>
    <w:basedOn w:val="DefaultParagraphFont"/>
    <w:link w:val="CommentText"/>
    <w:uiPriority w:val="99"/>
    <w:rsid w:val="00676C2B"/>
    <w:rPr>
      <w:sz w:val="20"/>
      <w:szCs w:val="20"/>
    </w:rPr>
  </w:style>
  <w:style w:type="paragraph" w:styleId="BalloonText">
    <w:name w:val="Balloon Text"/>
    <w:basedOn w:val="Normal"/>
    <w:link w:val="BalloonTextChar"/>
    <w:uiPriority w:val="99"/>
    <w:semiHidden/>
    <w:unhideWhenUsed/>
    <w:rsid w:val="0067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C2B"/>
    <w:rPr>
      <w:rFonts w:ascii="Segoe UI" w:hAnsi="Segoe UI" w:cs="Segoe UI"/>
      <w:sz w:val="18"/>
      <w:szCs w:val="18"/>
    </w:rPr>
  </w:style>
  <w:style w:type="paragraph" w:styleId="Header">
    <w:name w:val="header"/>
    <w:basedOn w:val="Normal"/>
    <w:link w:val="HeaderChar"/>
    <w:uiPriority w:val="99"/>
    <w:unhideWhenUsed/>
    <w:rsid w:val="00485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99"/>
  </w:style>
  <w:style w:type="paragraph" w:styleId="Footer">
    <w:name w:val="footer"/>
    <w:basedOn w:val="Normal"/>
    <w:link w:val="FooterChar"/>
    <w:uiPriority w:val="99"/>
    <w:unhideWhenUsed/>
    <w:rsid w:val="00485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99"/>
  </w:style>
  <w:style w:type="paragraph" w:styleId="CommentSubject">
    <w:name w:val="annotation subject"/>
    <w:basedOn w:val="CommentText"/>
    <w:next w:val="CommentText"/>
    <w:link w:val="CommentSubjectChar"/>
    <w:uiPriority w:val="99"/>
    <w:semiHidden/>
    <w:unhideWhenUsed/>
    <w:rsid w:val="007951A2"/>
    <w:rPr>
      <w:b/>
      <w:bCs/>
    </w:rPr>
  </w:style>
  <w:style w:type="character" w:customStyle="1" w:styleId="CommentSubjectChar">
    <w:name w:val="Comment Subject Char"/>
    <w:basedOn w:val="CommentTextChar"/>
    <w:link w:val="CommentSubject"/>
    <w:uiPriority w:val="99"/>
    <w:semiHidden/>
    <w:rsid w:val="007951A2"/>
    <w:rPr>
      <w:b/>
      <w:bCs/>
      <w:sz w:val="20"/>
      <w:szCs w:val="20"/>
    </w:rPr>
  </w:style>
  <w:style w:type="paragraph" w:styleId="Revision">
    <w:name w:val="Revision"/>
    <w:hidden/>
    <w:uiPriority w:val="99"/>
    <w:semiHidden/>
    <w:rsid w:val="00C475CB"/>
    <w:pPr>
      <w:spacing w:after="0" w:line="240" w:lineRule="auto"/>
    </w:pPr>
  </w:style>
  <w:style w:type="paragraph" w:styleId="NormalWeb">
    <w:name w:val="Normal (Web)"/>
    <w:basedOn w:val="Normal"/>
    <w:uiPriority w:val="99"/>
    <w:unhideWhenUsed/>
    <w:rsid w:val="008214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66085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90DE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90DE0"/>
    <w:rPr>
      <w:rFonts w:asciiTheme="majorHAnsi" w:eastAsiaTheme="majorEastAsia" w:hAnsiTheme="majorHAnsi" w:cstheme="majorBidi"/>
      <w:color w:val="2E74B5" w:themeColor="accent1" w:themeShade="BF"/>
      <w:sz w:val="32"/>
      <w:szCs w:val="32"/>
    </w:rPr>
  </w:style>
  <w:style w:type="paragraph" w:customStyle="1" w:styleId="Default">
    <w:name w:val="Default"/>
    <w:rsid w:val="00490B0B"/>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FA0273"/>
    <w:rPr>
      <w:b/>
    </w:rPr>
  </w:style>
  <w:style w:type="character" w:customStyle="1" w:styleId="Heading4Char">
    <w:name w:val="Heading 4 Char"/>
    <w:basedOn w:val="DefaultParagraphFont"/>
    <w:link w:val="Heading4"/>
    <w:uiPriority w:val="9"/>
    <w:rsid w:val="006824D8"/>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F35895"/>
    <w:pPr>
      <w:outlineLvl w:val="9"/>
    </w:pPr>
    <w:rPr>
      <w:lang w:val="en-US"/>
    </w:rPr>
  </w:style>
  <w:style w:type="paragraph" w:styleId="TOC1">
    <w:name w:val="toc 1"/>
    <w:basedOn w:val="Normal"/>
    <w:next w:val="Normal"/>
    <w:autoRedefine/>
    <w:uiPriority w:val="39"/>
    <w:unhideWhenUsed/>
    <w:rsid w:val="00083D7A"/>
    <w:pPr>
      <w:tabs>
        <w:tab w:val="right" w:leader="dot" w:pos="9016"/>
      </w:tabs>
      <w:spacing w:after="100"/>
    </w:pPr>
    <w:rPr>
      <w:b/>
      <w:noProof/>
    </w:rPr>
  </w:style>
  <w:style w:type="paragraph" w:styleId="TOC2">
    <w:name w:val="toc 2"/>
    <w:basedOn w:val="Normal"/>
    <w:next w:val="Normal"/>
    <w:autoRedefine/>
    <w:uiPriority w:val="39"/>
    <w:unhideWhenUsed/>
    <w:rsid w:val="00F35895"/>
    <w:pPr>
      <w:spacing w:after="100"/>
      <w:ind w:left="220"/>
    </w:pPr>
  </w:style>
  <w:style w:type="paragraph" w:styleId="TOC3">
    <w:name w:val="toc 3"/>
    <w:basedOn w:val="Normal"/>
    <w:next w:val="Normal"/>
    <w:autoRedefine/>
    <w:uiPriority w:val="39"/>
    <w:unhideWhenUsed/>
    <w:rsid w:val="00F35895"/>
    <w:pPr>
      <w:spacing w:after="100"/>
      <w:ind w:left="440"/>
    </w:pPr>
  </w:style>
  <w:style w:type="paragraph" w:styleId="NoSpacing">
    <w:name w:val="No Spacing"/>
    <w:uiPriority w:val="1"/>
    <w:qFormat/>
    <w:rsid w:val="006254E1"/>
    <w:pPr>
      <w:spacing w:after="0" w:line="240" w:lineRule="auto"/>
    </w:pPr>
    <w:rPr>
      <w:color w:val="44546A" w:themeColor="text2"/>
      <w:sz w:val="20"/>
      <w:szCs w:val="20"/>
      <w:lang w:val="en-US"/>
    </w:rPr>
  </w:style>
  <w:style w:type="paragraph" w:styleId="Title">
    <w:name w:val="Title"/>
    <w:basedOn w:val="Normal"/>
    <w:next w:val="Normal"/>
    <w:link w:val="TitleChar"/>
    <w:uiPriority w:val="10"/>
    <w:qFormat/>
    <w:rsid w:val="008E7B0C"/>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B0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8E7B0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7B0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7B0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7B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7B0C"/>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F71C15"/>
    <w:rPr>
      <w:i/>
      <w:iCs/>
    </w:rPr>
  </w:style>
  <w:style w:type="character" w:styleId="Strong">
    <w:name w:val="Strong"/>
    <w:basedOn w:val="DefaultParagraphFont"/>
    <w:uiPriority w:val="22"/>
    <w:qFormat/>
    <w:rsid w:val="00FA0273"/>
    <w:rPr>
      <w:b/>
      <w:bCs/>
    </w:rPr>
  </w:style>
  <w:style w:type="paragraph" w:styleId="EndnoteText">
    <w:name w:val="endnote text"/>
    <w:basedOn w:val="Normal"/>
    <w:link w:val="EndnoteTextChar"/>
    <w:uiPriority w:val="99"/>
    <w:semiHidden/>
    <w:unhideWhenUsed/>
    <w:rsid w:val="00AF62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2B2"/>
    <w:rPr>
      <w:sz w:val="20"/>
      <w:szCs w:val="20"/>
    </w:rPr>
  </w:style>
  <w:style w:type="character" w:styleId="EndnoteReference">
    <w:name w:val="endnote reference"/>
    <w:basedOn w:val="DefaultParagraphFont"/>
    <w:uiPriority w:val="99"/>
    <w:semiHidden/>
    <w:unhideWhenUsed/>
    <w:rsid w:val="00AF62B2"/>
    <w:rPr>
      <w:vertAlign w:val="superscript"/>
    </w:rPr>
  </w:style>
  <w:style w:type="paragraph" w:customStyle="1" w:styleId="Footnote">
    <w:name w:val="Footnote"/>
    <w:basedOn w:val="Normal"/>
    <w:link w:val="FootnoteChar"/>
    <w:qFormat/>
    <w:rsid w:val="00EF459B"/>
    <w:pPr>
      <w:spacing w:after="0"/>
    </w:pPr>
    <w:rPr>
      <w:rFonts w:eastAsia="Times New Roman" w:cstheme="minorHAnsi"/>
      <w:color w:val="000000"/>
      <w:sz w:val="16"/>
      <w:szCs w:val="16"/>
      <w:lang w:eastAsia="en-AU"/>
    </w:rPr>
  </w:style>
  <w:style w:type="character" w:customStyle="1" w:styleId="FootnoteChar">
    <w:name w:val="Footnote Char"/>
    <w:basedOn w:val="DefaultParagraphFont"/>
    <w:link w:val="Footnote"/>
    <w:rsid w:val="00EF459B"/>
    <w:rPr>
      <w:rFonts w:eastAsia="Times New Roman" w:cstheme="minorHAnsi"/>
      <w:color w:val="000000"/>
      <w:sz w:val="16"/>
      <w:szCs w:val="16"/>
      <w:lang w:eastAsia="en-AU"/>
    </w:rPr>
  </w:style>
  <w:style w:type="table" w:styleId="TableGrid">
    <w:name w:val="Table Grid"/>
    <w:basedOn w:val="TableNormal"/>
    <w:uiPriority w:val="39"/>
    <w:rsid w:val="007D0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AE6356"/>
    <w:pPr>
      <w:spacing w:line="241" w:lineRule="atLeast"/>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065">
      <w:bodyDiv w:val="1"/>
      <w:marLeft w:val="0"/>
      <w:marRight w:val="0"/>
      <w:marTop w:val="0"/>
      <w:marBottom w:val="0"/>
      <w:divBdr>
        <w:top w:val="none" w:sz="0" w:space="0" w:color="auto"/>
        <w:left w:val="none" w:sz="0" w:space="0" w:color="auto"/>
        <w:bottom w:val="none" w:sz="0" w:space="0" w:color="auto"/>
        <w:right w:val="none" w:sz="0" w:space="0" w:color="auto"/>
      </w:divBdr>
      <w:divsChild>
        <w:div w:id="1872693452">
          <w:marLeft w:val="0"/>
          <w:marRight w:val="0"/>
          <w:marTop w:val="0"/>
          <w:marBottom w:val="0"/>
          <w:divBdr>
            <w:top w:val="none" w:sz="0" w:space="0" w:color="auto"/>
            <w:left w:val="none" w:sz="0" w:space="0" w:color="auto"/>
            <w:bottom w:val="none" w:sz="0" w:space="0" w:color="auto"/>
            <w:right w:val="none" w:sz="0" w:space="0" w:color="auto"/>
          </w:divBdr>
          <w:divsChild>
            <w:div w:id="1101989845">
              <w:marLeft w:val="0"/>
              <w:marRight w:val="0"/>
              <w:marTop w:val="0"/>
              <w:marBottom w:val="0"/>
              <w:divBdr>
                <w:top w:val="none" w:sz="0" w:space="0" w:color="auto"/>
                <w:left w:val="none" w:sz="0" w:space="0" w:color="auto"/>
                <w:bottom w:val="none" w:sz="0" w:space="0" w:color="auto"/>
                <w:right w:val="none" w:sz="0" w:space="0" w:color="auto"/>
              </w:divBdr>
              <w:divsChild>
                <w:div w:id="42482367">
                  <w:marLeft w:val="0"/>
                  <w:marRight w:val="0"/>
                  <w:marTop w:val="0"/>
                  <w:marBottom w:val="0"/>
                  <w:divBdr>
                    <w:top w:val="none" w:sz="0" w:space="0" w:color="auto"/>
                    <w:left w:val="none" w:sz="0" w:space="0" w:color="auto"/>
                    <w:bottom w:val="none" w:sz="0" w:space="0" w:color="auto"/>
                    <w:right w:val="none" w:sz="0" w:space="0" w:color="auto"/>
                  </w:divBdr>
                  <w:divsChild>
                    <w:div w:id="453137497">
                      <w:marLeft w:val="645"/>
                      <w:marRight w:val="645"/>
                      <w:marTop w:val="900"/>
                      <w:marBottom w:val="0"/>
                      <w:divBdr>
                        <w:top w:val="none" w:sz="0" w:space="0" w:color="auto"/>
                        <w:left w:val="none" w:sz="0" w:space="0" w:color="auto"/>
                        <w:bottom w:val="none" w:sz="0" w:space="0" w:color="auto"/>
                        <w:right w:val="none" w:sz="0" w:space="0" w:color="auto"/>
                      </w:divBdr>
                      <w:divsChild>
                        <w:div w:id="1329601348">
                          <w:marLeft w:val="0"/>
                          <w:marRight w:val="0"/>
                          <w:marTop w:val="0"/>
                          <w:marBottom w:val="0"/>
                          <w:divBdr>
                            <w:top w:val="none" w:sz="0" w:space="0" w:color="auto"/>
                            <w:left w:val="none" w:sz="0" w:space="0" w:color="auto"/>
                            <w:bottom w:val="none" w:sz="0" w:space="0" w:color="auto"/>
                            <w:right w:val="none" w:sz="0" w:space="0" w:color="auto"/>
                          </w:divBdr>
                          <w:divsChild>
                            <w:div w:id="136577423">
                              <w:marLeft w:val="0"/>
                              <w:marRight w:val="0"/>
                              <w:marTop w:val="0"/>
                              <w:marBottom w:val="0"/>
                              <w:divBdr>
                                <w:top w:val="none" w:sz="0" w:space="0" w:color="auto"/>
                                <w:left w:val="none" w:sz="0" w:space="0" w:color="auto"/>
                                <w:bottom w:val="none" w:sz="0" w:space="0" w:color="auto"/>
                                <w:right w:val="none" w:sz="0" w:space="0" w:color="auto"/>
                              </w:divBdr>
                              <w:divsChild>
                                <w:div w:id="6832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4758">
      <w:bodyDiv w:val="1"/>
      <w:marLeft w:val="0"/>
      <w:marRight w:val="0"/>
      <w:marTop w:val="0"/>
      <w:marBottom w:val="0"/>
      <w:divBdr>
        <w:top w:val="none" w:sz="0" w:space="0" w:color="auto"/>
        <w:left w:val="none" w:sz="0" w:space="0" w:color="auto"/>
        <w:bottom w:val="none" w:sz="0" w:space="0" w:color="auto"/>
        <w:right w:val="none" w:sz="0" w:space="0" w:color="auto"/>
      </w:divBdr>
    </w:div>
    <w:div w:id="287472566">
      <w:bodyDiv w:val="1"/>
      <w:marLeft w:val="0"/>
      <w:marRight w:val="0"/>
      <w:marTop w:val="0"/>
      <w:marBottom w:val="0"/>
      <w:divBdr>
        <w:top w:val="none" w:sz="0" w:space="0" w:color="auto"/>
        <w:left w:val="none" w:sz="0" w:space="0" w:color="auto"/>
        <w:bottom w:val="none" w:sz="0" w:space="0" w:color="auto"/>
        <w:right w:val="none" w:sz="0" w:space="0" w:color="auto"/>
      </w:divBdr>
    </w:div>
    <w:div w:id="373234771">
      <w:bodyDiv w:val="1"/>
      <w:marLeft w:val="0"/>
      <w:marRight w:val="0"/>
      <w:marTop w:val="0"/>
      <w:marBottom w:val="0"/>
      <w:divBdr>
        <w:top w:val="none" w:sz="0" w:space="0" w:color="auto"/>
        <w:left w:val="none" w:sz="0" w:space="0" w:color="auto"/>
        <w:bottom w:val="none" w:sz="0" w:space="0" w:color="auto"/>
        <w:right w:val="none" w:sz="0" w:space="0" w:color="auto"/>
      </w:divBdr>
    </w:div>
    <w:div w:id="388578232">
      <w:bodyDiv w:val="1"/>
      <w:marLeft w:val="0"/>
      <w:marRight w:val="0"/>
      <w:marTop w:val="0"/>
      <w:marBottom w:val="0"/>
      <w:divBdr>
        <w:top w:val="none" w:sz="0" w:space="0" w:color="auto"/>
        <w:left w:val="none" w:sz="0" w:space="0" w:color="auto"/>
        <w:bottom w:val="none" w:sz="0" w:space="0" w:color="auto"/>
        <w:right w:val="none" w:sz="0" w:space="0" w:color="auto"/>
      </w:divBdr>
    </w:div>
    <w:div w:id="469784723">
      <w:bodyDiv w:val="1"/>
      <w:marLeft w:val="0"/>
      <w:marRight w:val="0"/>
      <w:marTop w:val="0"/>
      <w:marBottom w:val="0"/>
      <w:divBdr>
        <w:top w:val="none" w:sz="0" w:space="0" w:color="auto"/>
        <w:left w:val="none" w:sz="0" w:space="0" w:color="auto"/>
        <w:bottom w:val="none" w:sz="0" w:space="0" w:color="auto"/>
        <w:right w:val="none" w:sz="0" w:space="0" w:color="auto"/>
      </w:divBdr>
    </w:div>
    <w:div w:id="531310649">
      <w:bodyDiv w:val="1"/>
      <w:marLeft w:val="0"/>
      <w:marRight w:val="0"/>
      <w:marTop w:val="0"/>
      <w:marBottom w:val="0"/>
      <w:divBdr>
        <w:top w:val="none" w:sz="0" w:space="0" w:color="auto"/>
        <w:left w:val="none" w:sz="0" w:space="0" w:color="auto"/>
        <w:bottom w:val="none" w:sz="0" w:space="0" w:color="auto"/>
        <w:right w:val="none" w:sz="0" w:space="0" w:color="auto"/>
      </w:divBdr>
    </w:div>
    <w:div w:id="552161037">
      <w:bodyDiv w:val="1"/>
      <w:marLeft w:val="0"/>
      <w:marRight w:val="0"/>
      <w:marTop w:val="0"/>
      <w:marBottom w:val="0"/>
      <w:divBdr>
        <w:top w:val="none" w:sz="0" w:space="0" w:color="auto"/>
        <w:left w:val="none" w:sz="0" w:space="0" w:color="auto"/>
        <w:bottom w:val="none" w:sz="0" w:space="0" w:color="auto"/>
        <w:right w:val="none" w:sz="0" w:space="0" w:color="auto"/>
      </w:divBdr>
      <w:divsChild>
        <w:div w:id="868839946">
          <w:marLeft w:val="0"/>
          <w:marRight w:val="0"/>
          <w:marTop w:val="0"/>
          <w:marBottom w:val="0"/>
          <w:divBdr>
            <w:top w:val="none" w:sz="0" w:space="0" w:color="auto"/>
            <w:left w:val="none" w:sz="0" w:space="0" w:color="auto"/>
            <w:bottom w:val="none" w:sz="0" w:space="0" w:color="auto"/>
            <w:right w:val="none" w:sz="0" w:space="0" w:color="auto"/>
          </w:divBdr>
          <w:divsChild>
            <w:div w:id="101196186">
              <w:marLeft w:val="0"/>
              <w:marRight w:val="0"/>
              <w:marTop w:val="0"/>
              <w:marBottom w:val="0"/>
              <w:divBdr>
                <w:top w:val="none" w:sz="0" w:space="0" w:color="auto"/>
                <w:left w:val="none" w:sz="0" w:space="0" w:color="auto"/>
                <w:bottom w:val="none" w:sz="0" w:space="0" w:color="auto"/>
                <w:right w:val="none" w:sz="0" w:space="0" w:color="auto"/>
              </w:divBdr>
              <w:divsChild>
                <w:div w:id="13254001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563414102">
      <w:bodyDiv w:val="1"/>
      <w:marLeft w:val="0"/>
      <w:marRight w:val="0"/>
      <w:marTop w:val="0"/>
      <w:marBottom w:val="0"/>
      <w:divBdr>
        <w:top w:val="none" w:sz="0" w:space="0" w:color="auto"/>
        <w:left w:val="none" w:sz="0" w:space="0" w:color="auto"/>
        <w:bottom w:val="none" w:sz="0" w:space="0" w:color="auto"/>
        <w:right w:val="none" w:sz="0" w:space="0" w:color="auto"/>
      </w:divBdr>
    </w:div>
    <w:div w:id="641034931">
      <w:bodyDiv w:val="1"/>
      <w:marLeft w:val="0"/>
      <w:marRight w:val="0"/>
      <w:marTop w:val="0"/>
      <w:marBottom w:val="0"/>
      <w:divBdr>
        <w:top w:val="none" w:sz="0" w:space="0" w:color="auto"/>
        <w:left w:val="none" w:sz="0" w:space="0" w:color="auto"/>
        <w:bottom w:val="none" w:sz="0" w:space="0" w:color="auto"/>
        <w:right w:val="none" w:sz="0" w:space="0" w:color="auto"/>
      </w:divBdr>
    </w:div>
    <w:div w:id="666834097">
      <w:bodyDiv w:val="1"/>
      <w:marLeft w:val="0"/>
      <w:marRight w:val="0"/>
      <w:marTop w:val="0"/>
      <w:marBottom w:val="0"/>
      <w:divBdr>
        <w:top w:val="none" w:sz="0" w:space="0" w:color="auto"/>
        <w:left w:val="none" w:sz="0" w:space="0" w:color="auto"/>
        <w:bottom w:val="none" w:sz="0" w:space="0" w:color="auto"/>
        <w:right w:val="none" w:sz="0" w:space="0" w:color="auto"/>
      </w:divBdr>
      <w:divsChild>
        <w:div w:id="114638390">
          <w:marLeft w:val="0"/>
          <w:marRight w:val="0"/>
          <w:marTop w:val="0"/>
          <w:marBottom w:val="0"/>
          <w:divBdr>
            <w:top w:val="none" w:sz="0" w:space="0" w:color="auto"/>
            <w:left w:val="none" w:sz="0" w:space="0" w:color="auto"/>
            <w:bottom w:val="none" w:sz="0" w:space="0" w:color="auto"/>
            <w:right w:val="none" w:sz="0" w:space="0" w:color="auto"/>
          </w:divBdr>
          <w:divsChild>
            <w:div w:id="323557204">
              <w:marLeft w:val="0"/>
              <w:marRight w:val="0"/>
              <w:marTop w:val="0"/>
              <w:marBottom w:val="0"/>
              <w:divBdr>
                <w:top w:val="none" w:sz="0" w:space="0" w:color="auto"/>
                <w:left w:val="none" w:sz="0" w:space="0" w:color="auto"/>
                <w:bottom w:val="none" w:sz="0" w:space="0" w:color="auto"/>
                <w:right w:val="none" w:sz="0" w:space="0" w:color="auto"/>
              </w:divBdr>
              <w:divsChild>
                <w:div w:id="29106193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679626274">
      <w:bodyDiv w:val="1"/>
      <w:marLeft w:val="0"/>
      <w:marRight w:val="0"/>
      <w:marTop w:val="0"/>
      <w:marBottom w:val="0"/>
      <w:divBdr>
        <w:top w:val="none" w:sz="0" w:space="0" w:color="auto"/>
        <w:left w:val="none" w:sz="0" w:space="0" w:color="auto"/>
        <w:bottom w:val="none" w:sz="0" w:space="0" w:color="auto"/>
        <w:right w:val="none" w:sz="0" w:space="0" w:color="auto"/>
      </w:divBdr>
    </w:div>
    <w:div w:id="682361924">
      <w:bodyDiv w:val="1"/>
      <w:marLeft w:val="0"/>
      <w:marRight w:val="0"/>
      <w:marTop w:val="0"/>
      <w:marBottom w:val="0"/>
      <w:divBdr>
        <w:top w:val="none" w:sz="0" w:space="0" w:color="auto"/>
        <w:left w:val="none" w:sz="0" w:space="0" w:color="auto"/>
        <w:bottom w:val="none" w:sz="0" w:space="0" w:color="auto"/>
        <w:right w:val="none" w:sz="0" w:space="0" w:color="auto"/>
      </w:divBdr>
    </w:div>
    <w:div w:id="696660615">
      <w:bodyDiv w:val="1"/>
      <w:marLeft w:val="0"/>
      <w:marRight w:val="0"/>
      <w:marTop w:val="0"/>
      <w:marBottom w:val="0"/>
      <w:divBdr>
        <w:top w:val="none" w:sz="0" w:space="0" w:color="auto"/>
        <w:left w:val="none" w:sz="0" w:space="0" w:color="auto"/>
        <w:bottom w:val="none" w:sz="0" w:space="0" w:color="auto"/>
        <w:right w:val="none" w:sz="0" w:space="0" w:color="auto"/>
      </w:divBdr>
    </w:div>
    <w:div w:id="778376969">
      <w:bodyDiv w:val="1"/>
      <w:marLeft w:val="0"/>
      <w:marRight w:val="0"/>
      <w:marTop w:val="0"/>
      <w:marBottom w:val="0"/>
      <w:divBdr>
        <w:top w:val="none" w:sz="0" w:space="0" w:color="auto"/>
        <w:left w:val="none" w:sz="0" w:space="0" w:color="auto"/>
        <w:bottom w:val="none" w:sz="0" w:space="0" w:color="auto"/>
        <w:right w:val="none" w:sz="0" w:space="0" w:color="auto"/>
      </w:divBdr>
    </w:div>
    <w:div w:id="827475516">
      <w:bodyDiv w:val="1"/>
      <w:marLeft w:val="0"/>
      <w:marRight w:val="0"/>
      <w:marTop w:val="0"/>
      <w:marBottom w:val="0"/>
      <w:divBdr>
        <w:top w:val="none" w:sz="0" w:space="0" w:color="auto"/>
        <w:left w:val="none" w:sz="0" w:space="0" w:color="auto"/>
        <w:bottom w:val="none" w:sz="0" w:space="0" w:color="auto"/>
        <w:right w:val="none" w:sz="0" w:space="0" w:color="auto"/>
      </w:divBdr>
      <w:divsChild>
        <w:div w:id="1241913534">
          <w:marLeft w:val="0"/>
          <w:marRight w:val="0"/>
          <w:marTop w:val="0"/>
          <w:marBottom w:val="0"/>
          <w:divBdr>
            <w:top w:val="none" w:sz="0" w:space="0" w:color="auto"/>
            <w:left w:val="none" w:sz="0" w:space="0" w:color="auto"/>
            <w:bottom w:val="none" w:sz="0" w:space="0" w:color="auto"/>
            <w:right w:val="none" w:sz="0" w:space="0" w:color="auto"/>
          </w:divBdr>
          <w:divsChild>
            <w:div w:id="1581990121">
              <w:marLeft w:val="0"/>
              <w:marRight w:val="0"/>
              <w:marTop w:val="0"/>
              <w:marBottom w:val="0"/>
              <w:divBdr>
                <w:top w:val="none" w:sz="0" w:space="0" w:color="auto"/>
                <w:left w:val="none" w:sz="0" w:space="0" w:color="auto"/>
                <w:bottom w:val="none" w:sz="0" w:space="0" w:color="auto"/>
                <w:right w:val="none" w:sz="0" w:space="0" w:color="auto"/>
              </w:divBdr>
              <w:divsChild>
                <w:div w:id="1346515657">
                  <w:marLeft w:val="0"/>
                  <w:marRight w:val="0"/>
                  <w:marTop w:val="0"/>
                  <w:marBottom w:val="0"/>
                  <w:divBdr>
                    <w:top w:val="none" w:sz="0" w:space="0" w:color="auto"/>
                    <w:left w:val="none" w:sz="0" w:space="0" w:color="auto"/>
                    <w:bottom w:val="none" w:sz="0" w:space="0" w:color="auto"/>
                    <w:right w:val="none" w:sz="0" w:space="0" w:color="auto"/>
                  </w:divBdr>
                  <w:divsChild>
                    <w:div w:id="307976270">
                      <w:marLeft w:val="0"/>
                      <w:marRight w:val="0"/>
                      <w:marTop w:val="0"/>
                      <w:marBottom w:val="0"/>
                      <w:divBdr>
                        <w:top w:val="none" w:sz="0" w:space="0" w:color="auto"/>
                        <w:left w:val="none" w:sz="0" w:space="0" w:color="auto"/>
                        <w:bottom w:val="none" w:sz="0" w:space="0" w:color="auto"/>
                        <w:right w:val="none" w:sz="0" w:space="0" w:color="auto"/>
                      </w:divBdr>
                      <w:divsChild>
                        <w:div w:id="896670369">
                          <w:marLeft w:val="0"/>
                          <w:marRight w:val="0"/>
                          <w:marTop w:val="0"/>
                          <w:marBottom w:val="0"/>
                          <w:divBdr>
                            <w:top w:val="none" w:sz="0" w:space="0" w:color="auto"/>
                            <w:left w:val="none" w:sz="0" w:space="0" w:color="auto"/>
                            <w:bottom w:val="none" w:sz="0" w:space="0" w:color="auto"/>
                            <w:right w:val="none" w:sz="0" w:space="0" w:color="auto"/>
                          </w:divBdr>
                          <w:divsChild>
                            <w:div w:id="1407070610">
                              <w:marLeft w:val="0"/>
                              <w:marRight w:val="0"/>
                              <w:marTop w:val="0"/>
                              <w:marBottom w:val="100"/>
                              <w:divBdr>
                                <w:top w:val="none" w:sz="0" w:space="0" w:color="auto"/>
                                <w:left w:val="none" w:sz="0" w:space="0" w:color="auto"/>
                                <w:bottom w:val="none" w:sz="0" w:space="0" w:color="auto"/>
                                <w:right w:val="none" w:sz="0" w:space="0" w:color="auto"/>
                              </w:divBdr>
                              <w:divsChild>
                                <w:div w:id="554194418">
                                  <w:marLeft w:val="0"/>
                                  <w:marRight w:val="0"/>
                                  <w:marTop w:val="0"/>
                                  <w:marBottom w:val="0"/>
                                  <w:divBdr>
                                    <w:top w:val="none" w:sz="0" w:space="0" w:color="auto"/>
                                    <w:left w:val="none" w:sz="0" w:space="0" w:color="auto"/>
                                    <w:bottom w:val="none" w:sz="0" w:space="0" w:color="auto"/>
                                    <w:right w:val="none" w:sz="0" w:space="0" w:color="auto"/>
                                  </w:divBdr>
                                  <w:divsChild>
                                    <w:div w:id="2073841750">
                                      <w:marLeft w:val="0"/>
                                      <w:marRight w:val="0"/>
                                      <w:marTop w:val="0"/>
                                      <w:marBottom w:val="0"/>
                                      <w:divBdr>
                                        <w:top w:val="none" w:sz="0" w:space="0" w:color="auto"/>
                                        <w:left w:val="none" w:sz="0" w:space="0" w:color="auto"/>
                                        <w:bottom w:val="none" w:sz="0" w:space="0" w:color="auto"/>
                                        <w:right w:val="none" w:sz="0" w:space="0" w:color="auto"/>
                                      </w:divBdr>
                                      <w:divsChild>
                                        <w:div w:id="938297999">
                                          <w:marLeft w:val="0"/>
                                          <w:marRight w:val="0"/>
                                          <w:marTop w:val="0"/>
                                          <w:marBottom w:val="0"/>
                                          <w:divBdr>
                                            <w:top w:val="none" w:sz="0" w:space="0" w:color="auto"/>
                                            <w:left w:val="none" w:sz="0" w:space="0" w:color="auto"/>
                                            <w:bottom w:val="none" w:sz="0" w:space="0" w:color="auto"/>
                                            <w:right w:val="none" w:sz="0" w:space="0" w:color="auto"/>
                                          </w:divBdr>
                                          <w:divsChild>
                                            <w:div w:id="281229958">
                                              <w:marLeft w:val="0"/>
                                              <w:marRight w:val="0"/>
                                              <w:marTop w:val="0"/>
                                              <w:marBottom w:val="0"/>
                                              <w:divBdr>
                                                <w:top w:val="none" w:sz="0" w:space="0" w:color="auto"/>
                                                <w:left w:val="none" w:sz="0" w:space="0" w:color="auto"/>
                                                <w:bottom w:val="none" w:sz="0" w:space="0" w:color="auto"/>
                                                <w:right w:val="none" w:sz="0" w:space="0" w:color="auto"/>
                                              </w:divBdr>
                                              <w:divsChild>
                                                <w:div w:id="1328555057">
                                                  <w:marLeft w:val="0"/>
                                                  <w:marRight w:val="0"/>
                                                  <w:marTop w:val="0"/>
                                                  <w:marBottom w:val="0"/>
                                                  <w:divBdr>
                                                    <w:top w:val="none" w:sz="0" w:space="0" w:color="auto"/>
                                                    <w:left w:val="none" w:sz="0" w:space="0" w:color="auto"/>
                                                    <w:bottom w:val="none" w:sz="0" w:space="0" w:color="auto"/>
                                                    <w:right w:val="none" w:sz="0" w:space="0" w:color="auto"/>
                                                  </w:divBdr>
                                                  <w:divsChild>
                                                    <w:div w:id="578171529">
                                                      <w:marLeft w:val="0"/>
                                                      <w:marRight w:val="0"/>
                                                      <w:marTop w:val="0"/>
                                                      <w:marBottom w:val="0"/>
                                                      <w:divBdr>
                                                        <w:top w:val="none" w:sz="0" w:space="0" w:color="auto"/>
                                                        <w:left w:val="none" w:sz="0" w:space="0" w:color="auto"/>
                                                        <w:bottom w:val="none" w:sz="0" w:space="0" w:color="auto"/>
                                                        <w:right w:val="none" w:sz="0" w:space="0" w:color="auto"/>
                                                      </w:divBdr>
                                                      <w:divsChild>
                                                        <w:div w:id="1969697022">
                                                          <w:marLeft w:val="0"/>
                                                          <w:marRight w:val="0"/>
                                                          <w:marTop w:val="0"/>
                                                          <w:marBottom w:val="300"/>
                                                          <w:divBdr>
                                                            <w:top w:val="single" w:sz="6" w:space="18" w:color="C0C0C0"/>
                                                            <w:left w:val="single" w:sz="6" w:space="14" w:color="C0C0C0"/>
                                                            <w:bottom w:val="single" w:sz="6" w:space="8" w:color="C0C0C0"/>
                                                            <w:right w:val="single" w:sz="6" w:space="14" w:color="C0C0C0"/>
                                                          </w:divBdr>
                                                        </w:div>
                                                      </w:divsChild>
                                                    </w:div>
                                                  </w:divsChild>
                                                </w:div>
                                              </w:divsChild>
                                            </w:div>
                                          </w:divsChild>
                                        </w:div>
                                      </w:divsChild>
                                    </w:div>
                                  </w:divsChild>
                                </w:div>
                              </w:divsChild>
                            </w:div>
                          </w:divsChild>
                        </w:div>
                      </w:divsChild>
                    </w:div>
                  </w:divsChild>
                </w:div>
              </w:divsChild>
            </w:div>
          </w:divsChild>
        </w:div>
      </w:divsChild>
    </w:div>
    <w:div w:id="838815530">
      <w:bodyDiv w:val="1"/>
      <w:marLeft w:val="0"/>
      <w:marRight w:val="0"/>
      <w:marTop w:val="0"/>
      <w:marBottom w:val="0"/>
      <w:divBdr>
        <w:top w:val="none" w:sz="0" w:space="0" w:color="auto"/>
        <w:left w:val="none" w:sz="0" w:space="0" w:color="auto"/>
        <w:bottom w:val="none" w:sz="0" w:space="0" w:color="auto"/>
        <w:right w:val="none" w:sz="0" w:space="0" w:color="auto"/>
      </w:divBdr>
    </w:div>
    <w:div w:id="974138966">
      <w:bodyDiv w:val="1"/>
      <w:marLeft w:val="0"/>
      <w:marRight w:val="0"/>
      <w:marTop w:val="0"/>
      <w:marBottom w:val="0"/>
      <w:divBdr>
        <w:top w:val="none" w:sz="0" w:space="0" w:color="auto"/>
        <w:left w:val="none" w:sz="0" w:space="0" w:color="auto"/>
        <w:bottom w:val="none" w:sz="0" w:space="0" w:color="auto"/>
        <w:right w:val="none" w:sz="0" w:space="0" w:color="auto"/>
      </w:divBdr>
    </w:div>
    <w:div w:id="1014845110">
      <w:bodyDiv w:val="1"/>
      <w:marLeft w:val="0"/>
      <w:marRight w:val="0"/>
      <w:marTop w:val="0"/>
      <w:marBottom w:val="0"/>
      <w:divBdr>
        <w:top w:val="none" w:sz="0" w:space="0" w:color="auto"/>
        <w:left w:val="none" w:sz="0" w:space="0" w:color="auto"/>
        <w:bottom w:val="none" w:sz="0" w:space="0" w:color="auto"/>
        <w:right w:val="none" w:sz="0" w:space="0" w:color="auto"/>
      </w:divBdr>
    </w:div>
    <w:div w:id="1170412082">
      <w:bodyDiv w:val="1"/>
      <w:marLeft w:val="0"/>
      <w:marRight w:val="0"/>
      <w:marTop w:val="0"/>
      <w:marBottom w:val="0"/>
      <w:divBdr>
        <w:top w:val="none" w:sz="0" w:space="0" w:color="auto"/>
        <w:left w:val="none" w:sz="0" w:space="0" w:color="auto"/>
        <w:bottom w:val="none" w:sz="0" w:space="0" w:color="auto"/>
        <w:right w:val="none" w:sz="0" w:space="0" w:color="auto"/>
      </w:divBdr>
    </w:div>
    <w:div w:id="1269435674">
      <w:bodyDiv w:val="1"/>
      <w:marLeft w:val="0"/>
      <w:marRight w:val="0"/>
      <w:marTop w:val="0"/>
      <w:marBottom w:val="0"/>
      <w:divBdr>
        <w:top w:val="none" w:sz="0" w:space="0" w:color="auto"/>
        <w:left w:val="none" w:sz="0" w:space="0" w:color="auto"/>
        <w:bottom w:val="none" w:sz="0" w:space="0" w:color="auto"/>
        <w:right w:val="none" w:sz="0" w:space="0" w:color="auto"/>
      </w:divBdr>
    </w:div>
    <w:div w:id="1323048916">
      <w:bodyDiv w:val="1"/>
      <w:marLeft w:val="0"/>
      <w:marRight w:val="0"/>
      <w:marTop w:val="0"/>
      <w:marBottom w:val="0"/>
      <w:divBdr>
        <w:top w:val="none" w:sz="0" w:space="0" w:color="auto"/>
        <w:left w:val="none" w:sz="0" w:space="0" w:color="auto"/>
        <w:bottom w:val="none" w:sz="0" w:space="0" w:color="auto"/>
        <w:right w:val="none" w:sz="0" w:space="0" w:color="auto"/>
      </w:divBdr>
    </w:div>
    <w:div w:id="1384131989">
      <w:bodyDiv w:val="1"/>
      <w:marLeft w:val="0"/>
      <w:marRight w:val="0"/>
      <w:marTop w:val="0"/>
      <w:marBottom w:val="0"/>
      <w:divBdr>
        <w:top w:val="none" w:sz="0" w:space="0" w:color="auto"/>
        <w:left w:val="none" w:sz="0" w:space="0" w:color="auto"/>
        <w:bottom w:val="none" w:sz="0" w:space="0" w:color="auto"/>
        <w:right w:val="none" w:sz="0" w:space="0" w:color="auto"/>
      </w:divBdr>
    </w:div>
    <w:div w:id="1421489769">
      <w:bodyDiv w:val="1"/>
      <w:marLeft w:val="0"/>
      <w:marRight w:val="0"/>
      <w:marTop w:val="0"/>
      <w:marBottom w:val="0"/>
      <w:divBdr>
        <w:top w:val="none" w:sz="0" w:space="0" w:color="auto"/>
        <w:left w:val="none" w:sz="0" w:space="0" w:color="auto"/>
        <w:bottom w:val="none" w:sz="0" w:space="0" w:color="auto"/>
        <w:right w:val="none" w:sz="0" w:space="0" w:color="auto"/>
      </w:divBdr>
    </w:div>
    <w:div w:id="1450464648">
      <w:bodyDiv w:val="1"/>
      <w:marLeft w:val="0"/>
      <w:marRight w:val="0"/>
      <w:marTop w:val="0"/>
      <w:marBottom w:val="0"/>
      <w:divBdr>
        <w:top w:val="none" w:sz="0" w:space="0" w:color="auto"/>
        <w:left w:val="none" w:sz="0" w:space="0" w:color="auto"/>
        <w:bottom w:val="none" w:sz="0" w:space="0" w:color="auto"/>
        <w:right w:val="none" w:sz="0" w:space="0" w:color="auto"/>
      </w:divBdr>
    </w:div>
    <w:div w:id="1589537053">
      <w:bodyDiv w:val="1"/>
      <w:marLeft w:val="0"/>
      <w:marRight w:val="0"/>
      <w:marTop w:val="0"/>
      <w:marBottom w:val="0"/>
      <w:divBdr>
        <w:top w:val="none" w:sz="0" w:space="0" w:color="auto"/>
        <w:left w:val="none" w:sz="0" w:space="0" w:color="auto"/>
        <w:bottom w:val="none" w:sz="0" w:space="0" w:color="auto"/>
        <w:right w:val="none" w:sz="0" w:space="0" w:color="auto"/>
      </w:divBdr>
    </w:div>
    <w:div w:id="1651867144">
      <w:bodyDiv w:val="1"/>
      <w:marLeft w:val="0"/>
      <w:marRight w:val="0"/>
      <w:marTop w:val="0"/>
      <w:marBottom w:val="0"/>
      <w:divBdr>
        <w:top w:val="none" w:sz="0" w:space="0" w:color="auto"/>
        <w:left w:val="none" w:sz="0" w:space="0" w:color="auto"/>
        <w:bottom w:val="none" w:sz="0" w:space="0" w:color="auto"/>
        <w:right w:val="none" w:sz="0" w:space="0" w:color="auto"/>
      </w:divBdr>
    </w:div>
    <w:div w:id="1757945031">
      <w:bodyDiv w:val="1"/>
      <w:marLeft w:val="0"/>
      <w:marRight w:val="0"/>
      <w:marTop w:val="0"/>
      <w:marBottom w:val="0"/>
      <w:divBdr>
        <w:top w:val="none" w:sz="0" w:space="0" w:color="auto"/>
        <w:left w:val="none" w:sz="0" w:space="0" w:color="auto"/>
        <w:bottom w:val="none" w:sz="0" w:space="0" w:color="auto"/>
        <w:right w:val="none" w:sz="0" w:space="0" w:color="auto"/>
      </w:divBdr>
    </w:div>
    <w:div w:id="1850674431">
      <w:bodyDiv w:val="1"/>
      <w:marLeft w:val="0"/>
      <w:marRight w:val="0"/>
      <w:marTop w:val="0"/>
      <w:marBottom w:val="0"/>
      <w:divBdr>
        <w:top w:val="none" w:sz="0" w:space="0" w:color="auto"/>
        <w:left w:val="none" w:sz="0" w:space="0" w:color="auto"/>
        <w:bottom w:val="none" w:sz="0" w:space="0" w:color="auto"/>
        <w:right w:val="none" w:sz="0" w:space="0" w:color="auto"/>
      </w:divBdr>
    </w:div>
    <w:div w:id="1909653688">
      <w:bodyDiv w:val="1"/>
      <w:marLeft w:val="0"/>
      <w:marRight w:val="0"/>
      <w:marTop w:val="0"/>
      <w:marBottom w:val="0"/>
      <w:divBdr>
        <w:top w:val="none" w:sz="0" w:space="0" w:color="auto"/>
        <w:left w:val="none" w:sz="0" w:space="0" w:color="auto"/>
        <w:bottom w:val="none" w:sz="0" w:space="0" w:color="auto"/>
        <w:right w:val="none" w:sz="0" w:space="0" w:color="auto"/>
      </w:divBdr>
      <w:divsChild>
        <w:div w:id="1996370640">
          <w:marLeft w:val="0"/>
          <w:marRight w:val="0"/>
          <w:marTop w:val="0"/>
          <w:marBottom w:val="0"/>
          <w:divBdr>
            <w:top w:val="none" w:sz="0" w:space="0" w:color="auto"/>
            <w:left w:val="none" w:sz="0" w:space="0" w:color="auto"/>
            <w:bottom w:val="none" w:sz="0" w:space="0" w:color="auto"/>
            <w:right w:val="none" w:sz="0" w:space="0" w:color="auto"/>
          </w:divBdr>
          <w:divsChild>
            <w:div w:id="59642677">
              <w:marLeft w:val="0"/>
              <w:marRight w:val="0"/>
              <w:marTop w:val="0"/>
              <w:marBottom w:val="0"/>
              <w:divBdr>
                <w:top w:val="none" w:sz="0" w:space="0" w:color="auto"/>
                <w:left w:val="none" w:sz="0" w:space="0" w:color="auto"/>
                <w:bottom w:val="none" w:sz="0" w:space="0" w:color="auto"/>
                <w:right w:val="none" w:sz="0" w:space="0" w:color="auto"/>
              </w:divBdr>
              <w:divsChild>
                <w:div w:id="1616791480">
                  <w:marLeft w:val="0"/>
                  <w:marRight w:val="0"/>
                  <w:marTop w:val="0"/>
                  <w:marBottom w:val="0"/>
                  <w:divBdr>
                    <w:top w:val="none" w:sz="0" w:space="0" w:color="auto"/>
                    <w:left w:val="none" w:sz="0" w:space="0" w:color="auto"/>
                    <w:bottom w:val="none" w:sz="0" w:space="0" w:color="auto"/>
                    <w:right w:val="none" w:sz="0" w:space="0" w:color="auto"/>
                  </w:divBdr>
                  <w:divsChild>
                    <w:div w:id="173615533">
                      <w:marLeft w:val="0"/>
                      <w:marRight w:val="0"/>
                      <w:marTop w:val="0"/>
                      <w:marBottom w:val="0"/>
                      <w:divBdr>
                        <w:top w:val="none" w:sz="0" w:space="0" w:color="auto"/>
                        <w:left w:val="none" w:sz="0" w:space="0" w:color="auto"/>
                        <w:bottom w:val="none" w:sz="0" w:space="0" w:color="auto"/>
                        <w:right w:val="none" w:sz="0" w:space="0" w:color="auto"/>
                      </w:divBdr>
                      <w:divsChild>
                        <w:div w:id="29647969">
                          <w:marLeft w:val="0"/>
                          <w:marRight w:val="0"/>
                          <w:marTop w:val="0"/>
                          <w:marBottom w:val="0"/>
                          <w:divBdr>
                            <w:top w:val="none" w:sz="0" w:space="0" w:color="auto"/>
                            <w:left w:val="none" w:sz="0" w:space="0" w:color="auto"/>
                            <w:bottom w:val="none" w:sz="0" w:space="0" w:color="auto"/>
                            <w:right w:val="none" w:sz="0" w:space="0" w:color="auto"/>
                          </w:divBdr>
                          <w:divsChild>
                            <w:div w:id="1960255710">
                              <w:marLeft w:val="0"/>
                              <w:marRight w:val="0"/>
                              <w:marTop w:val="0"/>
                              <w:marBottom w:val="100"/>
                              <w:divBdr>
                                <w:top w:val="none" w:sz="0" w:space="0" w:color="auto"/>
                                <w:left w:val="none" w:sz="0" w:space="0" w:color="auto"/>
                                <w:bottom w:val="none" w:sz="0" w:space="0" w:color="auto"/>
                                <w:right w:val="none" w:sz="0" w:space="0" w:color="auto"/>
                              </w:divBdr>
                              <w:divsChild>
                                <w:div w:id="217667860">
                                  <w:marLeft w:val="0"/>
                                  <w:marRight w:val="0"/>
                                  <w:marTop w:val="0"/>
                                  <w:marBottom w:val="0"/>
                                  <w:divBdr>
                                    <w:top w:val="none" w:sz="0" w:space="0" w:color="auto"/>
                                    <w:left w:val="none" w:sz="0" w:space="0" w:color="auto"/>
                                    <w:bottom w:val="none" w:sz="0" w:space="0" w:color="auto"/>
                                    <w:right w:val="none" w:sz="0" w:space="0" w:color="auto"/>
                                  </w:divBdr>
                                  <w:divsChild>
                                    <w:div w:id="744031700">
                                      <w:marLeft w:val="0"/>
                                      <w:marRight w:val="0"/>
                                      <w:marTop w:val="0"/>
                                      <w:marBottom w:val="0"/>
                                      <w:divBdr>
                                        <w:top w:val="none" w:sz="0" w:space="0" w:color="auto"/>
                                        <w:left w:val="none" w:sz="0" w:space="0" w:color="auto"/>
                                        <w:bottom w:val="none" w:sz="0" w:space="0" w:color="auto"/>
                                        <w:right w:val="none" w:sz="0" w:space="0" w:color="auto"/>
                                      </w:divBdr>
                                      <w:divsChild>
                                        <w:div w:id="1318651999">
                                          <w:marLeft w:val="0"/>
                                          <w:marRight w:val="0"/>
                                          <w:marTop w:val="0"/>
                                          <w:marBottom w:val="0"/>
                                          <w:divBdr>
                                            <w:top w:val="none" w:sz="0" w:space="0" w:color="auto"/>
                                            <w:left w:val="none" w:sz="0" w:space="0" w:color="auto"/>
                                            <w:bottom w:val="none" w:sz="0" w:space="0" w:color="auto"/>
                                            <w:right w:val="none" w:sz="0" w:space="0" w:color="auto"/>
                                          </w:divBdr>
                                          <w:divsChild>
                                            <w:div w:id="1025638529">
                                              <w:marLeft w:val="0"/>
                                              <w:marRight w:val="0"/>
                                              <w:marTop w:val="0"/>
                                              <w:marBottom w:val="0"/>
                                              <w:divBdr>
                                                <w:top w:val="none" w:sz="0" w:space="0" w:color="auto"/>
                                                <w:left w:val="none" w:sz="0" w:space="0" w:color="auto"/>
                                                <w:bottom w:val="none" w:sz="0" w:space="0" w:color="auto"/>
                                                <w:right w:val="none" w:sz="0" w:space="0" w:color="auto"/>
                                              </w:divBdr>
                                              <w:divsChild>
                                                <w:div w:id="109863647">
                                                  <w:marLeft w:val="0"/>
                                                  <w:marRight w:val="0"/>
                                                  <w:marTop w:val="0"/>
                                                  <w:marBottom w:val="0"/>
                                                  <w:divBdr>
                                                    <w:top w:val="none" w:sz="0" w:space="0" w:color="auto"/>
                                                    <w:left w:val="none" w:sz="0" w:space="0" w:color="auto"/>
                                                    <w:bottom w:val="none" w:sz="0" w:space="0" w:color="auto"/>
                                                    <w:right w:val="none" w:sz="0" w:space="0" w:color="auto"/>
                                                  </w:divBdr>
                                                  <w:divsChild>
                                                    <w:div w:id="709769187">
                                                      <w:marLeft w:val="0"/>
                                                      <w:marRight w:val="0"/>
                                                      <w:marTop w:val="0"/>
                                                      <w:marBottom w:val="0"/>
                                                      <w:divBdr>
                                                        <w:top w:val="none" w:sz="0" w:space="0" w:color="auto"/>
                                                        <w:left w:val="none" w:sz="0" w:space="0" w:color="auto"/>
                                                        <w:bottom w:val="none" w:sz="0" w:space="0" w:color="auto"/>
                                                        <w:right w:val="none" w:sz="0" w:space="0" w:color="auto"/>
                                                      </w:divBdr>
                                                      <w:divsChild>
                                                        <w:div w:id="1410418711">
                                                          <w:marLeft w:val="0"/>
                                                          <w:marRight w:val="0"/>
                                                          <w:marTop w:val="0"/>
                                                          <w:marBottom w:val="300"/>
                                                          <w:divBdr>
                                                            <w:top w:val="single" w:sz="6" w:space="18" w:color="C0C0C0"/>
                                                            <w:left w:val="single" w:sz="6" w:space="14" w:color="C0C0C0"/>
                                                            <w:bottom w:val="single" w:sz="6" w:space="8" w:color="C0C0C0"/>
                                                            <w:right w:val="single" w:sz="6" w:space="14" w:color="C0C0C0"/>
                                                          </w:divBdr>
                                                        </w:div>
                                                      </w:divsChild>
                                                    </w:div>
                                                  </w:divsChild>
                                                </w:div>
                                              </w:divsChild>
                                            </w:div>
                                          </w:divsChild>
                                        </w:div>
                                      </w:divsChild>
                                    </w:div>
                                  </w:divsChild>
                                </w:div>
                              </w:divsChild>
                            </w:div>
                          </w:divsChild>
                        </w:div>
                      </w:divsChild>
                    </w:div>
                  </w:divsChild>
                </w:div>
              </w:divsChild>
            </w:div>
          </w:divsChild>
        </w:div>
      </w:divsChild>
    </w:div>
    <w:div w:id="1995987591">
      <w:bodyDiv w:val="1"/>
      <w:marLeft w:val="0"/>
      <w:marRight w:val="0"/>
      <w:marTop w:val="0"/>
      <w:marBottom w:val="0"/>
      <w:divBdr>
        <w:top w:val="none" w:sz="0" w:space="0" w:color="auto"/>
        <w:left w:val="none" w:sz="0" w:space="0" w:color="auto"/>
        <w:bottom w:val="none" w:sz="0" w:space="0" w:color="auto"/>
        <w:right w:val="none" w:sz="0" w:space="0" w:color="auto"/>
      </w:divBdr>
    </w:div>
    <w:div w:id="206891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5.png"/><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chart" Target="charts/chart10.xml"/><Relationship Id="rId30" Type="http://schemas.openxmlformats.org/officeDocument/2006/relationships/image" Target="media/image8.pn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antos.com/media-centre/announcements/santos-and-glng-partners-deliver-another-15pj-into-australian-domestic-gas-market/" TargetMode="External"/><Relationship Id="rId2" Type="http://schemas.openxmlformats.org/officeDocument/2006/relationships/hyperlink" Target="http://www.aplng.com.au/content/dam/aplng/media-release/2017/APLNG%20domestic%20gas%20sale%2041%20PJ%20-%20media%20release%20-%2020171026%20-%20FINAL.pdf" TargetMode="External"/><Relationship Id="rId1" Type="http://schemas.openxmlformats.org/officeDocument/2006/relationships/hyperlink" Target="https://www.accc.gov.au/system/files/Guide%20to%20the%20LNG%20netback%20price%20series%20-%20October%202018.pdf" TargetMode="External"/><Relationship Id="rId6" Type="http://schemas.openxmlformats.org/officeDocument/2006/relationships/hyperlink" Target="https://www.santos.com/what-we-do/activities/new-south-wales/gunnedah-basin/narrabri-gas-project/" TargetMode="External"/><Relationship Id="rId5" Type="http://schemas.openxmlformats.org/officeDocument/2006/relationships/hyperlink" Target="https://www.cooperenergy.com.au/Upload/2019.06.17-Sole-Pipeline-update.pdf" TargetMode="External"/><Relationship Id="rId4" Type="http://schemas.openxmlformats.org/officeDocument/2006/relationships/hyperlink" Target="http://centralpetroleum.com.au/wp-content/uploads/2018/03/20180225-ABC-Northern-Territorys-largest-onshore-gas-producer-to-increase-exploration.pd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https://dochub/div/resources/businessfunctions/offshoreresources/unconventionalgas/DGSM/docs/ADGSM%20Review%20Charts%20and%20Table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dochub/div/resources/businessfunctions/offshoreresources/unconventionalgas/DGSM/docs/ADGSM%20Review%20Charts%20and%20Tabl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prod.protected.ind\user\User04\bg3111\my%20Documents\ADGSM\ACCC%20Gas%20Inquiry\Netback%20Comparison.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prod.protected.ind\user\User04\bg3111\my%20Documents\ADGSM\ACCC%20Gas%20Inquiry\Netback%20Comparison.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https://dochub/div/resources/businessfunctions/offshoreresources/unconventionalgas/DGSM/docs/ADGSM%20Review%20Charts%20and%20Table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'1 2017 GSOO'!$A$36</c:f>
              <c:strCache>
                <c:ptCount val="1"/>
                <c:pt idx="0">
                  <c:v>Victorian Offshore production</c:v>
                </c:pt>
              </c:strCache>
            </c:strRef>
          </c:tx>
          <c:spPr>
            <a:solidFill>
              <a:srgbClr val="005CAF"/>
            </a:solidFill>
            <a:ln>
              <a:noFill/>
            </a:ln>
            <a:effectLst/>
          </c:spPr>
          <c:invertIfNegative val="0"/>
          <c:cat>
            <c:numRef>
              <c:f>'1 2017 GSOO'!$B$35:$I$35</c:f>
              <c:numCache>
                <c:formatCode>General</c:formatCode>
                <c:ptCount val="8"/>
                <c:pt idx="0">
                  <c:v>2017</c:v>
                </c:pt>
                <c:pt idx="1">
                  <c:v>2018</c:v>
                </c:pt>
                <c:pt idx="2">
                  <c:v>2019</c:v>
                </c:pt>
                <c:pt idx="3">
                  <c:v>2020</c:v>
                </c:pt>
                <c:pt idx="4">
                  <c:v>2021</c:v>
                </c:pt>
                <c:pt idx="5">
                  <c:v>2022</c:v>
                </c:pt>
                <c:pt idx="6">
                  <c:v>2023</c:v>
                </c:pt>
                <c:pt idx="7">
                  <c:v>2024</c:v>
                </c:pt>
              </c:numCache>
            </c:numRef>
          </c:cat>
          <c:val>
            <c:numRef>
              <c:f>'1 2017 GSOO'!$B$36:$I$36</c:f>
              <c:numCache>
                <c:formatCode>0</c:formatCode>
                <c:ptCount val="8"/>
                <c:pt idx="0">
                  <c:v>404.234999897759</c:v>
                </c:pt>
                <c:pt idx="1">
                  <c:v>293.28800002416006</c:v>
                </c:pt>
                <c:pt idx="2">
                  <c:v>281.31999993840031</c:v>
                </c:pt>
                <c:pt idx="3">
                  <c:v>297.65100000816017</c:v>
                </c:pt>
                <c:pt idx="4">
                  <c:v>249.2000000179199</c:v>
                </c:pt>
                <c:pt idx="5">
                  <c:v>294.06500006088083</c:v>
                </c:pt>
                <c:pt idx="6">
                  <c:v>294.06500006184081</c:v>
                </c:pt>
                <c:pt idx="7">
                  <c:v>294.1446301994398</c:v>
                </c:pt>
              </c:numCache>
            </c:numRef>
          </c:val>
        </c:ser>
        <c:ser>
          <c:idx val="1"/>
          <c:order val="1"/>
          <c:tx>
            <c:strRef>
              <c:f>'1 2017 GSOO'!$A$37</c:f>
              <c:strCache>
                <c:ptCount val="1"/>
                <c:pt idx="0">
                  <c:v>Queensland CSG</c:v>
                </c:pt>
              </c:strCache>
            </c:strRef>
          </c:tx>
          <c:spPr>
            <a:solidFill>
              <a:srgbClr val="56B4DF"/>
            </a:solidFill>
            <a:ln>
              <a:noFill/>
            </a:ln>
            <a:effectLst/>
          </c:spPr>
          <c:invertIfNegative val="0"/>
          <c:cat>
            <c:numRef>
              <c:f>'1 2017 GSOO'!$B$35:$I$35</c:f>
              <c:numCache>
                <c:formatCode>General</c:formatCode>
                <c:ptCount val="8"/>
                <c:pt idx="0">
                  <c:v>2017</c:v>
                </c:pt>
                <c:pt idx="1">
                  <c:v>2018</c:v>
                </c:pt>
                <c:pt idx="2">
                  <c:v>2019</c:v>
                </c:pt>
                <c:pt idx="3">
                  <c:v>2020</c:v>
                </c:pt>
                <c:pt idx="4">
                  <c:v>2021</c:v>
                </c:pt>
                <c:pt idx="5">
                  <c:v>2022</c:v>
                </c:pt>
                <c:pt idx="6">
                  <c:v>2023</c:v>
                </c:pt>
                <c:pt idx="7">
                  <c:v>2024</c:v>
                </c:pt>
              </c:numCache>
            </c:numRef>
          </c:cat>
          <c:val>
            <c:numRef>
              <c:f>'1 2017 GSOO'!$B$37:$I$37</c:f>
              <c:numCache>
                <c:formatCode>0</c:formatCode>
                <c:ptCount val="8"/>
                <c:pt idx="0">
                  <c:v>1401.0729126686401</c:v>
                </c:pt>
                <c:pt idx="1">
                  <c:v>1546.0850000572773</c:v>
                </c:pt>
                <c:pt idx="2">
                  <c:v>1546.0850000575199</c:v>
                </c:pt>
                <c:pt idx="3">
                  <c:v>1548.808000058156</c:v>
                </c:pt>
                <c:pt idx="4">
                  <c:v>1557.325000057677</c:v>
                </c:pt>
                <c:pt idx="5">
                  <c:v>1543.89500005848</c:v>
                </c:pt>
                <c:pt idx="6">
                  <c:v>1543.895000059681</c:v>
                </c:pt>
                <c:pt idx="7">
                  <c:v>1546.618000059359</c:v>
                </c:pt>
              </c:numCache>
            </c:numRef>
          </c:val>
        </c:ser>
        <c:ser>
          <c:idx val="2"/>
          <c:order val="2"/>
          <c:tx>
            <c:strRef>
              <c:f>'1 2017 GSOO'!$A$38</c:f>
              <c:strCache>
                <c:ptCount val="1"/>
                <c:pt idx="0">
                  <c:v>Other</c:v>
                </c:pt>
              </c:strCache>
            </c:strRef>
          </c:tx>
          <c:spPr>
            <a:solidFill>
              <a:srgbClr val="9ED9DF"/>
            </a:solidFill>
            <a:ln>
              <a:noFill/>
            </a:ln>
            <a:effectLst/>
          </c:spPr>
          <c:invertIfNegative val="0"/>
          <c:cat>
            <c:numRef>
              <c:f>'1 2017 GSOO'!$B$35:$I$35</c:f>
              <c:numCache>
                <c:formatCode>General</c:formatCode>
                <c:ptCount val="8"/>
                <c:pt idx="0">
                  <c:v>2017</c:v>
                </c:pt>
                <c:pt idx="1">
                  <c:v>2018</c:v>
                </c:pt>
                <c:pt idx="2">
                  <c:v>2019</c:v>
                </c:pt>
                <c:pt idx="3">
                  <c:v>2020</c:v>
                </c:pt>
                <c:pt idx="4">
                  <c:v>2021</c:v>
                </c:pt>
                <c:pt idx="5">
                  <c:v>2022</c:v>
                </c:pt>
                <c:pt idx="6">
                  <c:v>2023</c:v>
                </c:pt>
                <c:pt idx="7">
                  <c:v>2024</c:v>
                </c:pt>
              </c:numCache>
            </c:numRef>
          </c:cat>
          <c:val>
            <c:numRef>
              <c:f>'1 2017 GSOO'!$B$38:$I$38</c:f>
              <c:numCache>
                <c:formatCode>0</c:formatCode>
                <c:ptCount val="8"/>
                <c:pt idx="0">
                  <c:v>86.522520863280747</c:v>
                </c:pt>
                <c:pt idx="1">
                  <c:v>109.83800578056274</c:v>
                </c:pt>
                <c:pt idx="2">
                  <c:v>121.35837027911943</c:v>
                </c:pt>
                <c:pt idx="3">
                  <c:v>101.11076603664338</c:v>
                </c:pt>
                <c:pt idx="4">
                  <c:v>101.36085278712298</c:v>
                </c:pt>
                <c:pt idx="5">
                  <c:v>102.93065870399906</c:v>
                </c:pt>
                <c:pt idx="6">
                  <c:v>122.8334461336779</c:v>
                </c:pt>
                <c:pt idx="7">
                  <c:v>118.98953980176108</c:v>
                </c:pt>
              </c:numCache>
            </c:numRef>
          </c:val>
        </c:ser>
        <c:dLbls>
          <c:showLegendKey val="0"/>
          <c:showVal val="0"/>
          <c:showCatName val="0"/>
          <c:showSerName val="0"/>
          <c:showPercent val="0"/>
          <c:showBubbleSize val="0"/>
        </c:dLbls>
        <c:gapWidth val="150"/>
        <c:overlap val="100"/>
        <c:axId val="1060264688"/>
        <c:axId val="1060265080"/>
      </c:barChart>
      <c:lineChart>
        <c:grouping val="standard"/>
        <c:varyColors val="0"/>
        <c:ser>
          <c:idx val="3"/>
          <c:order val="3"/>
          <c:tx>
            <c:strRef>
              <c:f>'1 2017 GSOO'!$A$39</c:f>
              <c:strCache>
                <c:ptCount val="1"/>
                <c:pt idx="0">
                  <c:v>Demand</c:v>
                </c:pt>
              </c:strCache>
            </c:strRef>
          </c:tx>
          <c:spPr>
            <a:ln w="28575" cap="rnd">
              <a:solidFill>
                <a:srgbClr val="BCBFC1"/>
              </a:solidFill>
              <a:round/>
            </a:ln>
            <a:effectLst/>
          </c:spPr>
          <c:marker>
            <c:symbol val="none"/>
          </c:marker>
          <c:cat>
            <c:numRef>
              <c:f>'1 2017 GSOO'!$B$35:$I$35</c:f>
              <c:numCache>
                <c:formatCode>General</c:formatCode>
                <c:ptCount val="8"/>
                <c:pt idx="0">
                  <c:v>2017</c:v>
                </c:pt>
                <c:pt idx="1">
                  <c:v>2018</c:v>
                </c:pt>
                <c:pt idx="2">
                  <c:v>2019</c:v>
                </c:pt>
                <c:pt idx="3">
                  <c:v>2020</c:v>
                </c:pt>
                <c:pt idx="4">
                  <c:v>2021</c:v>
                </c:pt>
                <c:pt idx="5">
                  <c:v>2022</c:v>
                </c:pt>
                <c:pt idx="6">
                  <c:v>2023</c:v>
                </c:pt>
                <c:pt idx="7">
                  <c:v>2024</c:v>
                </c:pt>
              </c:numCache>
            </c:numRef>
          </c:cat>
          <c:val>
            <c:numRef>
              <c:f>'1 2017 GSOO'!$B$39:$I$39</c:f>
              <c:numCache>
                <c:formatCode>0</c:formatCode>
                <c:ptCount val="8"/>
                <c:pt idx="0">
                  <c:v>1891.8304334042405</c:v>
                </c:pt>
                <c:pt idx="1">
                  <c:v>1949.2110058480803</c:v>
                </c:pt>
                <c:pt idx="2">
                  <c:v>1987.0939397284799</c:v>
                </c:pt>
                <c:pt idx="3">
                  <c:v>1964.4308426820003</c:v>
                </c:pt>
                <c:pt idx="4">
                  <c:v>1961.4934558564789</c:v>
                </c:pt>
                <c:pt idx="5">
                  <c:v>1967.0808173517601</c:v>
                </c:pt>
                <c:pt idx="6">
                  <c:v>1970.6971355812796</c:v>
                </c:pt>
                <c:pt idx="7">
                  <c:v>1970.8264179448802</c:v>
                </c:pt>
              </c:numCache>
            </c:numRef>
          </c:val>
          <c:smooth val="0"/>
        </c:ser>
        <c:ser>
          <c:idx val="4"/>
          <c:order val="4"/>
          <c:tx>
            <c:strRef>
              <c:f>'1 2017 GSOO'!$A$40</c:f>
              <c:strCache>
                <c:ptCount val="1"/>
                <c:pt idx="0">
                  <c:v>Shortfall</c:v>
                </c:pt>
              </c:strCache>
            </c:strRef>
          </c:tx>
          <c:spPr>
            <a:ln w="28575" cap="rnd" cmpd="sng" algn="ctr">
              <a:solidFill>
                <a:srgbClr val="51B7A4"/>
              </a:solidFill>
              <a:prstDash val="solid"/>
              <a:round/>
              <a:headEnd type="none" w="med" len="med"/>
              <a:tailEnd type="none" w="med" len="med"/>
            </a:ln>
            <a:effectLst/>
          </c:spPr>
          <c:marker>
            <c:symbol val="none"/>
          </c:marker>
          <c:cat>
            <c:numRef>
              <c:f>'1 2017 GSOO'!$B$35:$I$35</c:f>
              <c:numCache>
                <c:formatCode>General</c:formatCode>
                <c:ptCount val="8"/>
                <c:pt idx="0">
                  <c:v>2017</c:v>
                </c:pt>
                <c:pt idx="1">
                  <c:v>2018</c:v>
                </c:pt>
                <c:pt idx="2">
                  <c:v>2019</c:v>
                </c:pt>
                <c:pt idx="3">
                  <c:v>2020</c:v>
                </c:pt>
                <c:pt idx="4">
                  <c:v>2021</c:v>
                </c:pt>
                <c:pt idx="5">
                  <c:v>2022</c:v>
                </c:pt>
                <c:pt idx="6">
                  <c:v>2023</c:v>
                </c:pt>
                <c:pt idx="7">
                  <c:v>2024</c:v>
                </c:pt>
              </c:numCache>
            </c:numRef>
          </c:cat>
          <c:val>
            <c:numRef>
              <c:f>'1 2017 GSOO'!$B$40:$I$40</c:f>
              <c:numCache>
                <c:formatCode>0.0</c:formatCode>
                <c:ptCount val="8"/>
                <c:pt idx="0">
                  <c:v>-2.5439476303290576E-8</c:v>
                </c:pt>
                <c:pt idx="1">
                  <c:v>-1.3919816410634667E-8</c:v>
                </c:pt>
                <c:pt idx="2">
                  <c:v>38.330569453440148</c:v>
                </c:pt>
                <c:pt idx="3" formatCode="0">
                  <c:v>16.861076579040855</c:v>
                </c:pt>
                <c:pt idx="4" formatCode="0">
                  <c:v>53.607602993759201</c:v>
                </c:pt>
                <c:pt idx="5" formatCode="0">
                  <c:v>26.190158528400161</c:v>
                </c:pt>
                <c:pt idx="6" formatCode="0">
                  <c:v>9.9036893260799843</c:v>
                </c:pt>
                <c:pt idx="7" formatCode="0">
                  <c:v>11.074247884320357</c:v>
                </c:pt>
              </c:numCache>
            </c:numRef>
          </c:val>
          <c:smooth val="0"/>
        </c:ser>
        <c:dLbls>
          <c:showLegendKey val="0"/>
          <c:showVal val="0"/>
          <c:showCatName val="0"/>
          <c:showSerName val="0"/>
          <c:showPercent val="0"/>
          <c:showBubbleSize val="0"/>
        </c:dLbls>
        <c:marker val="1"/>
        <c:smooth val="0"/>
        <c:axId val="1060264688"/>
        <c:axId val="1060265080"/>
      </c:lineChart>
      <c:catAx>
        <c:axId val="106026468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crossAx val="1060265080"/>
        <c:crosses val="autoZero"/>
        <c:auto val="1"/>
        <c:lblAlgn val="ctr"/>
        <c:lblOffset val="100"/>
        <c:noMultiLvlLbl val="0"/>
      </c:catAx>
      <c:valAx>
        <c:axId val="1060265080"/>
        <c:scaling>
          <c:orientation val="minMax"/>
          <c:max val="2000"/>
          <c:min val="0"/>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a:t>Petajoules</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0"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crossAx val="1060264688"/>
        <c:crosses val="autoZero"/>
        <c:crossBetween val="between"/>
        <c:majorUnit val="400"/>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panose="020B0604020202020204" pitchFamily="34" charset="0"/>
          <a:ea typeface="Arial"/>
          <a:cs typeface="Arial" panose="020B0604020202020204" pitchFamily="34" charset="0"/>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0"/>
          <c:tx>
            <c:strRef>
              <c:f>'14 East Coast HHI'!$B$2</c:f>
              <c:strCache>
                <c:ptCount val="1"/>
                <c:pt idx="0">
                  <c:v>HHI</c:v>
                </c:pt>
              </c:strCache>
            </c:strRef>
          </c:tx>
          <c:spPr>
            <a:ln w="28575" cap="rnd" cmpd="sng" algn="ctr">
              <a:solidFill>
                <a:srgbClr val="005CAF"/>
              </a:solidFill>
              <a:prstDash val="solid"/>
              <a:round/>
              <a:headEnd type="none" w="med" len="med"/>
              <a:tailEnd type="none" w="med" len="med"/>
            </a:ln>
            <a:effectLst/>
          </c:spPr>
          <c:marker>
            <c:symbol val="none"/>
          </c:marker>
          <c:cat>
            <c:numRef>
              <c:f>'14 East Coast HHI'!$A$20:$A$40</c:f>
              <c:numCache>
                <c:formatCode>m/d/yyyy</c:formatCode>
                <c:ptCount val="21"/>
                <c:pt idx="0">
                  <c:v>41791</c:v>
                </c:pt>
                <c:pt idx="1">
                  <c:v>41883</c:v>
                </c:pt>
                <c:pt idx="2">
                  <c:v>41974</c:v>
                </c:pt>
                <c:pt idx="3">
                  <c:v>42064</c:v>
                </c:pt>
                <c:pt idx="4">
                  <c:v>42156</c:v>
                </c:pt>
                <c:pt idx="5">
                  <c:v>42248</c:v>
                </c:pt>
                <c:pt idx="6">
                  <c:v>42339</c:v>
                </c:pt>
                <c:pt idx="7">
                  <c:v>42430</c:v>
                </c:pt>
                <c:pt idx="8">
                  <c:v>42522</c:v>
                </c:pt>
                <c:pt idx="9">
                  <c:v>42614</c:v>
                </c:pt>
                <c:pt idx="10">
                  <c:v>42705</c:v>
                </c:pt>
                <c:pt idx="11">
                  <c:v>42795</c:v>
                </c:pt>
                <c:pt idx="12">
                  <c:v>42887</c:v>
                </c:pt>
                <c:pt idx="13">
                  <c:v>42979</c:v>
                </c:pt>
                <c:pt idx="14">
                  <c:v>43070</c:v>
                </c:pt>
                <c:pt idx="15">
                  <c:v>43160</c:v>
                </c:pt>
                <c:pt idx="16">
                  <c:v>43252</c:v>
                </c:pt>
                <c:pt idx="17">
                  <c:v>43344</c:v>
                </c:pt>
                <c:pt idx="18">
                  <c:v>43435</c:v>
                </c:pt>
                <c:pt idx="19">
                  <c:v>43525</c:v>
                </c:pt>
                <c:pt idx="20">
                  <c:v>43617</c:v>
                </c:pt>
              </c:numCache>
            </c:numRef>
          </c:cat>
          <c:val>
            <c:numRef>
              <c:f>'14 East Coast HHI'!$B$20:$B$40</c:f>
              <c:numCache>
                <c:formatCode>General</c:formatCode>
                <c:ptCount val="21"/>
                <c:pt idx="0">
                  <c:v>1104.0336510986701</c:v>
                </c:pt>
                <c:pt idx="1">
                  <c:v>1160.7299003846549</c:v>
                </c:pt>
                <c:pt idx="2">
                  <c:v>986.22834883899793</c:v>
                </c:pt>
                <c:pt idx="3">
                  <c:v>1012.2931068321399</c:v>
                </c:pt>
                <c:pt idx="4">
                  <c:v>1089.4137065249852</c:v>
                </c:pt>
                <c:pt idx="5">
                  <c:v>1166.0945880278919</c:v>
                </c:pt>
                <c:pt idx="6">
                  <c:v>1131.5336634970449</c:v>
                </c:pt>
                <c:pt idx="7">
                  <c:v>973.66995887277778</c:v>
                </c:pt>
                <c:pt idx="8">
                  <c:v>1166.7836664461236</c:v>
                </c:pt>
                <c:pt idx="9">
                  <c:v>1139.8108774631187</c:v>
                </c:pt>
                <c:pt idx="10">
                  <c:v>1171.9312621935128</c:v>
                </c:pt>
                <c:pt idx="11">
                  <c:v>1144.6537138529181</c:v>
                </c:pt>
                <c:pt idx="12">
                  <c:v>1131.7297304869085</c:v>
                </c:pt>
                <c:pt idx="13">
                  <c:v>1134.2213535000792</c:v>
                </c:pt>
                <c:pt idx="14">
                  <c:v>1156.804129540739</c:v>
                </c:pt>
                <c:pt idx="15">
                  <c:v>1155.0423094124635</c:v>
                </c:pt>
                <c:pt idx="16">
                  <c:v>1073.6611780784831</c:v>
                </c:pt>
                <c:pt idx="17">
                  <c:v>1068.3484449980954</c:v>
                </c:pt>
                <c:pt idx="18">
                  <c:v>1112.9273757323465</c:v>
                </c:pt>
                <c:pt idx="19">
                  <c:v>1147.1992030401159</c:v>
                </c:pt>
                <c:pt idx="20">
                  <c:v>1105.4310351521513</c:v>
                </c:pt>
              </c:numCache>
            </c:numRef>
          </c:val>
          <c:smooth val="0"/>
        </c:ser>
        <c:dLbls>
          <c:showLegendKey val="0"/>
          <c:showVal val="0"/>
          <c:showCatName val="0"/>
          <c:showSerName val="0"/>
          <c:showPercent val="0"/>
          <c:showBubbleSize val="0"/>
        </c:dLbls>
        <c:marker val="1"/>
        <c:smooth val="0"/>
        <c:axId val="1069840504"/>
        <c:axId val="796932424"/>
      </c:lineChart>
      <c:lineChart>
        <c:grouping val="standard"/>
        <c:varyColors val="0"/>
        <c:ser>
          <c:idx val="3"/>
          <c:order val="1"/>
          <c:tx>
            <c:strRef>
              <c:f>'14 East Coast HHI'!$C$2</c:f>
              <c:strCache>
                <c:ptCount val="1"/>
                <c:pt idx="0">
                  <c:v>Total Production</c:v>
                </c:pt>
              </c:strCache>
            </c:strRef>
          </c:tx>
          <c:spPr>
            <a:ln w="28575" cap="rnd" cmpd="sng" algn="ctr">
              <a:solidFill>
                <a:srgbClr val="56B4DF"/>
              </a:solidFill>
              <a:prstDash val="solid"/>
              <a:round/>
              <a:headEnd type="none" w="med" len="med"/>
              <a:tailEnd type="none" w="med" len="med"/>
            </a:ln>
            <a:effectLst/>
          </c:spPr>
          <c:marker>
            <c:symbol val="none"/>
          </c:marker>
          <c:cat>
            <c:numRef>
              <c:f>'14 East Coast HHI'!$A$20:$A$40</c:f>
              <c:numCache>
                <c:formatCode>m/d/yyyy</c:formatCode>
                <c:ptCount val="21"/>
                <c:pt idx="0">
                  <c:v>41791</c:v>
                </c:pt>
                <c:pt idx="1">
                  <c:v>41883</c:v>
                </c:pt>
                <c:pt idx="2">
                  <c:v>41974</c:v>
                </c:pt>
                <c:pt idx="3">
                  <c:v>42064</c:v>
                </c:pt>
                <c:pt idx="4">
                  <c:v>42156</c:v>
                </c:pt>
                <c:pt idx="5">
                  <c:v>42248</c:v>
                </c:pt>
                <c:pt idx="6">
                  <c:v>42339</c:v>
                </c:pt>
                <c:pt idx="7">
                  <c:v>42430</c:v>
                </c:pt>
                <c:pt idx="8">
                  <c:v>42522</c:v>
                </c:pt>
                <c:pt idx="9">
                  <c:v>42614</c:v>
                </c:pt>
                <c:pt idx="10">
                  <c:v>42705</c:v>
                </c:pt>
                <c:pt idx="11">
                  <c:v>42795</c:v>
                </c:pt>
                <c:pt idx="12">
                  <c:v>42887</c:v>
                </c:pt>
                <c:pt idx="13">
                  <c:v>42979</c:v>
                </c:pt>
                <c:pt idx="14">
                  <c:v>43070</c:v>
                </c:pt>
                <c:pt idx="15">
                  <c:v>43160</c:v>
                </c:pt>
                <c:pt idx="16">
                  <c:v>43252</c:v>
                </c:pt>
                <c:pt idx="17">
                  <c:v>43344</c:v>
                </c:pt>
                <c:pt idx="18">
                  <c:v>43435</c:v>
                </c:pt>
                <c:pt idx="19">
                  <c:v>43525</c:v>
                </c:pt>
                <c:pt idx="20">
                  <c:v>43617</c:v>
                </c:pt>
              </c:numCache>
            </c:numRef>
          </c:cat>
          <c:val>
            <c:numRef>
              <c:f>'14 East Coast HHI'!$C$20:$C$40</c:f>
              <c:numCache>
                <c:formatCode>General</c:formatCode>
                <c:ptCount val="21"/>
                <c:pt idx="0">
                  <c:v>193.34044108795143</c:v>
                </c:pt>
                <c:pt idx="1">
                  <c:v>210.40713545916819</c:v>
                </c:pt>
                <c:pt idx="2">
                  <c:v>177.98823593177843</c:v>
                </c:pt>
                <c:pt idx="3">
                  <c:v>193.87305512596254</c:v>
                </c:pt>
                <c:pt idx="4">
                  <c:v>252.62031581523613</c:v>
                </c:pt>
                <c:pt idx="5">
                  <c:v>300.38019825912698</c:v>
                </c:pt>
                <c:pt idx="6">
                  <c:v>317.48803422631147</c:v>
                </c:pt>
                <c:pt idx="7">
                  <c:v>366.44462349746925</c:v>
                </c:pt>
                <c:pt idx="8">
                  <c:v>402.509597691794</c:v>
                </c:pt>
                <c:pt idx="9">
                  <c:v>437.98075387530611</c:v>
                </c:pt>
                <c:pt idx="10">
                  <c:v>429.29829254507558</c:v>
                </c:pt>
                <c:pt idx="11">
                  <c:v>429.93701845819987</c:v>
                </c:pt>
                <c:pt idx="12">
                  <c:v>467.93113058399155</c:v>
                </c:pt>
                <c:pt idx="13">
                  <c:v>489.46653401463709</c:v>
                </c:pt>
                <c:pt idx="14">
                  <c:v>456.59821092120734</c:v>
                </c:pt>
                <c:pt idx="15">
                  <c:v>426.58472647825857</c:v>
                </c:pt>
                <c:pt idx="16">
                  <c:v>453.6867457513448</c:v>
                </c:pt>
                <c:pt idx="17">
                  <c:v>479.2372263805741</c:v>
                </c:pt>
                <c:pt idx="18">
                  <c:v>453.18300393339314</c:v>
                </c:pt>
                <c:pt idx="19">
                  <c:v>452.4476441620144</c:v>
                </c:pt>
                <c:pt idx="20">
                  <c:v>479.25666953827698</c:v>
                </c:pt>
              </c:numCache>
            </c:numRef>
          </c:val>
          <c:smooth val="0"/>
        </c:ser>
        <c:dLbls>
          <c:showLegendKey val="0"/>
          <c:showVal val="0"/>
          <c:showCatName val="0"/>
          <c:showSerName val="0"/>
          <c:showPercent val="0"/>
          <c:showBubbleSize val="0"/>
        </c:dLbls>
        <c:marker val="1"/>
        <c:smooth val="0"/>
        <c:axId val="1069842856"/>
        <c:axId val="1069842072"/>
      </c:lineChart>
      <c:valAx>
        <c:axId val="796932424"/>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Index</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69840504"/>
        <c:crossesAt val="41791"/>
        <c:crossBetween val="between"/>
      </c:valAx>
      <c:dateAx>
        <c:axId val="1069840504"/>
        <c:scaling>
          <c:orientation val="minMax"/>
        </c:scaling>
        <c:delete val="0"/>
        <c:axPos val="b"/>
        <c:numFmt formatCode="mmm\-yy"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0" spcFirstLastPara="1" vertOverflow="ellipsis" wrap="square" anchor="ctr" anchorCtr="1"/>
          <a:lstStyle/>
          <a:p>
            <a:pPr>
              <a:defRPr sz="900" b="0" i="0" u="none" strike="noStrike" kern="1200" baseline="0">
                <a:solidFill>
                  <a:srgbClr val="595A5B"/>
                </a:solidFill>
                <a:latin typeface="Arial"/>
                <a:ea typeface="Arial"/>
                <a:cs typeface="Arial"/>
              </a:defRPr>
            </a:pPr>
            <a:endParaRPr lang="en-US"/>
          </a:p>
        </c:txPr>
        <c:crossAx val="796932424"/>
        <c:crosses val="autoZero"/>
        <c:auto val="1"/>
        <c:lblOffset val="100"/>
        <c:baseTimeUnit val="months"/>
        <c:majorUnit val="12"/>
        <c:majorTimeUnit val="months"/>
        <c:minorUnit val="1"/>
        <c:minorTimeUnit val="months"/>
      </c:dateAx>
      <c:valAx>
        <c:axId val="1069842072"/>
        <c:scaling>
          <c:orientation val="minMax"/>
        </c:scaling>
        <c:delete val="0"/>
        <c:axPos val="r"/>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Petajoules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69842856"/>
        <c:crosses val="max"/>
        <c:crossBetween val="between"/>
      </c:valAx>
      <c:dateAx>
        <c:axId val="1069842856"/>
        <c:scaling>
          <c:orientation val="minMax"/>
        </c:scaling>
        <c:delete val="1"/>
        <c:axPos val="b"/>
        <c:numFmt formatCode="m/d/yyyy" sourceLinked="1"/>
        <c:majorTickMark val="out"/>
        <c:minorTickMark val="none"/>
        <c:tickLblPos val="nextTo"/>
        <c:crossAx val="1069842072"/>
        <c:crosses val="autoZero"/>
        <c:auto val="1"/>
        <c:lblOffset val="100"/>
        <c:baseTimeUnit val="months"/>
        <c:majorUnit val="1"/>
        <c:minorUnit val="1"/>
      </c:date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'ACCC netback vs Wallumbilla'!$B$1</c:f>
              <c:strCache>
                <c:ptCount val="1"/>
                <c:pt idx="0">
                  <c:v>ACCC Historical LNG netback price</c:v>
                </c:pt>
              </c:strCache>
            </c:strRef>
          </c:tx>
          <c:spPr>
            <a:ln w="28575" cap="rnd">
              <a:solidFill>
                <a:srgbClr val="005CAF"/>
              </a:solidFill>
              <a:prstDash val="solid"/>
              <a:round/>
            </a:ln>
            <a:effectLst/>
          </c:spPr>
          <c:marker>
            <c:symbol val="none"/>
          </c:marker>
          <c:cat>
            <c:numRef>
              <c:f>'ACCC netback vs Wallumbilla'!$A$2:$A$32</c:f>
              <c:numCache>
                <c:formatCode>mmmm\ yyyy</c:formatCode>
                <c:ptCount val="31"/>
                <c:pt idx="0">
                  <c:v>42917</c:v>
                </c:pt>
                <c:pt idx="1">
                  <c:v>42948</c:v>
                </c:pt>
                <c:pt idx="2">
                  <c:v>42979</c:v>
                </c:pt>
                <c:pt idx="3">
                  <c:v>43009</c:v>
                </c:pt>
                <c:pt idx="4">
                  <c:v>43040</c:v>
                </c:pt>
                <c:pt idx="5">
                  <c:v>43070</c:v>
                </c:pt>
                <c:pt idx="6">
                  <c:v>43101</c:v>
                </c:pt>
                <c:pt idx="7">
                  <c:v>43132</c:v>
                </c:pt>
                <c:pt idx="8">
                  <c:v>43160</c:v>
                </c:pt>
                <c:pt idx="9">
                  <c:v>43191</c:v>
                </c:pt>
                <c:pt idx="10">
                  <c:v>43221</c:v>
                </c:pt>
                <c:pt idx="11">
                  <c:v>43252</c:v>
                </c:pt>
                <c:pt idx="12">
                  <c:v>43282</c:v>
                </c:pt>
                <c:pt idx="13">
                  <c:v>43313</c:v>
                </c:pt>
                <c:pt idx="14">
                  <c:v>43344</c:v>
                </c:pt>
                <c:pt idx="15">
                  <c:v>43374</c:v>
                </c:pt>
                <c:pt idx="16">
                  <c:v>43405</c:v>
                </c:pt>
                <c:pt idx="17">
                  <c:v>43435</c:v>
                </c:pt>
                <c:pt idx="18">
                  <c:v>43466</c:v>
                </c:pt>
                <c:pt idx="19">
                  <c:v>43497</c:v>
                </c:pt>
                <c:pt idx="20">
                  <c:v>43525</c:v>
                </c:pt>
                <c:pt idx="21">
                  <c:v>43556</c:v>
                </c:pt>
                <c:pt idx="22">
                  <c:v>43586</c:v>
                </c:pt>
                <c:pt idx="23">
                  <c:v>43617</c:v>
                </c:pt>
                <c:pt idx="24">
                  <c:v>43647</c:v>
                </c:pt>
                <c:pt idx="25">
                  <c:v>43678</c:v>
                </c:pt>
                <c:pt idx="26">
                  <c:v>43709</c:v>
                </c:pt>
                <c:pt idx="27">
                  <c:v>43739</c:v>
                </c:pt>
                <c:pt idx="28">
                  <c:v>43770</c:v>
                </c:pt>
                <c:pt idx="29">
                  <c:v>43800</c:v>
                </c:pt>
                <c:pt idx="30">
                  <c:v>43831</c:v>
                </c:pt>
              </c:numCache>
            </c:numRef>
          </c:cat>
          <c:val>
            <c:numRef>
              <c:f>'ACCC netback vs Wallumbilla'!$B$2:$B$32</c:f>
              <c:numCache>
                <c:formatCode>0.00</c:formatCode>
                <c:ptCount val="31"/>
                <c:pt idx="0">
                  <c:v>6.1495084403012665</c:v>
                </c:pt>
                <c:pt idx="1">
                  <c:v>5.9475668231248573</c:v>
                </c:pt>
                <c:pt idx="2">
                  <c:v>6.1632623557687634</c:v>
                </c:pt>
                <c:pt idx="3">
                  <c:v>6.6668808866351759</c:v>
                </c:pt>
                <c:pt idx="4">
                  <c:v>8.9410295346202577</c:v>
                </c:pt>
                <c:pt idx="5">
                  <c:v>10.097596548175979</c:v>
                </c:pt>
                <c:pt idx="6">
                  <c:v>11.080802992486584</c:v>
                </c:pt>
                <c:pt idx="7">
                  <c:v>12.133883409796285</c:v>
                </c:pt>
                <c:pt idx="8">
                  <c:v>11.05083468836048</c:v>
                </c:pt>
                <c:pt idx="9">
                  <c:v>9.0178235922781464</c:v>
                </c:pt>
                <c:pt idx="10">
                  <c:v>7.829861956091186</c:v>
                </c:pt>
                <c:pt idx="11">
                  <c:v>8.9008181406253737</c:v>
                </c:pt>
                <c:pt idx="12">
                  <c:v>10.806891289215532</c:v>
                </c:pt>
                <c:pt idx="13">
                  <c:v>11.763769773339371</c:v>
                </c:pt>
                <c:pt idx="14">
                  <c:v>11.074979458875212</c:v>
                </c:pt>
                <c:pt idx="15">
                  <c:v>13.211856578778409</c:v>
                </c:pt>
                <c:pt idx="16">
                  <c:v>12.503408048474419</c:v>
                </c:pt>
                <c:pt idx="17">
                  <c:v>11.200186631408984</c:v>
                </c:pt>
                <c:pt idx="18">
                  <c:v>9.7675305345104579</c:v>
                </c:pt>
                <c:pt idx="19">
                  <c:v>9.9012640243778858</c:v>
                </c:pt>
                <c:pt idx="20">
                  <c:v>9.1199999999999992</c:v>
                </c:pt>
                <c:pt idx="21">
                  <c:v>6.89</c:v>
                </c:pt>
                <c:pt idx="22">
                  <c:v>5.46</c:v>
                </c:pt>
                <c:pt idx="23">
                  <c:v>6.38</c:v>
                </c:pt>
                <c:pt idx="24">
                  <c:v>6.11</c:v>
                </c:pt>
                <c:pt idx="25">
                  <c:v>5.0999999999999996</c:v>
                </c:pt>
                <c:pt idx="26">
                  <c:v>4.78</c:v>
                </c:pt>
                <c:pt idx="27">
                  <c:v>5.19</c:v>
                </c:pt>
                <c:pt idx="28">
                  <c:v>6.7202247171062801</c:v>
                </c:pt>
                <c:pt idx="29">
                  <c:v>6.531259012040258</c:v>
                </c:pt>
                <c:pt idx="30">
                  <c:v>6.2935827144312144</c:v>
                </c:pt>
              </c:numCache>
            </c:numRef>
          </c:val>
          <c:smooth val="0"/>
        </c:ser>
        <c:ser>
          <c:idx val="1"/>
          <c:order val="1"/>
          <c:tx>
            <c:strRef>
              <c:f>'ACCC netback vs Wallumbilla'!$C$1</c:f>
              <c:strCache>
                <c:ptCount val="1"/>
                <c:pt idx="0">
                  <c:v>Wallumbilla spot price</c:v>
                </c:pt>
              </c:strCache>
            </c:strRef>
          </c:tx>
          <c:spPr>
            <a:ln w="28575" cap="rnd">
              <a:solidFill>
                <a:srgbClr val="56B4DF"/>
              </a:solidFill>
              <a:prstDash val="solid"/>
              <a:round/>
            </a:ln>
            <a:effectLst/>
          </c:spPr>
          <c:marker>
            <c:symbol val="none"/>
          </c:marker>
          <c:cat>
            <c:numRef>
              <c:f>'ACCC netback vs Wallumbilla'!$A$2:$A$32</c:f>
              <c:numCache>
                <c:formatCode>mmmm\ yyyy</c:formatCode>
                <c:ptCount val="31"/>
                <c:pt idx="0">
                  <c:v>42917</c:v>
                </c:pt>
                <c:pt idx="1">
                  <c:v>42948</c:v>
                </c:pt>
                <c:pt idx="2">
                  <c:v>42979</c:v>
                </c:pt>
                <c:pt idx="3">
                  <c:v>43009</c:v>
                </c:pt>
                <c:pt idx="4">
                  <c:v>43040</c:v>
                </c:pt>
                <c:pt idx="5">
                  <c:v>43070</c:v>
                </c:pt>
                <c:pt idx="6">
                  <c:v>43101</c:v>
                </c:pt>
                <c:pt idx="7">
                  <c:v>43132</c:v>
                </c:pt>
                <c:pt idx="8">
                  <c:v>43160</c:v>
                </c:pt>
                <c:pt idx="9">
                  <c:v>43191</c:v>
                </c:pt>
                <c:pt idx="10">
                  <c:v>43221</c:v>
                </c:pt>
                <c:pt idx="11">
                  <c:v>43252</c:v>
                </c:pt>
                <c:pt idx="12">
                  <c:v>43282</c:v>
                </c:pt>
                <c:pt idx="13">
                  <c:v>43313</c:v>
                </c:pt>
                <c:pt idx="14">
                  <c:v>43344</c:v>
                </c:pt>
                <c:pt idx="15">
                  <c:v>43374</c:v>
                </c:pt>
                <c:pt idx="16">
                  <c:v>43405</c:v>
                </c:pt>
                <c:pt idx="17">
                  <c:v>43435</c:v>
                </c:pt>
                <c:pt idx="18">
                  <c:v>43466</c:v>
                </c:pt>
                <c:pt idx="19">
                  <c:v>43497</c:v>
                </c:pt>
                <c:pt idx="20">
                  <c:v>43525</c:v>
                </c:pt>
                <c:pt idx="21">
                  <c:v>43556</c:v>
                </c:pt>
                <c:pt idx="22">
                  <c:v>43586</c:v>
                </c:pt>
                <c:pt idx="23">
                  <c:v>43617</c:v>
                </c:pt>
                <c:pt idx="24">
                  <c:v>43647</c:v>
                </c:pt>
                <c:pt idx="25">
                  <c:v>43678</c:v>
                </c:pt>
                <c:pt idx="26">
                  <c:v>43709</c:v>
                </c:pt>
                <c:pt idx="27">
                  <c:v>43739</c:v>
                </c:pt>
                <c:pt idx="28">
                  <c:v>43770</c:v>
                </c:pt>
                <c:pt idx="29">
                  <c:v>43800</c:v>
                </c:pt>
                <c:pt idx="30">
                  <c:v>43831</c:v>
                </c:pt>
              </c:numCache>
            </c:numRef>
          </c:cat>
          <c:val>
            <c:numRef>
              <c:f>'ACCC netback vs Wallumbilla'!$C$2:$C$32</c:f>
              <c:numCache>
                <c:formatCode>0.00</c:formatCode>
                <c:ptCount val="31"/>
                <c:pt idx="0">
                  <c:v>8.0448999999999984</c:v>
                </c:pt>
                <c:pt idx="1">
                  <c:v>7.475606250000002</c:v>
                </c:pt>
                <c:pt idx="2">
                  <c:v>7.3330913043478265</c:v>
                </c:pt>
                <c:pt idx="3">
                  <c:v>6.9099612903225802</c:v>
                </c:pt>
                <c:pt idx="4">
                  <c:v>7.1055833333333345</c:v>
                </c:pt>
                <c:pt idx="5">
                  <c:v>7.6470099999999999</c:v>
                </c:pt>
                <c:pt idx="6">
                  <c:v>8.4610500000000002</c:v>
                </c:pt>
                <c:pt idx="7">
                  <c:v>8.3892181818181797</c:v>
                </c:pt>
                <c:pt idx="8">
                  <c:v>7.6222666666666665</c:v>
                </c:pt>
                <c:pt idx="9">
                  <c:v>7.4269933333333329</c:v>
                </c:pt>
                <c:pt idx="10">
                  <c:v>7.7021925925925911</c:v>
                </c:pt>
                <c:pt idx="11">
                  <c:v>9.4489285714285707</c:v>
                </c:pt>
                <c:pt idx="12">
                  <c:v>9.8040419354838715</c:v>
                </c:pt>
                <c:pt idx="13">
                  <c:v>9.3192071428571435</c:v>
                </c:pt>
                <c:pt idx="14">
                  <c:v>9.6170666666666698</c:v>
                </c:pt>
                <c:pt idx="15">
                  <c:v>9.3476166666666654</c:v>
                </c:pt>
                <c:pt idx="16">
                  <c:v>9.9543999999999997</c:v>
                </c:pt>
                <c:pt idx="17">
                  <c:v>9.8551380952380949</c:v>
                </c:pt>
                <c:pt idx="18">
                  <c:v>9.7542655172413788</c:v>
                </c:pt>
                <c:pt idx="19">
                  <c:v>9.1203038461538437</c:v>
                </c:pt>
                <c:pt idx="20">
                  <c:v>8.9389935483870975</c:v>
                </c:pt>
                <c:pt idx="21">
                  <c:v>9.2290346153846166</c:v>
                </c:pt>
                <c:pt idx="22">
                  <c:v>8.1620709677419363</c:v>
                </c:pt>
                <c:pt idx="23">
                  <c:v>8.8771166666666677</c:v>
                </c:pt>
                <c:pt idx="24">
                  <c:v>8.2887322580645151</c:v>
                </c:pt>
                <c:pt idx="25">
                  <c:v>7.6236677419354857</c:v>
                </c:pt>
                <c:pt idx="26">
                  <c:v>7.117253333333335</c:v>
                </c:pt>
                <c:pt idx="27">
                  <c:v>7.8249172413793087</c:v>
                </c:pt>
                <c:pt idx="28">
                  <c:v>7.1694241379310339</c:v>
                </c:pt>
                <c:pt idx="29">
                  <c:v>6.7125032258064525</c:v>
                </c:pt>
                <c:pt idx="30">
                  <c:v>6.89</c:v>
                </c:pt>
              </c:numCache>
            </c:numRef>
          </c:val>
          <c:smooth val="0"/>
        </c:ser>
        <c:dLbls>
          <c:showLegendKey val="0"/>
          <c:showVal val="0"/>
          <c:showCatName val="0"/>
          <c:showSerName val="0"/>
          <c:showPercent val="0"/>
          <c:showBubbleSize val="0"/>
        </c:dLbls>
        <c:smooth val="0"/>
        <c:axId val="1069838544"/>
        <c:axId val="1069844424"/>
      </c:lineChart>
      <c:catAx>
        <c:axId val="1069838544"/>
        <c:scaling>
          <c:orientation val="minMax"/>
        </c:scaling>
        <c:delete val="0"/>
        <c:axPos val="b"/>
        <c:numFmt formatCode="mmm\-yy" sourceLinked="0"/>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1069844424"/>
        <c:crosses val="autoZero"/>
        <c:auto val="0"/>
        <c:lblAlgn val="ctr"/>
        <c:lblOffset val="100"/>
        <c:tickLblSkip val="6"/>
        <c:noMultiLvlLbl val="0"/>
      </c:catAx>
      <c:valAx>
        <c:axId val="1069844424"/>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a:t>A$/GJ</a:t>
                </a:r>
              </a:p>
            </c:rich>
          </c:tx>
          <c:layout>
            <c:manualLayout>
              <c:xMode val="edge"/>
              <c:yMode val="edge"/>
              <c:x val="1.4996591683708248E-2"/>
              <c:y val="0.416322651726880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 sourceLinked="0"/>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1069838544"/>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18185291829856"/>
          <c:y val="4.2364721740804932E-2"/>
          <c:w val="0.85071011704126243"/>
          <c:h val="0.78194995989452787"/>
        </c:manualLayout>
      </c:layout>
      <c:barChart>
        <c:barDir val="col"/>
        <c:grouping val="clustered"/>
        <c:varyColors val="0"/>
        <c:ser>
          <c:idx val="0"/>
          <c:order val="0"/>
          <c:tx>
            <c:strRef>
              <c:f>'2 AEMO forecasts'!$D$3</c:f>
              <c:strCache>
                <c:ptCount val="1"/>
                <c:pt idx="0">
                  <c:v>March GSOO</c:v>
                </c:pt>
              </c:strCache>
            </c:strRef>
          </c:tx>
          <c:spPr>
            <a:solidFill>
              <a:srgbClr val="005CAF"/>
            </a:solidFill>
            <a:ln>
              <a:noFill/>
            </a:ln>
            <a:effectLst/>
          </c:spPr>
          <c:invertIfNegative val="0"/>
          <c:cat>
            <c:strRef>
              <c:f>'2 AEMO forecasts'!$C$4:$C$8</c:f>
              <c:strCache>
                <c:ptCount val="5"/>
                <c:pt idx="0">
                  <c:v>Production </c:v>
                </c:pt>
                <c:pt idx="1">
                  <c:v>LNG demand</c:v>
                </c:pt>
                <c:pt idx="2">
                  <c:v>Residential, commerical, industrial</c:v>
                </c:pt>
                <c:pt idx="3">
                  <c:v>Gas-power generation</c:v>
                </c:pt>
                <c:pt idx="4">
                  <c:v>Shortfall</c:v>
                </c:pt>
              </c:strCache>
            </c:strRef>
          </c:cat>
          <c:val>
            <c:numRef>
              <c:f>'2 AEMO forecasts'!$D$4:$D$8</c:f>
              <c:numCache>
                <c:formatCode>General</c:formatCode>
                <c:ptCount val="5"/>
                <c:pt idx="0">
                  <c:v>1949</c:v>
                </c:pt>
                <c:pt idx="1">
                  <c:v>1376</c:v>
                </c:pt>
                <c:pt idx="2">
                  <c:v>458</c:v>
                </c:pt>
                <c:pt idx="3">
                  <c:v>115</c:v>
                </c:pt>
                <c:pt idx="4">
                  <c:v>0</c:v>
                </c:pt>
              </c:numCache>
            </c:numRef>
          </c:val>
        </c:ser>
        <c:ser>
          <c:idx val="1"/>
          <c:order val="1"/>
          <c:tx>
            <c:strRef>
              <c:f>'2 AEMO forecasts'!$E$3</c:f>
              <c:strCache>
                <c:ptCount val="1"/>
                <c:pt idx="0">
                  <c:v>September GSOO</c:v>
                </c:pt>
              </c:strCache>
            </c:strRef>
          </c:tx>
          <c:spPr>
            <a:solidFill>
              <a:srgbClr val="56B4DF"/>
            </a:solidFill>
            <a:ln>
              <a:noFill/>
            </a:ln>
            <a:effectLst/>
          </c:spPr>
          <c:invertIfNegative val="0"/>
          <c:cat>
            <c:strRef>
              <c:f>'2 AEMO forecasts'!$C$4:$C$8</c:f>
              <c:strCache>
                <c:ptCount val="5"/>
                <c:pt idx="0">
                  <c:v>Production </c:v>
                </c:pt>
                <c:pt idx="1">
                  <c:v>LNG demand</c:v>
                </c:pt>
                <c:pt idx="2">
                  <c:v>Residential, commerical, industrial</c:v>
                </c:pt>
                <c:pt idx="3">
                  <c:v>Gas-power generation</c:v>
                </c:pt>
                <c:pt idx="4">
                  <c:v>Shortfall</c:v>
                </c:pt>
              </c:strCache>
            </c:strRef>
          </c:cat>
          <c:val>
            <c:numRef>
              <c:f>'2 AEMO forecasts'!$E$4:$E$8</c:f>
              <c:numCache>
                <c:formatCode>General</c:formatCode>
                <c:ptCount val="5"/>
                <c:pt idx="0">
                  <c:v>1891</c:v>
                </c:pt>
                <c:pt idx="1">
                  <c:v>1303</c:v>
                </c:pt>
                <c:pt idx="2">
                  <c:v>466</c:v>
                </c:pt>
                <c:pt idx="3">
                  <c:v>176</c:v>
                </c:pt>
                <c:pt idx="4">
                  <c:v>-54</c:v>
                </c:pt>
              </c:numCache>
            </c:numRef>
          </c:val>
        </c:ser>
        <c:ser>
          <c:idx val="2"/>
          <c:order val="2"/>
          <c:tx>
            <c:strRef>
              <c:f>'2 AEMO forecasts'!$F$3</c:f>
              <c:strCache>
                <c:ptCount val="1"/>
                <c:pt idx="0">
                  <c:v>Actual</c:v>
                </c:pt>
              </c:strCache>
            </c:strRef>
          </c:tx>
          <c:spPr>
            <a:solidFill>
              <a:srgbClr val="9ED9DF"/>
            </a:solidFill>
            <a:ln>
              <a:noFill/>
            </a:ln>
            <a:effectLst/>
          </c:spPr>
          <c:invertIfNegative val="0"/>
          <c:cat>
            <c:strRef>
              <c:f>'2 AEMO forecasts'!$C$4:$C$8</c:f>
              <c:strCache>
                <c:ptCount val="5"/>
                <c:pt idx="0">
                  <c:v>Production </c:v>
                </c:pt>
                <c:pt idx="1">
                  <c:v>LNG demand</c:v>
                </c:pt>
                <c:pt idx="2">
                  <c:v>Residential, commerical, industrial</c:v>
                </c:pt>
                <c:pt idx="3">
                  <c:v>Gas-power generation</c:v>
                </c:pt>
                <c:pt idx="4">
                  <c:v>Shortfall</c:v>
                </c:pt>
              </c:strCache>
            </c:strRef>
          </c:cat>
          <c:val>
            <c:numRef>
              <c:f>'2 AEMO forecasts'!$F$4:$F$8</c:f>
              <c:numCache>
                <c:formatCode>0</c:formatCode>
                <c:ptCount val="5"/>
                <c:pt idx="0">
                  <c:v>1810.9460019999999</c:v>
                </c:pt>
                <c:pt idx="1">
                  <c:v>1237.3895</c:v>
                </c:pt>
                <c:pt idx="2">
                  <c:v>443.63640290000001</c:v>
                </c:pt>
                <c:pt idx="3">
                  <c:v>129.92009949999999</c:v>
                </c:pt>
                <c:pt idx="4" formatCode="General">
                  <c:v>-4.0000008993956726E-7</c:v>
                </c:pt>
              </c:numCache>
            </c:numRef>
          </c:val>
        </c:ser>
        <c:dLbls>
          <c:showLegendKey val="0"/>
          <c:showVal val="0"/>
          <c:showCatName val="0"/>
          <c:showSerName val="0"/>
          <c:showPercent val="0"/>
          <c:showBubbleSize val="0"/>
        </c:dLbls>
        <c:gapWidth val="219"/>
        <c:overlap val="-27"/>
        <c:axId val="1060262336"/>
        <c:axId val="1060263512"/>
      </c:barChart>
      <c:catAx>
        <c:axId val="106026233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60263512"/>
        <c:crosses val="autoZero"/>
        <c:auto val="1"/>
        <c:lblAlgn val="ctr"/>
        <c:lblOffset val="100"/>
        <c:noMultiLvlLbl val="0"/>
      </c:catAx>
      <c:valAx>
        <c:axId val="1060263512"/>
        <c:scaling>
          <c:orientation val="minMax"/>
          <c:max val="2000"/>
          <c:min val="-200"/>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Petajoules</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6026233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1"/>
          <c:order val="0"/>
          <c:tx>
            <c:strRef>
              <c:f>'3 East Coast Gas Consumption'!$C$4</c:f>
              <c:strCache>
                <c:ptCount val="1"/>
                <c:pt idx="0">
                  <c:v>Industrial</c:v>
                </c:pt>
              </c:strCache>
            </c:strRef>
          </c:tx>
          <c:spPr>
            <a:solidFill>
              <a:srgbClr val="005CAF"/>
            </a:solidFill>
            <a:ln>
              <a:noFill/>
            </a:ln>
            <a:effectLst/>
          </c:spPr>
          <c:cat>
            <c:numRef>
              <c:f>'3 East Coast Gas Consumption'!$A$9:$A$18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'3 East Coast Gas Consumption'!$C$9:$C$18</c:f>
              <c:numCache>
                <c:formatCode>General</c:formatCode>
                <c:ptCount val="10"/>
                <c:pt idx="0">
                  <c:v>290.3</c:v>
                </c:pt>
                <c:pt idx="1">
                  <c:v>276.3</c:v>
                </c:pt>
                <c:pt idx="2">
                  <c:v>262.5</c:v>
                </c:pt>
                <c:pt idx="3">
                  <c:v>255.1</c:v>
                </c:pt>
                <c:pt idx="4">
                  <c:v>253.9</c:v>
                </c:pt>
                <c:pt idx="5">
                  <c:v>261.10000000000002</c:v>
                </c:pt>
                <c:pt idx="6">
                  <c:v>258</c:v>
                </c:pt>
                <c:pt idx="7">
                  <c:v>260.5</c:v>
                </c:pt>
                <c:pt idx="8">
                  <c:v>257.39999999999998</c:v>
                </c:pt>
                <c:pt idx="9">
                  <c:v>255.7</c:v>
                </c:pt>
              </c:numCache>
            </c:numRef>
          </c:val>
          <c:extLst xmlns:c16r2="http://schemas.microsoft.com/office/drawing/2015/06/chart">
            <c:ext xmlns:c16="http://schemas.microsoft.com/office/drawing/2014/chart" uri="{C3380CC4-5D6E-409C-BE32-E72D297353CC}">
              <c16:uniqueId val="{00000000-B9AF-49D4-9D2E-E1D15CA09308}"/>
            </c:ext>
          </c:extLst>
        </c:ser>
        <c:ser>
          <c:idx val="3"/>
          <c:order val="1"/>
          <c:tx>
            <c:strRef>
              <c:f>'3 East Coast Gas Consumption'!$E$4</c:f>
              <c:strCache>
                <c:ptCount val="1"/>
                <c:pt idx="0">
                  <c:v>Residential / Commercial</c:v>
                </c:pt>
              </c:strCache>
            </c:strRef>
          </c:tx>
          <c:spPr>
            <a:solidFill>
              <a:srgbClr val="56B4DF"/>
            </a:solidFill>
            <a:ln>
              <a:noFill/>
            </a:ln>
            <a:effectLst/>
          </c:spPr>
          <c:cat>
            <c:numRef>
              <c:f>'3 East Coast Gas Consumption'!$A$9:$A$18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'3 East Coast Gas Consumption'!$E$9:$E$18</c:f>
              <c:numCache>
                <c:formatCode>General</c:formatCode>
                <c:ptCount val="10"/>
                <c:pt idx="0">
                  <c:v>175.1</c:v>
                </c:pt>
                <c:pt idx="1">
                  <c:v>192.4</c:v>
                </c:pt>
                <c:pt idx="2">
                  <c:v>187</c:v>
                </c:pt>
                <c:pt idx="3">
                  <c:v>193.2</c:v>
                </c:pt>
                <c:pt idx="4">
                  <c:v>189.7</c:v>
                </c:pt>
                <c:pt idx="5">
                  <c:v>189.8</c:v>
                </c:pt>
                <c:pt idx="6">
                  <c:v>190.5</c:v>
                </c:pt>
                <c:pt idx="7">
                  <c:v>190.7</c:v>
                </c:pt>
                <c:pt idx="8">
                  <c:v>192.2</c:v>
                </c:pt>
                <c:pt idx="9">
                  <c:v>193.4</c:v>
                </c:pt>
              </c:numCache>
            </c:numRef>
          </c:val>
          <c:extLst xmlns:c16r2="http://schemas.microsoft.com/office/drawing/2015/06/chart">
            <c:ext xmlns:c16="http://schemas.microsoft.com/office/drawing/2014/chart" uri="{C3380CC4-5D6E-409C-BE32-E72D297353CC}">
              <c16:uniqueId val="{00000001-B9AF-49D4-9D2E-E1D15CA09308}"/>
            </c:ext>
          </c:extLst>
        </c:ser>
        <c:ser>
          <c:idx val="0"/>
          <c:order val="2"/>
          <c:tx>
            <c:strRef>
              <c:f>'3 East Coast Gas Consumption'!$B$4</c:f>
              <c:strCache>
                <c:ptCount val="1"/>
                <c:pt idx="0">
                  <c:v>GPG</c:v>
                </c:pt>
              </c:strCache>
            </c:strRef>
          </c:tx>
          <c:spPr>
            <a:solidFill>
              <a:srgbClr val="9ED9DF"/>
            </a:solidFill>
            <a:ln>
              <a:noFill/>
            </a:ln>
            <a:effectLst/>
          </c:spPr>
          <c:cat>
            <c:numRef>
              <c:f>'3 East Coast Gas Consumption'!$A$9:$A$18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'3 East Coast Gas Consumption'!$B$9:$B$18</c:f>
              <c:numCache>
                <c:formatCode>General</c:formatCode>
                <c:ptCount val="10"/>
                <c:pt idx="0">
                  <c:v>220.1</c:v>
                </c:pt>
                <c:pt idx="1">
                  <c:v>175</c:v>
                </c:pt>
                <c:pt idx="2">
                  <c:v>139.1</c:v>
                </c:pt>
                <c:pt idx="3">
                  <c:v>183.8</c:v>
                </c:pt>
                <c:pt idx="4">
                  <c:v>129.9</c:v>
                </c:pt>
                <c:pt idx="5">
                  <c:v>91.4</c:v>
                </c:pt>
                <c:pt idx="6">
                  <c:v>71.900000000000006</c:v>
                </c:pt>
                <c:pt idx="7">
                  <c:v>75.599999999999994</c:v>
                </c:pt>
                <c:pt idx="8">
                  <c:v>79.599999999999994</c:v>
                </c:pt>
                <c:pt idx="9">
                  <c:v>110.4</c:v>
                </c:pt>
              </c:numCache>
            </c:numRef>
          </c:val>
          <c:extLst xmlns:c16r2="http://schemas.microsoft.com/office/drawing/2015/06/chart">
            <c:ext xmlns:c16="http://schemas.microsoft.com/office/drawing/2014/chart" uri="{C3380CC4-5D6E-409C-BE32-E72D297353CC}">
              <c16:uniqueId val="{00000002-B9AF-49D4-9D2E-E1D15CA09308}"/>
            </c:ext>
          </c:extLst>
        </c:ser>
        <c:ser>
          <c:idx val="2"/>
          <c:order val="3"/>
          <c:tx>
            <c:strRef>
              <c:f>'3 East Coast Gas Consumption'!$D$4</c:f>
              <c:strCache>
                <c:ptCount val="1"/>
                <c:pt idx="0">
                  <c:v>LNG</c:v>
                </c:pt>
              </c:strCache>
            </c:strRef>
          </c:tx>
          <c:spPr>
            <a:solidFill>
              <a:srgbClr val="BCBFC1"/>
            </a:solidFill>
            <a:ln>
              <a:noFill/>
            </a:ln>
            <a:effectLst/>
          </c:spPr>
          <c:cat>
            <c:numRef>
              <c:f>'3 East Coast Gas Consumption'!$A$9:$A$18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'3 East Coast Gas Consumption'!$D$9:$D$18</c:f>
              <c:numCache>
                <c:formatCode>General</c:formatCode>
                <c:ptCount val="10"/>
                <c:pt idx="0">
                  <c:v>4.9000000000000004</c:v>
                </c:pt>
                <c:pt idx="1">
                  <c:v>324.7</c:v>
                </c:pt>
                <c:pt idx="2">
                  <c:v>1059.9000000000001</c:v>
                </c:pt>
                <c:pt idx="3">
                  <c:v>1220.2</c:v>
                </c:pt>
                <c:pt idx="4">
                  <c:v>1237.4000000000001</c:v>
                </c:pt>
                <c:pt idx="5">
                  <c:v>1346.4</c:v>
                </c:pt>
                <c:pt idx="6">
                  <c:v>1382.4</c:v>
                </c:pt>
                <c:pt idx="7">
                  <c:v>1397.2</c:v>
                </c:pt>
                <c:pt idx="8">
                  <c:v>1408.3</c:v>
                </c:pt>
                <c:pt idx="9">
                  <c:v>1418.9</c:v>
                </c:pt>
              </c:numCache>
            </c:numRef>
          </c:val>
          <c:extLst xmlns:c16r2="http://schemas.microsoft.com/office/drawing/2015/06/chart">
            <c:ext xmlns:c16="http://schemas.microsoft.com/office/drawing/2014/chart" uri="{C3380CC4-5D6E-409C-BE32-E72D297353CC}">
              <c16:uniqueId val="{00000003-B9AF-49D4-9D2E-E1D15CA09308}"/>
            </c:ext>
          </c:extLst>
        </c:ser>
        <c:dLbls>
          <c:showLegendKey val="0"/>
          <c:showVal val="0"/>
          <c:showCatName val="0"/>
          <c:showSerName val="0"/>
          <c:showPercent val="0"/>
          <c:showBubbleSize val="0"/>
        </c:dLbls>
        <c:axId val="632312808"/>
        <c:axId val="632312416"/>
      </c:areaChart>
      <c:scatterChart>
        <c:scatterStyle val="lineMarker"/>
        <c:varyColors val="0"/>
        <c:ser>
          <c:idx val="4"/>
          <c:order val="5"/>
          <c:tx>
            <c:v>Vertical line</c:v>
          </c:tx>
          <c:spPr>
            <a:ln w="28575" cap="rnd">
              <a:solidFill>
                <a:schemeClr val="tx1"/>
              </a:solidFill>
              <a:prstDash val="dash"/>
              <a:round/>
            </a:ln>
            <a:effectLst/>
          </c:spPr>
          <c:marker>
            <c:symbol val="none"/>
          </c:marker>
          <c:xVal>
            <c:numRef>
              <c:f>'3 East Coast Gas Consumption'!$B$39:$B$40</c:f>
              <c:numCache>
                <c:formatCode>General</c:formatCode>
                <c:ptCount val="2"/>
                <c:pt idx="0">
                  <c:v>5.5</c:v>
                </c:pt>
                <c:pt idx="1">
                  <c:v>5.5</c:v>
                </c:pt>
              </c:numCache>
            </c:numRef>
          </c:xVal>
          <c:yVal>
            <c:numRef>
              <c:f>'3 East Coast Gas Consumption'!$C$39:$C$40</c:f>
              <c:numCache>
                <c:formatCode>General</c:formatCode>
                <c:ptCount val="2"/>
                <c:pt idx="0">
                  <c:v>0</c:v>
                </c:pt>
                <c:pt idx="1">
                  <c:v>1</c:v>
                </c:pt>
              </c:numCache>
            </c:numRef>
          </c:yVal>
          <c:smooth val="0"/>
        </c:ser>
        <c:dLbls>
          <c:showLegendKey val="0"/>
          <c:showVal val="0"/>
          <c:showCatName val="0"/>
          <c:showSerName val="0"/>
          <c:showPercent val="0"/>
          <c:showBubbleSize val="0"/>
        </c:dLbls>
        <c:axId val="632218024"/>
        <c:axId val="632313592"/>
        <c:extLst>
          <c:ext xmlns:c15="http://schemas.microsoft.com/office/drawing/2012/chart" uri="{02D57815-91ED-43cb-92C2-25804820EDAC}">
            <c15:filteredScatterSeries>
              <c15:ser>
                <c:idx val="6"/>
                <c:order val="4"/>
                <c:tx>
                  <c:strRef>
                    <c:extLst>
                      <c:ext uri="{02D57815-91ED-43cb-92C2-25804820EDAC}">
                        <c15:formulaRef>
                          <c15:sqref>'3 East Coast Gas Consumption'!$G$4</c15:sqref>
                        </c15:formulaRef>
                      </c:ext>
                    </c:extLst>
                    <c:strCache>
                      <c:ptCount val="1"/>
                    </c:strCache>
                  </c:strRef>
                </c:tx>
                <c:spPr>
                  <a:ln w="28575" cap="rnd">
                    <a:solidFill>
                      <a:schemeClr val="accent1">
                        <a:lumMod val="60000"/>
                      </a:schemeClr>
                    </a:solidFill>
                    <a:round/>
                  </a:ln>
                  <a:effectLst/>
                </c:spPr>
                <c:marker>
                  <c:symbol val="circle"/>
                  <c:size val="5"/>
                  <c:spPr>
                    <a:solidFill>
                      <a:schemeClr val="accent6"/>
                    </a:solidFill>
                    <a:ln w="9525">
                      <a:solidFill>
                        <a:schemeClr val="tx2"/>
                      </a:solidFill>
                    </a:ln>
                    <a:effectLst/>
                  </c:spPr>
                </c:marker>
                <c:yVal>
                  <c:numRef>
                    <c:extLst>
                      <c:ext uri="{02D57815-91ED-43cb-92C2-25804820EDAC}">
                        <c15:formulaRef>
                          <c15:sqref>'3 East Coast Gas Consumption'!$G$9:$G$18</c15:sqref>
                        </c15:formulaRef>
                      </c:ext>
                    </c:extLst>
                    <c:numCache>
                      <c:formatCode>General</c:formatCode>
                      <c:ptCount val="10"/>
                    </c:numCache>
                  </c:numRef>
                </c:yVal>
                <c:smooth val="0"/>
                <c:extLst xmlns:c16r2="http://schemas.microsoft.com/office/drawing/2015/06/chart">
                  <c:ext xmlns:c16="http://schemas.microsoft.com/office/drawing/2014/chart" uri="{C3380CC4-5D6E-409C-BE32-E72D297353CC}">
                    <c16:uniqueId val="{00000005-B9AF-49D4-9D2E-E1D15CA09308}"/>
                  </c:ext>
                </c:extLst>
              </c15:ser>
            </c15:filteredScatterSeries>
          </c:ext>
        </c:extLst>
      </c:scatterChart>
      <c:catAx>
        <c:axId val="632312808"/>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0" spcFirstLastPara="1" vertOverflow="ellipsis" wrap="square" anchor="ctr" anchorCtr="1"/>
          <a:lstStyle/>
          <a:p>
            <a:pPr>
              <a:defRPr sz="900" b="0" i="0" u="none" strike="noStrike" kern="1200" baseline="0">
                <a:solidFill>
                  <a:srgbClr val="595A5B"/>
                </a:solidFill>
                <a:latin typeface="Arial"/>
                <a:ea typeface="Arial"/>
                <a:cs typeface="Arial"/>
              </a:defRPr>
            </a:pPr>
            <a:endParaRPr lang="en-US"/>
          </a:p>
        </c:txPr>
        <c:crossAx val="632312416"/>
        <c:crosses val="autoZero"/>
        <c:auto val="1"/>
        <c:lblAlgn val="ctr"/>
        <c:lblOffset val="100"/>
        <c:noMultiLvlLbl val="0"/>
      </c:catAx>
      <c:valAx>
        <c:axId val="632312416"/>
        <c:scaling>
          <c:orientation val="minMax"/>
          <c:max val="2250"/>
          <c:min val="0"/>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a:ea typeface="Arial"/>
                    <a:cs typeface="Arial"/>
                  </a:defRPr>
                </a:pPr>
                <a:r>
                  <a:rPr lang="en-US"/>
                  <a:t>Petajoules</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a:ea typeface="Arial"/>
                  <a:cs typeface="Arial"/>
                </a:defRPr>
              </a:pPr>
              <a:endParaRPr lang="en-US"/>
            </a:p>
          </c:txPr>
        </c:title>
        <c:numFmt formatCode="#,##0" sourceLinked="0"/>
        <c:majorTickMark val="out"/>
        <c:minorTickMark val="none"/>
        <c:tickLblPos val="nextTo"/>
        <c:spPr>
          <a:noFill/>
          <a:ln w="3175">
            <a:solidFill>
              <a:srgbClr val="BCBFC1"/>
            </a:solidFill>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32312808"/>
        <c:crosses val="autoZero"/>
        <c:crossBetween val="between"/>
        <c:majorUnit val="250"/>
      </c:valAx>
      <c:valAx>
        <c:axId val="632313592"/>
        <c:scaling>
          <c:orientation val="minMax"/>
          <c:max val="1"/>
        </c:scaling>
        <c:delete val="0"/>
        <c:axPos val="r"/>
        <c:numFmt formatCode="General" sourceLinked="1"/>
        <c:majorTickMark val="out"/>
        <c:minorTickMark val="none"/>
        <c:tickLblPos val="none"/>
        <c:spPr>
          <a:noFill/>
          <a:ln w="9525" cap="flat" cmpd="sng" algn="ctr">
            <a:no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32218024"/>
        <c:crosses val="max"/>
        <c:crossBetween val="midCat"/>
      </c:valAx>
      <c:valAx>
        <c:axId val="632218024"/>
        <c:scaling>
          <c:orientation val="minMax"/>
        </c:scaling>
        <c:delete val="1"/>
        <c:axPos val="b"/>
        <c:numFmt formatCode="General" sourceLinked="1"/>
        <c:majorTickMark val="out"/>
        <c:minorTickMark val="none"/>
        <c:tickLblPos val="nextTo"/>
        <c:crossAx val="632313592"/>
        <c:crosses val="autoZero"/>
        <c:crossBetween val="midCat"/>
      </c:valAx>
      <c:spPr>
        <a:noFill/>
        <a:ln w="25400">
          <a:noFill/>
        </a:ln>
        <a:effectLst/>
      </c:spPr>
    </c:plotArea>
    <c:legend>
      <c:legendPos val="b"/>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1"/>
          <c:order val="0"/>
          <c:tx>
            <c:strRef>
              <c:f>'4 East Coast Gas Supply'!$A$41</c:f>
              <c:strCache>
                <c:ptCount val="1"/>
                <c:pt idx="0">
                  <c:v>North</c:v>
                </c:pt>
              </c:strCache>
            </c:strRef>
          </c:tx>
          <c:spPr>
            <a:solidFill>
              <a:srgbClr val="005CAF"/>
            </a:solidFill>
            <a:ln>
              <a:noFill/>
            </a:ln>
            <a:effectLst/>
          </c:spPr>
          <c:cat>
            <c:numRef>
              <c:f>'4 East Coast Gas Supply'!$B$39:$K$39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'4 East Coast Gas Supply'!$B$41:$K$41</c:f>
              <c:numCache>
                <c:formatCode>0</c:formatCode>
                <c:ptCount val="10"/>
                <c:pt idx="0">
                  <c:v>253.46500000000003</c:v>
                </c:pt>
                <c:pt idx="1">
                  <c:v>576.02500000000009</c:v>
                </c:pt>
                <c:pt idx="2">
                  <c:v>1110.527</c:v>
                </c:pt>
                <c:pt idx="3">
                  <c:v>1288.0049999999999</c:v>
                </c:pt>
                <c:pt idx="4">
                  <c:v>1353.8040000000001</c:v>
                </c:pt>
                <c:pt idx="5">
                  <c:v>1545.1999999999998</c:v>
                </c:pt>
                <c:pt idx="6">
                  <c:v>1587.3</c:v>
                </c:pt>
                <c:pt idx="7">
                  <c:v>1665.3000000000002</c:v>
                </c:pt>
                <c:pt idx="8">
                  <c:v>1662.8</c:v>
                </c:pt>
                <c:pt idx="9">
                  <c:v>1680.2</c:v>
                </c:pt>
              </c:numCache>
            </c:numRef>
          </c:val>
        </c:ser>
        <c:ser>
          <c:idx val="0"/>
          <c:order val="1"/>
          <c:tx>
            <c:strRef>
              <c:f>'4 East Coast Gas Supply'!$A$40</c:f>
              <c:strCache>
                <c:ptCount val="1"/>
                <c:pt idx="0">
                  <c:v>South</c:v>
                </c:pt>
              </c:strCache>
            </c:strRef>
          </c:tx>
          <c:spPr>
            <a:solidFill>
              <a:srgbClr val="56B4DF"/>
            </a:solidFill>
            <a:ln>
              <a:noFill/>
            </a:ln>
            <a:effectLst/>
          </c:spPr>
          <c:cat>
            <c:numRef>
              <c:f>'4 East Coast Gas Supply'!$B$39:$K$39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'4 East Coast Gas Supply'!$B$40:$K$40</c:f>
              <c:numCache>
                <c:formatCode>0</c:formatCode>
                <c:ptCount val="10"/>
                <c:pt idx="0">
                  <c:v>417.05700000000002</c:v>
                </c:pt>
                <c:pt idx="1">
                  <c:v>431.66199999999998</c:v>
                </c:pt>
                <c:pt idx="2">
                  <c:v>513.96500000000003</c:v>
                </c:pt>
                <c:pt idx="3">
                  <c:v>532.33600000000001</c:v>
                </c:pt>
                <c:pt idx="4">
                  <c:v>438.41500000000002</c:v>
                </c:pt>
                <c:pt idx="5">
                  <c:v>360.1</c:v>
                </c:pt>
                <c:pt idx="6">
                  <c:v>332.00000000000006</c:v>
                </c:pt>
                <c:pt idx="7">
                  <c:v>275.39999999999998</c:v>
                </c:pt>
                <c:pt idx="8">
                  <c:v>291.3</c:v>
                </c:pt>
                <c:pt idx="9">
                  <c:v>315.3</c:v>
                </c:pt>
              </c:numCache>
            </c:numRef>
          </c:val>
        </c:ser>
        <c:dLbls>
          <c:showLegendKey val="0"/>
          <c:showVal val="0"/>
          <c:showCatName val="0"/>
          <c:showSerName val="0"/>
          <c:showPercent val="0"/>
          <c:showBubbleSize val="0"/>
        </c:dLbls>
        <c:axId val="1054673816"/>
        <c:axId val="1054672248"/>
      </c:areaChart>
      <c:lineChart>
        <c:grouping val="standard"/>
        <c:varyColors val="0"/>
        <c:ser>
          <c:idx val="3"/>
          <c:order val="3"/>
          <c:tx>
            <c:strRef>
              <c:f>'4 East Coast Gas Supply'!$A$42</c:f>
              <c:strCache>
                <c:ptCount val="1"/>
                <c:pt idx="0">
                  <c:v>LNG consumption</c:v>
                </c:pt>
              </c:strCache>
            </c:strRef>
          </c:tx>
          <c:spPr>
            <a:ln w="28575" cap="rnd">
              <a:solidFill>
                <a:srgbClr val="BCBFC1"/>
              </a:solidFill>
              <a:round/>
            </a:ln>
            <a:effectLst/>
          </c:spPr>
          <c:marker>
            <c:symbol val="none"/>
          </c:marker>
          <c:cat>
            <c:numRef>
              <c:f>'4 East Coast Gas Supply'!$B$39:$K$39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'4 East Coast Gas Supply'!$B$42:$K$42</c:f>
              <c:numCache>
                <c:formatCode>0</c:formatCode>
                <c:ptCount val="10"/>
                <c:pt idx="0">
                  <c:v>4.9000000000000004</c:v>
                </c:pt>
                <c:pt idx="1">
                  <c:v>324.7</c:v>
                </c:pt>
                <c:pt idx="2">
                  <c:v>1059.9000000000001</c:v>
                </c:pt>
                <c:pt idx="3">
                  <c:v>1220.2</c:v>
                </c:pt>
                <c:pt idx="4">
                  <c:v>1237.4000000000001</c:v>
                </c:pt>
                <c:pt idx="5">
                  <c:v>1346.4</c:v>
                </c:pt>
                <c:pt idx="6">
                  <c:v>1382.4</c:v>
                </c:pt>
                <c:pt idx="7">
                  <c:v>1397.2</c:v>
                </c:pt>
                <c:pt idx="8">
                  <c:v>1408.3</c:v>
                </c:pt>
                <c:pt idx="9">
                  <c:v>1418.9</c:v>
                </c:pt>
              </c:numCache>
            </c:numRef>
          </c:val>
          <c:smooth val="0"/>
        </c:ser>
        <c:dLbls>
          <c:showLegendKey val="0"/>
          <c:showVal val="0"/>
          <c:showCatName val="0"/>
          <c:showSerName val="0"/>
          <c:showPercent val="0"/>
          <c:showBubbleSize val="0"/>
        </c:dLbls>
        <c:marker val="1"/>
        <c:smooth val="0"/>
        <c:axId val="1054673816"/>
        <c:axId val="1054672248"/>
      </c:lineChart>
      <c:scatterChart>
        <c:scatterStyle val="lineMarker"/>
        <c:varyColors val="0"/>
        <c:ser>
          <c:idx val="2"/>
          <c:order val="2"/>
          <c:tx>
            <c:v>Vertical line</c:v>
          </c:tx>
          <c:spPr>
            <a:ln w="28575" cap="rnd">
              <a:solidFill>
                <a:schemeClr val="tx1"/>
              </a:solidFill>
              <a:prstDash val="dash"/>
              <a:round/>
            </a:ln>
            <a:effectLst/>
          </c:spPr>
          <c:marker>
            <c:symbol val="none"/>
          </c:marker>
          <c:xVal>
            <c:numRef>
              <c:f>'4 East Coast Gas Supply'!$B$46:$B$47</c:f>
              <c:numCache>
                <c:formatCode>General</c:formatCode>
                <c:ptCount val="2"/>
                <c:pt idx="0">
                  <c:v>5.5</c:v>
                </c:pt>
                <c:pt idx="1">
                  <c:v>5.5</c:v>
                </c:pt>
              </c:numCache>
            </c:numRef>
          </c:xVal>
          <c:yVal>
            <c:numRef>
              <c:f>'4 East Coast Gas Supply'!$C$46:$C$47</c:f>
              <c:numCache>
                <c:formatCode>General</c:formatCode>
                <c:ptCount val="2"/>
                <c:pt idx="0">
                  <c:v>0</c:v>
                </c:pt>
                <c:pt idx="1">
                  <c:v>1</c:v>
                </c:pt>
              </c:numCache>
            </c:numRef>
          </c:yVal>
          <c:smooth val="0"/>
        </c:ser>
        <c:dLbls>
          <c:showLegendKey val="0"/>
          <c:showVal val="0"/>
          <c:showCatName val="0"/>
          <c:showSerName val="0"/>
          <c:showPercent val="0"/>
          <c:showBubbleSize val="0"/>
        </c:dLbls>
        <c:axId val="1054673424"/>
        <c:axId val="1054674208"/>
      </c:scatterChart>
      <c:catAx>
        <c:axId val="1054673816"/>
        <c:scaling>
          <c:orientation val="minMax"/>
        </c:scaling>
        <c:delete val="0"/>
        <c:axPos val="b"/>
        <c:numFmt formatCode="General" sourceLinked="1"/>
        <c:majorTickMark val="out"/>
        <c:minorTickMark val="none"/>
        <c:tickLblPos val="nextTo"/>
        <c:spPr>
          <a:noFill/>
          <a:ln w="952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54672248"/>
        <c:crosses val="autoZero"/>
        <c:auto val="1"/>
        <c:lblAlgn val="ctr"/>
        <c:lblOffset val="100"/>
        <c:noMultiLvlLbl val="0"/>
      </c:catAx>
      <c:valAx>
        <c:axId val="105467224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Petajoules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54673816"/>
        <c:crosses val="autoZero"/>
        <c:crossBetween val="between"/>
      </c:valAx>
      <c:valAx>
        <c:axId val="1054674208"/>
        <c:scaling>
          <c:orientation val="minMax"/>
          <c:max val="1"/>
        </c:scaling>
        <c:delete val="0"/>
        <c:axPos val="r"/>
        <c:numFmt formatCode="General" sourceLinked="1"/>
        <c:majorTickMark val="out"/>
        <c:minorTickMark val="none"/>
        <c:tickLblPos val="none"/>
        <c:spPr>
          <a:noFill/>
          <a:ln w="9525" cap="flat" cmpd="sng" algn="ctr">
            <a:no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54673424"/>
        <c:crosses val="max"/>
        <c:crossBetween val="midCat"/>
      </c:valAx>
      <c:valAx>
        <c:axId val="1054673424"/>
        <c:scaling>
          <c:orientation val="minMax"/>
        </c:scaling>
        <c:delete val="1"/>
        <c:axPos val="b"/>
        <c:numFmt formatCode="General" sourceLinked="1"/>
        <c:majorTickMark val="out"/>
        <c:minorTickMark val="none"/>
        <c:tickLblPos val="nextTo"/>
        <c:crossAx val="1054674208"/>
        <c:crosses val="autoZero"/>
        <c:crossBetween val="midCat"/>
      </c:valAx>
      <c:spPr>
        <a:noFill/>
        <a:ln>
          <a:noFill/>
        </a:ln>
        <a:effectLst/>
      </c:spPr>
    </c:plotArea>
    <c:legend>
      <c:legendPos val="b"/>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4"/>
          <c:order val="0"/>
          <c:spPr>
            <a:ln w="38100" cap="rnd">
              <a:solidFill>
                <a:schemeClr val="bg2"/>
              </a:solidFill>
              <a:round/>
            </a:ln>
            <a:effectLst/>
          </c:spPr>
          <c:marker>
            <c:symbol val="none"/>
          </c:marker>
          <c:cat>
            <c:numRef>
              <c:f>'6 Flows along SWQP'!$R$31:$R$32</c:f>
              <c:numCache>
                <c:formatCode>0%</c:formatCode>
                <c:ptCount val="2"/>
                <c:pt idx="0">
                  <c:v>0</c:v>
                </c:pt>
                <c:pt idx="1">
                  <c:v>370</c:v>
                </c:pt>
              </c:numCache>
            </c:numRef>
          </c:cat>
          <c:val>
            <c:numRef>
              <c:f>'6 Flows along SWQP'!$AJ$1:$AJ$366</c:f>
              <c:numCache>
                <c:formatCode>General</c:formatCode>
                <c:ptCount val="36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numCache>
            </c:numRef>
          </c:val>
          <c:smooth val="0"/>
        </c:ser>
        <c:ser>
          <c:idx val="0"/>
          <c:order val="1"/>
          <c:tx>
            <c:strRef>
              <c:f>'6 Flows along SWQP'!$I$1</c:f>
              <c:strCache>
                <c:ptCount val="1"/>
                <c:pt idx="0">
                  <c:v>2014-15</c:v>
                </c:pt>
              </c:strCache>
            </c:strRef>
          </c:tx>
          <c:spPr>
            <a:ln w="28575" cap="rnd">
              <a:solidFill>
                <a:srgbClr val="51B7A4"/>
              </a:solidFill>
              <a:round/>
            </a:ln>
            <a:effectLst/>
          </c:spPr>
          <c:marker>
            <c:symbol val="none"/>
          </c:marker>
          <c:cat>
            <c:numRef>
              <c:f>'6 Flows along SWQP'!$A$2:$A$367</c:f>
              <c:numCache>
                <c:formatCode>General</c:formatCode>
                <c:ptCount val="366"/>
                <c:pt idx="17" formatCode="0%">
                  <c:v>0.05</c:v>
                </c:pt>
                <c:pt idx="35" formatCode="0%">
                  <c:v>0.1</c:v>
                </c:pt>
                <c:pt idx="54" formatCode="0%">
                  <c:v>0.15</c:v>
                </c:pt>
                <c:pt idx="72" formatCode="0%">
                  <c:v>0.2</c:v>
                </c:pt>
                <c:pt idx="90" formatCode="0%">
                  <c:v>0.25</c:v>
                </c:pt>
                <c:pt idx="108" formatCode="0%">
                  <c:v>0.3</c:v>
                </c:pt>
                <c:pt idx="127" formatCode="0%">
                  <c:v>0.35</c:v>
                </c:pt>
                <c:pt idx="145" formatCode="0%">
                  <c:v>0.4</c:v>
                </c:pt>
                <c:pt idx="163" formatCode="0%">
                  <c:v>0.45</c:v>
                </c:pt>
                <c:pt idx="181" formatCode="0%">
                  <c:v>0.5</c:v>
                </c:pt>
                <c:pt idx="200" formatCode="0%">
                  <c:v>0.55000000000000004</c:v>
                </c:pt>
                <c:pt idx="218" formatCode="0%">
                  <c:v>0.6</c:v>
                </c:pt>
                <c:pt idx="236" formatCode="0%">
                  <c:v>0.65</c:v>
                </c:pt>
                <c:pt idx="254" formatCode="0%">
                  <c:v>0.7</c:v>
                </c:pt>
                <c:pt idx="273" formatCode="0%">
                  <c:v>0.75</c:v>
                </c:pt>
                <c:pt idx="291" formatCode="0%">
                  <c:v>0.8</c:v>
                </c:pt>
                <c:pt idx="309" formatCode="0%">
                  <c:v>0.85</c:v>
                </c:pt>
                <c:pt idx="327" formatCode="0%">
                  <c:v>0.9</c:v>
                </c:pt>
                <c:pt idx="346" formatCode="0%">
                  <c:v>0.95</c:v>
                </c:pt>
              </c:numCache>
            </c:numRef>
          </c:cat>
          <c:val>
            <c:numRef>
              <c:f>'6 Flows along SWQP'!$I$2:$I$367</c:f>
              <c:numCache>
                <c:formatCode>General</c:formatCode>
                <c:ptCount val="366"/>
                <c:pt idx="0">
                  <c:v>113.3</c:v>
                </c:pt>
                <c:pt idx="1">
                  <c:v>108.3</c:v>
                </c:pt>
                <c:pt idx="2">
                  <c:v>99.7</c:v>
                </c:pt>
                <c:pt idx="3">
                  <c:v>92.5</c:v>
                </c:pt>
                <c:pt idx="4">
                  <c:v>78</c:v>
                </c:pt>
                <c:pt idx="5">
                  <c:v>77.3</c:v>
                </c:pt>
                <c:pt idx="6">
                  <c:v>76.5</c:v>
                </c:pt>
                <c:pt idx="7">
                  <c:v>68.5</c:v>
                </c:pt>
                <c:pt idx="8">
                  <c:v>65.099999999999994</c:v>
                </c:pt>
                <c:pt idx="9">
                  <c:v>53.9</c:v>
                </c:pt>
                <c:pt idx="10">
                  <c:v>48.8</c:v>
                </c:pt>
                <c:pt idx="11">
                  <c:v>44.9</c:v>
                </c:pt>
                <c:pt idx="12">
                  <c:v>44</c:v>
                </c:pt>
                <c:pt idx="13">
                  <c:v>43.9</c:v>
                </c:pt>
                <c:pt idx="14">
                  <c:v>43.6</c:v>
                </c:pt>
                <c:pt idx="15">
                  <c:v>43.6</c:v>
                </c:pt>
                <c:pt idx="16">
                  <c:v>38.6</c:v>
                </c:pt>
                <c:pt idx="17">
                  <c:v>37.200000000000003</c:v>
                </c:pt>
                <c:pt idx="18">
                  <c:v>36.9</c:v>
                </c:pt>
                <c:pt idx="19">
                  <c:v>36.200000000000003</c:v>
                </c:pt>
                <c:pt idx="20">
                  <c:v>36</c:v>
                </c:pt>
                <c:pt idx="21">
                  <c:v>35.9</c:v>
                </c:pt>
                <c:pt idx="22">
                  <c:v>32.700000000000003</c:v>
                </c:pt>
                <c:pt idx="23">
                  <c:v>32.299999999999997</c:v>
                </c:pt>
                <c:pt idx="24">
                  <c:v>30.5</c:v>
                </c:pt>
                <c:pt idx="25">
                  <c:v>27.3</c:v>
                </c:pt>
                <c:pt idx="26">
                  <c:v>24.1</c:v>
                </c:pt>
                <c:pt idx="27">
                  <c:v>23.4</c:v>
                </c:pt>
                <c:pt idx="28">
                  <c:v>22.4</c:v>
                </c:pt>
                <c:pt idx="29">
                  <c:v>19.3</c:v>
                </c:pt>
                <c:pt idx="30">
                  <c:v>17.899999999999999</c:v>
                </c:pt>
                <c:pt idx="31">
                  <c:v>15.2</c:v>
                </c:pt>
                <c:pt idx="32">
                  <c:v>13.5</c:v>
                </c:pt>
                <c:pt idx="33">
                  <c:v>11.8</c:v>
                </c:pt>
                <c:pt idx="34">
                  <c:v>10.8</c:v>
                </c:pt>
                <c:pt idx="35">
                  <c:v>9.6</c:v>
                </c:pt>
                <c:pt idx="36">
                  <c:v>8.8000000000000007</c:v>
                </c:pt>
                <c:pt idx="37">
                  <c:v>7.7</c:v>
                </c:pt>
                <c:pt idx="38">
                  <c:v>6.6</c:v>
                </c:pt>
                <c:pt idx="39">
                  <c:v>1.3</c:v>
                </c:pt>
                <c:pt idx="40">
                  <c:v>-1</c:v>
                </c:pt>
                <c:pt idx="41">
                  <c:v>-2.9</c:v>
                </c:pt>
                <c:pt idx="42">
                  <c:v>-4</c:v>
                </c:pt>
                <c:pt idx="43">
                  <c:v>-4.7</c:v>
                </c:pt>
                <c:pt idx="44">
                  <c:v>-5</c:v>
                </c:pt>
                <c:pt idx="45">
                  <c:v>-5.0999999999999996</c:v>
                </c:pt>
                <c:pt idx="46">
                  <c:v>-5.4</c:v>
                </c:pt>
                <c:pt idx="47">
                  <c:v>-7</c:v>
                </c:pt>
                <c:pt idx="48">
                  <c:v>-7.7</c:v>
                </c:pt>
                <c:pt idx="49">
                  <c:v>-9.4</c:v>
                </c:pt>
                <c:pt idx="50">
                  <c:v>-10</c:v>
                </c:pt>
                <c:pt idx="51">
                  <c:v>-10</c:v>
                </c:pt>
                <c:pt idx="52">
                  <c:v>-11.7</c:v>
                </c:pt>
                <c:pt idx="53">
                  <c:v>-12.4</c:v>
                </c:pt>
                <c:pt idx="54">
                  <c:v>-12.7</c:v>
                </c:pt>
                <c:pt idx="55">
                  <c:v>-13</c:v>
                </c:pt>
                <c:pt idx="56">
                  <c:v>-14.9</c:v>
                </c:pt>
                <c:pt idx="57">
                  <c:v>-15.3</c:v>
                </c:pt>
                <c:pt idx="58">
                  <c:v>-16</c:v>
                </c:pt>
                <c:pt idx="59">
                  <c:v>-16.399999999999999</c:v>
                </c:pt>
                <c:pt idx="60">
                  <c:v>-17.899999999999999</c:v>
                </c:pt>
                <c:pt idx="61">
                  <c:v>-19.3</c:v>
                </c:pt>
                <c:pt idx="62">
                  <c:v>-19.7</c:v>
                </c:pt>
                <c:pt idx="63">
                  <c:v>-20.2</c:v>
                </c:pt>
                <c:pt idx="64">
                  <c:v>-20.3</c:v>
                </c:pt>
                <c:pt idx="65">
                  <c:v>-20.399999999999999</c:v>
                </c:pt>
                <c:pt idx="66">
                  <c:v>-20.6</c:v>
                </c:pt>
                <c:pt idx="67">
                  <c:v>-21.1</c:v>
                </c:pt>
                <c:pt idx="68">
                  <c:v>-21.4</c:v>
                </c:pt>
                <c:pt idx="69">
                  <c:v>-22</c:v>
                </c:pt>
                <c:pt idx="70">
                  <c:v>-22.1</c:v>
                </c:pt>
                <c:pt idx="71">
                  <c:v>-23.8</c:v>
                </c:pt>
                <c:pt idx="72">
                  <c:v>-23.8</c:v>
                </c:pt>
                <c:pt idx="73">
                  <c:v>-25.4</c:v>
                </c:pt>
                <c:pt idx="74">
                  <c:v>-27.9</c:v>
                </c:pt>
                <c:pt idx="75">
                  <c:v>-28.2</c:v>
                </c:pt>
                <c:pt idx="76">
                  <c:v>-28.8</c:v>
                </c:pt>
                <c:pt idx="77">
                  <c:v>-29.3</c:v>
                </c:pt>
                <c:pt idx="78">
                  <c:v>-33.5</c:v>
                </c:pt>
                <c:pt idx="79">
                  <c:v>-37.5</c:v>
                </c:pt>
                <c:pt idx="80">
                  <c:v>-37.9</c:v>
                </c:pt>
                <c:pt idx="81">
                  <c:v>-38.799999999999997</c:v>
                </c:pt>
                <c:pt idx="82">
                  <c:v>-40.200000000000003</c:v>
                </c:pt>
                <c:pt idx="83">
                  <c:v>-41.1</c:v>
                </c:pt>
                <c:pt idx="84">
                  <c:v>-42.1</c:v>
                </c:pt>
                <c:pt idx="85">
                  <c:v>-42.4</c:v>
                </c:pt>
                <c:pt idx="86">
                  <c:v>-42.5</c:v>
                </c:pt>
                <c:pt idx="87">
                  <c:v>-42.7</c:v>
                </c:pt>
                <c:pt idx="88">
                  <c:v>-44.8</c:v>
                </c:pt>
                <c:pt idx="89">
                  <c:v>-44.9</c:v>
                </c:pt>
                <c:pt idx="90">
                  <c:v>-45.5</c:v>
                </c:pt>
                <c:pt idx="91">
                  <c:v>-45.9</c:v>
                </c:pt>
                <c:pt idx="92">
                  <c:v>-46.3</c:v>
                </c:pt>
                <c:pt idx="93">
                  <c:v>-46.4</c:v>
                </c:pt>
                <c:pt idx="94">
                  <c:v>-47.4</c:v>
                </c:pt>
                <c:pt idx="95">
                  <c:v>-48.6</c:v>
                </c:pt>
                <c:pt idx="96">
                  <c:v>-48.8</c:v>
                </c:pt>
                <c:pt idx="97">
                  <c:v>-49.5</c:v>
                </c:pt>
                <c:pt idx="98">
                  <c:v>-50.2</c:v>
                </c:pt>
                <c:pt idx="99">
                  <c:v>-50.9</c:v>
                </c:pt>
                <c:pt idx="100">
                  <c:v>-54.4</c:v>
                </c:pt>
                <c:pt idx="101">
                  <c:v>-55.1</c:v>
                </c:pt>
                <c:pt idx="102">
                  <c:v>-55.2</c:v>
                </c:pt>
                <c:pt idx="103">
                  <c:v>-56</c:v>
                </c:pt>
                <c:pt idx="104">
                  <c:v>-59.2</c:v>
                </c:pt>
                <c:pt idx="105">
                  <c:v>-59.4</c:v>
                </c:pt>
                <c:pt idx="106">
                  <c:v>-59.7</c:v>
                </c:pt>
                <c:pt idx="107">
                  <c:v>-61.1</c:v>
                </c:pt>
                <c:pt idx="108">
                  <c:v>-61.7</c:v>
                </c:pt>
                <c:pt idx="109">
                  <c:v>-62.5</c:v>
                </c:pt>
                <c:pt idx="110">
                  <c:v>-64</c:v>
                </c:pt>
                <c:pt idx="111">
                  <c:v>-64.400000000000006</c:v>
                </c:pt>
                <c:pt idx="112">
                  <c:v>-64.400000000000006</c:v>
                </c:pt>
                <c:pt idx="113">
                  <c:v>-65</c:v>
                </c:pt>
                <c:pt idx="114">
                  <c:v>-65.3</c:v>
                </c:pt>
                <c:pt idx="115">
                  <c:v>-65.599999999999994</c:v>
                </c:pt>
                <c:pt idx="116">
                  <c:v>-65.8</c:v>
                </c:pt>
                <c:pt idx="117">
                  <c:v>-67.7</c:v>
                </c:pt>
                <c:pt idx="118">
                  <c:v>-68.900000000000006</c:v>
                </c:pt>
                <c:pt idx="119">
                  <c:v>-69.099999999999994</c:v>
                </c:pt>
                <c:pt idx="120">
                  <c:v>-71.900000000000006</c:v>
                </c:pt>
                <c:pt idx="121">
                  <c:v>-72.900000000000006</c:v>
                </c:pt>
                <c:pt idx="122">
                  <c:v>-74.3</c:v>
                </c:pt>
                <c:pt idx="123">
                  <c:v>-76</c:v>
                </c:pt>
                <c:pt idx="124">
                  <c:v>-77.400000000000006</c:v>
                </c:pt>
                <c:pt idx="125">
                  <c:v>-78.2</c:v>
                </c:pt>
                <c:pt idx="126">
                  <c:v>-78.5</c:v>
                </c:pt>
                <c:pt idx="127">
                  <c:v>-78.5</c:v>
                </c:pt>
                <c:pt idx="128">
                  <c:v>-78.599999999999994</c:v>
                </c:pt>
                <c:pt idx="129">
                  <c:v>-79</c:v>
                </c:pt>
                <c:pt idx="130">
                  <c:v>-79.599999999999994</c:v>
                </c:pt>
                <c:pt idx="131">
                  <c:v>-80.099999999999994</c:v>
                </c:pt>
                <c:pt idx="132">
                  <c:v>-81.599999999999994</c:v>
                </c:pt>
                <c:pt idx="133">
                  <c:v>-81.7</c:v>
                </c:pt>
                <c:pt idx="134">
                  <c:v>-82.2</c:v>
                </c:pt>
                <c:pt idx="135">
                  <c:v>-82.6</c:v>
                </c:pt>
                <c:pt idx="136">
                  <c:v>-83.5</c:v>
                </c:pt>
                <c:pt idx="137">
                  <c:v>-83.9</c:v>
                </c:pt>
                <c:pt idx="138">
                  <c:v>-84</c:v>
                </c:pt>
                <c:pt idx="139">
                  <c:v>-84.1</c:v>
                </c:pt>
                <c:pt idx="140">
                  <c:v>-84.8</c:v>
                </c:pt>
                <c:pt idx="141">
                  <c:v>-85.3</c:v>
                </c:pt>
                <c:pt idx="142">
                  <c:v>-85.4</c:v>
                </c:pt>
                <c:pt idx="143">
                  <c:v>-86</c:v>
                </c:pt>
                <c:pt idx="144">
                  <c:v>-86.5</c:v>
                </c:pt>
                <c:pt idx="145">
                  <c:v>-86.5</c:v>
                </c:pt>
                <c:pt idx="146">
                  <c:v>-87</c:v>
                </c:pt>
                <c:pt idx="147">
                  <c:v>-87.8</c:v>
                </c:pt>
                <c:pt idx="148">
                  <c:v>-88.4</c:v>
                </c:pt>
                <c:pt idx="149">
                  <c:v>-88.9</c:v>
                </c:pt>
                <c:pt idx="150">
                  <c:v>-89.3</c:v>
                </c:pt>
                <c:pt idx="151">
                  <c:v>-90.5</c:v>
                </c:pt>
                <c:pt idx="152">
                  <c:v>-90.6</c:v>
                </c:pt>
                <c:pt idx="153">
                  <c:v>-90.9</c:v>
                </c:pt>
                <c:pt idx="154">
                  <c:v>-91.4</c:v>
                </c:pt>
                <c:pt idx="155">
                  <c:v>-91.5</c:v>
                </c:pt>
                <c:pt idx="156">
                  <c:v>-92.2</c:v>
                </c:pt>
                <c:pt idx="157">
                  <c:v>-93.4</c:v>
                </c:pt>
                <c:pt idx="158">
                  <c:v>-94.5</c:v>
                </c:pt>
                <c:pt idx="159">
                  <c:v>-94.7</c:v>
                </c:pt>
                <c:pt idx="160">
                  <c:v>-95.5</c:v>
                </c:pt>
                <c:pt idx="161">
                  <c:v>-96.6</c:v>
                </c:pt>
                <c:pt idx="162">
                  <c:v>-97.8</c:v>
                </c:pt>
                <c:pt idx="163">
                  <c:v>-98.3</c:v>
                </c:pt>
                <c:pt idx="164">
                  <c:v>-100.1</c:v>
                </c:pt>
                <c:pt idx="165">
                  <c:v>-100.2</c:v>
                </c:pt>
                <c:pt idx="166">
                  <c:v>-100.3</c:v>
                </c:pt>
                <c:pt idx="167">
                  <c:v>-101.2</c:v>
                </c:pt>
                <c:pt idx="168">
                  <c:v>-102.4</c:v>
                </c:pt>
                <c:pt idx="169">
                  <c:v>-102.6</c:v>
                </c:pt>
                <c:pt idx="170">
                  <c:v>-103.2</c:v>
                </c:pt>
                <c:pt idx="171">
                  <c:v>-104</c:v>
                </c:pt>
                <c:pt idx="172">
                  <c:v>-104</c:v>
                </c:pt>
                <c:pt idx="173">
                  <c:v>-104.4</c:v>
                </c:pt>
                <c:pt idx="174">
                  <c:v>-104.5</c:v>
                </c:pt>
                <c:pt idx="175">
                  <c:v>-106.6</c:v>
                </c:pt>
                <c:pt idx="176">
                  <c:v>-106.7</c:v>
                </c:pt>
                <c:pt idx="177">
                  <c:v>-107.6</c:v>
                </c:pt>
                <c:pt idx="178">
                  <c:v>-107.7</c:v>
                </c:pt>
                <c:pt idx="179">
                  <c:v>-109.8</c:v>
                </c:pt>
                <c:pt idx="180">
                  <c:v>-109.8</c:v>
                </c:pt>
                <c:pt idx="181">
                  <c:v>-110.1</c:v>
                </c:pt>
                <c:pt idx="182">
                  <c:v>-110.1</c:v>
                </c:pt>
                <c:pt idx="183">
                  <c:v>-110.6</c:v>
                </c:pt>
                <c:pt idx="184">
                  <c:v>-110.8</c:v>
                </c:pt>
                <c:pt idx="185">
                  <c:v>-111.2</c:v>
                </c:pt>
                <c:pt idx="186">
                  <c:v>-111.7</c:v>
                </c:pt>
                <c:pt idx="187">
                  <c:v>-112</c:v>
                </c:pt>
                <c:pt idx="188">
                  <c:v>-112.6</c:v>
                </c:pt>
                <c:pt idx="189">
                  <c:v>-113</c:v>
                </c:pt>
                <c:pt idx="190">
                  <c:v>-115</c:v>
                </c:pt>
                <c:pt idx="191">
                  <c:v>-116.6</c:v>
                </c:pt>
                <c:pt idx="192">
                  <c:v>-118.1</c:v>
                </c:pt>
                <c:pt idx="193">
                  <c:v>-118.4</c:v>
                </c:pt>
                <c:pt idx="194">
                  <c:v>-119</c:v>
                </c:pt>
                <c:pt idx="195">
                  <c:v>-121.6</c:v>
                </c:pt>
                <c:pt idx="196">
                  <c:v>-121.9</c:v>
                </c:pt>
                <c:pt idx="197">
                  <c:v>-122.1</c:v>
                </c:pt>
                <c:pt idx="198">
                  <c:v>-122.3</c:v>
                </c:pt>
                <c:pt idx="199">
                  <c:v>-122.7</c:v>
                </c:pt>
                <c:pt idx="200">
                  <c:v>-123.3</c:v>
                </c:pt>
                <c:pt idx="201">
                  <c:v>-123.4</c:v>
                </c:pt>
                <c:pt idx="202">
                  <c:v>-123.7</c:v>
                </c:pt>
                <c:pt idx="203">
                  <c:v>-124.4</c:v>
                </c:pt>
                <c:pt idx="204">
                  <c:v>-125</c:v>
                </c:pt>
                <c:pt idx="205">
                  <c:v>-125</c:v>
                </c:pt>
                <c:pt idx="206">
                  <c:v>-125.1</c:v>
                </c:pt>
                <c:pt idx="207">
                  <c:v>-125.1</c:v>
                </c:pt>
                <c:pt idx="208">
                  <c:v>-125.3</c:v>
                </c:pt>
                <c:pt idx="209">
                  <c:v>-125.4</c:v>
                </c:pt>
                <c:pt idx="210">
                  <c:v>-125.4</c:v>
                </c:pt>
                <c:pt idx="211">
                  <c:v>-125.8</c:v>
                </c:pt>
                <c:pt idx="212">
                  <c:v>-125.8</c:v>
                </c:pt>
                <c:pt idx="213">
                  <c:v>-125.9</c:v>
                </c:pt>
                <c:pt idx="214">
                  <c:v>-126.5</c:v>
                </c:pt>
                <c:pt idx="215">
                  <c:v>-126.6</c:v>
                </c:pt>
                <c:pt idx="216">
                  <c:v>-127.2</c:v>
                </c:pt>
                <c:pt idx="217">
                  <c:v>-127.9</c:v>
                </c:pt>
                <c:pt idx="218">
                  <c:v>-128.5</c:v>
                </c:pt>
                <c:pt idx="219">
                  <c:v>-128.69999999999999</c:v>
                </c:pt>
                <c:pt idx="220">
                  <c:v>-129</c:v>
                </c:pt>
                <c:pt idx="221">
                  <c:v>-129.19999999999999</c:v>
                </c:pt>
                <c:pt idx="222">
                  <c:v>-129.19999999999999</c:v>
                </c:pt>
                <c:pt idx="223">
                  <c:v>-130.5</c:v>
                </c:pt>
                <c:pt idx="224">
                  <c:v>-130.9</c:v>
                </c:pt>
                <c:pt idx="225">
                  <c:v>-131.5</c:v>
                </c:pt>
                <c:pt idx="226">
                  <c:v>-131.80000000000001</c:v>
                </c:pt>
                <c:pt idx="227">
                  <c:v>-132.1</c:v>
                </c:pt>
                <c:pt idx="228">
                  <c:v>-132.5</c:v>
                </c:pt>
                <c:pt idx="229">
                  <c:v>-132.6</c:v>
                </c:pt>
                <c:pt idx="230">
                  <c:v>-133.5</c:v>
                </c:pt>
                <c:pt idx="231">
                  <c:v>-135</c:v>
                </c:pt>
                <c:pt idx="232">
                  <c:v>-135.5</c:v>
                </c:pt>
                <c:pt idx="233">
                  <c:v>-136.30000000000001</c:v>
                </c:pt>
                <c:pt idx="234">
                  <c:v>-137.30000000000001</c:v>
                </c:pt>
                <c:pt idx="235">
                  <c:v>-137.5</c:v>
                </c:pt>
                <c:pt idx="236">
                  <c:v>-138</c:v>
                </c:pt>
                <c:pt idx="237">
                  <c:v>-138.69999999999999</c:v>
                </c:pt>
                <c:pt idx="238">
                  <c:v>-138.80000000000001</c:v>
                </c:pt>
                <c:pt idx="239">
                  <c:v>-139.9</c:v>
                </c:pt>
                <c:pt idx="240">
                  <c:v>-140</c:v>
                </c:pt>
                <c:pt idx="241">
                  <c:v>-140.1</c:v>
                </c:pt>
                <c:pt idx="242">
                  <c:v>-140.19999999999999</c:v>
                </c:pt>
                <c:pt idx="243">
                  <c:v>-140.6</c:v>
                </c:pt>
                <c:pt idx="244">
                  <c:v>-140.6</c:v>
                </c:pt>
                <c:pt idx="245">
                  <c:v>-141.6</c:v>
                </c:pt>
                <c:pt idx="246">
                  <c:v>-142.6</c:v>
                </c:pt>
                <c:pt idx="247">
                  <c:v>-143.5</c:v>
                </c:pt>
                <c:pt idx="248">
                  <c:v>-143.80000000000001</c:v>
                </c:pt>
                <c:pt idx="249">
                  <c:v>-144.1</c:v>
                </c:pt>
                <c:pt idx="250">
                  <c:v>-145.5</c:v>
                </c:pt>
                <c:pt idx="251">
                  <c:v>-146.19999999999999</c:v>
                </c:pt>
                <c:pt idx="252">
                  <c:v>-146.19999999999999</c:v>
                </c:pt>
                <c:pt idx="253">
                  <c:v>-146.80000000000001</c:v>
                </c:pt>
                <c:pt idx="254">
                  <c:v>-147</c:v>
                </c:pt>
                <c:pt idx="255">
                  <c:v>-147.19999999999999</c:v>
                </c:pt>
                <c:pt idx="256">
                  <c:v>-147.30000000000001</c:v>
                </c:pt>
                <c:pt idx="257">
                  <c:v>-147.6</c:v>
                </c:pt>
                <c:pt idx="258">
                  <c:v>-147.69999999999999</c:v>
                </c:pt>
                <c:pt idx="259">
                  <c:v>-147.69999999999999</c:v>
                </c:pt>
                <c:pt idx="260">
                  <c:v>-148.6</c:v>
                </c:pt>
                <c:pt idx="261">
                  <c:v>-148.69999999999999</c:v>
                </c:pt>
                <c:pt idx="262">
                  <c:v>-149.6</c:v>
                </c:pt>
                <c:pt idx="263">
                  <c:v>-150</c:v>
                </c:pt>
                <c:pt idx="264">
                  <c:v>-150.19999999999999</c:v>
                </c:pt>
                <c:pt idx="265">
                  <c:v>-150.4</c:v>
                </c:pt>
                <c:pt idx="266">
                  <c:v>-150.6</c:v>
                </c:pt>
                <c:pt idx="267">
                  <c:v>-151.19999999999999</c:v>
                </c:pt>
                <c:pt idx="268">
                  <c:v>-151.6</c:v>
                </c:pt>
                <c:pt idx="269">
                  <c:v>-151.6</c:v>
                </c:pt>
                <c:pt idx="270">
                  <c:v>-151.69999999999999</c:v>
                </c:pt>
                <c:pt idx="271">
                  <c:v>-152</c:v>
                </c:pt>
                <c:pt idx="272">
                  <c:v>-152.6</c:v>
                </c:pt>
                <c:pt idx="273">
                  <c:v>-152.6</c:v>
                </c:pt>
                <c:pt idx="274">
                  <c:v>-152.69999999999999</c:v>
                </c:pt>
                <c:pt idx="275">
                  <c:v>-153</c:v>
                </c:pt>
                <c:pt idx="276">
                  <c:v>-153.1</c:v>
                </c:pt>
                <c:pt idx="277">
                  <c:v>-153.1</c:v>
                </c:pt>
                <c:pt idx="278">
                  <c:v>-153.4</c:v>
                </c:pt>
                <c:pt idx="279">
                  <c:v>-154.6</c:v>
                </c:pt>
                <c:pt idx="280">
                  <c:v>-155.4</c:v>
                </c:pt>
                <c:pt idx="281">
                  <c:v>-155.6</c:v>
                </c:pt>
                <c:pt idx="282">
                  <c:v>-156.69999999999999</c:v>
                </c:pt>
                <c:pt idx="283">
                  <c:v>-157.30000000000001</c:v>
                </c:pt>
                <c:pt idx="284">
                  <c:v>-157.5</c:v>
                </c:pt>
                <c:pt idx="285">
                  <c:v>-158.69999999999999</c:v>
                </c:pt>
                <c:pt idx="286">
                  <c:v>-158.9</c:v>
                </c:pt>
                <c:pt idx="287">
                  <c:v>-158.9</c:v>
                </c:pt>
                <c:pt idx="288">
                  <c:v>-158.9</c:v>
                </c:pt>
                <c:pt idx="289">
                  <c:v>-159.69999999999999</c:v>
                </c:pt>
                <c:pt idx="290">
                  <c:v>-160.1</c:v>
                </c:pt>
                <c:pt idx="291">
                  <c:v>-160.4</c:v>
                </c:pt>
                <c:pt idx="292">
                  <c:v>-160.5</c:v>
                </c:pt>
                <c:pt idx="293">
                  <c:v>-160.5</c:v>
                </c:pt>
                <c:pt idx="294">
                  <c:v>-160.5</c:v>
                </c:pt>
                <c:pt idx="295">
                  <c:v>-160.6</c:v>
                </c:pt>
                <c:pt idx="296">
                  <c:v>-161.69999999999999</c:v>
                </c:pt>
                <c:pt idx="297">
                  <c:v>-161.69999999999999</c:v>
                </c:pt>
                <c:pt idx="298">
                  <c:v>-162</c:v>
                </c:pt>
                <c:pt idx="299">
                  <c:v>-162.30000000000001</c:v>
                </c:pt>
                <c:pt idx="300">
                  <c:v>-163</c:v>
                </c:pt>
                <c:pt idx="301">
                  <c:v>-163.30000000000001</c:v>
                </c:pt>
                <c:pt idx="302">
                  <c:v>-164.2</c:v>
                </c:pt>
                <c:pt idx="303">
                  <c:v>-164.5</c:v>
                </c:pt>
                <c:pt idx="304">
                  <c:v>-164.9</c:v>
                </c:pt>
                <c:pt idx="305">
                  <c:v>-165.7</c:v>
                </c:pt>
                <c:pt idx="306">
                  <c:v>-165.9</c:v>
                </c:pt>
                <c:pt idx="307">
                  <c:v>-166.1</c:v>
                </c:pt>
                <c:pt idx="308">
                  <c:v>-166.1</c:v>
                </c:pt>
                <c:pt idx="309">
                  <c:v>-166.3</c:v>
                </c:pt>
                <c:pt idx="310">
                  <c:v>-167</c:v>
                </c:pt>
                <c:pt idx="311">
                  <c:v>-168.6</c:v>
                </c:pt>
                <c:pt idx="312">
                  <c:v>-168.8</c:v>
                </c:pt>
                <c:pt idx="313">
                  <c:v>-168.9</c:v>
                </c:pt>
                <c:pt idx="314">
                  <c:v>-169.4</c:v>
                </c:pt>
                <c:pt idx="315">
                  <c:v>-169.7</c:v>
                </c:pt>
                <c:pt idx="316">
                  <c:v>-170.8</c:v>
                </c:pt>
                <c:pt idx="317">
                  <c:v>-174</c:v>
                </c:pt>
                <c:pt idx="318">
                  <c:v>-174.2</c:v>
                </c:pt>
                <c:pt idx="319">
                  <c:v>-174.9</c:v>
                </c:pt>
                <c:pt idx="320">
                  <c:v>-175.1</c:v>
                </c:pt>
                <c:pt idx="321">
                  <c:v>-175.3</c:v>
                </c:pt>
                <c:pt idx="322">
                  <c:v>-176.3</c:v>
                </c:pt>
                <c:pt idx="323">
                  <c:v>-176.3</c:v>
                </c:pt>
                <c:pt idx="324">
                  <c:v>-176.4</c:v>
                </c:pt>
                <c:pt idx="325">
                  <c:v>-176.6</c:v>
                </c:pt>
                <c:pt idx="326">
                  <c:v>-177</c:v>
                </c:pt>
                <c:pt idx="327">
                  <c:v>-177.3</c:v>
                </c:pt>
                <c:pt idx="328">
                  <c:v>-177.6</c:v>
                </c:pt>
                <c:pt idx="329">
                  <c:v>-180.3</c:v>
                </c:pt>
                <c:pt idx="330">
                  <c:v>-180.3</c:v>
                </c:pt>
                <c:pt idx="331">
                  <c:v>-180.5</c:v>
                </c:pt>
                <c:pt idx="332">
                  <c:v>-181.7</c:v>
                </c:pt>
                <c:pt idx="333">
                  <c:v>-182.2</c:v>
                </c:pt>
                <c:pt idx="334">
                  <c:v>-182.3</c:v>
                </c:pt>
                <c:pt idx="335">
                  <c:v>-184.4</c:v>
                </c:pt>
                <c:pt idx="336">
                  <c:v>-185.4</c:v>
                </c:pt>
                <c:pt idx="337">
                  <c:v>-185.6</c:v>
                </c:pt>
                <c:pt idx="338">
                  <c:v>-185.6</c:v>
                </c:pt>
                <c:pt idx="339">
                  <c:v>-185.6</c:v>
                </c:pt>
                <c:pt idx="340">
                  <c:v>-186.2</c:v>
                </c:pt>
                <c:pt idx="341">
                  <c:v>-186.2</c:v>
                </c:pt>
                <c:pt idx="342">
                  <c:v>-186.3</c:v>
                </c:pt>
                <c:pt idx="343">
                  <c:v>-186.6</c:v>
                </c:pt>
                <c:pt idx="344">
                  <c:v>-187.2</c:v>
                </c:pt>
                <c:pt idx="345">
                  <c:v>-192.3</c:v>
                </c:pt>
                <c:pt idx="346">
                  <c:v>-193</c:v>
                </c:pt>
                <c:pt idx="347">
                  <c:v>-194</c:v>
                </c:pt>
                <c:pt idx="348">
                  <c:v>-195.2</c:v>
                </c:pt>
                <c:pt idx="349">
                  <c:v>-198.1</c:v>
                </c:pt>
                <c:pt idx="350">
                  <c:v>-199</c:v>
                </c:pt>
                <c:pt idx="351">
                  <c:v>-199.3</c:v>
                </c:pt>
                <c:pt idx="352">
                  <c:v>-199.5</c:v>
                </c:pt>
                <c:pt idx="353">
                  <c:v>-200</c:v>
                </c:pt>
                <c:pt idx="354">
                  <c:v>-200.6</c:v>
                </c:pt>
                <c:pt idx="355">
                  <c:v>-201.5</c:v>
                </c:pt>
                <c:pt idx="356">
                  <c:v>-205.4</c:v>
                </c:pt>
                <c:pt idx="357">
                  <c:v>-207.4</c:v>
                </c:pt>
                <c:pt idx="358">
                  <c:v>-208.8</c:v>
                </c:pt>
                <c:pt idx="359">
                  <c:v>-210.2</c:v>
                </c:pt>
                <c:pt idx="360">
                  <c:v>-212.2</c:v>
                </c:pt>
                <c:pt idx="361">
                  <c:v>-225.1</c:v>
                </c:pt>
                <c:pt idx="362">
                  <c:v>-225.7</c:v>
                </c:pt>
                <c:pt idx="363">
                  <c:v>-239.1</c:v>
                </c:pt>
                <c:pt idx="364">
                  <c:v>-239.9</c:v>
                </c:pt>
              </c:numCache>
            </c:numRef>
          </c:val>
          <c:smooth val="0"/>
        </c:ser>
        <c:ser>
          <c:idx val="1"/>
          <c:order val="2"/>
          <c:tx>
            <c:strRef>
              <c:f>'6 Flows along SWQP'!$J$1</c:f>
              <c:strCache>
                <c:ptCount val="1"/>
                <c:pt idx="0">
                  <c:v>2015-16</c:v>
                </c:pt>
              </c:strCache>
            </c:strRef>
          </c:tx>
          <c:spPr>
            <a:ln w="28575" cap="rnd">
              <a:solidFill>
                <a:srgbClr val="BCBFC1"/>
              </a:solidFill>
              <a:round/>
            </a:ln>
            <a:effectLst/>
          </c:spPr>
          <c:marker>
            <c:symbol val="none"/>
          </c:marker>
          <c:cat>
            <c:numRef>
              <c:f>'6 Flows along SWQP'!$A$2:$A$367</c:f>
              <c:numCache>
                <c:formatCode>General</c:formatCode>
                <c:ptCount val="366"/>
                <c:pt idx="17" formatCode="0%">
                  <c:v>0.05</c:v>
                </c:pt>
                <c:pt idx="35" formatCode="0%">
                  <c:v>0.1</c:v>
                </c:pt>
                <c:pt idx="54" formatCode="0%">
                  <c:v>0.15</c:v>
                </c:pt>
                <c:pt idx="72" formatCode="0%">
                  <c:v>0.2</c:v>
                </c:pt>
                <c:pt idx="90" formatCode="0%">
                  <c:v>0.25</c:v>
                </c:pt>
                <c:pt idx="108" formatCode="0%">
                  <c:v>0.3</c:v>
                </c:pt>
                <c:pt idx="127" formatCode="0%">
                  <c:v>0.35</c:v>
                </c:pt>
                <c:pt idx="145" formatCode="0%">
                  <c:v>0.4</c:v>
                </c:pt>
                <c:pt idx="163" formatCode="0%">
                  <c:v>0.45</c:v>
                </c:pt>
                <c:pt idx="181" formatCode="0%">
                  <c:v>0.5</c:v>
                </c:pt>
                <c:pt idx="200" formatCode="0%">
                  <c:v>0.55000000000000004</c:v>
                </c:pt>
                <c:pt idx="218" formatCode="0%">
                  <c:v>0.6</c:v>
                </c:pt>
                <c:pt idx="236" formatCode="0%">
                  <c:v>0.65</c:v>
                </c:pt>
                <c:pt idx="254" formatCode="0%">
                  <c:v>0.7</c:v>
                </c:pt>
                <c:pt idx="273" formatCode="0%">
                  <c:v>0.75</c:v>
                </c:pt>
                <c:pt idx="291" formatCode="0%">
                  <c:v>0.8</c:v>
                </c:pt>
                <c:pt idx="309" formatCode="0%">
                  <c:v>0.85</c:v>
                </c:pt>
                <c:pt idx="327" formatCode="0%">
                  <c:v>0.9</c:v>
                </c:pt>
                <c:pt idx="346" formatCode="0%">
                  <c:v>0.95</c:v>
                </c:pt>
              </c:numCache>
            </c:numRef>
          </c:cat>
          <c:val>
            <c:numRef>
              <c:f>'6 Flows along SWQP'!$J$2:$J$367</c:f>
              <c:numCache>
                <c:formatCode>General</c:formatCode>
                <c:ptCount val="366"/>
                <c:pt idx="0">
                  <c:v>366</c:v>
                </c:pt>
                <c:pt idx="1">
                  <c:v>337.1</c:v>
                </c:pt>
                <c:pt idx="2">
                  <c:v>334.4</c:v>
                </c:pt>
                <c:pt idx="3">
                  <c:v>326.2</c:v>
                </c:pt>
                <c:pt idx="4">
                  <c:v>326.2</c:v>
                </c:pt>
                <c:pt idx="5">
                  <c:v>325.3</c:v>
                </c:pt>
                <c:pt idx="6">
                  <c:v>323.39999999999998</c:v>
                </c:pt>
                <c:pt idx="7">
                  <c:v>320.3</c:v>
                </c:pt>
                <c:pt idx="8">
                  <c:v>316</c:v>
                </c:pt>
                <c:pt idx="9">
                  <c:v>314.89999999999998</c:v>
                </c:pt>
                <c:pt idx="10">
                  <c:v>314.2</c:v>
                </c:pt>
                <c:pt idx="11">
                  <c:v>312.8</c:v>
                </c:pt>
                <c:pt idx="12">
                  <c:v>311.89999999999998</c:v>
                </c:pt>
                <c:pt idx="13">
                  <c:v>311.60000000000002</c:v>
                </c:pt>
                <c:pt idx="14">
                  <c:v>310.3</c:v>
                </c:pt>
                <c:pt idx="15">
                  <c:v>308.39999999999998</c:v>
                </c:pt>
                <c:pt idx="16">
                  <c:v>307.89999999999998</c:v>
                </c:pt>
                <c:pt idx="17">
                  <c:v>307.8</c:v>
                </c:pt>
                <c:pt idx="18">
                  <c:v>305.60000000000002</c:v>
                </c:pt>
                <c:pt idx="19">
                  <c:v>305.39999999999998</c:v>
                </c:pt>
                <c:pt idx="20">
                  <c:v>304.10000000000002</c:v>
                </c:pt>
                <c:pt idx="21">
                  <c:v>304.10000000000002</c:v>
                </c:pt>
                <c:pt idx="22">
                  <c:v>301.89999999999998</c:v>
                </c:pt>
                <c:pt idx="23">
                  <c:v>298.60000000000002</c:v>
                </c:pt>
                <c:pt idx="24">
                  <c:v>298.2</c:v>
                </c:pt>
                <c:pt idx="25">
                  <c:v>297.60000000000002</c:v>
                </c:pt>
                <c:pt idx="26">
                  <c:v>297.2</c:v>
                </c:pt>
                <c:pt idx="27">
                  <c:v>296.39999999999998</c:v>
                </c:pt>
                <c:pt idx="28">
                  <c:v>294.89999999999998</c:v>
                </c:pt>
                <c:pt idx="29">
                  <c:v>292.89999999999998</c:v>
                </c:pt>
                <c:pt idx="30">
                  <c:v>291.60000000000002</c:v>
                </c:pt>
                <c:pt idx="31">
                  <c:v>291.60000000000002</c:v>
                </c:pt>
                <c:pt idx="32">
                  <c:v>290</c:v>
                </c:pt>
                <c:pt idx="33">
                  <c:v>289.5</c:v>
                </c:pt>
                <c:pt idx="34">
                  <c:v>288.60000000000002</c:v>
                </c:pt>
                <c:pt idx="35">
                  <c:v>288.39999999999998</c:v>
                </c:pt>
                <c:pt idx="36">
                  <c:v>287.89999999999998</c:v>
                </c:pt>
                <c:pt idx="37">
                  <c:v>287.5</c:v>
                </c:pt>
                <c:pt idx="38">
                  <c:v>287.2</c:v>
                </c:pt>
                <c:pt idx="39">
                  <c:v>285.89999999999998</c:v>
                </c:pt>
                <c:pt idx="40">
                  <c:v>283.89999999999998</c:v>
                </c:pt>
                <c:pt idx="41">
                  <c:v>280.5</c:v>
                </c:pt>
                <c:pt idx="42">
                  <c:v>280.2</c:v>
                </c:pt>
                <c:pt idx="43">
                  <c:v>279.7</c:v>
                </c:pt>
                <c:pt idx="44">
                  <c:v>279</c:v>
                </c:pt>
                <c:pt idx="45">
                  <c:v>277.89999999999998</c:v>
                </c:pt>
                <c:pt idx="46">
                  <c:v>274.8</c:v>
                </c:pt>
                <c:pt idx="47">
                  <c:v>274</c:v>
                </c:pt>
                <c:pt idx="48">
                  <c:v>273.7</c:v>
                </c:pt>
                <c:pt idx="49">
                  <c:v>273.60000000000002</c:v>
                </c:pt>
                <c:pt idx="50">
                  <c:v>269.5</c:v>
                </c:pt>
                <c:pt idx="51">
                  <c:v>269.5</c:v>
                </c:pt>
                <c:pt idx="52">
                  <c:v>268.60000000000002</c:v>
                </c:pt>
                <c:pt idx="53">
                  <c:v>268.3</c:v>
                </c:pt>
                <c:pt idx="54">
                  <c:v>267.5</c:v>
                </c:pt>
                <c:pt idx="55">
                  <c:v>265.39999999999998</c:v>
                </c:pt>
                <c:pt idx="56">
                  <c:v>265.39999999999998</c:v>
                </c:pt>
                <c:pt idx="57">
                  <c:v>264.89999999999998</c:v>
                </c:pt>
                <c:pt idx="58">
                  <c:v>263.8</c:v>
                </c:pt>
                <c:pt idx="59">
                  <c:v>262.3</c:v>
                </c:pt>
                <c:pt idx="60">
                  <c:v>258.60000000000002</c:v>
                </c:pt>
                <c:pt idx="61">
                  <c:v>258</c:v>
                </c:pt>
                <c:pt idx="62">
                  <c:v>256.89999999999998</c:v>
                </c:pt>
                <c:pt idx="63">
                  <c:v>256.8</c:v>
                </c:pt>
                <c:pt idx="64">
                  <c:v>256.10000000000002</c:v>
                </c:pt>
                <c:pt idx="65">
                  <c:v>255.9</c:v>
                </c:pt>
                <c:pt idx="66">
                  <c:v>255.3</c:v>
                </c:pt>
                <c:pt idx="67">
                  <c:v>253.5</c:v>
                </c:pt>
                <c:pt idx="68">
                  <c:v>252.4</c:v>
                </c:pt>
                <c:pt idx="69">
                  <c:v>251.7</c:v>
                </c:pt>
                <c:pt idx="70">
                  <c:v>251.3</c:v>
                </c:pt>
                <c:pt idx="71">
                  <c:v>249</c:v>
                </c:pt>
                <c:pt idx="72">
                  <c:v>248.4</c:v>
                </c:pt>
                <c:pt idx="73">
                  <c:v>247</c:v>
                </c:pt>
                <c:pt idx="74">
                  <c:v>247</c:v>
                </c:pt>
                <c:pt idx="75">
                  <c:v>246.5</c:v>
                </c:pt>
                <c:pt idx="76">
                  <c:v>245.8</c:v>
                </c:pt>
                <c:pt idx="77">
                  <c:v>244.4</c:v>
                </c:pt>
                <c:pt idx="78">
                  <c:v>243.7</c:v>
                </c:pt>
                <c:pt idx="79">
                  <c:v>243.6</c:v>
                </c:pt>
                <c:pt idx="80">
                  <c:v>243.3</c:v>
                </c:pt>
                <c:pt idx="81">
                  <c:v>236.3</c:v>
                </c:pt>
                <c:pt idx="82">
                  <c:v>235.4</c:v>
                </c:pt>
                <c:pt idx="83">
                  <c:v>234.2</c:v>
                </c:pt>
                <c:pt idx="84">
                  <c:v>233.4</c:v>
                </c:pt>
                <c:pt idx="85">
                  <c:v>232.8</c:v>
                </c:pt>
                <c:pt idx="86">
                  <c:v>231.7</c:v>
                </c:pt>
                <c:pt idx="87">
                  <c:v>230.8</c:v>
                </c:pt>
                <c:pt idx="88">
                  <c:v>229.9</c:v>
                </c:pt>
                <c:pt idx="89">
                  <c:v>229.8</c:v>
                </c:pt>
                <c:pt idx="90">
                  <c:v>229.6</c:v>
                </c:pt>
                <c:pt idx="91">
                  <c:v>229.4</c:v>
                </c:pt>
                <c:pt idx="92">
                  <c:v>226.8</c:v>
                </c:pt>
                <c:pt idx="93">
                  <c:v>226.3</c:v>
                </c:pt>
                <c:pt idx="94">
                  <c:v>225.3</c:v>
                </c:pt>
                <c:pt idx="95">
                  <c:v>223.2</c:v>
                </c:pt>
                <c:pt idx="96">
                  <c:v>222.7</c:v>
                </c:pt>
                <c:pt idx="97">
                  <c:v>222.2</c:v>
                </c:pt>
                <c:pt idx="98">
                  <c:v>221.7</c:v>
                </c:pt>
                <c:pt idx="99">
                  <c:v>219.7</c:v>
                </c:pt>
                <c:pt idx="100">
                  <c:v>218.4</c:v>
                </c:pt>
                <c:pt idx="101">
                  <c:v>218.2</c:v>
                </c:pt>
                <c:pt idx="102">
                  <c:v>216.2</c:v>
                </c:pt>
                <c:pt idx="103">
                  <c:v>213.6</c:v>
                </c:pt>
                <c:pt idx="104">
                  <c:v>212.1</c:v>
                </c:pt>
                <c:pt idx="105">
                  <c:v>210.3</c:v>
                </c:pt>
                <c:pt idx="106">
                  <c:v>210.1</c:v>
                </c:pt>
                <c:pt idx="107">
                  <c:v>208.8</c:v>
                </c:pt>
                <c:pt idx="108">
                  <c:v>207.6</c:v>
                </c:pt>
                <c:pt idx="109">
                  <c:v>207.2</c:v>
                </c:pt>
                <c:pt idx="110">
                  <c:v>206.9</c:v>
                </c:pt>
                <c:pt idx="111">
                  <c:v>204.6</c:v>
                </c:pt>
                <c:pt idx="112">
                  <c:v>204.5</c:v>
                </c:pt>
                <c:pt idx="113">
                  <c:v>203.2</c:v>
                </c:pt>
                <c:pt idx="114">
                  <c:v>202.8</c:v>
                </c:pt>
                <c:pt idx="115">
                  <c:v>201.6</c:v>
                </c:pt>
                <c:pt idx="116">
                  <c:v>201.5</c:v>
                </c:pt>
                <c:pt idx="117">
                  <c:v>200.1</c:v>
                </c:pt>
                <c:pt idx="118">
                  <c:v>198.9</c:v>
                </c:pt>
                <c:pt idx="119">
                  <c:v>196.5</c:v>
                </c:pt>
                <c:pt idx="120">
                  <c:v>195.8</c:v>
                </c:pt>
                <c:pt idx="121">
                  <c:v>192.5</c:v>
                </c:pt>
                <c:pt idx="122">
                  <c:v>190.3</c:v>
                </c:pt>
                <c:pt idx="123">
                  <c:v>190.2</c:v>
                </c:pt>
                <c:pt idx="124">
                  <c:v>190.2</c:v>
                </c:pt>
                <c:pt idx="125">
                  <c:v>189.6</c:v>
                </c:pt>
                <c:pt idx="126">
                  <c:v>185.7</c:v>
                </c:pt>
                <c:pt idx="127">
                  <c:v>185.2</c:v>
                </c:pt>
                <c:pt idx="128">
                  <c:v>183.5</c:v>
                </c:pt>
                <c:pt idx="129">
                  <c:v>182.9</c:v>
                </c:pt>
                <c:pt idx="130">
                  <c:v>180.7</c:v>
                </c:pt>
                <c:pt idx="131">
                  <c:v>179.5</c:v>
                </c:pt>
                <c:pt idx="132">
                  <c:v>177.3</c:v>
                </c:pt>
                <c:pt idx="133">
                  <c:v>172.7</c:v>
                </c:pt>
                <c:pt idx="134">
                  <c:v>170.7</c:v>
                </c:pt>
                <c:pt idx="135">
                  <c:v>169.1</c:v>
                </c:pt>
                <c:pt idx="136">
                  <c:v>168.5</c:v>
                </c:pt>
                <c:pt idx="137">
                  <c:v>167.9</c:v>
                </c:pt>
                <c:pt idx="138">
                  <c:v>164.6</c:v>
                </c:pt>
                <c:pt idx="139">
                  <c:v>164</c:v>
                </c:pt>
                <c:pt idx="140">
                  <c:v>159.80000000000001</c:v>
                </c:pt>
                <c:pt idx="141">
                  <c:v>158.9</c:v>
                </c:pt>
                <c:pt idx="142">
                  <c:v>157.9</c:v>
                </c:pt>
                <c:pt idx="143">
                  <c:v>157.80000000000001</c:v>
                </c:pt>
                <c:pt idx="144">
                  <c:v>154.9</c:v>
                </c:pt>
                <c:pt idx="145">
                  <c:v>154.80000000000001</c:v>
                </c:pt>
                <c:pt idx="146">
                  <c:v>154.19999999999999</c:v>
                </c:pt>
                <c:pt idx="147">
                  <c:v>153.5</c:v>
                </c:pt>
                <c:pt idx="148">
                  <c:v>153.30000000000001</c:v>
                </c:pt>
                <c:pt idx="149">
                  <c:v>151.30000000000001</c:v>
                </c:pt>
                <c:pt idx="150">
                  <c:v>151.1</c:v>
                </c:pt>
                <c:pt idx="151">
                  <c:v>150.1</c:v>
                </c:pt>
                <c:pt idx="152">
                  <c:v>148</c:v>
                </c:pt>
                <c:pt idx="153">
                  <c:v>147.5</c:v>
                </c:pt>
                <c:pt idx="154">
                  <c:v>147.5</c:v>
                </c:pt>
                <c:pt idx="155">
                  <c:v>146.69999999999999</c:v>
                </c:pt>
                <c:pt idx="156">
                  <c:v>146.6</c:v>
                </c:pt>
                <c:pt idx="157">
                  <c:v>146.4</c:v>
                </c:pt>
                <c:pt idx="158">
                  <c:v>144.30000000000001</c:v>
                </c:pt>
                <c:pt idx="159">
                  <c:v>143.30000000000001</c:v>
                </c:pt>
                <c:pt idx="160">
                  <c:v>141.1</c:v>
                </c:pt>
                <c:pt idx="161">
                  <c:v>141</c:v>
                </c:pt>
                <c:pt idx="162">
                  <c:v>137.9</c:v>
                </c:pt>
                <c:pt idx="163">
                  <c:v>134.80000000000001</c:v>
                </c:pt>
                <c:pt idx="164">
                  <c:v>133.69999999999999</c:v>
                </c:pt>
                <c:pt idx="165">
                  <c:v>132.9</c:v>
                </c:pt>
                <c:pt idx="166">
                  <c:v>132.6</c:v>
                </c:pt>
                <c:pt idx="167">
                  <c:v>132.5</c:v>
                </c:pt>
                <c:pt idx="168">
                  <c:v>132.30000000000001</c:v>
                </c:pt>
                <c:pt idx="169">
                  <c:v>128.19999999999999</c:v>
                </c:pt>
                <c:pt idx="170">
                  <c:v>128</c:v>
                </c:pt>
                <c:pt idx="171">
                  <c:v>127.6</c:v>
                </c:pt>
                <c:pt idx="172">
                  <c:v>126.1</c:v>
                </c:pt>
                <c:pt idx="173">
                  <c:v>125.8</c:v>
                </c:pt>
                <c:pt idx="174">
                  <c:v>125.5</c:v>
                </c:pt>
                <c:pt idx="175">
                  <c:v>124</c:v>
                </c:pt>
                <c:pt idx="176">
                  <c:v>119.3</c:v>
                </c:pt>
                <c:pt idx="177">
                  <c:v>117.5</c:v>
                </c:pt>
                <c:pt idx="178">
                  <c:v>117</c:v>
                </c:pt>
                <c:pt idx="179">
                  <c:v>115.5</c:v>
                </c:pt>
                <c:pt idx="180">
                  <c:v>114.8</c:v>
                </c:pt>
                <c:pt idx="181">
                  <c:v>113.8</c:v>
                </c:pt>
                <c:pt idx="182">
                  <c:v>113</c:v>
                </c:pt>
                <c:pt idx="183">
                  <c:v>112.4</c:v>
                </c:pt>
                <c:pt idx="184">
                  <c:v>111.3</c:v>
                </c:pt>
                <c:pt idx="185">
                  <c:v>110.5</c:v>
                </c:pt>
                <c:pt idx="186">
                  <c:v>109.2</c:v>
                </c:pt>
                <c:pt idx="187">
                  <c:v>107.9</c:v>
                </c:pt>
                <c:pt idx="188">
                  <c:v>107.2</c:v>
                </c:pt>
                <c:pt idx="189">
                  <c:v>104.5</c:v>
                </c:pt>
                <c:pt idx="190">
                  <c:v>98.5</c:v>
                </c:pt>
                <c:pt idx="191">
                  <c:v>93.5</c:v>
                </c:pt>
                <c:pt idx="192">
                  <c:v>93.4</c:v>
                </c:pt>
                <c:pt idx="193">
                  <c:v>91.9</c:v>
                </c:pt>
                <c:pt idx="194">
                  <c:v>89.8</c:v>
                </c:pt>
                <c:pt idx="195">
                  <c:v>88</c:v>
                </c:pt>
                <c:pt idx="196">
                  <c:v>83.2</c:v>
                </c:pt>
                <c:pt idx="197">
                  <c:v>82.5</c:v>
                </c:pt>
                <c:pt idx="198">
                  <c:v>81.3</c:v>
                </c:pt>
                <c:pt idx="199">
                  <c:v>78.5</c:v>
                </c:pt>
                <c:pt idx="200">
                  <c:v>78.3</c:v>
                </c:pt>
                <c:pt idx="201">
                  <c:v>75.599999999999994</c:v>
                </c:pt>
                <c:pt idx="202">
                  <c:v>74.8</c:v>
                </c:pt>
                <c:pt idx="203">
                  <c:v>71.400000000000006</c:v>
                </c:pt>
                <c:pt idx="204">
                  <c:v>70.7</c:v>
                </c:pt>
                <c:pt idx="205">
                  <c:v>69.400000000000006</c:v>
                </c:pt>
                <c:pt idx="206">
                  <c:v>67</c:v>
                </c:pt>
                <c:pt idx="207">
                  <c:v>66</c:v>
                </c:pt>
                <c:pt idx="208">
                  <c:v>59.2</c:v>
                </c:pt>
                <c:pt idx="209">
                  <c:v>57.9</c:v>
                </c:pt>
                <c:pt idx="210">
                  <c:v>57.5</c:v>
                </c:pt>
                <c:pt idx="211">
                  <c:v>56.6</c:v>
                </c:pt>
                <c:pt idx="212">
                  <c:v>52.3</c:v>
                </c:pt>
                <c:pt idx="213">
                  <c:v>51.9</c:v>
                </c:pt>
                <c:pt idx="214">
                  <c:v>50.7</c:v>
                </c:pt>
                <c:pt idx="215">
                  <c:v>45.6</c:v>
                </c:pt>
                <c:pt idx="216">
                  <c:v>44.8</c:v>
                </c:pt>
                <c:pt idx="217">
                  <c:v>43.2</c:v>
                </c:pt>
                <c:pt idx="218">
                  <c:v>41.6</c:v>
                </c:pt>
                <c:pt idx="219">
                  <c:v>40.299999999999997</c:v>
                </c:pt>
                <c:pt idx="220">
                  <c:v>39.799999999999997</c:v>
                </c:pt>
                <c:pt idx="221">
                  <c:v>39.700000000000003</c:v>
                </c:pt>
                <c:pt idx="222">
                  <c:v>29.1</c:v>
                </c:pt>
                <c:pt idx="223">
                  <c:v>28.5</c:v>
                </c:pt>
                <c:pt idx="224">
                  <c:v>24.6</c:v>
                </c:pt>
                <c:pt idx="225">
                  <c:v>24</c:v>
                </c:pt>
                <c:pt idx="226">
                  <c:v>22.5</c:v>
                </c:pt>
                <c:pt idx="227">
                  <c:v>2.2000000000000002</c:v>
                </c:pt>
                <c:pt idx="228">
                  <c:v>0.4</c:v>
                </c:pt>
                <c:pt idx="229">
                  <c:v>0</c:v>
                </c:pt>
                <c:pt idx="230">
                  <c:v>-0.3</c:v>
                </c:pt>
                <c:pt idx="231">
                  <c:v>-0.5</c:v>
                </c:pt>
                <c:pt idx="232">
                  <c:v>-0.6</c:v>
                </c:pt>
                <c:pt idx="233">
                  <c:v>-0.6</c:v>
                </c:pt>
                <c:pt idx="234">
                  <c:v>-0.6</c:v>
                </c:pt>
                <c:pt idx="235">
                  <c:v>-0.6</c:v>
                </c:pt>
                <c:pt idx="236">
                  <c:v>-0.8</c:v>
                </c:pt>
                <c:pt idx="237">
                  <c:v>-1.1000000000000001</c:v>
                </c:pt>
                <c:pt idx="238">
                  <c:v>-1.4</c:v>
                </c:pt>
                <c:pt idx="239">
                  <c:v>-1.8</c:v>
                </c:pt>
                <c:pt idx="240">
                  <c:v>-2</c:v>
                </c:pt>
                <c:pt idx="241">
                  <c:v>-2.2999999999999998</c:v>
                </c:pt>
                <c:pt idx="242">
                  <c:v>-2.4</c:v>
                </c:pt>
                <c:pt idx="243">
                  <c:v>-2.4</c:v>
                </c:pt>
                <c:pt idx="244">
                  <c:v>-2.5</c:v>
                </c:pt>
                <c:pt idx="245">
                  <c:v>-2.5</c:v>
                </c:pt>
                <c:pt idx="246">
                  <c:v>-3</c:v>
                </c:pt>
                <c:pt idx="247">
                  <c:v>-3.8</c:v>
                </c:pt>
                <c:pt idx="248">
                  <c:v>-5.8</c:v>
                </c:pt>
                <c:pt idx="249">
                  <c:v>-5.8</c:v>
                </c:pt>
                <c:pt idx="250">
                  <c:v>-6.1</c:v>
                </c:pt>
                <c:pt idx="251">
                  <c:v>-10.1</c:v>
                </c:pt>
                <c:pt idx="252">
                  <c:v>-13.1</c:v>
                </c:pt>
                <c:pt idx="253">
                  <c:v>-15.3</c:v>
                </c:pt>
                <c:pt idx="254">
                  <c:v>-15.8</c:v>
                </c:pt>
                <c:pt idx="255">
                  <c:v>-18.899999999999999</c:v>
                </c:pt>
                <c:pt idx="256">
                  <c:v>-19.3</c:v>
                </c:pt>
                <c:pt idx="257">
                  <c:v>-19.3</c:v>
                </c:pt>
                <c:pt idx="258">
                  <c:v>-22.9</c:v>
                </c:pt>
                <c:pt idx="259">
                  <c:v>-24.8</c:v>
                </c:pt>
                <c:pt idx="260">
                  <c:v>-25.4</c:v>
                </c:pt>
                <c:pt idx="261">
                  <c:v>-26.5</c:v>
                </c:pt>
                <c:pt idx="262">
                  <c:v>-26.6</c:v>
                </c:pt>
                <c:pt idx="263">
                  <c:v>-28.2</c:v>
                </c:pt>
                <c:pt idx="264">
                  <c:v>-29.4</c:v>
                </c:pt>
                <c:pt idx="265">
                  <c:v>-29.7</c:v>
                </c:pt>
                <c:pt idx="266">
                  <c:v>-30.2</c:v>
                </c:pt>
                <c:pt idx="267">
                  <c:v>-30.3</c:v>
                </c:pt>
                <c:pt idx="268">
                  <c:v>-30.4</c:v>
                </c:pt>
                <c:pt idx="269">
                  <c:v>-30.9</c:v>
                </c:pt>
                <c:pt idx="270">
                  <c:v>-31.1</c:v>
                </c:pt>
                <c:pt idx="271">
                  <c:v>-31.6</c:v>
                </c:pt>
                <c:pt idx="272">
                  <c:v>-32.700000000000003</c:v>
                </c:pt>
                <c:pt idx="273">
                  <c:v>-33.1</c:v>
                </c:pt>
                <c:pt idx="274">
                  <c:v>-34.299999999999997</c:v>
                </c:pt>
                <c:pt idx="275">
                  <c:v>-34.799999999999997</c:v>
                </c:pt>
                <c:pt idx="276">
                  <c:v>-34.9</c:v>
                </c:pt>
                <c:pt idx="277">
                  <c:v>-36</c:v>
                </c:pt>
                <c:pt idx="278">
                  <c:v>-36.4</c:v>
                </c:pt>
                <c:pt idx="279">
                  <c:v>-37.1</c:v>
                </c:pt>
                <c:pt idx="280">
                  <c:v>-38.799999999999997</c:v>
                </c:pt>
                <c:pt idx="281">
                  <c:v>-39.700000000000003</c:v>
                </c:pt>
                <c:pt idx="282">
                  <c:v>-40.4</c:v>
                </c:pt>
                <c:pt idx="283">
                  <c:v>-40.6</c:v>
                </c:pt>
                <c:pt idx="284">
                  <c:v>-40.700000000000003</c:v>
                </c:pt>
                <c:pt idx="285">
                  <c:v>-42.2</c:v>
                </c:pt>
                <c:pt idx="286">
                  <c:v>-42.7</c:v>
                </c:pt>
                <c:pt idx="287">
                  <c:v>-43</c:v>
                </c:pt>
                <c:pt idx="288">
                  <c:v>-43</c:v>
                </c:pt>
                <c:pt idx="289">
                  <c:v>-45.5</c:v>
                </c:pt>
                <c:pt idx="290">
                  <c:v>-45.7</c:v>
                </c:pt>
                <c:pt idx="291">
                  <c:v>-45.8</c:v>
                </c:pt>
                <c:pt idx="292">
                  <c:v>-47.2</c:v>
                </c:pt>
                <c:pt idx="293">
                  <c:v>-48.1</c:v>
                </c:pt>
                <c:pt idx="294">
                  <c:v>-49.4</c:v>
                </c:pt>
                <c:pt idx="295">
                  <c:v>-49.7</c:v>
                </c:pt>
                <c:pt idx="296">
                  <c:v>-51.9</c:v>
                </c:pt>
                <c:pt idx="297">
                  <c:v>-52.2</c:v>
                </c:pt>
                <c:pt idx="298">
                  <c:v>-52.3</c:v>
                </c:pt>
                <c:pt idx="299">
                  <c:v>-52.4</c:v>
                </c:pt>
                <c:pt idx="300">
                  <c:v>-56.3</c:v>
                </c:pt>
                <c:pt idx="301">
                  <c:v>-57.9</c:v>
                </c:pt>
                <c:pt idx="302">
                  <c:v>-58</c:v>
                </c:pt>
                <c:pt idx="303">
                  <c:v>-58.8</c:v>
                </c:pt>
                <c:pt idx="304">
                  <c:v>-58.8</c:v>
                </c:pt>
                <c:pt idx="305">
                  <c:v>-60.9</c:v>
                </c:pt>
                <c:pt idx="306">
                  <c:v>-62.2</c:v>
                </c:pt>
                <c:pt idx="307">
                  <c:v>-63.4</c:v>
                </c:pt>
                <c:pt idx="308">
                  <c:v>-64.900000000000006</c:v>
                </c:pt>
                <c:pt idx="309">
                  <c:v>-65.599999999999994</c:v>
                </c:pt>
                <c:pt idx="310">
                  <c:v>-67.900000000000006</c:v>
                </c:pt>
                <c:pt idx="311">
                  <c:v>-68.400000000000006</c:v>
                </c:pt>
                <c:pt idx="312">
                  <c:v>-70.8</c:v>
                </c:pt>
                <c:pt idx="313">
                  <c:v>-71.099999999999994</c:v>
                </c:pt>
                <c:pt idx="314">
                  <c:v>-77</c:v>
                </c:pt>
                <c:pt idx="315">
                  <c:v>-79</c:v>
                </c:pt>
                <c:pt idx="316">
                  <c:v>-79.400000000000006</c:v>
                </c:pt>
                <c:pt idx="317">
                  <c:v>-79.900000000000006</c:v>
                </c:pt>
                <c:pt idx="318">
                  <c:v>-82.9</c:v>
                </c:pt>
                <c:pt idx="319">
                  <c:v>-83.1</c:v>
                </c:pt>
                <c:pt idx="320">
                  <c:v>-83.9</c:v>
                </c:pt>
                <c:pt idx="321">
                  <c:v>-89.5</c:v>
                </c:pt>
                <c:pt idx="322">
                  <c:v>-89.6</c:v>
                </c:pt>
                <c:pt idx="323">
                  <c:v>-91.2</c:v>
                </c:pt>
                <c:pt idx="324">
                  <c:v>-92.4</c:v>
                </c:pt>
                <c:pt idx="325">
                  <c:v>-92.5</c:v>
                </c:pt>
                <c:pt idx="326">
                  <c:v>-95.1</c:v>
                </c:pt>
                <c:pt idx="327">
                  <c:v>-95.9</c:v>
                </c:pt>
                <c:pt idx="328">
                  <c:v>-97.5</c:v>
                </c:pt>
                <c:pt idx="329">
                  <c:v>-99.2</c:v>
                </c:pt>
                <c:pt idx="330">
                  <c:v>-103.3</c:v>
                </c:pt>
                <c:pt idx="331">
                  <c:v>-104.6</c:v>
                </c:pt>
                <c:pt idx="332">
                  <c:v>-107.6</c:v>
                </c:pt>
                <c:pt idx="333">
                  <c:v>-112</c:v>
                </c:pt>
                <c:pt idx="334">
                  <c:v>-112.6</c:v>
                </c:pt>
                <c:pt idx="335">
                  <c:v>-113.1</c:v>
                </c:pt>
                <c:pt idx="336">
                  <c:v>-125.2</c:v>
                </c:pt>
                <c:pt idx="337">
                  <c:v>-126.4</c:v>
                </c:pt>
                <c:pt idx="338">
                  <c:v>-127.6</c:v>
                </c:pt>
                <c:pt idx="339">
                  <c:v>-129.5</c:v>
                </c:pt>
                <c:pt idx="340">
                  <c:v>-129.5</c:v>
                </c:pt>
                <c:pt idx="341">
                  <c:v>-134.30000000000001</c:v>
                </c:pt>
                <c:pt idx="342">
                  <c:v>-135.4</c:v>
                </c:pt>
                <c:pt idx="343">
                  <c:v>-142.1</c:v>
                </c:pt>
                <c:pt idx="344">
                  <c:v>-144.19999999999999</c:v>
                </c:pt>
                <c:pt idx="345">
                  <c:v>-147</c:v>
                </c:pt>
                <c:pt idx="346">
                  <c:v>-153.4</c:v>
                </c:pt>
                <c:pt idx="347">
                  <c:v>-153.5</c:v>
                </c:pt>
                <c:pt idx="348">
                  <c:v>-155.19999999999999</c:v>
                </c:pt>
                <c:pt idx="349">
                  <c:v>-157.19999999999999</c:v>
                </c:pt>
                <c:pt idx="350">
                  <c:v>-168.7</c:v>
                </c:pt>
                <c:pt idx="351">
                  <c:v>-170.8</c:v>
                </c:pt>
                <c:pt idx="352">
                  <c:v>-171.3</c:v>
                </c:pt>
                <c:pt idx="353">
                  <c:v>-171.7</c:v>
                </c:pt>
                <c:pt idx="354">
                  <c:v>-172.1</c:v>
                </c:pt>
                <c:pt idx="355">
                  <c:v>-175.1</c:v>
                </c:pt>
                <c:pt idx="356">
                  <c:v>-176.5</c:v>
                </c:pt>
                <c:pt idx="357">
                  <c:v>-187.8</c:v>
                </c:pt>
                <c:pt idx="358">
                  <c:v>-189.9</c:v>
                </c:pt>
                <c:pt idx="359">
                  <c:v>-190.7</c:v>
                </c:pt>
                <c:pt idx="360">
                  <c:v>-206.2</c:v>
                </c:pt>
                <c:pt idx="361">
                  <c:v>-208.9</c:v>
                </c:pt>
                <c:pt idx="362">
                  <c:v>-213.9</c:v>
                </c:pt>
                <c:pt idx="363">
                  <c:v>-220.6</c:v>
                </c:pt>
                <c:pt idx="364">
                  <c:v>-224.6</c:v>
                </c:pt>
                <c:pt idx="365">
                  <c:v>-235.6</c:v>
                </c:pt>
              </c:numCache>
            </c:numRef>
          </c:val>
          <c:smooth val="0"/>
        </c:ser>
        <c:ser>
          <c:idx val="2"/>
          <c:order val="3"/>
          <c:tx>
            <c:strRef>
              <c:f>'6 Flows along SWQP'!$K$1</c:f>
              <c:strCache>
                <c:ptCount val="1"/>
                <c:pt idx="0">
                  <c:v>2016-17</c:v>
                </c:pt>
              </c:strCache>
            </c:strRef>
          </c:tx>
          <c:spPr>
            <a:ln w="28575" cap="rnd">
              <a:solidFill>
                <a:srgbClr val="9ED9DF"/>
              </a:solidFill>
              <a:round/>
            </a:ln>
            <a:effectLst/>
          </c:spPr>
          <c:marker>
            <c:symbol val="none"/>
          </c:marker>
          <c:cat>
            <c:numRef>
              <c:f>'6 Flows along SWQP'!$A$2:$A$367</c:f>
              <c:numCache>
                <c:formatCode>General</c:formatCode>
                <c:ptCount val="366"/>
                <c:pt idx="17" formatCode="0%">
                  <c:v>0.05</c:v>
                </c:pt>
                <c:pt idx="35" formatCode="0%">
                  <c:v>0.1</c:v>
                </c:pt>
                <c:pt idx="54" formatCode="0%">
                  <c:v>0.15</c:v>
                </c:pt>
                <c:pt idx="72" formatCode="0%">
                  <c:v>0.2</c:v>
                </c:pt>
                <c:pt idx="90" formatCode="0%">
                  <c:v>0.25</c:v>
                </c:pt>
                <c:pt idx="108" formatCode="0%">
                  <c:v>0.3</c:v>
                </c:pt>
                <c:pt idx="127" formatCode="0%">
                  <c:v>0.35</c:v>
                </c:pt>
                <c:pt idx="145" formatCode="0%">
                  <c:v>0.4</c:v>
                </c:pt>
                <c:pt idx="163" formatCode="0%">
                  <c:v>0.45</c:v>
                </c:pt>
                <c:pt idx="181" formatCode="0%">
                  <c:v>0.5</c:v>
                </c:pt>
                <c:pt idx="200" formatCode="0%">
                  <c:v>0.55000000000000004</c:v>
                </c:pt>
                <c:pt idx="218" formatCode="0%">
                  <c:v>0.6</c:v>
                </c:pt>
                <c:pt idx="236" formatCode="0%">
                  <c:v>0.65</c:v>
                </c:pt>
                <c:pt idx="254" formatCode="0%">
                  <c:v>0.7</c:v>
                </c:pt>
                <c:pt idx="273" formatCode="0%">
                  <c:v>0.75</c:v>
                </c:pt>
                <c:pt idx="291" formatCode="0%">
                  <c:v>0.8</c:v>
                </c:pt>
                <c:pt idx="309" formatCode="0%">
                  <c:v>0.85</c:v>
                </c:pt>
                <c:pt idx="327" formatCode="0%">
                  <c:v>0.9</c:v>
                </c:pt>
                <c:pt idx="346" formatCode="0%">
                  <c:v>0.95</c:v>
                </c:pt>
              </c:numCache>
            </c:numRef>
          </c:cat>
          <c:val>
            <c:numRef>
              <c:f>'6 Flows along SWQP'!$K$2:$K$367</c:f>
              <c:numCache>
                <c:formatCode>General</c:formatCode>
                <c:ptCount val="366"/>
                <c:pt idx="0">
                  <c:v>370.6</c:v>
                </c:pt>
                <c:pt idx="1">
                  <c:v>362.1</c:v>
                </c:pt>
                <c:pt idx="2">
                  <c:v>361.9</c:v>
                </c:pt>
                <c:pt idx="3">
                  <c:v>358.6</c:v>
                </c:pt>
                <c:pt idx="4">
                  <c:v>358.2</c:v>
                </c:pt>
                <c:pt idx="5">
                  <c:v>355.9</c:v>
                </c:pt>
                <c:pt idx="6">
                  <c:v>352.8</c:v>
                </c:pt>
                <c:pt idx="7">
                  <c:v>352.5</c:v>
                </c:pt>
                <c:pt idx="8">
                  <c:v>350.6</c:v>
                </c:pt>
                <c:pt idx="9">
                  <c:v>349.2</c:v>
                </c:pt>
                <c:pt idx="10">
                  <c:v>349.1</c:v>
                </c:pt>
                <c:pt idx="11">
                  <c:v>348.3</c:v>
                </c:pt>
                <c:pt idx="12">
                  <c:v>343.5</c:v>
                </c:pt>
                <c:pt idx="13">
                  <c:v>342</c:v>
                </c:pt>
                <c:pt idx="14">
                  <c:v>341.9</c:v>
                </c:pt>
                <c:pt idx="15">
                  <c:v>341.9</c:v>
                </c:pt>
                <c:pt idx="16">
                  <c:v>340.9</c:v>
                </c:pt>
                <c:pt idx="17">
                  <c:v>340.8</c:v>
                </c:pt>
                <c:pt idx="18">
                  <c:v>339.9</c:v>
                </c:pt>
                <c:pt idx="19">
                  <c:v>339.2</c:v>
                </c:pt>
                <c:pt idx="20">
                  <c:v>335.8</c:v>
                </c:pt>
                <c:pt idx="21">
                  <c:v>335.1</c:v>
                </c:pt>
                <c:pt idx="22">
                  <c:v>334.8</c:v>
                </c:pt>
                <c:pt idx="23">
                  <c:v>334.6</c:v>
                </c:pt>
                <c:pt idx="24">
                  <c:v>334.6</c:v>
                </c:pt>
                <c:pt idx="25">
                  <c:v>331.9</c:v>
                </c:pt>
                <c:pt idx="26">
                  <c:v>330.2</c:v>
                </c:pt>
                <c:pt idx="27">
                  <c:v>329.6</c:v>
                </c:pt>
                <c:pt idx="28">
                  <c:v>328.9</c:v>
                </c:pt>
                <c:pt idx="29">
                  <c:v>328.6</c:v>
                </c:pt>
                <c:pt idx="30">
                  <c:v>328.5</c:v>
                </c:pt>
                <c:pt idx="31">
                  <c:v>328.5</c:v>
                </c:pt>
                <c:pt idx="32">
                  <c:v>328.2</c:v>
                </c:pt>
                <c:pt idx="33">
                  <c:v>327.9</c:v>
                </c:pt>
                <c:pt idx="34">
                  <c:v>327.8</c:v>
                </c:pt>
                <c:pt idx="35">
                  <c:v>326.7</c:v>
                </c:pt>
                <c:pt idx="36">
                  <c:v>325.10000000000002</c:v>
                </c:pt>
                <c:pt idx="37">
                  <c:v>324.89999999999998</c:v>
                </c:pt>
                <c:pt idx="38">
                  <c:v>324.8</c:v>
                </c:pt>
                <c:pt idx="39">
                  <c:v>324.60000000000002</c:v>
                </c:pt>
                <c:pt idx="40">
                  <c:v>324.2</c:v>
                </c:pt>
                <c:pt idx="41">
                  <c:v>324.10000000000002</c:v>
                </c:pt>
                <c:pt idx="42">
                  <c:v>323.60000000000002</c:v>
                </c:pt>
                <c:pt idx="43">
                  <c:v>323.39999999999998</c:v>
                </c:pt>
                <c:pt idx="44">
                  <c:v>323.2</c:v>
                </c:pt>
                <c:pt idx="45">
                  <c:v>321.60000000000002</c:v>
                </c:pt>
                <c:pt idx="46">
                  <c:v>321.10000000000002</c:v>
                </c:pt>
                <c:pt idx="47">
                  <c:v>319.7</c:v>
                </c:pt>
                <c:pt idx="48">
                  <c:v>319.5</c:v>
                </c:pt>
                <c:pt idx="49">
                  <c:v>319.5</c:v>
                </c:pt>
                <c:pt idx="50">
                  <c:v>319.39999999999998</c:v>
                </c:pt>
                <c:pt idx="51">
                  <c:v>319.39999999999998</c:v>
                </c:pt>
                <c:pt idx="52">
                  <c:v>319.2</c:v>
                </c:pt>
                <c:pt idx="53">
                  <c:v>318.5</c:v>
                </c:pt>
                <c:pt idx="54">
                  <c:v>318.5</c:v>
                </c:pt>
                <c:pt idx="55">
                  <c:v>317.8</c:v>
                </c:pt>
                <c:pt idx="56">
                  <c:v>316.60000000000002</c:v>
                </c:pt>
                <c:pt idx="57">
                  <c:v>316.60000000000002</c:v>
                </c:pt>
                <c:pt idx="58">
                  <c:v>315.60000000000002</c:v>
                </c:pt>
                <c:pt idx="59">
                  <c:v>315.2</c:v>
                </c:pt>
                <c:pt idx="60">
                  <c:v>314.39999999999998</c:v>
                </c:pt>
                <c:pt idx="61">
                  <c:v>314</c:v>
                </c:pt>
                <c:pt idx="62">
                  <c:v>313.8</c:v>
                </c:pt>
                <c:pt idx="63">
                  <c:v>313.39999999999998</c:v>
                </c:pt>
                <c:pt idx="64">
                  <c:v>312</c:v>
                </c:pt>
                <c:pt idx="65">
                  <c:v>311.5</c:v>
                </c:pt>
                <c:pt idx="66">
                  <c:v>311</c:v>
                </c:pt>
                <c:pt idx="67">
                  <c:v>310.10000000000002</c:v>
                </c:pt>
                <c:pt idx="68">
                  <c:v>308.8</c:v>
                </c:pt>
                <c:pt idx="69">
                  <c:v>308.2</c:v>
                </c:pt>
                <c:pt idx="70">
                  <c:v>307</c:v>
                </c:pt>
                <c:pt idx="71">
                  <c:v>304</c:v>
                </c:pt>
                <c:pt idx="72">
                  <c:v>303.5</c:v>
                </c:pt>
                <c:pt idx="73">
                  <c:v>303</c:v>
                </c:pt>
                <c:pt idx="74">
                  <c:v>303</c:v>
                </c:pt>
                <c:pt idx="75">
                  <c:v>300.39999999999998</c:v>
                </c:pt>
                <c:pt idx="76">
                  <c:v>298.8</c:v>
                </c:pt>
                <c:pt idx="77">
                  <c:v>298.3</c:v>
                </c:pt>
                <c:pt idx="78">
                  <c:v>296.60000000000002</c:v>
                </c:pt>
                <c:pt idx="79">
                  <c:v>295.60000000000002</c:v>
                </c:pt>
                <c:pt idx="80">
                  <c:v>294.39999999999998</c:v>
                </c:pt>
                <c:pt idx="81">
                  <c:v>293.60000000000002</c:v>
                </c:pt>
                <c:pt idx="82">
                  <c:v>293.5</c:v>
                </c:pt>
                <c:pt idx="83">
                  <c:v>292.5</c:v>
                </c:pt>
                <c:pt idx="84">
                  <c:v>292</c:v>
                </c:pt>
                <c:pt idx="85">
                  <c:v>290.5</c:v>
                </c:pt>
                <c:pt idx="86">
                  <c:v>288.89999999999998</c:v>
                </c:pt>
                <c:pt idx="87">
                  <c:v>285.89999999999998</c:v>
                </c:pt>
                <c:pt idx="88">
                  <c:v>285.8</c:v>
                </c:pt>
                <c:pt idx="89">
                  <c:v>285.39999999999998</c:v>
                </c:pt>
                <c:pt idx="90">
                  <c:v>285.39999999999998</c:v>
                </c:pt>
                <c:pt idx="91">
                  <c:v>284.5</c:v>
                </c:pt>
                <c:pt idx="92">
                  <c:v>284.5</c:v>
                </c:pt>
                <c:pt idx="93">
                  <c:v>284.2</c:v>
                </c:pt>
                <c:pt idx="94">
                  <c:v>284</c:v>
                </c:pt>
                <c:pt idx="95">
                  <c:v>281.89999999999998</c:v>
                </c:pt>
                <c:pt idx="96">
                  <c:v>281.60000000000002</c:v>
                </c:pt>
                <c:pt idx="97">
                  <c:v>280.8</c:v>
                </c:pt>
                <c:pt idx="98">
                  <c:v>280.7</c:v>
                </c:pt>
                <c:pt idx="99">
                  <c:v>280.60000000000002</c:v>
                </c:pt>
                <c:pt idx="100">
                  <c:v>279.8</c:v>
                </c:pt>
                <c:pt idx="101">
                  <c:v>279.10000000000002</c:v>
                </c:pt>
                <c:pt idx="102">
                  <c:v>279</c:v>
                </c:pt>
                <c:pt idx="103">
                  <c:v>278.5</c:v>
                </c:pt>
                <c:pt idx="104">
                  <c:v>278.2</c:v>
                </c:pt>
                <c:pt idx="105">
                  <c:v>277.7</c:v>
                </c:pt>
                <c:pt idx="106">
                  <c:v>277.3</c:v>
                </c:pt>
                <c:pt idx="107">
                  <c:v>277.3</c:v>
                </c:pt>
                <c:pt idx="108">
                  <c:v>277.10000000000002</c:v>
                </c:pt>
                <c:pt idx="109">
                  <c:v>276.5</c:v>
                </c:pt>
                <c:pt idx="110">
                  <c:v>276.2</c:v>
                </c:pt>
                <c:pt idx="111">
                  <c:v>276.10000000000002</c:v>
                </c:pt>
                <c:pt idx="112">
                  <c:v>275.60000000000002</c:v>
                </c:pt>
                <c:pt idx="113">
                  <c:v>275.5</c:v>
                </c:pt>
                <c:pt idx="114">
                  <c:v>274.2</c:v>
                </c:pt>
                <c:pt idx="115">
                  <c:v>273.3</c:v>
                </c:pt>
                <c:pt idx="116">
                  <c:v>269</c:v>
                </c:pt>
                <c:pt idx="117">
                  <c:v>268.5</c:v>
                </c:pt>
                <c:pt idx="118">
                  <c:v>268</c:v>
                </c:pt>
                <c:pt idx="119">
                  <c:v>266.7</c:v>
                </c:pt>
                <c:pt idx="120">
                  <c:v>266.39999999999998</c:v>
                </c:pt>
                <c:pt idx="121">
                  <c:v>265.7</c:v>
                </c:pt>
                <c:pt idx="122">
                  <c:v>260.3</c:v>
                </c:pt>
                <c:pt idx="123">
                  <c:v>260.10000000000002</c:v>
                </c:pt>
                <c:pt idx="124">
                  <c:v>258.5</c:v>
                </c:pt>
                <c:pt idx="125">
                  <c:v>257.5</c:v>
                </c:pt>
                <c:pt idx="126">
                  <c:v>256.7</c:v>
                </c:pt>
                <c:pt idx="127">
                  <c:v>254.4</c:v>
                </c:pt>
                <c:pt idx="128">
                  <c:v>252.3</c:v>
                </c:pt>
                <c:pt idx="129">
                  <c:v>252.1</c:v>
                </c:pt>
                <c:pt idx="130">
                  <c:v>251.4</c:v>
                </c:pt>
                <c:pt idx="131">
                  <c:v>251.1</c:v>
                </c:pt>
                <c:pt idx="132">
                  <c:v>251</c:v>
                </c:pt>
                <c:pt idx="133">
                  <c:v>250.4</c:v>
                </c:pt>
                <c:pt idx="134">
                  <c:v>250.3</c:v>
                </c:pt>
                <c:pt idx="135">
                  <c:v>249.6</c:v>
                </c:pt>
                <c:pt idx="136">
                  <c:v>249</c:v>
                </c:pt>
                <c:pt idx="137">
                  <c:v>248.5</c:v>
                </c:pt>
                <c:pt idx="138">
                  <c:v>248.2</c:v>
                </c:pt>
                <c:pt idx="139">
                  <c:v>246.6</c:v>
                </c:pt>
                <c:pt idx="140">
                  <c:v>244.8</c:v>
                </c:pt>
                <c:pt idx="141">
                  <c:v>242</c:v>
                </c:pt>
                <c:pt idx="142">
                  <c:v>237.8</c:v>
                </c:pt>
                <c:pt idx="143">
                  <c:v>235.5</c:v>
                </c:pt>
                <c:pt idx="144">
                  <c:v>235.4</c:v>
                </c:pt>
                <c:pt idx="145">
                  <c:v>233.6</c:v>
                </c:pt>
                <c:pt idx="146">
                  <c:v>232.9</c:v>
                </c:pt>
                <c:pt idx="147">
                  <c:v>232.4</c:v>
                </c:pt>
                <c:pt idx="148">
                  <c:v>231.7</c:v>
                </c:pt>
                <c:pt idx="149">
                  <c:v>230</c:v>
                </c:pt>
                <c:pt idx="150">
                  <c:v>226.1</c:v>
                </c:pt>
                <c:pt idx="151">
                  <c:v>224.3</c:v>
                </c:pt>
                <c:pt idx="152">
                  <c:v>224.1</c:v>
                </c:pt>
                <c:pt idx="153">
                  <c:v>221</c:v>
                </c:pt>
                <c:pt idx="154">
                  <c:v>220.3</c:v>
                </c:pt>
                <c:pt idx="155">
                  <c:v>219.8</c:v>
                </c:pt>
                <c:pt idx="156">
                  <c:v>215.1</c:v>
                </c:pt>
                <c:pt idx="157">
                  <c:v>213.6</c:v>
                </c:pt>
                <c:pt idx="158">
                  <c:v>211.8</c:v>
                </c:pt>
                <c:pt idx="159">
                  <c:v>211.2</c:v>
                </c:pt>
                <c:pt idx="160">
                  <c:v>210.8</c:v>
                </c:pt>
                <c:pt idx="161">
                  <c:v>209.8</c:v>
                </c:pt>
                <c:pt idx="162">
                  <c:v>206.5</c:v>
                </c:pt>
                <c:pt idx="163">
                  <c:v>204</c:v>
                </c:pt>
                <c:pt idx="164">
                  <c:v>203.9</c:v>
                </c:pt>
                <c:pt idx="165">
                  <c:v>201.8</c:v>
                </c:pt>
                <c:pt idx="166">
                  <c:v>200.7</c:v>
                </c:pt>
                <c:pt idx="167">
                  <c:v>200.6</c:v>
                </c:pt>
                <c:pt idx="168">
                  <c:v>198.5</c:v>
                </c:pt>
                <c:pt idx="169">
                  <c:v>196.4</c:v>
                </c:pt>
                <c:pt idx="170">
                  <c:v>194.9</c:v>
                </c:pt>
                <c:pt idx="171">
                  <c:v>193.2</c:v>
                </c:pt>
                <c:pt idx="172">
                  <c:v>193.1</c:v>
                </c:pt>
                <c:pt idx="173">
                  <c:v>189.5</c:v>
                </c:pt>
                <c:pt idx="174">
                  <c:v>188.2</c:v>
                </c:pt>
                <c:pt idx="175">
                  <c:v>187.3</c:v>
                </c:pt>
                <c:pt idx="176">
                  <c:v>183.4</c:v>
                </c:pt>
                <c:pt idx="177">
                  <c:v>183</c:v>
                </c:pt>
                <c:pt idx="178">
                  <c:v>178.4</c:v>
                </c:pt>
                <c:pt idx="179">
                  <c:v>178.2</c:v>
                </c:pt>
                <c:pt idx="180">
                  <c:v>178.1</c:v>
                </c:pt>
                <c:pt idx="181">
                  <c:v>173.9</c:v>
                </c:pt>
                <c:pt idx="182">
                  <c:v>172.6</c:v>
                </c:pt>
                <c:pt idx="183">
                  <c:v>170.6</c:v>
                </c:pt>
                <c:pt idx="184">
                  <c:v>164.7</c:v>
                </c:pt>
                <c:pt idx="185">
                  <c:v>163.19999999999999</c:v>
                </c:pt>
                <c:pt idx="186">
                  <c:v>162.30000000000001</c:v>
                </c:pt>
                <c:pt idx="187">
                  <c:v>160.30000000000001</c:v>
                </c:pt>
                <c:pt idx="188">
                  <c:v>159.19999999999999</c:v>
                </c:pt>
                <c:pt idx="189">
                  <c:v>158.9</c:v>
                </c:pt>
                <c:pt idx="190">
                  <c:v>158.9</c:v>
                </c:pt>
                <c:pt idx="191">
                  <c:v>158.1</c:v>
                </c:pt>
                <c:pt idx="192">
                  <c:v>157.9</c:v>
                </c:pt>
                <c:pt idx="193">
                  <c:v>157.4</c:v>
                </c:pt>
                <c:pt idx="194">
                  <c:v>156.9</c:v>
                </c:pt>
                <c:pt idx="195">
                  <c:v>156.1</c:v>
                </c:pt>
                <c:pt idx="196">
                  <c:v>155.9</c:v>
                </c:pt>
                <c:pt idx="197">
                  <c:v>155.30000000000001</c:v>
                </c:pt>
                <c:pt idx="198">
                  <c:v>155.1</c:v>
                </c:pt>
                <c:pt idx="199">
                  <c:v>154</c:v>
                </c:pt>
                <c:pt idx="200">
                  <c:v>153.80000000000001</c:v>
                </c:pt>
                <c:pt idx="201">
                  <c:v>152.19999999999999</c:v>
                </c:pt>
                <c:pt idx="202">
                  <c:v>150.9</c:v>
                </c:pt>
                <c:pt idx="203">
                  <c:v>148.6</c:v>
                </c:pt>
                <c:pt idx="204">
                  <c:v>148.1</c:v>
                </c:pt>
                <c:pt idx="205">
                  <c:v>145.30000000000001</c:v>
                </c:pt>
                <c:pt idx="206">
                  <c:v>144.80000000000001</c:v>
                </c:pt>
                <c:pt idx="207">
                  <c:v>142.9</c:v>
                </c:pt>
                <c:pt idx="208">
                  <c:v>142.6</c:v>
                </c:pt>
                <c:pt idx="209">
                  <c:v>141.9</c:v>
                </c:pt>
                <c:pt idx="210">
                  <c:v>140.5</c:v>
                </c:pt>
                <c:pt idx="211">
                  <c:v>139.6</c:v>
                </c:pt>
                <c:pt idx="212">
                  <c:v>138.69999999999999</c:v>
                </c:pt>
                <c:pt idx="213">
                  <c:v>137.30000000000001</c:v>
                </c:pt>
                <c:pt idx="214">
                  <c:v>135.9</c:v>
                </c:pt>
                <c:pt idx="215">
                  <c:v>134.69999999999999</c:v>
                </c:pt>
                <c:pt idx="216">
                  <c:v>133.1</c:v>
                </c:pt>
                <c:pt idx="217">
                  <c:v>132.4</c:v>
                </c:pt>
                <c:pt idx="218">
                  <c:v>130.1</c:v>
                </c:pt>
                <c:pt idx="219">
                  <c:v>127</c:v>
                </c:pt>
                <c:pt idx="220">
                  <c:v>126.1</c:v>
                </c:pt>
                <c:pt idx="221">
                  <c:v>126</c:v>
                </c:pt>
                <c:pt idx="222">
                  <c:v>125.9</c:v>
                </c:pt>
                <c:pt idx="223">
                  <c:v>124</c:v>
                </c:pt>
                <c:pt idx="224">
                  <c:v>124</c:v>
                </c:pt>
                <c:pt idx="225">
                  <c:v>120.1</c:v>
                </c:pt>
                <c:pt idx="226">
                  <c:v>119.2</c:v>
                </c:pt>
                <c:pt idx="227">
                  <c:v>119</c:v>
                </c:pt>
                <c:pt idx="228">
                  <c:v>118.5</c:v>
                </c:pt>
                <c:pt idx="229">
                  <c:v>118.1</c:v>
                </c:pt>
                <c:pt idx="230">
                  <c:v>115.3</c:v>
                </c:pt>
                <c:pt idx="231">
                  <c:v>114.8</c:v>
                </c:pt>
                <c:pt idx="232">
                  <c:v>113.2</c:v>
                </c:pt>
                <c:pt idx="233">
                  <c:v>112.3</c:v>
                </c:pt>
                <c:pt idx="234">
                  <c:v>112</c:v>
                </c:pt>
                <c:pt idx="235">
                  <c:v>110.4</c:v>
                </c:pt>
                <c:pt idx="236">
                  <c:v>109.4</c:v>
                </c:pt>
                <c:pt idx="237">
                  <c:v>105</c:v>
                </c:pt>
                <c:pt idx="238">
                  <c:v>104.8</c:v>
                </c:pt>
                <c:pt idx="239">
                  <c:v>104.2</c:v>
                </c:pt>
                <c:pt idx="240">
                  <c:v>104</c:v>
                </c:pt>
                <c:pt idx="241">
                  <c:v>101.5</c:v>
                </c:pt>
                <c:pt idx="242">
                  <c:v>99.7</c:v>
                </c:pt>
                <c:pt idx="243">
                  <c:v>97.5</c:v>
                </c:pt>
                <c:pt idx="244">
                  <c:v>96</c:v>
                </c:pt>
                <c:pt idx="245">
                  <c:v>93.8</c:v>
                </c:pt>
                <c:pt idx="246">
                  <c:v>93.6</c:v>
                </c:pt>
                <c:pt idx="247">
                  <c:v>91.2</c:v>
                </c:pt>
                <c:pt idx="248">
                  <c:v>90.5</c:v>
                </c:pt>
                <c:pt idx="249">
                  <c:v>90.1</c:v>
                </c:pt>
                <c:pt idx="250">
                  <c:v>88.6</c:v>
                </c:pt>
                <c:pt idx="251">
                  <c:v>87.5</c:v>
                </c:pt>
                <c:pt idx="252">
                  <c:v>87.3</c:v>
                </c:pt>
                <c:pt idx="253">
                  <c:v>83.7</c:v>
                </c:pt>
                <c:pt idx="254">
                  <c:v>82</c:v>
                </c:pt>
                <c:pt idx="255">
                  <c:v>81.599999999999994</c:v>
                </c:pt>
                <c:pt idx="256">
                  <c:v>79.5</c:v>
                </c:pt>
                <c:pt idx="257">
                  <c:v>77.400000000000006</c:v>
                </c:pt>
                <c:pt idx="258">
                  <c:v>77.400000000000006</c:v>
                </c:pt>
                <c:pt idx="259">
                  <c:v>77.3</c:v>
                </c:pt>
                <c:pt idx="260">
                  <c:v>77</c:v>
                </c:pt>
                <c:pt idx="261">
                  <c:v>75.5</c:v>
                </c:pt>
                <c:pt idx="262">
                  <c:v>75.400000000000006</c:v>
                </c:pt>
                <c:pt idx="263">
                  <c:v>74.8</c:v>
                </c:pt>
                <c:pt idx="264">
                  <c:v>74.5</c:v>
                </c:pt>
                <c:pt idx="265">
                  <c:v>74.2</c:v>
                </c:pt>
                <c:pt idx="266">
                  <c:v>70.5</c:v>
                </c:pt>
                <c:pt idx="267">
                  <c:v>70.099999999999994</c:v>
                </c:pt>
                <c:pt idx="268">
                  <c:v>69.7</c:v>
                </c:pt>
                <c:pt idx="269">
                  <c:v>68.099999999999994</c:v>
                </c:pt>
                <c:pt idx="270">
                  <c:v>67.599999999999994</c:v>
                </c:pt>
                <c:pt idx="271">
                  <c:v>67.400000000000006</c:v>
                </c:pt>
                <c:pt idx="272">
                  <c:v>67.099999999999994</c:v>
                </c:pt>
                <c:pt idx="273">
                  <c:v>65.3</c:v>
                </c:pt>
                <c:pt idx="274">
                  <c:v>62.8</c:v>
                </c:pt>
                <c:pt idx="275">
                  <c:v>59.1</c:v>
                </c:pt>
                <c:pt idx="276">
                  <c:v>52.2</c:v>
                </c:pt>
                <c:pt idx="277">
                  <c:v>48.6</c:v>
                </c:pt>
                <c:pt idx="278">
                  <c:v>47.7</c:v>
                </c:pt>
                <c:pt idx="279">
                  <c:v>44.6</c:v>
                </c:pt>
                <c:pt idx="280">
                  <c:v>44.1</c:v>
                </c:pt>
                <c:pt idx="281">
                  <c:v>34.5</c:v>
                </c:pt>
                <c:pt idx="282">
                  <c:v>34.200000000000003</c:v>
                </c:pt>
                <c:pt idx="283">
                  <c:v>33.6</c:v>
                </c:pt>
                <c:pt idx="284">
                  <c:v>30.8</c:v>
                </c:pt>
                <c:pt idx="285">
                  <c:v>28.5</c:v>
                </c:pt>
                <c:pt idx="286">
                  <c:v>20.100000000000001</c:v>
                </c:pt>
                <c:pt idx="287">
                  <c:v>19.5</c:v>
                </c:pt>
                <c:pt idx="288">
                  <c:v>17.399999999999999</c:v>
                </c:pt>
                <c:pt idx="289">
                  <c:v>14.3</c:v>
                </c:pt>
                <c:pt idx="290">
                  <c:v>9.8000000000000007</c:v>
                </c:pt>
                <c:pt idx="291">
                  <c:v>8.1999999999999993</c:v>
                </c:pt>
                <c:pt idx="292">
                  <c:v>4.4000000000000004</c:v>
                </c:pt>
                <c:pt idx="293">
                  <c:v>2.7</c:v>
                </c:pt>
                <c:pt idx="294">
                  <c:v>0.2</c:v>
                </c:pt>
                <c:pt idx="295">
                  <c:v>0</c:v>
                </c:pt>
                <c:pt idx="296">
                  <c:v>-0.1</c:v>
                </c:pt>
                <c:pt idx="297">
                  <c:v>-0.20000000000000107</c:v>
                </c:pt>
                <c:pt idx="298">
                  <c:v>-0.5</c:v>
                </c:pt>
                <c:pt idx="299">
                  <c:v>-0.6</c:v>
                </c:pt>
                <c:pt idx="300">
                  <c:v>-0.6</c:v>
                </c:pt>
                <c:pt idx="301">
                  <c:v>-0.7</c:v>
                </c:pt>
                <c:pt idx="302">
                  <c:v>-0.8</c:v>
                </c:pt>
                <c:pt idx="303">
                  <c:v>-0.9</c:v>
                </c:pt>
                <c:pt idx="304">
                  <c:v>-0.9</c:v>
                </c:pt>
                <c:pt idx="305">
                  <c:v>-1</c:v>
                </c:pt>
                <c:pt idx="306">
                  <c:v>-1.1000000000000001</c:v>
                </c:pt>
                <c:pt idx="307">
                  <c:v>-1.1000000000000001</c:v>
                </c:pt>
                <c:pt idx="308">
                  <c:v>-1.1000000000000001</c:v>
                </c:pt>
                <c:pt idx="309">
                  <c:v>-1.1000000000000001</c:v>
                </c:pt>
                <c:pt idx="310">
                  <c:v>-1.2</c:v>
                </c:pt>
                <c:pt idx="311">
                  <c:v>-1.2</c:v>
                </c:pt>
                <c:pt idx="312">
                  <c:v>-1.3</c:v>
                </c:pt>
                <c:pt idx="313">
                  <c:v>-1.3</c:v>
                </c:pt>
                <c:pt idx="314">
                  <c:v>-1.3</c:v>
                </c:pt>
                <c:pt idx="315">
                  <c:v>-1.5</c:v>
                </c:pt>
                <c:pt idx="316">
                  <c:v>-1.5</c:v>
                </c:pt>
                <c:pt idx="317">
                  <c:v>-1.6</c:v>
                </c:pt>
                <c:pt idx="318">
                  <c:v>-1.7</c:v>
                </c:pt>
                <c:pt idx="319">
                  <c:v>-1.8</c:v>
                </c:pt>
                <c:pt idx="320">
                  <c:v>-2.1</c:v>
                </c:pt>
                <c:pt idx="321">
                  <c:v>-2.2000000000000002</c:v>
                </c:pt>
                <c:pt idx="322">
                  <c:v>-2.2000000000000002</c:v>
                </c:pt>
                <c:pt idx="323">
                  <c:v>-2.6</c:v>
                </c:pt>
                <c:pt idx="324">
                  <c:v>-2.7</c:v>
                </c:pt>
                <c:pt idx="325">
                  <c:v>-2.7</c:v>
                </c:pt>
                <c:pt idx="326">
                  <c:v>-2.9</c:v>
                </c:pt>
                <c:pt idx="327">
                  <c:v>-3.2</c:v>
                </c:pt>
                <c:pt idx="328">
                  <c:v>-3.4</c:v>
                </c:pt>
                <c:pt idx="329">
                  <c:v>-6.2</c:v>
                </c:pt>
                <c:pt idx="330">
                  <c:v>-6.8</c:v>
                </c:pt>
                <c:pt idx="331">
                  <c:v>-7</c:v>
                </c:pt>
                <c:pt idx="332">
                  <c:v>-8.4</c:v>
                </c:pt>
                <c:pt idx="333">
                  <c:v>-13.7</c:v>
                </c:pt>
                <c:pt idx="334">
                  <c:v>-18.100000000000001</c:v>
                </c:pt>
                <c:pt idx="335">
                  <c:v>-18.600000000000001</c:v>
                </c:pt>
                <c:pt idx="336">
                  <c:v>-29.5</c:v>
                </c:pt>
                <c:pt idx="337">
                  <c:v>-31</c:v>
                </c:pt>
                <c:pt idx="338">
                  <c:v>-33.1</c:v>
                </c:pt>
                <c:pt idx="339">
                  <c:v>-33.9</c:v>
                </c:pt>
                <c:pt idx="340">
                  <c:v>-35.200000000000003</c:v>
                </c:pt>
                <c:pt idx="341">
                  <c:v>-35.799999999999997</c:v>
                </c:pt>
                <c:pt idx="342">
                  <c:v>-40.4</c:v>
                </c:pt>
                <c:pt idx="343">
                  <c:v>-40.6</c:v>
                </c:pt>
                <c:pt idx="344">
                  <c:v>-44.9</c:v>
                </c:pt>
                <c:pt idx="345">
                  <c:v>-48.9</c:v>
                </c:pt>
                <c:pt idx="346">
                  <c:v>-51.9</c:v>
                </c:pt>
                <c:pt idx="347">
                  <c:v>-55</c:v>
                </c:pt>
                <c:pt idx="348">
                  <c:v>-59.3</c:v>
                </c:pt>
                <c:pt idx="349">
                  <c:v>-60.9</c:v>
                </c:pt>
                <c:pt idx="350">
                  <c:v>-68.7</c:v>
                </c:pt>
                <c:pt idx="351">
                  <c:v>-69.599999999999994</c:v>
                </c:pt>
                <c:pt idx="352">
                  <c:v>-72.099999999999994</c:v>
                </c:pt>
                <c:pt idx="353">
                  <c:v>-73.3</c:v>
                </c:pt>
                <c:pt idx="354">
                  <c:v>-77.099999999999994</c:v>
                </c:pt>
                <c:pt idx="355">
                  <c:v>-77.2</c:v>
                </c:pt>
                <c:pt idx="356">
                  <c:v>-84</c:v>
                </c:pt>
                <c:pt idx="357">
                  <c:v>-85.3</c:v>
                </c:pt>
                <c:pt idx="358">
                  <c:v>-85.6</c:v>
                </c:pt>
                <c:pt idx="359">
                  <c:v>-86.8</c:v>
                </c:pt>
                <c:pt idx="360">
                  <c:v>-89.7</c:v>
                </c:pt>
                <c:pt idx="361">
                  <c:v>-96.2</c:v>
                </c:pt>
                <c:pt idx="362">
                  <c:v>-96.5</c:v>
                </c:pt>
                <c:pt idx="363">
                  <c:v>-129.4</c:v>
                </c:pt>
                <c:pt idx="364">
                  <c:v>-139.80000000000001</c:v>
                </c:pt>
              </c:numCache>
            </c:numRef>
          </c:val>
          <c:smooth val="0"/>
        </c:ser>
        <c:ser>
          <c:idx val="3"/>
          <c:order val="4"/>
          <c:tx>
            <c:strRef>
              <c:f>'6 Flows along SWQP'!$L$1</c:f>
              <c:strCache>
                <c:ptCount val="1"/>
                <c:pt idx="0">
                  <c:v>2017-18</c:v>
                </c:pt>
              </c:strCache>
            </c:strRef>
          </c:tx>
          <c:spPr>
            <a:ln w="28575" cap="rnd">
              <a:solidFill>
                <a:srgbClr val="56B4DF"/>
              </a:solidFill>
              <a:round/>
            </a:ln>
            <a:effectLst/>
          </c:spPr>
          <c:marker>
            <c:symbol val="none"/>
          </c:marker>
          <c:cat>
            <c:numRef>
              <c:f>'6 Flows along SWQP'!$A$2:$A$367</c:f>
              <c:numCache>
                <c:formatCode>General</c:formatCode>
                <c:ptCount val="366"/>
                <c:pt idx="17" formatCode="0%">
                  <c:v>0.05</c:v>
                </c:pt>
                <c:pt idx="35" formatCode="0%">
                  <c:v>0.1</c:v>
                </c:pt>
                <c:pt idx="54" formatCode="0%">
                  <c:v>0.15</c:v>
                </c:pt>
                <c:pt idx="72" formatCode="0%">
                  <c:v>0.2</c:v>
                </c:pt>
                <c:pt idx="90" formatCode="0%">
                  <c:v>0.25</c:v>
                </c:pt>
                <c:pt idx="108" formatCode="0%">
                  <c:v>0.3</c:v>
                </c:pt>
                <c:pt idx="127" formatCode="0%">
                  <c:v>0.35</c:v>
                </c:pt>
                <c:pt idx="145" formatCode="0%">
                  <c:v>0.4</c:v>
                </c:pt>
                <c:pt idx="163" formatCode="0%">
                  <c:v>0.45</c:v>
                </c:pt>
                <c:pt idx="181" formatCode="0%">
                  <c:v>0.5</c:v>
                </c:pt>
                <c:pt idx="200" formatCode="0%">
                  <c:v>0.55000000000000004</c:v>
                </c:pt>
                <c:pt idx="218" formatCode="0%">
                  <c:v>0.6</c:v>
                </c:pt>
                <c:pt idx="236" formatCode="0%">
                  <c:v>0.65</c:v>
                </c:pt>
                <c:pt idx="254" formatCode="0%">
                  <c:v>0.7</c:v>
                </c:pt>
                <c:pt idx="273" formatCode="0%">
                  <c:v>0.75</c:v>
                </c:pt>
                <c:pt idx="291" formatCode="0%">
                  <c:v>0.8</c:v>
                </c:pt>
                <c:pt idx="309" formatCode="0%">
                  <c:v>0.85</c:v>
                </c:pt>
                <c:pt idx="327" formatCode="0%">
                  <c:v>0.9</c:v>
                </c:pt>
                <c:pt idx="346" formatCode="0%">
                  <c:v>0.95</c:v>
                </c:pt>
              </c:numCache>
            </c:numRef>
          </c:cat>
          <c:val>
            <c:numRef>
              <c:f>'6 Flows along SWQP'!$L$2:$L$367</c:f>
              <c:numCache>
                <c:formatCode>General</c:formatCode>
                <c:ptCount val="366"/>
                <c:pt idx="0">
                  <c:v>293.7</c:v>
                </c:pt>
                <c:pt idx="1">
                  <c:v>290</c:v>
                </c:pt>
                <c:pt idx="2">
                  <c:v>281.5</c:v>
                </c:pt>
                <c:pt idx="3">
                  <c:v>280.2</c:v>
                </c:pt>
                <c:pt idx="4">
                  <c:v>278.10000000000002</c:v>
                </c:pt>
                <c:pt idx="5">
                  <c:v>278.10000000000002</c:v>
                </c:pt>
                <c:pt idx="6">
                  <c:v>277.7</c:v>
                </c:pt>
                <c:pt idx="7">
                  <c:v>277.7</c:v>
                </c:pt>
                <c:pt idx="8">
                  <c:v>277.5</c:v>
                </c:pt>
                <c:pt idx="9">
                  <c:v>277.39999999999998</c:v>
                </c:pt>
                <c:pt idx="10">
                  <c:v>275.2</c:v>
                </c:pt>
                <c:pt idx="11">
                  <c:v>273.89999999999998</c:v>
                </c:pt>
                <c:pt idx="12">
                  <c:v>270.3</c:v>
                </c:pt>
                <c:pt idx="13">
                  <c:v>268.8</c:v>
                </c:pt>
                <c:pt idx="14">
                  <c:v>268.5</c:v>
                </c:pt>
                <c:pt idx="15">
                  <c:v>268.39999999999998</c:v>
                </c:pt>
                <c:pt idx="16">
                  <c:v>268</c:v>
                </c:pt>
                <c:pt idx="17">
                  <c:v>264.7</c:v>
                </c:pt>
                <c:pt idx="18">
                  <c:v>262.89999999999998</c:v>
                </c:pt>
                <c:pt idx="19">
                  <c:v>260.7</c:v>
                </c:pt>
                <c:pt idx="20">
                  <c:v>259.3</c:v>
                </c:pt>
                <c:pt idx="21">
                  <c:v>257.60000000000002</c:v>
                </c:pt>
                <c:pt idx="22">
                  <c:v>256.60000000000002</c:v>
                </c:pt>
                <c:pt idx="23">
                  <c:v>255.1</c:v>
                </c:pt>
                <c:pt idx="24">
                  <c:v>252.5</c:v>
                </c:pt>
                <c:pt idx="25">
                  <c:v>248.9</c:v>
                </c:pt>
                <c:pt idx="26">
                  <c:v>248.8</c:v>
                </c:pt>
                <c:pt idx="27">
                  <c:v>247.7</c:v>
                </c:pt>
                <c:pt idx="28">
                  <c:v>247.5</c:v>
                </c:pt>
                <c:pt idx="29">
                  <c:v>244.5</c:v>
                </c:pt>
                <c:pt idx="30">
                  <c:v>242.2</c:v>
                </c:pt>
                <c:pt idx="31">
                  <c:v>242.2</c:v>
                </c:pt>
                <c:pt idx="32">
                  <c:v>241.2</c:v>
                </c:pt>
                <c:pt idx="33">
                  <c:v>238.4</c:v>
                </c:pt>
                <c:pt idx="34">
                  <c:v>236.3</c:v>
                </c:pt>
                <c:pt idx="35">
                  <c:v>235.7</c:v>
                </c:pt>
                <c:pt idx="36">
                  <c:v>235</c:v>
                </c:pt>
                <c:pt idx="37">
                  <c:v>234.1</c:v>
                </c:pt>
                <c:pt idx="38">
                  <c:v>232.8</c:v>
                </c:pt>
                <c:pt idx="39">
                  <c:v>232</c:v>
                </c:pt>
                <c:pt idx="40">
                  <c:v>230.8</c:v>
                </c:pt>
                <c:pt idx="41">
                  <c:v>227.9</c:v>
                </c:pt>
                <c:pt idx="42">
                  <c:v>226.4</c:v>
                </c:pt>
                <c:pt idx="43">
                  <c:v>226.2</c:v>
                </c:pt>
                <c:pt idx="44">
                  <c:v>223.8</c:v>
                </c:pt>
                <c:pt idx="45">
                  <c:v>222.9</c:v>
                </c:pt>
                <c:pt idx="46">
                  <c:v>220.5</c:v>
                </c:pt>
                <c:pt idx="47">
                  <c:v>219.9</c:v>
                </c:pt>
                <c:pt idx="48">
                  <c:v>218.9</c:v>
                </c:pt>
                <c:pt idx="49">
                  <c:v>217.8</c:v>
                </c:pt>
                <c:pt idx="50">
                  <c:v>215.2</c:v>
                </c:pt>
                <c:pt idx="51">
                  <c:v>213.6</c:v>
                </c:pt>
                <c:pt idx="52">
                  <c:v>213.3</c:v>
                </c:pt>
                <c:pt idx="53">
                  <c:v>212.4</c:v>
                </c:pt>
                <c:pt idx="54">
                  <c:v>209.7</c:v>
                </c:pt>
                <c:pt idx="55">
                  <c:v>208.9</c:v>
                </c:pt>
                <c:pt idx="56">
                  <c:v>205.6</c:v>
                </c:pt>
                <c:pt idx="57">
                  <c:v>202.9</c:v>
                </c:pt>
                <c:pt idx="58">
                  <c:v>202.6</c:v>
                </c:pt>
                <c:pt idx="59">
                  <c:v>202.2</c:v>
                </c:pt>
                <c:pt idx="60">
                  <c:v>201.1</c:v>
                </c:pt>
                <c:pt idx="61">
                  <c:v>198</c:v>
                </c:pt>
                <c:pt idx="62">
                  <c:v>197.3</c:v>
                </c:pt>
                <c:pt idx="63">
                  <c:v>193.6</c:v>
                </c:pt>
                <c:pt idx="64">
                  <c:v>187.4</c:v>
                </c:pt>
                <c:pt idx="65">
                  <c:v>181.3</c:v>
                </c:pt>
                <c:pt idx="66">
                  <c:v>180.9</c:v>
                </c:pt>
                <c:pt idx="67">
                  <c:v>177.3</c:v>
                </c:pt>
                <c:pt idx="68">
                  <c:v>176.9</c:v>
                </c:pt>
                <c:pt idx="69">
                  <c:v>176</c:v>
                </c:pt>
                <c:pt idx="70">
                  <c:v>174.8</c:v>
                </c:pt>
                <c:pt idx="71">
                  <c:v>170.3</c:v>
                </c:pt>
                <c:pt idx="72">
                  <c:v>166.2</c:v>
                </c:pt>
                <c:pt idx="73">
                  <c:v>164.6</c:v>
                </c:pt>
                <c:pt idx="74">
                  <c:v>163.30000000000001</c:v>
                </c:pt>
                <c:pt idx="75">
                  <c:v>163.30000000000001</c:v>
                </c:pt>
                <c:pt idx="76">
                  <c:v>162.9</c:v>
                </c:pt>
                <c:pt idx="77">
                  <c:v>161.1</c:v>
                </c:pt>
                <c:pt idx="78">
                  <c:v>159.1</c:v>
                </c:pt>
                <c:pt idx="79">
                  <c:v>158.19999999999999</c:v>
                </c:pt>
                <c:pt idx="80">
                  <c:v>156.6</c:v>
                </c:pt>
                <c:pt idx="81">
                  <c:v>155.9</c:v>
                </c:pt>
                <c:pt idx="82">
                  <c:v>154.6</c:v>
                </c:pt>
                <c:pt idx="83">
                  <c:v>153.4</c:v>
                </c:pt>
                <c:pt idx="84">
                  <c:v>149.30000000000001</c:v>
                </c:pt>
                <c:pt idx="85">
                  <c:v>147.6</c:v>
                </c:pt>
                <c:pt idx="86">
                  <c:v>146.6</c:v>
                </c:pt>
                <c:pt idx="87">
                  <c:v>145.5</c:v>
                </c:pt>
                <c:pt idx="88">
                  <c:v>144.69999999999999</c:v>
                </c:pt>
                <c:pt idx="89">
                  <c:v>144.5</c:v>
                </c:pt>
                <c:pt idx="90">
                  <c:v>143.6</c:v>
                </c:pt>
                <c:pt idx="91">
                  <c:v>143</c:v>
                </c:pt>
                <c:pt idx="92">
                  <c:v>142.19999999999999</c:v>
                </c:pt>
                <c:pt idx="93">
                  <c:v>141</c:v>
                </c:pt>
                <c:pt idx="94">
                  <c:v>138.5</c:v>
                </c:pt>
                <c:pt idx="95">
                  <c:v>138.30000000000001</c:v>
                </c:pt>
                <c:pt idx="96">
                  <c:v>137.80000000000001</c:v>
                </c:pt>
                <c:pt idx="97">
                  <c:v>137.69999999999999</c:v>
                </c:pt>
                <c:pt idx="98">
                  <c:v>134.1</c:v>
                </c:pt>
                <c:pt idx="99">
                  <c:v>133.6</c:v>
                </c:pt>
                <c:pt idx="100">
                  <c:v>132.4</c:v>
                </c:pt>
                <c:pt idx="101">
                  <c:v>131.1</c:v>
                </c:pt>
                <c:pt idx="102">
                  <c:v>128.19999999999999</c:v>
                </c:pt>
                <c:pt idx="103">
                  <c:v>127.6</c:v>
                </c:pt>
                <c:pt idx="104">
                  <c:v>126.4</c:v>
                </c:pt>
                <c:pt idx="105">
                  <c:v>126.1</c:v>
                </c:pt>
                <c:pt idx="106">
                  <c:v>121.7</c:v>
                </c:pt>
                <c:pt idx="107">
                  <c:v>121.6</c:v>
                </c:pt>
                <c:pt idx="108">
                  <c:v>119.9</c:v>
                </c:pt>
                <c:pt idx="109">
                  <c:v>116.9</c:v>
                </c:pt>
                <c:pt idx="110">
                  <c:v>115.9</c:v>
                </c:pt>
                <c:pt idx="111">
                  <c:v>114.1</c:v>
                </c:pt>
                <c:pt idx="112">
                  <c:v>114</c:v>
                </c:pt>
                <c:pt idx="113">
                  <c:v>113.3</c:v>
                </c:pt>
                <c:pt idx="114">
                  <c:v>108.1</c:v>
                </c:pt>
                <c:pt idx="115">
                  <c:v>107.7</c:v>
                </c:pt>
                <c:pt idx="116">
                  <c:v>100.9</c:v>
                </c:pt>
                <c:pt idx="117">
                  <c:v>99.5</c:v>
                </c:pt>
                <c:pt idx="118">
                  <c:v>99.2</c:v>
                </c:pt>
                <c:pt idx="119">
                  <c:v>95.4</c:v>
                </c:pt>
                <c:pt idx="120">
                  <c:v>95.4</c:v>
                </c:pt>
                <c:pt idx="121">
                  <c:v>93</c:v>
                </c:pt>
                <c:pt idx="122">
                  <c:v>89.3</c:v>
                </c:pt>
                <c:pt idx="123">
                  <c:v>86.3</c:v>
                </c:pt>
                <c:pt idx="124">
                  <c:v>84.3</c:v>
                </c:pt>
                <c:pt idx="125">
                  <c:v>82.3</c:v>
                </c:pt>
                <c:pt idx="126">
                  <c:v>81.2</c:v>
                </c:pt>
                <c:pt idx="127">
                  <c:v>76.5</c:v>
                </c:pt>
                <c:pt idx="128">
                  <c:v>76.400000000000006</c:v>
                </c:pt>
                <c:pt idx="129">
                  <c:v>75.900000000000006</c:v>
                </c:pt>
                <c:pt idx="130">
                  <c:v>73.5</c:v>
                </c:pt>
                <c:pt idx="131">
                  <c:v>70.3</c:v>
                </c:pt>
                <c:pt idx="132">
                  <c:v>70</c:v>
                </c:pt>
                <c:pt idx="133">
                  <c:v>69.2</c:v>
                </c:pt>
                <c:pt idx="134">
                  <c:v>68.3</c:v>
                </c:pt>
                <c:pt idx="135">
                  <c:v>67.3</c:v>
                </c:pt>
                <c:pt idx="136">
                  <c:v>67.2</c:v>
                </c:pt>
                <c:pt idx="137">
                  <c:v>65.599999999999994</c:v>
                </c:pt>
                <c:pt idx="138">
                  <c:v>62.6</c:v>
                </c:pt>
                <c:pt idx="139">
                  <c:v>60.8</c:v>
                </c:pt>
                <c:pt idx="140">
                  <c:v>58.4</c:v>
                </c:pt>
                <c:pt idx="141">
                  <c:v>49.9</c:v>
                </c:pt>
                <c:pt idx="142">
                  <c:v>49</c:v>
                </c:pt>
                <c:pt idx="143">
                  <c:v>48.7</c:v>
                </c:pt>
                <c:pt idx="144">
                  <c:v>47.4</c:v>
                </c:pt>
                <c:pt idx="145">
                  <c:v>47.3</c:v>
                </c:pt>
                <c:pt idx="146">
                  <c:v>44.8</c:v>
                </c:pt>
                <c:pt idx="147">
                  <c:v>41.5</c:v>
                </c:pt>
                <c:pt idx="148">
                  <c:v>34.799999999999997</c:v>
                </c:pt>
                <c:pt idx="149">
                  <c:v>34.700000000000003</c:v>
                </c:pt>
                <c:pt idx="150">
                  <c:v>33.5</c:v>
                </c:pt>
                <c:pt idx="151">
                  <c:v>31.3</c:v>
                </c:pt>
                <c:pt idx="152">
                  <c:v>27.3</c:v>
                </c:pt>
                <c:pt idx="153">
                  <c:v>26</c:v>
                </c:pt>
                <c:pt idx="154">
                  <c:v>22.8</c:v>
                </c:pt>
                <c:pt idx="155">
                  <c:v>21.9</c:v>
                </c:pt>
                <c:pt idx="156">
                  <c:v>17.899999999999999</c:v>
                </c:pt>
                <c:pt idx="157">
                  <c:v>17.2</c:v>
                </c:pt>
                <c:pt idx="158">
                  <c:v>12.4</c:v>
                </c:pt>
                <c:pt idx="159">
                  <c:v>11.1</c:v>
                </c:pt>
                <c:pt idx="160">
                  <c:v>7.5</c:v>
                </c:pt>
                <c:pt idx="161">
                  <c:v>2.5</c:v>
                </c:pt>
                <c:pt idx="162">
                  <c:v>1.1000000000000001</c:v>
                </c:pt>
                <c:pt idx="163">
                  <c:v>0</c:v>
                </c:pt>
                <c:pt idx="164">
                  <c:v>-0.6</c:v>
                </c:pt>
                <c:pt idx="165">
                  <c:v>-0.7</c:v>
                </c:pt>
                <c:pt idx="166">
                  <c:v>-0.8</c:v>
                </c:pt>
                <c:pt idx="167">
                  <c:v>-0.8</c:v>
                </c:pt>
                <c:pt idx="168">
                  <c:v>-0.8</c:v>
                </c:pt>
                <c:pt idx="169">
                  <c:v>-0.8</c:v>
                </c:pt>
                <c:pt idx="170">
                  <c:v>-0.8</c:v>
                </c:pt>
                <c:pt idx="171">
                  <c:v>-0.9</c:v>
                </c:pt>
                <c:pt idx="172">
                  <c:v>-0.9</c:v>
                </c:pt>
                <c:pt idx="173">
                  <c:v>-0.9</c:v>
                </c:pt>
                <c:pt idx="174">
                  <c:v>-0.9</c:v>
                </c:pt>
                <c:pt idx="175">
                  <c:v>-1</c:v>
                </c:pt>
                <c:pt idx="176">
                  <c:v>-1</c:v>
                </c:pt>
                <c:pt idx="177">
                  <c:v>-1</c:v>
                </c:pt>
                <c:pt idx="178">
                  <c:v>-1</c:v>
                </c:pt>
                <c:pt idx="179">
                  <c:v>-1.1000000000000001</c:v>
                </c:pt>
                <c:pt idx="180">
                  <c:v>-1.3</c:v>
                </c:pt>
                <c:pt idx="181">
                  <c:v>-1.3</c:v>
                </c:pt>
                <c:pt idx="182">
                  <c:v>-1.3</c:v>
                </c:pt>
                <c:pt idx="183">
                  <c:v>-1.4</c:v>
                </c:pt>
                <c:pt idx="184">
                  <c:v>-1.4</c:v>
                </c:pt>
                <c:pt idx="185">
                  <c:v>-2</c:v>
                </c:pt>
                <c:pt idx="186">
                  <c:v>-2.2999999999999998</c:v>
                </c:pt>
                <c:pt idx="187">
                  <c:v>-2.4</c:v>
                </c:pt>
                <c:pt idx="188">
                  <c:v>-2.8</c:v>
                </c:pt>
                <c:pt idx="189">
                  <c:v>-2.9</c:v>
                </c:pt>
                <c:pt idx="190">
                  <c:v>-4.8</c:v>
                </c:pt>
                <c:pt idx="191">
                  <c:v>-5.7</c:v>
                </c:pt>
                <c:pt idx="192">
                  <c:v>-5.8</c:v>
                </c:pt>
                <c:pt idx="193">
                  <c:v>-5.9</c:v>
                </c:pt>
                <c:pt idx="194">
                  <c:v>-6.7</c:v>
                </c:pt>
                <c:pt idx="195">
                  <c:v>-8.4</c:v>
                </c:pt>
                <c:pt idx="196">
                  <c:v>-8.8000000000000007</c:v>
                </c:pt>
                <c:pt idx="197">
                  <c:v>-9</c:v>
                </c:pt>
                <c:pt idx="198">
                  <c:v>-10.3</c:v>
                </c:pt>
                <c:pt idx="199">
                  <c:v>-10.4</c:v>
                </c:pt>
                <c:pt idx="200">
                  <c:v>-10.6</c:v>
                </c:pt>
                <c:pt idx="201">
                  <c:v>-12.9</c:v>
                </c:pt>
                <c:pt idx="202">
                  <c:v>-14.5</c:v>
                </c:pt>
                <c:pt idx="203">
                  <c:v>-15.600000000000001</c:v>
                </c:pt>
                <c:pt idx="204">
                  <c:v>-18.899999999999999</c:v>
                </c:pt>
                <c:pt idx="205">
                  <c:v>-19.3</c:v>
                </c:pt>
                <c:pt idx="206">
                  <c:v>-20.5</c:v>
                </c:pt>
                <c:pt idx="207">
                  <c:v>-20.8</c:v>
                </c:pt>
                <c:pt idx="208">
                  <c:v>-21.2</c:v>
                </c:pt>
                <c:pt idx="209">
                  <c:v>-22.9</c:v>
                </c:pt>
                <c:pt idx="210">
                  <c:v>-22.9</c:v>
                </c:pt>
                <c:pt idx="211">
                  <c:v>-23.2</c:v>
                </c:pt>
                <c:pt idx="212">
                  <c:v>-23.3</c:v>
                </c:pt>
                <c:pt idx="213">
                  <c:v>-24.2</c:v>
                </c:pt>
                <c:pt idx="214">
                  <c:v>-25</c:v>
                </c:pt>
                <c:pt idx="215">
                  <c:v>-25.3</c:v>
                </c:pt>
                <c:pt idx="216">
                  <c:v>-26.9</c:v>
                </c:pt>
                <c:pt idx="217">
                  <c:v>-27.6</c:v>
                </c:pt>
                <c:pt idx="218">
                  <c:v>-27.6</c:v>
                </c:pt>
                <c:pt idx="219">
                  <c:v>-27.7</c:v>
                </c:pt>
                <c:pt idx="220">
                  <c:v>-28.299999999999997</c:v>
                </c:pt>
                <c:pt idx="221">
                  <c:v>-28.6</c:v>
                </c:pt>
                <c:pt idx="222">
                  <c:v>-29.2</c:v>
                </c:pt>
                <c:pt idx="223">
                  <c:v>-29.6</c:v>
                </c:pt>
                <c:pt idx="224">
                  <c:v>-30.5</c:v>
                </c:pt>
                <c:pt idx="225">
                  <c:v>-31</c:v>
                </c:pt>
                <c:pt idx="226">
                  <c:v>-31.6</c:v>
                </c:pt>
                <c:pt idx="227">
                  <c:v>-32.4</c:v>
                </c:pt>
                <c:pt idx="228">
                  <c:v>-38.700000000000003</c:v>
                </c:pt>
                <c:pt idx="229">
                  <c:v>-41.8</c:v>
                </c:pt>
                <c:pt idx="230">
                  <c:v>-45.4</c:v>
                </c:pt>
                <c:pt idx="231">
                  <c:v>-47.1</c:v>
                </c:pt>
                <c:pt idx="232">
                  <c:v>-47.8</c:v>
                </c:pt>
                <c:pt idx="233">
                  <c:v>-47.9</c:v>
                </c:pt>
                <c:pt idx="234">
                  <c:v>-50.2</c:v>
                </c:pt>
                <c:pt idx="235">
                  <c:v>-50.5</c:v>
                </c:pt>
                <c:pt idx="236">
                  <c:v>-51.2</c:v>
                </c:pt>
                <c:pt idx="237">
                  <c:v>-52.4</c:v>
                </c:pt>
                <c:pt idx="238">
                  <c:v>-53.5</c:v>
                </c:pt>
                <c:pt idx="239">
                  <c:v>-53.8</c:v>
                </c:pt>
                <c:pt idx="240">
                  <c:v>-56.2</c:v>
                </c:pt>
                <c:pt idx="241">
                  <c:v>-56.4</c:v>
                </c:pt>
                <c:pt idx="242">
                  <c:v>-58.8</c:v>
                </c:pt>
                <c:pt idx="243">
                  <c:v>-60.5</c:v>
                </c:pt>
                <c:pt idx="244">
                  <c:v>-61.4</c:v>
                </c:pt>
                <c:pt idx="245">
                  <c:v>-61.6</c:v>
                </c:pt>
                <c:pt idx="246">
                  <c:v>-62.1</c:v>
                </c:pt>
                <c:pt idx="247">
                  <c:v>-62.5</c:v>
                </c:pt>
                <c:pt idx="248">
                  <c:v>-62.899999999999991</c:v>
                </c:pt>
                <c:pt idx="249">
                  <c:v>-63.3</c:v>
                </c:pt>
                <c:pt idx="250">
                  <c:v>-64.3</c:v>
                </c:pt>
                <c:pt idx="251">
                  <c:v>-66.099999999999994</c:v>
                </c:pt>
                <c:pt idx="252">
                  <c:v>-67.5</c:v>
                </c:pt>
                <c:pt idx="253">
                  <c:v>-68.3</c:v>
                </c:pt>
                <c:pt idx="254">
                  <c:v>-68.8</c:v>
                </c:pt>
                <c:pt idx="255">
                  <c:v>-68.900000000000006</c:v>
                </c:pt>
                <c:pt idx="256">
                  <c:v>-69.7</c:v>
                </c:pt>
                <c:pt idx="257">
                  <c:v>-71.099999999999994</c:v>
                </c:pt>
                <c:pt idx="258">
                  <c:v>-71.400000000000006</c:v>
                </c:pt>
                <c:pt idx="259">
                  <c:v>-72</c:v>
                </c:pt>
                <c:pt idx="260">
                  <c:v>-72.400000000000006</c:v>
                </c:pt>
                <c:pt idx="261">
                  <c:v>-73.900000000000006</c:v>
                </c:pt>
                <c:pt idx="262">
                  <c:v>-75.5</c:v>
                </c:pt>
                <c:pt idx="263">
                  <c:v>-75.900000000000006</c:v>
                </c:pt>
                <c:pt idx="264">
                  <c:v>-80.2</c:v>
                </c:pt>
                <c:pt idx="265">
                  <c:v>-82.4</c:v>
                </c:pt>
                <c:pt idx="266">
                  <c:v>-84.3</c:v>
                </c:pt>
                <c:pt idx="267">
                  <c:v>-84.8</c:v>
                </c:pt>
                <c:pt idx="268">
                  <c:v>-85.9</c:v>
                </c:pt>
                <c:pt idx="269">
                  <c:v>-88.1</c:v>
                </c:pt>
                <c:pt idx="270">
                  <c:v>-88.2</c:v>
                </c:pt>
                <c:pt idx="271">
                  <c:v>-88.4</c:v>
                </c:pt>
                <c:pt idx="272">
                  <c:v>-89.1</c:v>
                </c:pt>
                <c:pt idx="273">
                  <c:v>-89.7</c:v>
                </c:pt>
                <c:pt idx="274">
                  <c:v>-90.6</c:v>
                </c:pt>
                <c:pt idx="275">
                  <c:v>-92.1</c:v>
                </c:pt>
                <c:pt idx="276">
                  <c:v>-92.2</c:v>
                </c:pt>
                <c:pt idx="277">
                  <c:v>-92.8</c:v>
                </c:pt>
                <c:pt idx="278">
                  <c:v>-94.6</c:v>
                </c:pt>
                <c:pt idx="279">
                  <c:v>-95.3</c:v>
                </c:pt>
                <c:pt idx="280">
                  <c:v>-96.2</c:v>
                </c:pt>
                <c:pt idx="281">
                  <c:v>-96.7</c:v>
                </c:pt>
                <c:pt idx="282">
                  <c:v>-97.3</c:v>
                </c:pt>
                <c:pt idx="283">
                  <c:v>-97.7</c:v>
                </c:pt>
                <c:pt idx="284">
                  <c:v>-98.3</c:v>
                </c:pt>
                <c:pt idx="285">
                  <c:v>-98.9</c:v>
                </c:pt>
                <c:pt idx="286">
                  <c:v>-100.2</c:v>
                </c:pt>
                <c:pt idx="287">
                  <c:v>-100.3</c:v>
                </c:pt>
                <c:pt idx="288">
                  <c:v>-101.1</c:v>
                </c:pt>
                <c:pt idx="289">
                  <c:v>-102.6</c:v>
                </c:pt>
                <c:pt idx="290">
                  <c:v>-102.6</c:v>
                </c:pt>
                <c:pt idx="291">
                  <c:v>-103.3</c:v>
                </c:pt>
                <c:pt idx="292">
                  <c:v>-103.4</c:v>
                </c:pt>
                <c:pt idx="293">
                  <c:v>-103.5</c:v>
                </c:pt>
                <c:pt idx="294">
                  <c:v>-104.1</c:v>
                </c:pt>
                <c:pt idx="295">
                  <c:v>-107.5</c:v>
                </c:pt>
                <c:pt idx="296">
                  <c:v>-108.7</c:v>
                </c:pt>
                <c:pt idx="297">
                  <c:v>-110.4</c:v>
                </c:pt>
                <c:pt idx="298">
                  <c:v>-110.8</c:v>
                </c:pt>
                <c:pt idx="299">
                  <c:v>-116.7</c:v>
                </c:pt>
                <c:pt idx="300">
                  <c:v>-117.1</c:v>
                </c:pt>
                <c:pt idx="301">
                  <c:v>-118.6</c:v>
                </c:pt>
                <c:pt idx="302">
                  <c:v>-118.8</c:v>
                </c:pt>
                <c:pt idx="303">
                  <c:v>-119.1</c:v>
                </c:pt>
                <c:pt idx="304">
                  <c:v>-119.4</c:v>
                </c:pt>
                <c:pt idx="305">
                  <c:v>-121.7</c:v>
                </c:pt>
                <c:pt idx="306">
                  <c:v>-121.7</c:v>
                </c:pt>
                <c:pt idx="307">
                  <c:v>-122.1</c:v>
                </c:pt>
                <c:pt idx="308">
                  <c:v>-123.5</c:v>
                </c:pt>
                <c:pt idx="309">
                  <c:v>-123.5</c:v>
                </c:pt>
                <c:pt idx="310">
                  <c:v>-127.7</c:v>
                </c:pt>
                <c:pt idx="311">
                  <c:v>-128.30000000000001</c:v>
                </c:pt>
                <c:pt idx="312">
                  <c:v>-128.4</c:v>
                </c:pt>
                <c:pt idx="313">
                  <c:v>-135.6</c:v>
                </c:pt>
                <c:pt idx="314">
                  <c:v>-136.69999999999999</c:v>
                </c:pt>
                <c:pt idx="315">
                  <c:v>-138.69999999999999</c:v>
                </c:pt>
                <c:pt idx="316">
                  <c:v>-147</c:v>
                </c:pt>
                <c:pt idx="317">
                  <c:v>-147.4</c:v>
                </c:pt>
                <c:pt idx="318">
                  <c:v>-153.9</c:v>
                </c:pt>
                <c:pt idx="319">
                  <c:v>-154.1</c:v>
                </c:pt>
                <c:pt idx="320">
                  <c:v>-159.1</c:v>
                </c:pt>
                <c:pt idx="321">
                  <c:v>-161.5</c:v>
                </c:pt>
                <c:pt idx="322">
                  <c:v>-162.30000000000001</c:v>
                </c:pt>
                <c:pt idx="323">
                  <c:v>-162.6</c:v>
                </c:pt>
                <c:pt idx="324">
                  <c:v>-170.5</c:v>
                </c:pt>
                <c:pt idx="325">
                  <c:v>-170.5</c:v>
                </c:pt>
                <c:pt idx="326">
                  <c:v>-171.1</c:v>
                </c:pt>
                <c:pt idx="327">
                  <c:v>-173.4</c:v>
                </c:pt>
                <c:pt idx="328">
                  <c:v>-174.4</c:v>
                </c:pt>
                <c:pt idx="329">
                  <c:v>-176.3</c:v>
                </c:pt>
                <c:pt idx="330">
                  <c:v>-176.7</c:v>
                </c:pt>
                <c:pt idx="331">
                  <c:v>-178.7</c:v>
                </c:pt>
                <c:pt idx="332">
                  <c:v>-178.9</c:v>
                </c:pt>
                <c:pt idx="333">
                  <c:v>-180</c:v>
                </c:pt>
                <c:pt idx="334">
                  <c:v>-180.5</c:v>
                </c:pt>
                <c:pt idx="335">
                  <c:v>-181</c:v>
                </c:pt>
                <c:pt idx="336">
                  <c:v>-183.7</c:v>
                </c:pt>
                <c:pt idx="337">
                  <c:v>-187.6</c:v>
                </c:pt>
                <c:pt idx="338">
                  <c:v>-188.2</c:v>
                </c:pt>
                <c:pt idx="339">
                  <c:v>-188.5</c:v>
                </c:pt>
                <c:pt idx="340">
                  <c:v>-189.5</c:v>
                </c:pt>
                <c:pt idx="341">
                  <c:v>-189.9</c:v>
                </c:pt>
                <c:pt idx="342">
                  <c:v>-193.3</c:v>
                </c:pt>
                <c:pt idx="343">
                  <c:v>-193.8</c:v>
                </c:pt>
                <c:pt idx="344">
                  <c:v>-197.1</c:v>
                </c:pt>
                <c:pt idx="345">
                  <c:v>-202.1</c:v>
                </c:pt>
                <c:pt idx="346">
                  <c:v>-203.5</c:v>
                </c:pt>
                <c:pt idx="347">
                  <c:v>-207.5</c:v>
                </c:pt>
                <c:pt idx="348">
                  <c:v>-209.3</c:v>
                </c:pt>
                <c:pt idx="349">
                  <c:v>-209.8</c:v>
                </c:pt>
                <c:pt idx="350">
                  <c:v>-214.2</c:v>
                </c:pt>
                <c:pt idx="351">
                  <c:v>-215.8</c:v>
                </c:pt>
                <c:pt idx="352">
                  <c:v>-216.2</c:v>
                </c:pt>
                <c:pt idx="353">
                  <c:v>-226.1</c:v>
                </c:pt>
                <c:pt idx="354">
                  <c:v>-226.8</c:v>
                </c:pt>
                <c:pt idx="355">
                  <c:v>-231.3</c:v>
                </c:pt>
                <c:pt idx="356">
                  <c:v>-231.6</c:v>
                </c:pt>
                <c:pt idx="357">
                  <c:v>-234.3</c:v>
                </c:pt>
                <c:pt idx="358">
                  <c:v>-235.5</c:v>
                </c:pt>
                <c:pt idx="359">
                  <c:v>-243.4</c:v>
                </c:pt>
                <c:pt idx="360">
                  <c:v>-243.6</c:v>
                </c:pt>
                <c:pt idx="361">
                  <c:v>-244.5</c:v>
                </c:pt>
                <c:pt idx="362">
                  <c:v>-254.7</c:v>
                </c:pt>
                <c:pt idx="363">
                  <c:v>-269.89999999999998</c:v>
                </c:pt>
                <c:pt idx="364">
                  <c:v>-281.3</c:v>
                </c:pt>
              </c:numCache>
            </c:numRef>
          </c:val>
          <c:smooth val="0"/>
        </c:ser>
        <c:ser>
          <c:idx val="4"/>
          <c:order val="5"/>
          <c:tx>
            <c:strRef>
              <c:f>'6 Flows along SWQP'!$M$1</c:f>
              <c:strCache>
                <c:ptCount val="1"/>
                <c:pt idx="0">
                  <c:v>2018-19</c:v>
                </c:pt>
              </c:strCache>
            </c:strRef>
          </c:tx>
          <c:spPr>
            <a:ln w="28575" cap="rnd">
              <a:solidFill>
                <a:srgbClr val="005CAF"/>
              </a:solidFill>
              <a:round/>
            </a:ln>
            <a:effectLst/>
          </c:spPr>
          <c:marker>
            <c:symbol val="none"/>
          </c:marker>
          <c:cat>
            <c:numRef>
              <c:f>'6 Flows along SWQP'!$A$2:$A$367</c:f>
              <c:numCache>
                <c:formatCode>General</c:formatCode>
                <c:ptCount val="366"/>
                <c:pt idx="17" formatCode="0%">
                  <c:v>0.05</c:v>
                </c:pt>
                <c:pt idx="35" formatCode="0%">
                  <c:v>0.1</c:v>
                </c:pt>
                <c:pt idx="54" formatCode="0%">
                  <c:v>0.15</c:v>
                </c:pt>
                <c:pt idx="72" formatCode="0%">
                  <c:v>0.2</c:v>
                </c:pt>
                <c:pt idx="90" formatCode="0%">
                  <c:v>0.25</c:v>
                </c:pt>
                <c:pt idx="108" formatCode="0%">
                  <c:v>0.3</c:v>
                </c:pt>
                <c:pt idx="127" formatCode="0%">
                  <c:v>0.35</c:v>
                </c:pt>
                <c:pt idx="145" formatCode="0%">
                  <c:v>0.4</c:v>
                </c:pt>
                <c:pt idx="163" formatCode="0%">
                  <c:v>0.45</c:v>
                </c:pt>
                <c:pt idx="181" formatCode="0%">
                  <c:v>0.5</c:v>
                </c:pt>
                <c:pt idx="200" formatCode="0%">
                  <c:v>0.55000000000000004</c:v>
                </c:pt>
                <c:pt idx="218" formatCode="0%">
                  <c:v>0.6</c:v>
                </c:pt>
                <c:pt idx="236" formatCode="0%">
                  <c:v>0.65</c:v>
                </c:pt>
                <c:pt idx="254" formatCode="0%">
                  <c:v>0.7</c:v>
                </c:pt>
                <c:pt idx="273" formatCode="0%">
                  <c:v>0.75</c:v>
                </c:pt>
                <c:pt idx="291" formatCode="0%">
                  <c:v>0.8</c:v>
                </c:pt>
                <c:pt idx="309" formatCode="0%">
                  <c:v>0.85</c:v>
                </c:pt>
                <c:pt idx="327" formatCode="0%">
                  <c:v>0.9</c:v>
                </c:pt>
                <c:pt idx="346" formatCode="0%">
                  <c:v>0.95</c:v>
                </c:pt>
              </c:numCache>
            </c:numRef>
          </c:cat>
          <c:val>
            <c:numRef>
              <c:f>'6 Flows along SWQP'!$M$2:$M$367</c:f>
              <c:numCache>
                <c:formatCode>General</c:formatCode>
                <c:ptCount val="366"/>
                <c:pt idx="0">
                  <c:v>226.732</c:v>
                </c:pt>
                <c:pt idx="1">
                  <c:v>224.566</c:v>
                </c:pt>
                <c:pt idx="2">
                  <c:v>215.48200000000003</c:v>
                </c:pt>
                <c:pt idx="3">
                  <c:v>210.328</c:v>
                </c:pt>
                <c:pt idx="4">
                  <c:v>208.09699999999998</c:v>
                </c:pt>
                <c:pt idx="5">
                  <c:v>194.13499999999999</c:v>
                </c:pt>
                <c:pt idx="6">
                  <c:v>181.983</c:v>
                </c:pt>
                <c:pt idx="7">
                  <c:v>177.392</c:v>
                </c:pt>
                <c:pt idx="8">
                  <c:v>170.68299999999999</c:v>
                </c:pt>
                <c:pt idx="9">
                  <c:v>167.87200000000001</c:v>
                </c:pt>
                <c:pt idx="10">
                  <c:v>167.548</c:v>
                </c:pt>
                <c:pt idx="11">
                  <c:v>166.553</c:v>
                </c:pt>
                <c:pt idx="12">
                  <c:v>166.29599999999999</c:v>
                </c:pt>
                <c:pt idx="13">
                  <c:v>165.38499999999999</c:v>
                </c:pt>
                <c:pt idx="14">
                  <c:v>160.898</c:v>
                </c:pt>
                <c:pt idx="15">
                  <c:v>159.77700000000002</c:v>
                </c:pt>
                <c:pt idx="16">
                  <c:v>157.15499999999997</c:v>
                </c:pt>
                <c:pt idx="17">
                  <c:v>157.102</c:v>
                </c:pt>
                <c:pt idx="18">
                  <c:v>155.191</c:v>
                </c:pt>
                <c:pt idx="19">
                  <c:v>154.857</c:v>
                </c:pt>
                <c:pt idx="20">
                  <c:v>154.196</c:v>
                </c:pt>
                <c:pt idx="21">
                  <c:v>153.62</c:v>
                </c:pt>
                <c:pt idx="22">
                  <c:v>153.09899999999999</c:v>
                </c:pt>
                <c:pt idx="23">
                  <c:v>151.55500000000001</c:v>
                </c:pt>
                <c:pt idx="24">
                  <c:v>150.66800000000001</c:v>
                </c:pt>
                <c:pt idx="25">
                  <c:v>148.36099999999999</c:v>
                </c:pt>
                <c:pt idx="26">
                  <c:v>147.93399999999997</c:v>
                </c:pt>
                <c:pt idx="27">
                  <c:v>147.851</c:v>
                </c:pt>
                <c:pt idx="28">
                  <c:v>147.36700000000002</c:v>
                </c:pt>
                <c:pt idx="29">
                  <c:v>146.839</c:v>
                </c:pt>
                <c:pt idx="30">
                  <c:v>145.56699999999998</c:v>
                </c:pt>
                <c:pt idx="31">
                  <c:v>144.31700000000001</c:v>
                </c:pt>
                <c:pt idx="32">
                  <c:v>143.61700000000002</c:v>
                </c:pt>
                <c:pt idx="33">
                  <c:v>142.85500000000002</c:v>
                </c:pt>
                <c:pt idx="34">
                  <c:v>142.27799999999999</c:v>
                </c:pt>
                <c:pt idx="35">
                  <c:v>140.99299999999999</c:v>
                </c:pt>
                <c:pt idx="36">
                  <c:v>139.44999999999999</c:v>
                </c:pt>
                <c:pt idx="37">
                  <c:v>137</c:v>
                </c:pt>
                <c:pt idx="38">
                  <c:v>134.898</c:v>
                </c:pt>
                <c:pt idx="39">
                  <c:v>134.62800000000001</c:v>
                </c:pt>
                <c:pt idx="40">
                  <c:v>134.15700000000001</c:v>
                </c:pt>
                <c:pt idx="41">
                  <c:v>133.07300000000001</c:v>
                </c:pt>
                <c:pt idx="42">
                  <c:v>133.04500000000002</c:v>
                </c:pt>
                <c:pt idx="43">
                  <c:v>131.08699999999999</c:v>
                </c:pt>
                <c:pt idx="44">
                  <c:v>130.90300000000002</c:v>
                </c:pt>
                <c:pt idx="45">
                  <c:v>130.26</c:v>
                </c:pt>
                <c:pt idx="46">
                  <c:v>129.56</c:v>
                </c:pt>
                <c:pt idx="47">
                  <c:v>129.07999999999998</c:v>
                </c:pt>
                <c:pt idx="48">
                  <c:v>128.96100000000001</c:v>
                </c:pt>
                <c:pt idx="49">
                  <c:v>128.11399999999998</c:v>
                </c:pt>
                <c:pt idx="50">
                  <c:v>127.10799999999999</c:v>
                </c:pt>
                <c:pt idx="51">
                  <c:v>127.00500000000001</c:v>
                </c:pt>
                <c:pt idx="52">
                  <c:v>126.65400000000001</c:v>
                </c:pt>
                <c:pt idx="53">
                  <c:v>125.98599999999999</c:v>
                </c:pt>
                <c:pt idx="54">
                  <c:v>125.03800000000001</c:v>
                </c:pt>
                <c:pt idx="55">
                  <c:v>124.39500000000001</c:v>
                </c:pt>
                <c:pt idx="56">
                  <c:v>123.89099999999999</c:v>
                </c:pt>
                <c:pt idx="57">
                  <c:v>123.69900000000001</c:v>
                </c:pt>
                <c:pt idx="58">
                  <c:v>123.512</c:v>
                </c:pt>
                <c:pt idx="59">
                  <c:v>122.96299999999999</c:v>
                </c:pt>
                <c:pt idx="60">
                  <c:v>122.94000000000001</c:v>
                </c:pt>
                <c:pt idx="61">
                  <c:v>122.20400000000001</c:v>
                </c:pt>
                <c:pt idx="62">
                  <c:v>121.99299999999998</c:v>
                </c:pt>
                <c:pt idx="63">
                  <c:v>120.447</c:v>
                </c:pt>
                <c:pt idx="64">
                  <c:v>119.37499999999999</c:v>
                </c:pt>
                <c:pt idx="65">
                  <c:v>119.08599999999998</c:v>
                </c:pt>
                <c:pt idx="66">
                  <c:v>118.81700000000001</c:v>
                </c:pt>
                <c:pt idx="67">
                  <c:v>118.57499999999999</c:v>
                </c:pt>
                <c:pt idx="68">
                  <c:v>118.28</c:v>
                </c:pt>
                <c:pt idx="69">
                  <c:v>116.93799999999999</c:v>
                </c:pt>
                <c:pt idx="70">
                  <c:v>113.48899999999999</c:v>
                </c:pt>
                <c:pt idx="71">
                  <c:v>113.16200000000001</c:v>
                </c:pt>
                <c:pt idx="72">
                  <c:v>112.889</c:v>
                </c:pt>
                <c:pt idx="73">
                  <c:v>112.366</c:v>
                </c:pt>
                <c:pt idx="74">
                  <c:v>110.53799999999998</c:v>
                </c:pt>
                <c:pt idx="75">
                  <c:v>110.50200000000001</c:v>
                </c:pt>
                <c:pt idx="76">
                  <c:v>110.24700000000001</c:v>
                </c:pt>
                <c:pt idx="77">
                  <c:v>105.14100000000001</c:v>
                </c:pt>
                <c:pt idx="78">
                  <c:v>104.813</c:v>
                </c:pt>
                <c:pt idx="79">
                  <c:v>104.63</c:v>
                </c:pt>
                <c:pt idx="80">
                  <c:v>103.76400000000001</c:v>
                </c:pt>
                <c:pt idx="81">
                  <c:v>102.87799999999999</c:v>
                </c:pt>
                <c:pt idx="82">
                  <c:v>99.749000000000009</c:v>
                </c:pt>
                <c:pt idx="83">
                  <c:v>97.957000000000008</c:v>
                </c:pt>
                <c:pt idx="84">
                  <c:v>96.628999999999991</c:v>
                </c:pt>
                <c:pt idx="85">
                  <c:v>90.885000000000005</c:v>
                </c:pt>
                <c:pt idx="86">
                  <c:v>86.846000000000004</c:v>
                </c:pt>
                <c:pt idx="87">
                  <c:v>86.33</c:v>
                </c:pt>
                <c:pt idx="88">
                  <c:v>85.389999999999986</c:v>
                </c:pt>
                <c:pt idx="89">
                  <c:v>84.179000000000002</c:v>
                </c:pt>
                <c:pt idx="90">
                  <c:v>84.170999999999992</c:v>
                </c:pt>
                <c:pt idx="91">
                  <c:v>80.460000000000008</c:v>
                </c:pt>
                <c:pt idx="92">
                  <c:v>78.912000000000006</c:v>
                </c:pt>
                <c:pt idx="93">
                  <c:v>78.023999999999987</c:v>
                </c:pt>
                <c:pt idx="94">
                  <c:v>77.861000000000004</c:v>
                </c:pt>
                <c:pt idx="95">
                  <c:v>77.262999999999977</c:v>
                </c:pt>
                <c:pt idx="96">
                  <c:v>76.411000000000001</c:v>
                </c:pt>
                <c:pt idx="97">
                  <c:v>74.931999999999988</c:v>
                </c:pt>
                <c:pt idx="98">
                  <c:v>74.903999999999996</c:v>
                </c:pt>
                <c:pt idx="99">
                  <c:v>73.90100000000001</c:v>
                </c:pt>
                <c:pt idx="100">
                  <c:v>71.7</c:v>
                </c:pt>
                <c:pt idx="101">
                  <c:v>68.032999999999987</c:v>
                </c:pt>
                <c:pt idx="102">
                  <c:v>64.958000000000013</c:v>
                </c:pt>
                <c:pt idx="103">
                  <c:v>63.298000000000002</c:v>
                </c:pt>
                <c:pt idx="104">
                  <c:v>61.711000000000013</c:v>
                </c:pt>
                <c:pt idx="105">
                  <c:v>59.918000000000006</c:v>
                </c:pt>
                <c:pt idx="106">
                  <c:v>58.890000000000015</c:v>
                </c:pt>
                <c:pt idx="107">
                  <c:v>55.122000000000014</c:v>
                </c:pt>
                <c:pt idx="108">
                  <c:v>52.087000000000018</c:v>
                </c:pt>
                <c:pt idx="109">
                  <c:v>50.711999999999989</c:v>
                </c:pt>
                <c:pt idx="110">
                  <c:v>50.044000000000011</c:v>
                </c:pt>
                <c:pt idx="111">
                  <c:v>49.754999999999995</c:v>
                </c:pt>
                <c:pt idx="112">
                  <c:v>49.281999999999982</c:v>
                </c:pt>
                <c:pt idx="113">
                  <c:v>48.891999999999996</c:v>
                </c:pt>
                <c:pt idx="114">
                  <c:v>48.6</c:v>
                </c:pt>
                <c:pt idx="115">
                  <c:v>42.292000000000002</c:v>
                </c:pt>
                <c:pt idx="116">
                  <c:v>42.049000000000007</c:v>
                </c:pt>
                <c:pt idx="117">
                  <c:v>39.697999999999993</c:v>
                </c:pt>
                <c:pt idx="118">
                  <c:v>38.295999999999992</c:v>
                </c:pt>
                <c:pt idx="119">
                  <c:v>37.134000000000015</c:v>
                </c:pt>
                <c:pt idx="120">
                  <c:v>36.6</c:v>
                </c:pt>
                <c:pt idx="121">
                  <c:v>35.624000000000024</c:v>
                </c:pt>
                <c:pt idx="122">
                  <c:v>35.24199999999999</c:v>
                </c:pt>
                <c:pt idx="123">
                  <c:v>34.599999999999994</c:v>
                </c:pt>
                <c:pt idx="124">
                  <c:v>34.019000000000005</c:v>
                </c:pt>
                <c:pt idx="125">
                  <c:v>33.700000000000003</c:v>
                </c:pt>
                <c:pt idx="126">
                  <c:v>31.948000000000008</c:v>
                </c:pt>
                <c:pt idx="127">
                  <c:v>30.3</c:v>
                </c:pt>
                <c:pt idx="128">
                  <c:v>28.8</c:v>
                </c:pt>
                <c:pt idx="129">
                  <c:v>22.506</c:v>
                </c:pt>
                <c:pt idx="130">
                  <c:v>22.229000000000013</c:v>
                </c:pt>
                <c:pt idx="131">
                  <c:v>21.753999999999991</c:v>
                </c:pt>
                <c:pt idx="132">
                  <c:v>20.275000000000006</c:v>
                </c:pt>
                <c:pt idx="133">
                  <c:v>19.161000000000016</c:v>
                </c:pt>
                <c:pt idx="134">
                  <c:v>17.007000000000005</c:v>
                </c:pt>
                <c:pt idx="135">
                  <c:v>14.050000000000011</c:v>
                </c:pt>
                <c:pt idx="136">
                  <c:v>13.194999999999993</c:v>
                </c:pt>
                <c:pt idx="137">
                  <c:v>12.197000000000003</c:v>
                </c:pt>
                <c:pt idx="138">
                  <c:v>10.407999999999987</c:v>
                </c:pt>
                <c:pt idx="139">
                  <c:v>10.222999999999985</c:v>
                </c:pt>
                <c:pt idx="140">
                  <c:v>4.1670000000000016</c:v>
                </c:pt>
                <c:pt idx="141">
                  <c:v>2.063999999999993</c:v>
                </c:pt>
                <c:pt idx="142">
                  <c:v>0.59999999999999432</c:v>
                </c:pt>
                <c:pt idx="143">
                  <c:v>0.5</c:v>
                </c:pt>
                <c:pt idx="144">
                  <c:v>-0.26200000000000045</c:v>
                </c:pt>
                <c:pt idx="145">
                  <c:v>-0.3049999999999784</c:v>
                </c:pt>
                <c:pt idx="146">
                  <c:v>-0.36199999999999477</c:v>
                </c:pt>
                <c:pt idx="147">
                  <c:v>-0.74100000000001387</c:v>
                </c:pt>
                <c:pt idx="148">
                  <c:v>-0.75399999999999068</c:v>
                </c:pt>
                <c:pt idx="149">
                  <c:v>-0.85200000000000387</c:v>
                </c:pt>
                <c:pt idx="150">
                  <c:v>-0.95399999999999352</c:v>
                </c:pt>
                <c:pt idx="151">
                  <c:v>-0.97200000000000841</c:v>
                </c:pt>
                <c:pt idx="152">
                  <c:v>-1</c:v>
                </c:pt>
                <c:pt idx="153">
                  <c:v>-1.0480000000000018</c:v>
                </c:pt>
                <c:pt idx="154">
                  <c:v>-1.0560000000000116</c:v>
                </c:pt>
                <c:pt idx="155">
                  <c:v>-1.1260000000000048</c:v>
                </c:pt>
                <c:pt idx="156">
                  <c:v>-1.1839999999999975</c:v>
                </c:pt>
                <c:pt idx="157">
                  <c:v>-1.2019999999999982</c:v>
                </c:pt>
                <c:pt idx="158">
                  <c:v>-1.2040000000000077</c:v>
                </c:pt>
                <c:pt idx="159">
                  <c:v>-1.2620000000000005</c:v>
                </c:pt>
                <c:pt idx="160">
                  <c:v>-1.3</c:v>
                </c:pt>
                <c:pt idx="161">
                  <c:v>-1.3410000000000082</c:v>
                </c:pt>
                <c:pt idx="162">
                  <c:v>-1.3599999999999852</c:v>
                </c:pt>
                <c:pt idx="163">
                  <c:v>-1.3919999999999959</c:v>
                </c:pt>
                <c:pt idx="164">
                  <c:v>-1.4200000000000159</c:v>
                </c:pt>
                <c:pt idx="165">
                  <c:v>-1.4379999999999882</c:v>
                </c:pt>
                <c:pt idx="166">
                  <c:v>-1.4439999999999884</c:v>
                </c:pt>
                <c:pt idx="167">
                  <c:v>-1.4689999999999941</c:v>
                </c:pt>
                <c:pt idx="168">
                  <c:v>-1.5</c:v>
                </c:pt>
                <c:pt idx="169">
                  <c:v>-1.5</c:v>
                </c:pt>
                <c:pt idx="170">
                  <c:v>-1.5169999999999959</c:v>
                </c:pt>
                <c:pt idx="171">
                  <c:v>-1.5459999999999923</c:v>
                </c:pt>
                <c:pt idx="172">
                  <c:v>-1.6</c:v>
                </c:pt>
                <c:pt idx="173">
                  <c:v>-1.6</c:v>
                </c:pt>
                <c:pt idx="174">
                  <c:v>-1.6410000000000196</c:v>
                </c:pt>
                <c:pt idx="175">
                  <c:v>-1.7</c:v>
                </c:pt>
                <c:pt idx="176">
                  <c:v>-1.7</c:v>
                </c:pt>
                <c:pt idx="177">
                  <c:v>-1.7</c:v>
                </c:pt>
                <c:pt idx="178">
                  <c:v>-1.8299999999999841</c:v>
                </c:pt>
                <c:pt idx="179">
                  <c:v>-1.9</c:v>
                </c:pt>
                <c:pt idx="180">
                  <c:v>-1.929000000000002</c:v>
                </c:pt>
                <c:pt idx="181">
                  <c:v>-2.0099999999999909</c:v>
                </c:pt>
                <c:pt idx="182">
                  <c:v>-2.7990000000000066</c:v>
                </c:pt>
                <c:pt idx="183">
                  <c:v>-2.960000000000008</c:v>
                </c:pt>
                <c:pt idx="184">
                  <c:v>-3</c:v>
                </c:pt>
                <c:pt idx="185">
                  <c:v>-3</c:v>
                </c:pt>
                <c:pt idx="186">
                  <c:v>-3.717000000000013</c:v>
                </c:pt>
                <c:pt idx="187">
                  <c:v>-4.0600000000000023</c:v>
                </c:pt>
                <c:pt idx="188">
                  <c:v>-7.1</c:v>
                </c:pt>
                <c:pt idx="189">
                  <c:v>-7.8</c:v>
                </c:pt>
                <c:pt idx="190">
                  <c:v>-9.828000000000003</c:v>
                </c:pt>
                <c:pt idx="191">
                  <c:v>-10.5</c:v>
                </c:pt>
                <c:pt idx="192">
                  <c:v>-13.788000000000011</c:v>
                </c:pt>
                <c:pt idx="193">
                  <c:v>-15.5</c:v>
                </c:pt>
                <c:pt idx="194">
                  <c:v>-15.770999999999987</c:v>
                </c:pt>
                <c:pt idx="195">
                  <c:v>-17.510999999999996</c:v>
                </c:pt>
                <c:pt idx="196">
                  <c:v>-23.185000000000002</c:v>
                </c:pt>
                <c:pt idx="197">
                  <c:v>-25.1</c:v>
                </c:pt>
                <c:pt idx="198">
                  <c:v>-30.2</c:v>
                </c:pt>
                <c:pt idx="199">
                  <c:v>-30.312999999999988</c:v>
                </c:pt>
                <c:pt idx="200">
                  <c:v>-31.147999999999996</c:v>
                </c:pt>
                <c:pt idx="201">
                  <c:v>-31.183999999999997</c:v>
                </c:pt>
                <c:pt idx="202">
                  <c:v>-31.405000000000001</c:v>
                </c:pt>
                <c:pt idx="203">
                  <c:v>-32.1</c:v>
                </c:pt>
                <c:pt idx="204">
                  <c:v>-33</c:v>
                </c:pt>
                <c:pt idx="205">
                  <c:v>-33.700000000000003</c:v>
                </c:pt>
                <c:pt idx="206">
                  <c:v>-34.700000000000003</c:v>
                </c:pt>
                <c:pt idx="207">
                  <c:v>-35.258999999999986</c:v>
                </c:pt>
                <c:pt idx="208">
                  <c:v>-36.6</c:v>
                </c:pt>
                <c:pt idx="209">
                  <c:v>-37.200999999999993</c:v>
                </c:pt>
                <c:pt idx="210">
                  <c:v>-38.4</c:v>
                </c:pt>
                <c:pt idx="211">
                  <c:v>-43</c:v>
                </c:pt>
                <c:pt idx="212">
                  <c:v>-43.8</c:v>
                </c:pt>
                <c:pt idx="213">
                  <c:v>-45.5</c:v>
                </c:pt>
                <c:pt idx="214">
                  <c:v>-47.6</c:v>
                </c:pt>
                <c:pt idx="215">
                  <c:v>-49.3</c:v>
                </c:pt>
                <c:pt idx="216">
                  <c:v>-51.245999999999981</c:v>
                </c:pt>
                <c:pt idx="217">
                  <c:v>-52</c:v>
                </c:pt>
                <c:pt idx="218">
                  <c:v>-52.076000000000022</c:v>
                </c:pt>
                <c:pt idx="219">
                  <c:v>-52.242999999999995</c:v>
                </c:pt>
                <c:pt idx="220">
                  <c:v>-55.3</c:v>
                </c:pt>
                <c:pt idx="221">
                  <c:v>-55.518000000000001</c:v>
                </c:pt>
                <c:pt idx="222">
                  <c:v>-55.633999999999986</c:v>
                </c:pt>
                <c:pt idx="223">
                  <c:v>-56.064000000000021</c:v>
                </c:pt>
                <c:pt idx="224">
                  <c:v>-56.3</c:v>
                </c:pt>
                <c:pt idx="225">
                  <c:v>-57.7</c:v>
                </c:pt>
                <c:pt idx="226">
                  <c:v>-60.239000000000004</c:v>
                </c:pt>
                <c:pt idx="227">
                  <c:v>-61.02200000000002</c:v>
                </c:pt>
                <c:pt idx="228">
                  <c:v>-61.175999999999988</c:v>
                </c:pt>
                <c:pt idx="229">
                  <c:v>-62.004999999999995</c:v>
                </c:pt>
                <c:pt idx="230">
                  <c:v>-63.533000000000015</c:v>
                </c:pt>
                <c:pt idx="231">
                  <c:v>-64.028999999999996</c:v>
                </c:pt>
                <c:pt idx="232">
                  <c:v>-64.131</c:v>
                </c:pt>
                <c:pt idx="233">
                  <c:v>-68.983999999999995</c:v>
                </c:pt>
                <c:pt idx="234">
                  <c:v>-69.8</c:v>
                </c:pt>
                <c:pt idx="235">
                  <c:v>-69.944999999999993</c:v>
                </c:pt>
                <c:pt idx="236">
                  <c:v>-69.974999999999966</c:v>
                </c:pt>
                <c:pt idx="237">
                  <c:v>-70.099999999999994</c:v>
                </c:pt>
                <c:pt idx="238">
                  <c:v>-72.900000000000006</c:v>
                </c:pt>
                <c:pt idx="239">
                  <c:v>-76.562999999999988</c:v>
                </c:pt>
                <c:pt idx="240">
                  <c:v>-81.387000000000029</c:v>
                </c:pt>
                <c:pt idx="241">
                  <c:v>-81.461000000000013</c:v>
                </c:pt>
                <c:pt idx="242">
                  <c:v>-82.9</c:v>
                </c:pt>
                <c:pt idx="243">
                  <c:v>-84.1</c:v>
                </c:pt>
                <c:pt idx="244">
                  <c:v>-86.457999999999998</c:v>
                </c:pt>
                <c:pt idx="245">
                  <c:v>-86.5</c:v>
                </c:pt>
                <c:pt idx="246">
                  <c:v>-89.069000000000017</c:v>
                </c:pt>
                <c:pt idx="247">
                  <c:v>-90.5</c:v>
                </c:pt>
                <c:pt idx="248">
                  <c:v>-91.221000000000004</c:v>
                </c:pt>
                <c:pt idx="249">
                  <c:v>-96.5</c:v>
                </c:pt>
                <c:pt idx="250">
                  <c:v>-97.076000000000022</c:v>
                </c:pt>
                <c:pt idx="251">
                  <c:v>-100.9</c:v>
                </c:pt>
                <c:pt idx="252">
                  <c:v>-104.2</c:v>
                </c:pt>
                <c:pt idx="253">
                  <c:v>-105</c:v>
                </c:pt>
                <c:pt idx="254">
                  <c:v>-105.36099999999999</c:v>
                </c:pt>
                <c:pt idx="255">
                  <c:v>-105.39899999999997</c:v>
                </c:pt>
                <c:pt idx="256">
                  <c:v>-106.9</c:v>
                </c:pt>
                <c:pt idx="257">
                  <c:v>-107.8</c:v>
                </c:pt>
                <c:pt idx="258">
                  <c:v>-108.70400000000001</c:v>
                </c:pt>
                <c:pt idx="259">
                  <c:v>-109.4</c:v>
                </c:pt>
                <c:pt idx="260">
                  <c:v>-110.3</c:v>
                </c:pt>
                <c:pt idx="261">
                  <c:v>-111.20700000000002</c:v>
                </c:pt>
                <c:pt idx="262">
                  <c:v>-111.3</c:v>
                </c:pt>
                <c:pt idx="263">
                  <c:v>-111.52000000000001</c:v>
                </c:pt>
                <c:pt idx="264">
                  <c:v>-111.52399999999997</c:v>
                </c:pt>
                <c:pt idx="265">
                  <c:v>-111.64100000000002</c:v>
                </c:pt>
                <c:pt idx="266">
                  <c:v>-115.2</c:v>
                </c:pt>
                <c:pt idx="267">
                  <c:v>-115.9</c:v>
                </c:pt>
                <c:pt idx="268">
                  <c:v>-116.34500000000003</c:v>
                </c:pt>
                <c:pt idx="269">
                  <c:v>-117.9</c:v>
                </c:pt>
                <c:pt idx="270">
                  <c:v>-118.3</c:v>
                </c:pt>
                <c:pt idx="271">
                  <c:v>-121.33099999999999</c:v>
                </c:pt>
                <c:pt idx="272">
                  <c:v>-128.90099999999998</c:v>
                </c:pt>
                <c:pt idx="273">
                  <c:v>-129.30000000000001</c:v>
                </c:pt>
                <c:pt idx="274">
                  <c:v>-133.80000000000001</c:v>
                </c:pt>
                <c:pt idx="275">
                  <c:v>-134.5</c:v>
                </c:pt>
                <c:pt idx="276">
                  <c:v>-136.80000000000001</c:v>
                </c:pt>
                <c:pt idx="277">
                  <c:v>-136.9</c:v>
                </c:pt>
                <c:pt idx="278">
                  <c:v>-141.41200000000003</c:v>
                </c:pt>
                <c:pt idx="279">
                  <c:v>-142.15099999999998</c:v>
                </c:pt>
                <c:pt idx="280">
                  <c:v>-143.952</c:v>
                </c:pt>
                <c:pt idx="281">
                  <c:v>-144.9</c:v>
                </c:pt>
                <c:pt idx="282">
                  <c:v>-145.39700000000002</c:v>
                </c:pt>
                <c:pt idx="283">
                  <c:v>-146.21099999999998</c:v>
                </c:pt>
                <c:pt idx="284">
                  <c:v>-147.39099999999999</c:v>
                </c:pt>
                <c:pt idx="285">
                  <c:v>-152.67699999999999</c:v>
                </c:pt>
                <c:pt idx="286">
                  <c:v>-154.69999999999999</c:v>
                </c:pt>
                <c:pt idx="287">
                  <c:v>-156.48699999999997</c:v>
                </c:pt>
                <c:pt idx="288">
                  <c:v>-159.17500000000001</c:v>
                </c:pt>
                <c:pt idx="289">
                  <c:v>-161.51399999999998</c:v>
                </c:pt>
                <c:pt idx="290">
                  <c:v>-162.1</c:v>
                </c:pt>
                <c:pt idx="291">
                  <c:v>-164.26599999999999</c:v>
                </c:pt>
                <c:pt idx="292">
                  <c:v>-165.92000000000002</c:v>
                </c:pt>
                <c:pt idx="293">
                  <c:v>-166.10699999999997</c:v>
                </c:pt>
                <c:pt idx="294">
                  <c:v>-167.75000000000003</c:v>
                </c:pt>
                <c:pt idx="295">
                  <c:v>-168.79499999999999</c:v>
                </c:pt>
                <c:pt idx="296">
                  <c:v>-169.30599999999998</c:v>
                </c:pt>
                <c:pt idx="297">
                  <c:v>-173.1</c:v>
                </c:pt>
                <c:pt idx="298">
                  <c:v>-173.9</c:v>
                </c:pt>
                <c:pt idx="299">
                  <c:v>-177.3</c:v>
                </c:pt>
                <c:pt idx="300">
                  <c:v>-178.16900000000001</c:v>
                </c:pt>
                <c:pt idx="301">
                  <c:v>-179</c:v>
                </c:pt>
                <c:pt idx="302">
                  <c:v>-179.69399999999999</c:v>
                </c:pt>
                <c:pt idx="303">
                  <c:v>-180.1</c:v>
                </c:pt>
                <c:pt idx="304">
                  <c:v>-181.42400000000001</c:v>
                </c:pt>
                <c:pt idx="305">
                  <c:v>-182.41499999999999</c:v>
                </c:pt>
                <c:pt idx="306">
                  <c:v>-182.92099999999999</c:v>
                </c:pt>
                <c:pt idx="307">
                  <c:v>-183.2</c:v>
                </c:pt>
                <c:pt idx="308">
                  <c:v>-185.53899999999999</c:v>
                </c:pt>
                <c:pt idx="309">
                  <c:v>-185.7</c:v>
                </c:pt>
                <c:pt idx="310">
                  <c:v>-186.821</c:v>
                </c:pt>
                <c:pt idx="311">
                  <c:v>-188.00300000000001</c:v>
                </c:pt>
                <c:pt idx="312">
                  <c:v>-188.2</c:v>
                </c:pt>
                <c:pt idx="313">
                  <c:v>-191.3</c:v>
                </c:pt>
                <c:pt idx="314">
                  <c:v>-191.4</c:v>
                </c:pt>
                <c:pt idx="315">
                  <c:v>-192.47199999999998</c:v>
                </c:pt>
                <c:pt idx="316">
                  <c:v>-192.55199999999999</c:v>
                </c:pt>
                <c:pt idx="317">
                  <c:v>-192.6</c:v>
                </c:pt>
                <c:pt idx="318">
                  <c:v>-197.02</c:v>
                </c:pt>
                <c:pt idx="319">
                  <c:v>-197.09199999999998</c:v>
                </c:pt>
                <c:pt idx="320">
                  <c:v>-198.46700000000001</c:v>
                </c:pt>
                <c:pt idx="321">
                  <c:v>-199.4</c:v>
                </c:pt>
                <c:pt idx="322">
                  <c:v>-199.58000000000004</c:v>
                </c:pt>
                <c:pt idx="323">
                  <c:v>-201.45599999999996</c:v>
                </c:pt>
                <c:pt idx="324">
                  <c:v>-206</c:v>
                </c:pt>
                <c:pt idx="325">
                  <c:v>-206.4</c:v>
                </c:pt>
                <c:pt idx="326">
                  <c:v>-207.70400000000001</c:v>
                </c:pt>
                <c:pt idx="327">
                  <c:v>-208.67400000000001</c:v>
                </c:pt>
                <c:pt idx="328">
                  <c:v>-209.13200000000001</c:v>
                </c:pt>
                <c:pt idx="329">
                  <c:v>-213.73600000000002</c:v>
                </c:pt>
                <c:pt idx="330">
                  <c:v>-217.51500000000001</c:v>
                </c:pt>
                <c:pt idx="331">
                  <c:v>-218.3</c:v>
                </c:pt>
                <c:pt idx="332">
                  <c:v>-220.29599999999999</c:v>
                </c:pt>
                <c:pt idx="333">
                  <c:v>-221.98599999999999</c:v>
                </c:pt>
                <c:pt idx="334">
                  <c:v>-223.7</c:v>
                </c:pt>
                <c:pt idx="335">
                  <c:v>-224.351</c:v>
                </c:pt>
                <c:pt idx="336">
                  <c:v>-225.2</c:v>
                </c:pt>
                <c:pt idx="337">
                  <c:v>-227.24299999999997</c:v>
                </c:pt>
                <c:pt idx="338">
                  <c:v>-230.40499999999997</c:v>
                </c:pt>
                <c:pt idx="339">
                  <c:v>-230.90299999999999</c:v>
                </c:pt>
                <c:pt idx="340">
                  <c:v>-236.2</c:v>
                </c:pt>
                <c:pt idx="341">
                  <c:v>-237.09900000000002</c:v>
                </c:pt>
                <c:pt idx="342">
                  <c:v>-237.79099999999997</c:v>
                </c:pt>
                <c:pt idx="343">
                  <c:v>-238.77800000000002</c:v>
                </c:pt>
                <c:pt idx="344">
                  <c:v>-240.1</c:v>
                </c:pt>
                <c:pt idx="345">
                  <c:v>-241.16200000000003</c:v>
                </c:pt>
                <c:pt idx="346">
                  <c:v>-247.81500000000003</c:v>
                </c:pt>
                <c:pt idx="347">
                  <c:v>-250.2</c:v>
                </c:pt>
                <c:pt idx="348">
                  <c:v>-251.8</c:v>
                </c:pt>
                <c:pt idx="349">
                  <c:v>-252.64400000000003</c:v>
                </c:pt>
                <c:pt idx="350">
                  <c:v>-254.27799999999996</c:v>
                </c:pt>
                <c:pt idx="351">
                  <c:v>-255.2</c:v>
                </c:pt>
                <c:pt idx="352">
                  <c:v>-256.447</c:v>
                </c:pt>
                <c:pt idx="353">
                  <c:v>-257.53599999999994</c:v>
                </c:pt>
                <c:pt idx="354">
                  <c:v>-259.35300000000001</c:v>
                </c:pt>
                <c:pt idx="355">
                  <c:v>-260.32099999999997</c:v>
                </c:pt>
                <c:pt idx="356">
                  <c:v>-261.76900000000001</c:v>
                </c:pt>
                <c:pt idx="357">
                  <c:v>-266.017</c:v>
                </c:pt>
                <c:pt idx="358">
                  <c:v>-267.60000000000002</c:v>
                </c:pt>
                <c:pt idx="359">
                  <c:v>-268.17700000000002</c:v>
                </c:pt>
                <c:pt idx="360">
                  <c:v>-284.48500000000001</c:v>
                </c:pt>
                <c:pt idx="361">
                  <c:v>-285.51299999999998</c:v>
                </c:pt>
                <c:pt idx="362">
                  <c:v>-291.899</c:v>
                </c:pt>
                <c:pt idx="363">
                  <c:v>-295.05700000000002</c:v>
                </c:pt>
                <c:pt idx="364">
                  <c:v>-333.36799999999994</c:v>
                </c:pt>
              </c:numCache>
            </c:numRef>
          </c:val>
          <c:smooth val="0"/>
        </c:ser>
        <c:dLbls>
          <c:showLegendKey val="0"/>
          <c:showVal val="0"/>
          <c:showCatName val="0"/>
          <c:showSerName val="0"/>
          <c:showPercent val="0"/>
          <c:showBubbleSize val="0"/>
        </c:dLbls>
        <c:marker val="1"/>
        <c:smooth val="0"/>
        <c:axId val="1054673032"/>
        <c:axId val="1054674992"/>
      </c:lineChart>
      <c:scatterChart>
        <c:scatterStyle val="lineMarker"/>
        <c:varyColors val="0"/>
        <c:ser>
          <c:idx val="6"/>
          <c:order val="7"/>
          <c:spPr>
            <a:ln w="28575" cap="rnd">
              <a:solidFill>
                <a:schemeClr val="accent6"/>
              </a:solidFill>
              <a:round/>
            </a:ln>
            <a:effectLst/>
          </c:spPr>
          <c:marker>
            <c:symbol val="none"/>
          </c:marker>
          <c:dPt>
            <c:idx val="1"/>
            <c:marker>
              <c:symbol val="none"/>
            </c:marker>
            <c:bubble3D val="0"/>
            <c:spPr>
              <a:ln w="28575" cap="rnd">
                <a:solidFill>
                  <a:schemeClr val="bg1">
                    <a:lumMod val="65000"/>
                  </a:schemeClr>
                </a:solidFill>
                <a:round/>
              </a:ln>
              <a:effectLst/>
            </c:spPr>
          </c:dPt>
          <c:xVal>
            <c:numRef>
              <c:f>'6 Flows along SWQP'!$R$20:$R$21</c:f>
              <c:numCache>
                <c:formatCode>0%</c:formatCode>
                <c:ptCount val="2"/>
                <c:pt idx="0">
                  <c:v>380</c:v>
                </c:pt>
                <c:pt idx="1">
                  <c:v>420</c:v>
                </c:pt>
              </c:numCache>
            </c:numRef>
          </c:xVal>
          <c:yVal>
            <c:numRef>
              <c:f>'6 Flows along SWQP'!$S$20:$S$21</c:f>
              <c:numCache>
                <c:formatCode>General</c:formatCode>
                <c:ptCount val="2"/>
                <c:pt idx="0">
                  <c:v>0</c:v>
                </c:pt>
                <c:pt idx="1">
                  <c:v>0</c:v>
                </c:pt>
              </c:numCache>
            </c:numRef>
          </c:yVal>
          <c:smooth val="0"/>
        </c:ser>
        <c:ser>
          <c:idx val="7"/>
          <c:order val="8"/>
          <c:tx>
            <c:strRef>
              <c:f>'6 Flows along SWQP'!$R$26</c:f>
              <c:strCache>
                <c:ptCount val="1"/>
                <c:pt idx="0">
                  <c:v>Flow towards                             Queensland</c:v>
                </c:pt>
              </c:strCache>
            </c:strRef>
          </c:tx>
          <c:spPr>
            <a:ln w="28575" cap="rnd">
              <a:solidFill>
                <a:schemeClr val="accent2">
                  <a:lumMod val="60000"/>
                </a:schemeClr>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'6 Flows along SWQP'!$R$29</c:f>
              <c:numCache>
                <c:formatCode>0%</c:formatCode>
                <c:ptCount val="1"/>
                <c:pt idx="0">
                  <c:v>400</c:v>
                </c:pt>
              </c:numCache>
            </c:numRef>
          </c:xVal>
          <c:yVal>
            <c:numRef>
              <c:f>'6 Flows along SWQP'!$S$29</c:f>
              <c:numCache>
                <c:formatCode>General</c:formatCode>
                <c:ptCount val="1"/>
                <c:pt idx="0">
                  <c:v>0</c:v>
                </c:pt>
              </c:numCache>
            </c:numRef>
          </c:yVal>
          <c:smooth val="0"/>
        </c:ser>
        <c:ser>
          <c:idx val="8"/>
          <c:order val="9"/>
          <c:tx>
            <c:strRef>
              <c:f>'6 Flows along SWQP'!$R$27</c:f>
              <c:strCache>
                <c:ptCount val="1"/>
                <c:pt idx="0">
                  <c:v>Flow towards                    southern states</c:v>
                </c:pt>
              </c:strCache>
            </c:strRef>
          </c:tx>
          <c:spPr>
            <a:ln w="28575" cap="rnd">
              <a:solidFill>
                <a:schemeClr val="accent3">
                  <a:lumMod val="60000"/>
                </a:schemeClr>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1"/>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'6 Flows along SWQP'!$R$29</c:f>
              <c:numCache>
                <c:formatCode>0%</c:formatCode>
                <c:ptCount val="1"/>
                <c:pt idx="0">
                  <c:v>400</c:v>
                </c:pt>
              </c:numCache>
            </c:numRef>
          </c:xVal>
          <c:yVal>
            <c:numRef>
              <c:f>'6 Flows along SWQP'!$S$29</c:f>
              <c:numCache>
                <c:formatCode>General</c:formatCode>
                <c:ptCount val="1"/>
                <c:pt idx="0">
                  <c:v>0</c:v>
                </c:pt>
              </c:numCache>
            </c:numRef>
          </c:yVal>
          <c:smooth val="0"/>
        </c:ser>
        <c:dLbls>
          <c:showLegendKey val="0"/>
          <c:showVal val="0"/>
          <c:showCatName val="0"/>
          <c:showSerName val="0"/>
          <c:showPercent val="0"/>
          <c:showBubbleSize val="0"/>
        </c:dLbls>
        <c:axId val="1054673032"/>
        <c:axId val="1054674992"/>
      </c:scatterChart>
      <c:scatterChart>
        <c:scatterStyle val="lineMarker"/>
        <c:varyColors val="0"/>
        <c:ser>
          <c:idx val="5"/>
          <c:order val="6"/>
          <c:spPr>
            <a:ln w="28575" cap="rnd">
              <a:solidFill>
                <a:schemeClr val="bg1">
                  <a:lumMod val="65000"/>
                </a:schemeClr>
              </a:solidFill>
              <a:round/>
              <a:headEnd type="triangle"/>
              <a:tailEnd type="triangle"/>
            </a:ln>
            <a:effectLst/>
          </c:spPr>
          <c:marker>
            <c:symbol val="none"/>
          </c:marker>
          <c:xVal>
            <c:numRef>
              <c:f>'6 Flows along SWQP'!$R$23:$R$24</c:f>
              <c:numCache>
                <c:formatCode>0%</c:formatCode>
                <c:ptCount val="2"/>
                <c:pt idx="0">
                  <c:v>380</c:v>
                </c:pt>
                <c:pt idx="1">
                  <c:v>380</c:v>
                </c:pt>
              </c:numCache>
            </c:numRef>
          </c:xVal>
          <c:yVal>
            <c:numRef>
              <c:f>'6 Flows along SWQP'!$S$23:$S$24</c:f>
              <c:numCache>
                <c:formatCode>General</c:formatCode>
                <c:ptCount val="2"/>
                <c:pt idx="0">
                  <c:v>0</c:v>
                </c:pt>
                <c:pt idx="1">
                  <c:v>1</c:v>
                </c:pt>
              </c:numCache>
            </c:numRef>
          </c:yVal>
          <c:smooth val="0"/>
        </c:ser>
        <c:dLbls>
          <c:showLegendKey val="0"/>
          <c:showVal val="0"/>
          <c:showCatName val="0"/>
          <c:showSerName val="0"/>
          <c:showPercent val="0"/>
          <c:showBubbleSize val="0"/>
        </c:dLbls>
        <c:axId val="1054672640"/>
        <c:axId val="1054671856"/>
      </c:scatterChart>
      <c:catAx>
        <c:axId val="1054673032"/>
        <c:scaling>
          <c:orientation val="minMax"/>
        </c:scaling>
        <c:delete val="0"/>
        <c:axPos val="b"/>
        <c:numFmt formatCode="0%" sourceLinked="1"/>
        <c:majorTickMark val="none"/>
        <c:minorTickMark val="none"/>
        <c:tickLblPos val="low"/>
        <c:spPr>
          <a:noFill/>
          <a:ln w="38100" cap="flat" cmpd="sng" algn="ctr">
            <a:no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674992"/>
        <c:crosses val="autoZero"/>
        <c:auto val="1"/>
        <c:lblAlgn val="ctr"/>
        <c:lblOffset val="100"/>
        <c:noMultiLvlLbl val="0"/>
      </c:catAx>
      <c:valAx>
        <c:axId val="1054674992"/>
        <c:scaling>
          <c:orientation val="minMax"/>
          <c:max val="500"/>
          <c:min val="-40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Terajoules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673032"/>
        <c:crosses val="autoZero"/>
        <c:crossBetween val="between"/>
      </c:valAx>
      <c:valAx>
        <c:axId val="1054671856"/>
        <c:scaling>
          <c:orientation val="minMax"/>
          <c:max val="1"/>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672640"/>
        <c:crosses val="max"/>
        <c:crossBetween val="midCat"/>
      </c:valAx>
      <c:valAx>
        <c:axId val="1054672640"/>
        <c:scaling>
          <c:orientation val="minMax"/>
        </c:scaling>
        <c:delete val="1"/>
        <c:axPos val="b"/>
        <c:numFmt formatCode="0%" sourceLinked="1"/>
        <c:majorTickMark val="out"/>
        <c:minorTickMark val="none"/>
        <c:tickLblPos val="nextTo"/>
        <c:crossAx val="1054671856"/>
        <c:crosses val="autoZero"/>
        <c:crossBetween val="midCat"/>
      </c:valAx>
      <c:spPr>
        <a:noFill/>
        <a:ln>
          <a:noFill/>
        </a:ln>
        <a:effectLst/>
      </c:spPr>
    </c:plotArea>
    <c:legend>
      <c:legendPos val="b"/>
      <c:legendEntry>
        <c:idx val="0"/>
        <c:delete val="1"/>
      </c:legendEntry>
      <c:legendEntry>
        <c:idx val="6"/>
        <c:delete val="1"/>
      </c:legendEntry>
      <c:legendEntry>
        <c:idx val="7"/>
        <c:delete val="1"/>
      </c:legendEntry>
      <c:legendEntry>
        <c:idx val="8"/>
        <c:delete val="1"/>
      </c:legendEntry>
      <c:legendEntry>
        <c:idx val="9"/>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tx>
            <c:strRef>
              <c:f>'7 QSN ADGSM bar'!$M$24</c:f>
              <c:strCache>
                <c:ptCount val="1"/>
                <c:pt idx="0">
                  <c:v>After ADGSM</c:v>
                </c:pt>
              </c:strCache>
            </c:strRef>
          </c:tx>
          <c:spPr>
            <a:solidFill>
              <a:srgbClr val="56B4DF"/>
            </a:solidFill>
            <a:ln>
              <a:noFill/>
            </a:ln>
            <a:effectLst/>
          </c:spPr>
          <c:invertIfNegative val="0"/>
          <c:cat>
            <c:strRef>
              <c:f>'7 QSN ADGSM bar'!$N$22:$P$22</c:f>
              <c:strCache>
                <c:ptCount val="3"/>
                <c:pt idx="0">
                  <c:v>24 months</c:v>
                </c:pt>
                <c:pt idx="1">
                  <c:v>12 months</c:v>
                </c:pt>
                <c:pt idx="2">
                  <c:v>6 months</c:v>
                </c:pt>
              </c:strCache>
            </c:strRef>
          </c:cat>
          <c:val>
            <c:numRef>
              <c:f>'7 QSN ADGSM bar'!$N$24:$P$24</c:f>
              <c:numCache>
                <c:formatCode>General</c:formatCode>
                <c:ptCount val="3"/>
                <c:pt idx="0">
                  <c:v>-3.5833333333333335</c:v>
                </c:pt>
                <c:pt idx="1">
                  <c:v>20.333333333333332</c:v>
                </c:pt>
                <c:pt idx="2">
                  <c:v>65.666666666666671</c:v>
                </c:pt>
              </c:numCache>
            </c:numRef>
          </c:val>
        </c:ser>
        <c:ser>
          <c:idx val="0"/>
          <c:order val="1"/>
          <c:tx>
            <c:strRef>
              <c:f>'7 QSN ADGSM bar'!$M$23</c:f>
              <c:strCache>
                <c:ptCount val="1"/>
                <c:pt idx="0">
                  <c:v>Before ADGSM</c:v>
                </c:pt>
              </c:strCache>
            </c:strRef>
          </c:tx>
          <c:spPr>
            <a:solidFill>
              <a:srgbClr val="005CAF"/>
            </a:solidFill>
            <a:ln>
              <a:noFill/>
            </a:ln>
            <a:effectLst/>
          </c:spPr>
          <c:invertIfNegative val="0"/>
          <c:cat>
            <c:strRef>
              <c:f>'7 QSN ADGSM bar'!$N$22:$P$22</c:f>
              <c:strCache>
                <c:ptCount val="3"/>
                <c:pt idx="0">
                  <c:v>24 months</c:v>
                </c:pt>
                <c:pt idx="1">
                  <c:v>12 months</c:v>
                </c:pt>
                <c:pt idx="2">
                  <c:v>6 months</c:v>
                </c:pt>
              </c:strCache>
            </c:strRef>
          </c:cat>
          <c:val>
            <c:numRef>
              <c:f>'7 QSN ADGSM bar'!$N$23:$P$23</c:f>
              <c:numCache>
                <c:formatCode>General</c:formatCode>
                <c:ptCount val="3"/>
                <c:pt idx="0">
                  <c:v>130.29166666666666</c:v>
                </c:pt>
                <c:pt idx="1">
                  <c:v>166.5</c:v>
                </c:pt>
                <c:pt idx="2">
                  <c:v>151.66666666666666</c:v>
                </c:pt>
              </c:numCache>
            </c:numRef>
          </c:val>
        </c:ser>
        <c:dLbls>
          <c:showLegendKey val="0"/>
          <c:showVal val="0"/>
          <c:showCatName val="0"/>
          <c:showSerName val="0"/>
          <c:showPercent val="0"/>
          <c:showBubbleSize val="0"/>
        </c:dLbls>
        <c:gapWidth val="182"/>
        <c:axId val="1000796224"/>
        <c:axId val="1000797792"/>
      </c:barChart>
      <c:catAx>
        <c:axId val="1000796224"/>
        <c:scaling>
          <c:orientation val="minMax"/>
        </c:scaling>
        <c:delete val="0"/>
        <c:axPos val="l"/>
        <c:numFmt formatCode="General" sourceLinked="1"/>
        <c:majorTickMark val="out"/>
        <c:minorTickMark val="none"/>
        <c:tickLblPos val="low"/>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00797792"/>
        <c:crosses val="autoZero"/>
        <c:auto val="1"/>
        <c:lblAlgn val="ctr"/>
        <c:lblOffset val="100"/>
        <c:noMultiLvlLbl val="0"/>
      </c:catAx>
      <c:valAx>
        <c:axId val="1000797792"/>
        <c:scaling>
          <c:orientation val="minMax"/>
        </c:scaling>
        <c:delete val="0"/>
        <c:axPos val="b"/>
        <c:title>
          <c:tx>
            <c:rich>
              <a:bodyPr rot="0" spcFirstLastPara="1" vertOverflow="ellipsis" vert="horz" wrap="square" anchor="ctr" anchorCtr="1"/>
              <a:lstStyle/>
              <a:p>
                <a:pPr algn="ctr" rtl="0">
                  <a:defRPr sz="900" b="0" i="0" u="none" strike="noStrike" kern="1200" baseline="0">
                    <a:solidFill>
                      <a:srgbClr val="595A5B"/>
                    </a:solidFill>
                    <a:latin typeface="Arial"/>
                    <a:ea typeface="Arial"/>
                    <a:cs typeface="Arial"/>
                  </a:defRPr>
                </a:pPr>
                <a:r>
                  <a:rPr lang="en-US"/>
                  <a:t>Terajoules</a:t>
                </a:r>
              </a:p>
            </c:rich>
          </c:tx>
          <c:layout/>
          <c:overlay val="0"/>
          <c:spPr>
            <a:noFill/>
            <a:ln>
              <a:noFill/>
            </a:ln>
            <a:effectLst/>
          </c:spPr>
          <c:txPr>
            <a:bodyPr rot="0" spcFirstLastPara="1" vertOverflow="ellipsis" vert="horz" wrap="square" anchor="ctr" anchorCtr="1"/>
            <a:lstStyle/>
            <a:p>
              <a:pPr algn="ctr" rtl="0">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1000796224"/>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25467065352572"/>
          <c:y val="3.9200313602508821E-2"/>
          <c:w val="0.86787210813043292"/>
          <c:h val="0.4513956237634153"/>
        </c:manualLayout>
      </c:layout>
      <c:lineChart>
        <c:grouping val="standard"/>
        <c:varyColors val="0"/>
        <c:ser>
          <c:idx val="0"/>
          <c:order val="0"/>
          <c:tx>
            <c:strRef>
              <c:f>'T:\Gas Unit\Wholesale gas price analysis\2017 Analysis\Netback price comparison analysis\April 2019 report\[2019 and 2020 netback chart with offers.xlsx]Calcs'!$AY$31</c:f>
              <c:strCache>
                <c:ptCount val="1"/>
                <c:pt idx="0">
                  <c:v>Expected average of 2019 LNG netback price at Wallumbilla</c:v>
                </c:pt>
              </c:strCache>
            </c:strRef>
          </c:tx>
          <c:spPr>
            <a:ln w="25400" cap="rnd">
              <a:solidFill>
                <a:srgbClr val="005CAF"/>
              </a:solidFill>
              <a:prstDash val="solid"/>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offers.xlsx]Calcs'!$AY$32:$AY$106</c:f>
              <c:numCache>
                <c:formatCode>General</c:formatCode>
                <c:ptCount val="75"/>
                <c:pt idx="0">
                  <c:v>7.2523872955920829</c:v>
                </c:pt>
                <c:pt idx="1">
                  <c:v>7.2523872955920829</c:v>
                </c:pt>
                <c:pt idx="2">
                  <c:v>7.2523872955920829</c:v>
                </c:pt>
                <c:pt idx="3">
                  <c:v>7.1892810825522586</c:v>
                </c:pt>
                <c:pt idx="4">
                  <c:v>7.1892810825522586</c:v>
                </c:pt>
                <c:pt idx="5">
                  <c:v>7.1892810825522586</c:v>
                </c:pt>
                <c:pt idx="6">
                  <c:v>6.5938184446545636</c:v>
                </c:pt>
                <c:pt idx="7">
                  <c:v>6.5938184446545636</c:v>
                </c:pt>
                <c:pt idx="8">
                  <c:v>6.5938184446545636</c:v>
                </c:pt>
                <c:pt idx="9">
                  <c:v>6.8398183141995119</c:v>
                </c:pt>
                <c:pt idx="10">
                  <c:v>6.8398183141995119</c:v>
                </c:pt>
                <c:pt idx="11">
                  <c:v>6.8398183141995119</c:v>
                </c:pt>
                <c:pt idx="12">
                  <c:v>6.9431533000947008</c:v>
                </c:pt>
                <c:pt idx="13">
                  <c:v>6.9431533000947008</c:v>
                </c:pt>
                <c:pt idx="14">
                  <c:v>6.9431533000947008</c:v>
                </c:pt>
                <c:pt idx="15">
                  <c:v>6.6086596603143848</c:v>
                </c:pt>
                <c:pt idx="16">
                  <c:v>6.6086596603143848</c:v>
                </c:pt>
                <c:pt idx="17">
                  <c:v>6.6086596603143848</c:v>
                </c:pt>
                <c:pt idx="18">
                  <c:v>6.5864265796078074</c:v>
                </c:pt>
                <c:pt idx="19">
                  <c:v>6.5864265796078074</c:v>
                </c:pt>
                <c:pt idx="20">
                  <c:v>6.5864265796078074</c:v>
                </c:pt>
                <c:pt idx="21">
                  <c:v>6.659320216428041</c:v>
                </c:pt>
                <c:pt idx="22">
                  <c:v>6.659320216428041</c:v>
                </c:pt>
                <c:pt idx="23">
                  <c:v>6.659320216428041</c:v>
                </c:pt>
                <c:pt idx="24">
                  <c:v>6.8524672607657502</c:v>
                </c:pt>
                <c:pt idx="25">
                  <c:v>6.8524672607657502</c:v>
                </c:pt>
                <c:pt idx="26">
                  <c:v>6.8524672607657502</c:v>
                </c:pt>
                <c:pt idx="27">
                  <c:v>6.9138951155431334</c:v>
                </c:pt>
                <c:pt idx="28">
                  <c:v>6.9138951155431334</c:v>
                </c:pt>
                <c:pt idx="29">
                  <c:v>6.9138951155431334</c:v>
                </c:pt>
                <c:pt idx="30">
                  <c:v>7.4478485553626959</c:v>
                </c:pt>
                <c:pt idx="31">
                  <c:v>7.4478485553626959</c:v>
                </c:pt>
                <c:pt idx="32">
                  <c:v>7.4478485553626959</c:v>
                </c:pt>
                <c:pt idx="33">
                  <c:v>7.6707381938191626</c:v>
                </c:pt>
                <c:pt idx="34">
                  <c:v>7.6707381938191626</c:v>
                </c:pt>
                <c:pt idx="35">
                  <c:v>7.6707381938191626</c:v>
                </c:pt>
                <c:pt idx="36">
                  <c:v>7.7456368398473394</c:v>
                </c:pt>
                <c:pt idx="37">
                  <c:v>7.7456368398473394</c:v>
                </c:pt>
                <c:pt idx="38">
                  <c:v>7.7456368398473394</c:v>
                </c:pt>
                <c:pt idx="39">
                  <c:v>7.7217803838596453</c:v>
                </c:pt>
                <c:pt idx="40">
                  <c:v>7.7217803838596453</c:v>
                </c:pt>
                <c:pt idx="41">
                  <c:v>7.7217803838596453</c:v>
                </c:pt>
                <c:pt idx="42">
                  <c:v>7.9512004714882183</c:v>
                </c:pt>
                <c:pt idx="43">
                  <c:v>7.9512004714882183</c:v>
                </c:pt>
                <c:pt idx="44">
                  <c:v>7.9512004714882183</c:v>
                </c:pt>
                <c:pt idx="45">
                  <c:v>8.7130670124594065</c:v>
                </c:pt>
                <c:pt idx="46">
                  <c:v>8.7130670124594065</c:v>
                </c:pt>
                <c:pt idx="47">
                  <c:v>8.7130670124594065</c:v>
                </c:pt>
                <c:pt idx="48">
                  <c:v>9.6191046543424346</c:v>
                </c:pt>
                <c:pt idx="49">
                  <c:v>9.6191046543424346</c:v>
                </c:pt>
                <c:pt idx="50">
                  <c:v>9.6191046543424346</c:v>
                </c:pt>
                <c:pt idx="51">
                  <c:v>10.117170507890082</c:v>
                </c:pt>
                <c:pt idx="52">
                  <c:v>10.117170507890082</c:v>
                </c:pt>
                <c:pt idx="53">
                  <c:v>10.117170507890082</c:v>
                </c:pt>
                <c:pt idx="54">
                  <c:v>10.35688519295592</c:v>
                </c:pt>
                <c:pt idx="55">
                  <c:v>10.35688519295592</c:v>
                </c:pt>
                <c:pt idx="56">
                  <c:v>10.35688519295592</c:v>
                </c:pt>
                <c:pt idx="57">
                  <c:v>10.917731329169129</c:v>
                </c:pt>
                <c:pt idx="58">
                  <c:v>10.917731329169129</c:v>
                </c:pt>
                <c:pt idx="59">
                  <c:v>10.917731329169129</c:v>
                </c:pt>
                <c:pt idx="60">
                  <c:v>12.335396943453095</c:v>
                </c:pt>
                <c:pt idx="61">
                  <c:v>12.335396943453095</c:v>
                </c:pt>
                <c:pt idx="62">
                  <c:v>12.335396943453095</c:v>
                </c:pt>
                <c:pt idx="63">
                  <c:v>11.960672978322345</c:v>
                </c:pt>
                <c:pt idx="64">
                  <c:v>11.960672978322345</c:v>
                </c:pt>
                <c:pt idx="65">
                  <c:v>11.960672978322345</c:v>
                </c:pt>
                <c:pt idx="66">
                  <c:v>9.8976108005175671</c:v>
                </c:pt>
                <c:pt idx="67">
                  <c:v>9.8976108005175671</c:v>
                </c:pt>
                <c:pt idx="68">
                  <c:v>9.8976108005175671</c:v>
                </c:pt>
                <c:pt idx="69">
                  <c:v>9.2920895640375107</c:v>
                </c:pt>
                <c:pt idx="70">
                  <c:v>9.2920895640375107</c:v>
                </c:pt>
                <c:pt idx="71">
                  <c:v>9.2920895640375107</c:v>
                </c:pt>
                <c:pt idx="72">
                  <c:v>9.2920895640375107</c:v>
                </c:pt>
                <c:pt idx="73">
                  <c:v>9.2920895640375107</c:v>
                </c:pt>
                <c:pt idx="74">
                  <c:v>9.2920895640375107</c:v>
                </c:pt>
              </c:numCache>
            </c:numRef>
          </c:val>
          <c:smooth val="0"/>
          <c:extLst xmlns:c16r2="http://schemas.microsoft.com/office/drawing/2015/06/chart">
            <c:ext xmlns:c16="http://schemas.microsoft.com/office/drawing/2014/chart" uri="{C3380CC4-5D6E-409C-BE32-E72D297353CC}">
              <c16:uniqueId val="{00000000-6ACC-48E3-8778-20B026C7F172}"/>
            </c:ext>
          </c:extLst>
        </c:ser>
        <c:ser>
          <c:idx val="1"/>
          <c:order val="1"/>
          <c:tx>
            <c:strRef>
              <c:f>'T:\Gas Unit\Wholesale gas price analysis\2017 Analysis\Netback price comparison analysis\April 2019 report\[2019 and 2020 netback chart with offers.xlsx]Calcs'!$AZ$31</c:f>
              <c:strCache>
                <c:ptCount val="1"/>
                <c:pt idx="0">
                  <c:v>Expected average of 2019 LNG netback price at Wallumbilla plus transport to Victoria</c:v>
                </c:pt>
              </c:strCache>
            </c:strRef>
          </c:tx>
          <c:spPr>
            <a:ln w="25400" cap="rnd">
              <a:solidFill>
                <a:srgbClr val="56B4DF"/>
              </a:solidFill>
              <a:prstDash val="solid"/>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offers.xlsx]Calcs'!$AZ$32:$AZ$106</c:f>
              <c:numCache>
                <c:formatCode>General</c:formatCode>
                <c:ptCount val="75"/>
                <c:pt idx="0">
                  <c:v>9.7326538114047612</c:v>
                </c:pt>
                <c:pt idx="1">
                  <c:v>9.7326538114047612</c:v>
                </c:pt>
                <c:pt idx="2">
                  <c:v>9.7326538114047612</c:v>
                </c:pt>
                <c:pt idx="3">
                  <c:v>9.6695475983649359</c:v>
                </c:pt>
                <c:pt idx="4">
                  <c:v>9.6695475983649359</c:v>
                </c:pt>
                <c:pt idx="5">
                  <c:v>9.6695475983649359</c:v>
                </c:pt>
                <c:pt idx="6">
                  <c:v>9.0740849604672409</c:v>
                </c:pt>
                <c:pt idx="7">
                  <c:v>9.0740849604672409</c:v>
                </c:pt>
                <c:pt idx="8">
                  <c:v>9.0740849604672409</c:v>
                </c:pt>
                <c:pt idx="9">
                  <c:v>9.3200848300121901</c:v>
                </c:pt>
                <c:pt idx="10">
                  <c:v>9.3200848300121901</c:v>
                </c:pt>
                <c:pt idx="11">
                  <c:v>9.3200848300121901</c:v>
                </c:pt>
                <c:pt idx="12">
                  <c:v>9.4234198159073781</c:v>
                </c:pt>
                <c:pt idx="13">
                  <c:v>9.4234198159073781</c:v>
                </c:pt>
                <c:pt idx="14">
                  <c:v>9.4234198159073781</c:v>
                </c:pt>
                <c:pt idx="15">
                  <c:v>9.0889261761270621</c:v>
                </c:pt>
                <c:pt idx="16">
                  <c:v>9.0889261761270621</c:v>
                </c:pt>
                <c:pt idx="17">
                  <c:v>9.0889261761270621</c:v>
                </c:pt>
                <c:pt idx="18">
                  <c:v>9.0666930954204847</c:v>
                </c:pt>
                <c:pt idx="19">
                  <c:v>9.0666930954204847</c:v>
                </c:pt>
                <c:pt idx="20">
                  <c:v>9.0666930954204847</c:v>
                </c:pt>
                <c:pt idx="21">
                  <c:v>9.1395867322407192</c:v>
                </c:pt>
                <c:pt idx="22">
                  <c:v>9.1395867322407192</c:v>
                </c:pt>
                <c:pt idx="23">
                  <c:v>9.1395867322407192</c:v>
                </c:pt>
                <c:pt idx="24">
                  <c:v>9.3327337765784275</c:v>
                </c:pt>
                <c:pt idx="25">
                  <c:v>9.3327337765784275</c:v>
                </c:pt>
                <c:pt idx="26">
                  <c:v>9.3327337765784275</c:v>
                </c:pt>
                <c:pt idx="27">
                  <c:v>9.3941616313558107</c:v>
                </c:pt>
                <c:pt idx="28">
                  <c:v>9.3941616313558107</c:v>
                </c:pt>
                <c:pt idx="29">
                  <c:v>9.3941616313558107</c:v>
                </c:pt>
                <c:pt idx="30">
                  <c:v>9.9281150711753732</c:v>
                </c:pt>
                <c:pt idx="31">
                  <c:v>9.9281150711753732</c:v>
                </c:pt>
                <c:pt idx="32">
                  <c:v>9.9281150711753732</c:v>
                </c:pt>
                <c:pt idx="33">
                  <c:v>10.15100470963184</c:v>
                </c:pt>
                <c:pt idx="34">
                  <c:v>10.15100470963184</c:v>
                </c:pt>
                <c:pt idx="35">
                  <c:v>10.15100470963184</c:v>
                </c:pt>
                <c:pt idx="36">
                  <c:v>10.225903355660018</c:v>
                </c:pt>
                <c:pt idx="37">
                  <c:v>10.225903355660018</c:v>
                </c:pt>
                <c:pt idx="38">
                  <c:v>10.225903355660018</c:v>
                </c:pt>
                <c:pt idx="39">
                  <c:v>10.202046899672323</c:v>
                </c:pt>
                <c:pt idx="40">
                  <c:v>10.202046899672323</c:v>
                </c:pt>
                <c:pt idx="41">
                  <c:v>10.202046899672323</c:v>
                </c:pt>
                <c:pt idx="42">
                  <c:v>10.431466987300896</c:v>
                </c:pt>
                <c:pt idx="43">
                  <c:v>10.431466987300896</c:v>
                </c:pt>
                <c:pt idx="44">
                  <c:v>10.431466987300896</c:v>
                </c:pt>
                <c:pt idx="45">
                  <c:v>11.193333528272085</c:v>
                </c:pt>
                <c:pt idx="46">
                  <c:v>11.193333528272085</c:v>
                </c:pt>
                <c:pt idx="47">
                  <c:v>11.193333528272085</c:v>
                </c:pt>
                <c:pt idx="48">
                  <c:v>12.099371170155113</c:v>
                </c:pt>
                <c:pt idx="49">
                  <c:v>12.099371170155113</c:v>
                </c:pt>
                <c:pt idx="50">
                  <c:v>12.099371170155113</c:v>
                </c:pt>
                <c:pt idx="51">
                  <c:v>12.59743702370276</c:v>
                </c:pt>
                <c:pt idx="52">
                  <c:v>12.59743702370276</c:v>
                </c:pt>
                <c:pt idx="53">
                  <c:v>12.59743702370276</c:v>
                </c:pt>
                <c:pt idx="54">
                  <c:v>12.837151708768598</c:v>
                </c:pt>
                <c:pt idx="55">
                  <c:v>12.837151708768598</c:v>
                </c:pt>
                <c:pt idx="56">
                  <c:v>12.837151708768598</c:v>
                </c:pt>
                <c:pt idx="57">
                  <c:v>13.397997844981807</c:v>
                </c:pt>
                <c:pt idx="58">
                  <c:v>13.397997844981807</c:v>
                </c:pt>
                <c:pt idx="59">
                  <c:v>13.397997844981807</c:v>
                </c:pt>
                <c:pt idx="60">
                  <c:v>14.815663459265773</c:v>
                </c:pt>
                <c:pt idx="61">
                  <c:v>14.815663459265773</c:v>
                </c:pt>
                <c:pt idx="62">
                  <c:v>14.815663459265773</c:v>
                </c:pt>
                <c:pt idx="63">
                  <c:v>14.440939494135023</c:v>
                </c:pt>
                <c:pt idx="64">
                  <c:v>14.440939494135023</c:v>
                </c:pt>
                <c:pt idx="65">
                  <c:v>14.440939494135023</c:v>
                </c:pt>
                <c:pt idx="66">
                  <c:v>12.377877316330245</c:v>
                </c:pt>
                <c:pt idx="67">
                  <c:v>12.377877316330245</c:v>
                </c:pt>
                <c:pt idx="68">
                  <c:v>12.377877316330245</c:v>
                </c:pt>
                <c:pt idx="69">
                  <c:v>11.772356079850189</c:v>
                </c:pt>
                <c:pt idx="70">
                  <c:v>11.772356079850189</c:v>
                </c:pt>
                <c:pt idx="71">
                  <c:v>11.772356079850189</c:v>
                </c:pt>
                <c:pt idx="72">
                  <c:v>11.772356079850189</c:v>
                </c:pt>
                <c:pt idx="73">
                  <c:v>11.772356079850189</c:v>
                </c:pt>
                <c:pt idx="74">
                  <c:v>11.772356079850189</c:v>
                </c:pt>
              </c:numCache>
            </c:numRef>
          </c:val>
          <c:smooth val="0"/>
          <c:extLst xmlns:c16r2="http://schemas.microsoft.com/office/drawing/2015/06/chart">
            <c:ext xmlns:c16="http://schemas.microsoft.com/office/drawing/2014/chart" uri="{C3380CC4-5D6E-409C-BE32-E72D297353CC}">
              <c16:uniqueId val="{00000001-6ACC-48E3-8778-20B026C7F172}"/>
            </c:ext>
          </c:extLst>
        </c:ser>
        <c:ser>
          <c:idx val="2"/>
          <c:order val="2"/>
          <c:tx>
            <c:strRef>
              <c:f>'T:\Gas Unit\Wholesale gas price analysis\2017 Analysis\Netback price comparison analysis\April 2019 report\[2019 and 2020 netback chart with offers.xlsx]Calcs'!$BA$31</c:f>
              <c:strCache>
                <c:ptCount val="1"/>
                <c:pt idx="0">
                  <c:v>Expected average of 2019 LNG netback price at Wallumbilla less transport from Victoria (SHADED)</c:v>
                </c:pt>
              </c:strCache>
            </c:strRef>
          </c:tx>
          <c:spPr>
            <a:ln w="25400" cap="rnd">
              <a:solidFill>
                <a:srgbClr val="9ED9DF"/>
              </a:solidFill>
              <a:prstDash val="sysDash"/>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offers.xlsx]Calcs'!$BA$32:$BA$106</c:f>
              <c:numCache>
                <c:formatCode>General</c:formatCode>
                <c:ptCount val="75"/>
                <c:pt idx="0">
                  <c:v>4.2263249612708025</c:v>
                </c:pt>
                <c:pt idx="1">
                  <c:v>4.2263249612708025</c:v>
                </c:pt>
                <c:pt idx="2">
                  <c:v>4.2263249612708025</c:v>
                </c:pt>
                <c:pt idx="3">
                  <c:v>4.1632187482309782</c:v>
                </c:pt>
                <c:pt idx="4">
                  <c:v>4.1632187482309782</c:v>
                </c:pt>
                <c:pt idx="5">
                  <c:v>4.1632187482309782</c:v>
                </c:pt>
                <c:pt idx="6">
                  <c:v>3.5677561103332831</c:v>
                </c:pt>
                <c:pt idx="7">
                  <c:v>3.5677561103332831</c:v>
                </c:pt>
                <c:pt idx="8">
                  <c:v>3.5677561103332831</c:v>
                </c:pt>
                <c:pt idx="9">
                  <c:v>3.8137559798782315</c:v>
                </c:pt>
                <c:pt idx="10">
                  <c:v>3.8137559798782315</c:v>
                </c:pt>
                <c:pt idx="11">
                  <c:v>3.8137559798782315</c:v>
                </c:pt>
                <c:pt idx="12">
                  <c:v>3.9170909657734203</c:v>
                </c:pt>
                <c:pt idx="13">
                  <c:v>3.9170909657734203</c:v>
                </c:pt>
                <c:pt idx="14">
                  <c:v>3.9170909657734203</c:v>
                </c:pt>
                <c:pt idx="15">
                  <c:v>3.5825973259931043</c:v>
                </c:pt>
                <c:pt idx="16">
                  <c:v>3.5825973259931043</c:v>
                </c:pt>
                <c:pt idx="17">
                  <c:v>3.5825973259931043</c:v>
                </c:pt>
                <c:pt idx="18">
                  <c:v>3.560364245286527</c:v>
                </c:pt>
                <c:pt idx="19">
                  <c:v>3.560364245286527</c:v>
                </c:pt>
                <c:pt idx="20">
                  <c:v>3.560364245286527</c:v>
                </c:pt>
                <c:pt idx="21">
                  <c:v>3.6332578821067605</c:v>
                </c:pt>
                <c:pt idx="22">
                  <c:v>3.6332578821067605</c:v>
                </c:pt>
                <c:pt idx="23">
                  <c:v>3.6332578821067605</c:v>
                </c:pt>
                <c:pt idx="24">
                  <c:v>3.8264049264444697</c:v>
                </c:pt>
                <c:pt idx="25">
                  <c:v>3.8264049264444697</c:v>
                </c:pt>
                <c:pt idx="26">
                  <c:v>3.8264049264444697</c:v>
                </c:pt>
                <c:pt idx="27">
                  <c:v>3.8878327812218529</c:v>
                </c:pt>
                <c:pt idx="28">
                  <c:v>3.8878327812218529</c:v>
                </c:pt>
                <c:pt idx="29">
                  <c:v>3.8878327812218529</c:v>
                </c:pt>
                <c:pt idx="30">
                  <c:v>4.4217862210414154</c:v>
                </c:pt>
                <c:pt idx="31">
                  <c:v>4.4217862210414154</c:v>
                </c:pt>
                <c:pt idx="32">
                  <c:v>4.4217862210414154</c:v>
                </c:pt>
                <c:pt idx="33">
                  <c:v>4.6446758594978821</c:v>
                </c:pt>
                <c:pt idx="34">
                  <c:v>4.6446758594978821</c:v>
                </c:pt>
                <c:pt idx="35">
                  <c:v>4.6446758594978821</c:v>
                </c:pt>
                <c:pt idx="36">
                  <c:v>4.7195745055260589</c:v>
                </c:pt>
                <c:pt idx="37">
                  <c:v>4.7195745055260589</c:v>
                </c:pt>
                <c:pt idx="38">
                  <c:v>4.7195745055260589</c:v>
                </c:pt>
                <c:pt idx="39">
                  <c:v>4.6957180495383648</c:v>
                </c:pt>
                <c:pt idx="40">
                  <c:v>4.6957180495383648</c:v>
                </c:pt>
                <c:pt idx="41">
                  <c:v>4.6957180495383648</c:v>
                </c:pt>
                <c:pt idx="42">
                  <c:v>4.9251381371669378</c:v>
                </c:pt>
                <c:pt idx="43">
                  <c:v>4.9251381371669378</c:v>
                </c:pt>
                <c:pt idx="44">
                  <c:v>4.9251381371669378</c:v>
                </c:pt>
                <c:pt idx="45">
                  <c:v>5.687004678138126</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numCache>
            </c:numRef>
          </c:val>
          <c:smooth val="0"/>
          <c:extLst xmlns:c16r2="http://schemas.microsoft.com/office/drawing/2015/06/chart">
            <c:ext xmlns:c16="http://schemas.microsoft.com/office/drawing/2014/chart" uri="{C3380CC4-5D6E-409C-BE32-E72D297353CC}">
              <c16:uniqueId val="{00000002-6ACC-48E3-8778-20B026C7F172}"/>
            </c:ext>
          </c:extLst>
        </c:ser>
        <c:ser>
          <c:idx val="3"/>
          <c:order val="3"/>
          <c:tx>
            <c:strRef>
              <c:f>'T:\Gas Unit\Wholesale gas price analysis\2017 Analysis\Netback price comparison analysis\April 2019 report\[2019 and 2020 netback chart with offers.xlsx]Calcs'!$BB$31</c:f>
              <c:strCache>
                <c:ptCount val="1"/>
                <c:pt idx="0">
                  <c:v>Expected average of 2019 LNG netback price at Wallumbilla less transport from Victoria</c:v>
                </c:pt>
              </c:strCache>
            </c:strRef>
          </c:tx>
          <c:spPr>
            <a:ln w="25400" cap="rnd">
              <a:solidFill>
                <a:srgbClr val="BCBFC1"/>
              </a:solidFill>
              <a:prstDash val="solid"/>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offers.xlsx]Calcs'!$BB$32:$BB$106</c:f>
              <c:numCache>
                <c:formatCode>General</c:formatCode>
                <c:ptCount val="7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5.687004678138126</c:v>
                </c:pt>
                <c:pt idx="46">
                  <c:v>5.687004678138126</c:v>
                </c:pt>
                <c:pt idx="47">
                  <c:v>5.687004678138126</c:v>
                </c:pt>
                <c:pt idx="48">
                  <c:v>6.5930423200211541</c:v>
                </c:pt>
                <c:pt idx="49">
                  <c:v>6.5930423200211541</c:v>
                </c:pt>
                <c:pt idx="50">
                  <c:v>6.5930423200211541</c:v>
                </c:pt>
                <c:pt idx="51">
                  <c:v>7.0911081735688013</c:v>
                </c:pt>
                <c:pt idx="52">
                  <c:v>7.0911081735688013</c:v>
                </c:pt>
                <c:pt idx="53">
                  <c:v>7.0911081735688013</c:v>
                </c:pt>
                <c:pt idx="54">
                  <c:v>7.3308228586346393</c:v>
                </c:pt>
                <c:pt idx="55">
                  <c:v>7.3308228586346393</c:v>
                </c:pt>
                <c:pt idx="56">
                  <c:v>7.3308228586346393</c:v>
                </c:pt>
                <c:pt idx="57">
                  <c:v>7.8916689948478487</c:v>
                </c:pt>
                <c:pt idx="58">
                  <c:v>7.8916689948478487</c:v>
                </c:pt>
                <c:pt idx="59">
                  <c:v>7.8916689948478487</c:v>
                </c:pt>
                <c:pt idx="60">
                  <c:v>9.3093346091318132</c:v>
                </c:pt>
                <c:pt idx="61">
                  <c:v>9.3093346091318132</c:v>
                </c:pt>
                <c:pt idx="62">
                  <c:v>9.3093346091318132</c:v>
                </c:pt>
                <c:pt idx="63">
                  <c:v>8.9346106440010651</c:v>
                </c:pt>
                <c:pt idx="64">
                  <c:v>8.9346106440010651</c:v>
                </c:pt>
                <c:pt idx="65">
                  <c:v>8.9346106440010651</c:v>
                </c:pt>
                <c:pt idx="66">
                  <c:v>6.8715484661962867</c:v>
                </c:pt>
                <c:pt idx="67">
                  <c:v>6.8715484661962867</c:v>
                </c:pt>
                <c:pt idx="68">
                  <c:v>6.8715484661962867</c:v>
                </c:pt>
                <c:pt idx="69">
                  <c:v>6.2660272297162303</c:v>
                </c:pt>
                <c:pt idx="70">
                  <c:v>6.2660272297162303</c:v>
                </c:pt>
                <c:pt idx="71">
                  <c:v>6.2660272297162303</c:v>
                </c:pt>
                <c:pt idx="72">
                  <c:v>6.2660272297162303</c:v>
                </c:pt>
                <c:pt idx="73">
                  <c:v>6.2660272297162303</c:v>
                </c:pt>
                <c:pt idx="74">
                  <c:v>6.2660272297162303</c:v>
                </c:pt>
              </c:numCache>
            </c:numRef>
          </c:val>
          <c:smooth val="0"/>
          <c:extLst xmlns:c16r2="http://schemas.microsoft.com/office/drawing/2015/06/chart">
            <c:ext xmlns:c16="http://schemas.microsoft.com/office/drawing/2014/chart" uri="{C3380CC4-5D6E-409C-BE32-E72D297353CC}">
              <c16:uniqueId val="{00000003-6ACC-48E3-8778-20B026C7F172}"/>
            </c:ext>
          </c:extLst>
        </c:ser>
        <c:ser>
          <c:idx val="4"/>
          <c:order val="4"/>
          <c:tx>
            <c:strRef>
              <c:f>'T:\Gas Unit\Wholesale gas price analysis\2017 Analysis\Netback price comparison analysis\April 2019 report\[2019 and 2020 netback chart with offers.xlsx]Calcs'!$BC$31</c:f>
              <c:strCache>
                <c:ptCount val="1"/>
                <c:pt idx="0">
                  <c:v>Estimated forward cost of production (Middle Surat and Roma Shelf) (SHADED)</c:v>
                </c:pt>
              </c:strCache>
            </c:strRef>
          </c:tx>
          <c:spPr>
            <a:ln w="25400" cap="rnd">
              <a:solidFill>
                <a:srgbClr val="51B7A4"/>
              </a:solidFill>
              <a:prstDash val="sysDash"/>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offers.xlsx]Calcs'!$BC$32:$BC$106</c:f>
              <c:numCache>
                <c:formatCode>General</c:formatCode>
                <c:ptCount val="7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5.55</c:v>
                </c:pt>
                <c:pt idx="46">
                  <c:v>5.55</c:v>
                </c:pt>
                <c:pt idx="47">
                  <c:v>5.55</c:v>
                </c:pt>
                <c:pt idx="48">
                  <c:v>5.55</c:v>
                </c:pt>
                <c:pt idx="49">
                  <c:v>5.55</c:v>
                </c:pt>
                <c:pt idx="50">
                  <c:v>5.55</c:v>
                </c:pt>
                <c:pt idx="51">
                  <c:v>5.55</c:v>
                </c:pt>
                <c:pt idx="52">
                  <c:v>5.55</c:v>
                </c:pt>
                <c:pt idx="53">
                  <c:v>5.55</c:v>
                </c:pt>
                <c:pt idx="54">
                  <c:v>5.55</c:v>
                </c:pt>
                <c:pt idx="55">
                  <c:v>5.55</c:v>
                </c:pt>
                <c:pt idx="56">
                  <c:v>5.55</c:v>
                </c:pt>
                <c:pt idx="57">
                  <c:v>5.55</c:v>
                </c:pt>
                <c:pt idx="58">
                  <c:v>5.55</c:v>
                </c:pt>
                <c:pt idx="59">
                  <c:v>5.55</c:v>
                </c:pt>
                <c:pt idx="60">
                  <c:v>5.55</c:v>
                </c:pt>
                <c:pt idx="61">
                  <c:v>5.55</c:v>
                </c:pt>
                <c:pt idx="62">
                  <c:v>5.55</c:v>
                </c:pt>
                <c:pt idx="63">
                  <c:v>5.55</c:v>
                </c:pt>
                <c:pt idx="64">
                  <c:v>5.55</c:v>
                </c:pt>
                <c:pt idx="65">
                  <c:v>5.55</c:v>
                </c:pt>
                <c:pt idx="66">
                  <c:v>5.55</c:v>
                </c:pt>
                <c:pt idx="67">
                  <c:v>5.55</c:v>
                </c:pt>
                <c:pt idx="68">
                  <c:v>5.55</c:v>
                </c:pt>
                <c:pt idx="69">
                  <c:v>5.55</c:v>
                </c:pt>
                <c:pt idx="70">
                  <c:v>5.55</c:v>
                </c:pt>
                <c:pt idx="71">
                  <c:v>5.55</c:v>
                </c:pt>
                <c:pt idx="72">
                  <c:v>5.55</c:v>
                </c:pt>
                <c:pt idx="73">
                  <c:v>5.55</c:v>
                </c:pt>
                <c:pt idx="74">
                  <c:v>5.55</c:v>
                </c:pt>
              </c:numCache>
            </c:numRef>
          </c:val>
          <c:smooth val="0"/>
          <c:extLst xmlns:c16r2="http://schemas.microsoft.com/office/drawing/2015/06/chart">
            <c:ext xmlns:c16="http://schemas.microsoft.com/office/drawing/2014/chart" uri="{C3380CC4-5D6E-409C-BE32-E72D297353CC}">
              <c16:uniqueId val="{00000004-6ACC-48E3-8778-20B026C7F172}"/>
            </c:ext>
          </c:extLst>
        </c:ser>
        <c:ser>
          <c:idx val="5"/>
          <c:order val="5"/>
          <c:tx>
            <c:strRef>
              <c:f>'T:\Gas Unit\Wholesale gas price analysis\2017 Analysis\Netback price comparison analysis\April 2019 report\[2019 and 2020 netback chart with offers.xlsx]Calcs'!$BD$31</c:f>
              <c:strCache>
                <c:ptCount val="1"/>
                <c:pt idx="0">
                  <c:v>Estimated forward cost of production (Middle Surat and Roma Shelf)</c:v>
                </c:pt>
              </c:strCache>
            </c:strRef>
          </c:tx>
          <c:spPr>
            <a:ln w="25400" cap="rnd">
              <a:solidFill>
                <a:srgbClr val="0A7568"/>
              </a:solidFill>
              <a:prstDash val="solid"/>
              <a:round/>
            </a:ln>
            <a:effectLst/>
          </c:spPr>
          <c:marker>
            <c:symbol val="none"/>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offers.xlsx]Calcs'!$BD$32:$BD$106</c:f>
              <c:numCache>
                <c:formatCode>General</c:formatCode>
                <c:ptCount val="75"/>
                <c:pt idx="0">
                  <c:v>5.55</c:v>
                </c:pt>
                <c:pt idx="1">
                  <c:v>5.55</c:v>
                </c:pt>
                <c:pt idx="2">
                  <c:v>5.55</c:v>
                </c:pt>
                <c:pt idx="3">
                  <c:v>5.55</c:v>
                </c:pt>
                <c:pt idx="4">
                  <c:v>5.55</c:v>
                </c:pt>
                <c:pt idx="5">
                  <c:v>5.55</c:v>
                </c:pt>
                <c:pt idx="6">
                  <c:v>5.55</c:v>
                </c:pt>
                <c:pt idx="7">
                  <c:v>5.55</c:v>
                </c:pt>
                <c:pt idx="8">
                  <c:v>5.55</c:v>
                </c:pt>
                <c:pt idx="9">
                  <c:v>5.55</c:v>
                </c:pt>
                <c:pt idx="10">
                  <c:v>5.55</c:v>
                </c:pt>
                <c:pt idx="11">
                  <c:v>5.55</c:v>
                </c:pt>
                <c:pt idx="12">
                  <c:v>5.55</c:v>
                </c:pt>
                <c:pt idx="13">
                  <c:v>5.55</c:v>
                </c:pt>
                <c:pt idx="14">
                  <c:v>5.55</c:v>
                </c:pt>
                <c:pt idx="15">
                  <c:v>5.55</c:v>
                </c:pt>
                <c:pt idx="16">
                  <c:v>5.55</c:v>
                </c:pt>
                <c:pt idx="17">
                  <c:v>5.55</c:v>
                </c:pt>
                <c:pt idx="18">
                  <c:v>5.55</c:v>
                </c:pt>
                <c:pt idx="19">
                  <c:v>5.55</c:v>
                </c:pt>
                <c:pt idx="20">
                  <c:v>5.55</c:v>
                </c:pt>
                <c:pt idx="21">
                  <c:v>5.55</c:v>
                </c:pt>
                <c:pt idx="22">
                  <c:v>5.55</c:v>
                </c:pt>
                <c:pt idx="23">
                  <c:v>5.55</c:v>
                </c:pt>
                <c:pt idx="24">
                  <c:v>5.55</c:v>
                </c:pt>
                <c:pt idx="25">
                  <c:v>5.55</c:v>
                </c:pt>
                <c:pt idx="26">
                  <c:v>5.55</c:v>
                </c:pt>
                <c:pt idx="27">
                  <c:v>5.55</c:v>
                </c:pt>
                <c:pt idx="28">
                  <c:v>5.55</c:v>
                </c:pt>
                <c:pt idx="29">
                  <c:v>5.55</c:v>
                </c:pt>
                <c:pt idx="30">
                  <c:v>5.55</c:v>
                </c:pt>
                <c:pt idx="31">
                  <c:v>5.55</c:v>
                </c:pt>
                <c:pt idx="32">
                  <c:v>5.55</c:v>
                </c:pt>
                <c:pt idx="33">
                  <c:v>5.55</c:v>
                </c:pt>
                <c:pt idx="34">
                  <c:v>5.55</c:v>
                </c:pt>
                <c:pt idx="35">
                  <c:v>5.55</c:v>
                </c:pt>
                <c:pt idx="36">
                  <c:v>5.55</c:v>
                </c:pt>
                <c:pt idx="37">
                  <c:v>5.55</c:v>
                </c:pt>
                <c:pt idx="38">
                  <c:v>5.55</c:v>
                </c:pt>
                <c:pt idx="39">
                  <c:v>5.55</c:v>
                </c:pt>
                <c:pt idx="40">
                  <c:v>5.55</c:v>
                </c:pt>
                <c:pt idx="41">
                  <c:v>5.55</c:v>
                </c:pt>
                <c:pt idx="42">
                  <c:v>5.55</c:v>
                </c:pt>
                <c:pt idx="43">
                  <c:v>5.55</c:v>
                </c:pt>
                <c:pt idx="44">
                  <c:v>5.55</c:v>
                </c:pt>
                <c:pt idx="45">
                  <c:v>5.55</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numCache>
            </c:numRef>
          </c:val>
          <c:smooth val="0"/>
          <c:extLst xmlns:c16r2="http://schemas.microsoft.com/office/drawing/2015/06/chart">
            <c:ext xmlns:c16="http://schemas.microsoft.com/office/drawing/2014/chart" uri="{C3380CC4-5D6E-409C-BE32-E72D297353CC}">
              <c16:uniqueId val="{00000005-6ACC-48E3-8778-20B026C7F172}"/>
            </c:ext>
          </c:extLst>
        </c:ser>
        <c:ser>
          <c:idx val="6"/>
          <c:order val="6"/>
          <c:tx>
            <c:strRef>
              <c:f>'T:\Gas Unit\Wholesale gas price analysis\2017 Analysis\Netback price comparison analysis\April 2019 report\[2019 and 2020 netback chart with offers.xlsx]Calcs'!$BE$31</c:f>
              <c:strCache>
                <c:ptCount val="1"/>
                <c:pt idx="0">
                  <c:v>Average of retailer/aggregator offers for 2019 to C&amp;I users (Southern States)</c:v>
                </c:pt>
              </c:strCache>
            </c:strRef>
          </c:tx>
          <c:spPr>
            <a:ln w="12700" cap="rnd">
              <a:solidFill>
                <a:srgbClr val="D1AAF7"/>
              </a:solidFill>
              <a:prstDash val="lgDash"/>
              <a:round/>
            </a:ln>
            <a:effectLst/>
          </c:spPr>
          <c:marker>
            <c:symbol val="circle"/>
            <c:size val="5"/>
            <c:spPr>
              <a:solidFill>
                <a:schemeClr val="accent1">
                  <a:lumMod val="60000"/>
                </a:schemeClr>
              </a:solidFill>
              <a:ln w="12700">
                <a:solidFill>
                  <a:schemeClr val="accent1">
                    <a:lumMod val="60000"/>
                  </a:schemeClr>
                </a:solidFill>
              </a:ln>
              <a:effectLst/>
            </c:spPr>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offers.xlsx]Calcs'!$BE$32:$BE$106</c:f>
              <c:numCache>
                <c:formatCode>General</c:formatCode>
                <c:ptCount val="75"/>
                <c:pt idx="0">
                  <c:v>#N/A</c:v>
                </c:pt>
                <c:pt idx="1">
                  <c:v>10.575937822168848</c:v>
                </c:pt>
                <c:pt idx="2">
                  <c:v>#N/A</c:v>
                </c:pt>
                <c:pt idx="3">
                  <c:v>#N/A</c:v>
                </c:pt>
                <c:pt idx="4">
                  <c:v>#N/A</c:v>
                </c:pt>
                <c:pt idx="5">
                  <c:v>#N/A</c:v>
                </c:pt>
                <c:pt idx="6">
                  <c:v>#N/A</c:v>
                </c:pt>
                <c:pt idx="7">
                  <c:v>17.974415285466254</c:v>
                </c:pt>
                <c:pt idx="8">
                  <c:v>#N/A</c:v>
                </c:pt>
                <c:pt idx="9">
                  <c:v>#N/A</c:v>
                </c:pt>
                <c:pt idx="10">
                  <c:v>14.536212087055425</c:v>
                </c:pt>
                <c:pt idx="11">
                  <c:v>#N/A</c:v>
                </c:pt>
                <c:pt idx="12">
                  <c:v>#N/A</c:v>
                </c:pt>
                <c:pt idx="13">
                  <c:v>13.35401695196942</c:v>
                </c:pt>
                <c:pt idx="14">
                  <c:v>#N/A</c:v>
                </c:pt>
                <c:pt idx="15">
                  <c:v>#N/A</c:v>
                </c:pt>
                <c:pt idx="16">
                  <c:v>12.536157084235676</c:v>
                </c:pt>
                <c:pt idx="17">
                  <c:v>#N/A</c:v>
                </c:pt>
                <c:pt idx="18">
                  <c:v>#N/A</c:v>
                </c:pt>
                <c:pt idx="19">
                  <c:v>12.484649304560387</c:v>
                </c:pt>
                <c:pt idx="20">
                  <c:v>#N/A</c:v>
                </c:pt>
                <c:pt idx="21">
                  <c:v>#N/A</c:v>
                </c:pt>
                <c:pt idx="22">
                  <c:v>12.747333276234352</c:v>
                </c:pt>
                <c:pt idx="23">
                  <c:v>#N/A</c:v>
                </c:pt>
                <c:pt idx="24">
                  <c:v>#N/A</c:v>
                </c:pt>
                <c:pt idx="25">
                  <c:v>11.495488785333066</c:v>
                </c:pt>
                <c:pt idx="26">
                  <c:v>#N/A</c:v>
                </c:pt>
                <c:pt idx="27">
                  <c:v>#N/A</c:v>
                </c:pt>
                <c:pt idx="28">
                  <c:v>11.719770022689683</c:v>
                </c:pt>
                <c:pt idx="29">
                  <c:v>#N/A</c:v>
                </c:pt>
                <c:pt idx="30">
                  <c:v>#N/A</c:v>
                </c:pt>
                <c:pt idx="31">
                  <c:v>10.185330974390276</c:v>
                </c:pt>
                <c:pt idx="32">
                  <c:v>#N/A</c:v>
                </c:pt>
                <c:pt idx="33">
                  <c:v>#N/A</c:v>
                </c:pt>
                <c:pt idx="34">
                  <c:v>#N/A</c:v>
                </c:pt>
                <c:pt idx="35">
                  <c:v>#N/A</c:v>
                </c:pt>
                <c:pt idx="36">
                  <c:v>#N/A</c:v>
                </c:pt>
                <c:pt idx="37">
                  <c:v>10.324953107846907</c:v>
                </c:pt>
                <c:pt idx="38">
                  <c:v>#N/A</c:v>
                </c:pt>
                <c:pt idx="39">
                  <c:v>#N/A</c:v>
                </c:pt>
                <c:pt idx="40">
                  <c:v>#N/A</c:v>
                </c:pt>
                <c:pt idx="41">
                  <c:v>#N/A</c:v>
                </c:pt>
                <c:pt idx="42">
                  <c:v>#N/A</c:v>
                </c:pt>
                <c:pt idx="43">
                  <c:v>9.3708577483814022</c:v>
                </c:pt>
                <c:pt idx="44">
                  <c:v>#N/A</c:v>
                </c:pt>
                <c:pt idx="45">
                  <c:v>#N/A</c:v>
                </c:pt>
                <c:pt idx="46">
                  <c:v>10.013920122259742</c:v>
                </c:pt>
                <c:pt idx="47">
                  <c:v>#N/A</c:v>
                </c:pt>
                <c:pt idx="48">
                  <c:v>#N/A</c:v>
                </c:pt>
                <c:pt idx="49">
                  <c:v>9.9600732912332983</c:v>
                </c:pt>
                <c:pt idx="50">
                  <c:v>#N/A</c:v>
                </c:pt>
                <c:pt idx="51">
                  <c:v>#N/A</c:v>
                </c:pt>
                <c:pt idx="52">
                  <c:v>9.9550978721957719</c:v>
                </c:pt>
                <c:pt idx="53">
                  <c:v>#N/A</c:v>
                </c:pt>
                <c:pt idx="54">
                  <c:v>#N/A</c:v>
                </c:pt>
                <c:pt idx="55">
                  <c:v>10.525490047975877</c:v>
                </c:pt>
                <c:pt idx="56">
                  <c:v>#N/A</c:v>
                </c:pt>
                <c:pt idx="57">
                  <c:v>#N/A</c:v>
                </c:pt>
                <c:pt idx="58">
                  <c:v>11.030294859690331</c:v>
                </c:pt>
                <c:pt idx="59">
                  <c:v>#N/A</c:v>
                </c:pt>
                <c:pt idx="60">
                  <c:v>#N/A</c:v>
                </c:pt>
                <c:pt idx="61">
                  <c:v>11.351058279504393</c:v>
                </c:pt>
                <c:pt idx="62">
                  <c:v>#N/A</c:v>
                </c:pt>
                <c:pt idx="63">
                  <c:v>#N/A</c:v>
                </c:pt>
                <c:pt idx="64">
                  <c:v>11.26168794243334</c:v>
                </c:pt>
                <c:pt idx="65">
                  <c:v>#N/A</c:v>
                </c:pt>
                <c:pt idx="66">
                  <c:v>#N/A</c:v>
                </c:pt>
                <c:pt idx="67">
                  <c:v>11.108262752438707</c:v>
                </c:pt>
                <c:pt idx="68">
                  <c:v>#N/A</c:v>
                </c:pt>
                <c:pt idx="69">
                  <c:v>#N/A</c:v>
                </c:pt>
                <c:pt idx="70">
                  <c:v>11.528485891873576</c:v>
                </c:pt>
                <c:pt idx="71">
                  <c:v>#N/A</c:v>
                </c:pt>
                <c:pt idx="72">
                  <c:v>#N/A</c:v>
                </c:pt>
                <c:pt idx="73">
                  <c:v>11.156418312387789</c:v>
                </c:pt>
                <c:pt idx="74">
                  <c:v>#N/A</c:v>
                </c:pt>
              </c:numCache>
            </c:numRef>
          </c:val>
          <c:smooth val="0"/>
          <c:extLst xmlns:c16r2="http://schemas.microsoft.com/office/drawing/2015/06/chart">
            <c:ext xmlns:c16="http://schemas.microsoft.com/office/drawing/2014/chart" uri="{C3380CC4-5D6E-409C-BE32-E72D297353CC}">
              <c16:uniqueId val="{00000006-6ACC-48E3-8778-20B026C7F172}"/>
            </c:ext>
          </c:extLst>
        </c:ser>
        <c:ser>
          <c:idx val="8"/>
          <c:order val="7"/>
          <c:tx>
            <c:strRef>
              <c:f>'T:\Gas Unit\Wholesale gas price analysis\2017 Analysis\Netback price comparison analysis\April 2019 report\[2019 and 2020 netback chart with offers.xlsx]Calcs'!$BG$31</c:f>
              <c:strCache>
                <c:ptCount val="1"/>
                <c:pt idx="0">
                  <c:v>Average of producer offers for 2019 to all buyers (Southern States)</c:v>
                </c:pt>
              </c:strCache>
            </c:strRef>
          </c:tx>
          <c:spPr>
            <a:ln w="12700" cap="rnd">
              <a:solidFill>
                <a:srgbClr val="60307F"/>
              </a:solidFill>
              <a:prstDash val="lgDash"/>
              <a:round/>
            </a:ln>
            <a:effectLst/>
          </c:spPr>
          <c:marker>
            <c:symbol val="circle"/>
            <c:size val="5"/>
            <c:spPr>
              <a:solidFill>
                <a:schemeClr val="accent3">
                  <a:lumMod val="60000"/>
                </a:schemeClr>
              </a:solidFill>
              <a:ln w="12700">
                <a:solidFill>
                  <a:schemeClr val="accent3">
                    <a:lumMod val="60000"/>
                  </a:schemeClr>
                </a:solidFill>
              </a:ln>
              <a:effectLst/>
            </c:spPr>
          </c:marker>
          <c:cat>
            <c:numRef>
              <c:f>'T:\Gas Unit\Wholesale gas price analysis\2017 Analysis\Netback price comparison analysis\April 2019 report\[2019 and 2020 netback chart with offers.xlsx]Calcs'!$AX$32:$AX$106</c:f>
              <c:numCache>
                <c:formatCode>General</c:formatCode>
                <c:ptCount val="75"/>
                <c:pt idx="0">
                  <c:v>42736</c:v>
                </c:pt>
                <c:pt idx="1">
                  <c:v>42750</c:v>
                </c:pt>
                <c:pt idx="2">
                  <c:v>42766</c:v>
                </c:pt>
                <c:pt idx="3">
                  <c:v>42767</c:v>
                </c:pt>
                <c:pt idx="4">
                  <c:v>42781</c:v>
                </c:pt>
                <c:pt idx="5">
                  <c:v>42794</c:v>
                </c:pt>
                <c:pt idx="6">
                  <c:v>42795</c:v>
                </c:pt>
                <c:pt idx="7">
                  <c:v>42809</c:v>
                </c:pt>
                <c:pt idx="8">
                  <c:v>42825</c:v>
                </c:pt>
                <c:pt idx="9">
                  <c:v>42826</c:v>
                </c:pt>
                <c:pt idx="10">
                  <c:v>42840</c:v>
                </c:pt>
                <c:pt idx="11">
                  <c:v>42855</c:v>
                </c:pt>
                <c:pt idx="12">
                  <c:v>42856</c:v>
                </c:pt>
                <c:pt idx="13">
                  <c:v>42870</c:v>
                </c:pt>
                <c:pt idx="14">
                  <c:v>42886</c:v>
                </c:pt>
                <c:pt idx="15">
                  <c:v>42887</c:v>
                </c:pt>
                <c:pt idx="16">
                  <c:v>42901</c:v>
                </c:pt>
                <c:pt idx="17">
                  <c:v>42916</c:v>
                </c:pt>
                <c:pt idx="18">
                  <c:v>42917</c:v>
                </c:pt>
                <c:pt idx="19">
                  <c:v>42931</c:v>
                </c:pt>
                <c:pt idx="20">
                  <c:v>42947</c:v>
                </c:pt>
                <c:pt idx="21">
                  <c:v>42948</c:v>
                </c:pt>
                <c:pt idx="22">
                  <c:v>42962</c:v>
                </c:pt>
                <c:pt idx="23">
                  <c:v>42978</c:v>
                </c:pt>
                <c:pt idx="24">
                  <c:v>42979</c:v>
                </c:pt>
                <c:pt idx="25">
                  <c:v>42993</c:v>
                </c:pt>
                <c:pt idx="26">
                  <c:v>43008</c:v>
                </c:pt>
                <c:pt idx="27">
                  <c:v>43009</c:v>
                </c:pt>
                <c:pt idx="28">
                  <c:v>43023</c:v>
                </c:pt>
                <c:pt idx="29">
                  <c:v>43039</c:v>
                </c:pt>
                <c:pt idx="30">
                  <c:v>43040</c:v>
                </c:pt>
                <c:pt idx="31">
                  <c:v>43054</c:v>
                </c:pt>
                <c:pt idx="32">
                  <c:v>43069</c:v>
                </c:pt>
                <c:pt idx="33">
                  <c:v>43070</c:v>
                </c:pt>
                <c:pt idx="34">
                  <c:v>43084</c:v>
                </c:pt>
                <c:pt idx="35">
                  <c:v>43100</c:v>
                </c:pt>
                <c:pt idx="36">
                  <c:v>43101</c:v>
                </c:pt>
                <c:pt idx="37">
                  <c:v>43115</c:v>
                </c:pt>
                <c:pt idx="38">
                  <c:v>43131</c:v>
                </c:pt>
                <c:pt idx="39">
                  <c:v>43132</c:v>
                </c:pt>
                <c:pt idx="40">
                  <c:v>43146</c:v>
                </c:pt>
                <c:pt idx="41">
                  <c:v>43159</c:v>
                </c:pt>
                <c:pt idx="42">
                  <c:v>43160</c:v>
                </c:pt>
                <c:pt idx="43">
                  <c:v>43174</c:v>
                </c:pt>
                <c:pt idx="44">
                  <c:v>43190</c:v>
                </c:pt>
                <c:pt idx="45">
                  <c:v>43191</c:v>
                </c:pt>
                <c:pt idx="46">
                  <c:v>43205</c:v>
                </c:pt>
                <c:pt idx="47">
                  <c:v>43220</c:v>
                </c:pt>
                <c:pt idx="48">
                  <c:v>43221</c:v>
                </c:pt>
                <c:pt idx="49">
                  <c:v>43235</c:v>
                </c:pt>
                <c:pt idx="50">
                  <c:v>43251</c:v>
                </c:pt>
                <c:pt idx="51">
                  <c:v>43252</c:v>
                </c:pt>
                <c:pt idx="52">
                  <c:v>43266</c:v>
                </c:pt>
                <c:pt idx="53">
                  <c:v>43281</c:v>
                </c:pt>
                <c:pt idx="54">
                  <c:v>43282</c:v>
                </c:pt>
                <c:pt idx="55">
                  <c:v>43296</c:v>
                </c:pt>
                <c:pt idx="56">
                  <c:v>43312</c:v>
                </c:pt>
                <c:pt idx="57">
                  <c:v>43313</c:v>
                </c:pt>
                <c:pt idx="58">
                  <c:v>43327</c:v>
                </c:pt>
                <c:pt idx="59">
                  <c:v>43343</c:v>
                </c:pt>
                <c:pt idx="60">
                  <c:v>43344</c:v>
                </c:pt>
                <c:pt idx="61">
                  <c:v>43358</c:v>
                </c:pt>
                <c:pt idx="62">
                  <c:v>43373</c:v>
                </c:pt>
                <c:pt idx="63">
                  <c:v>43374</c:v>
                </c:pt>
                <c:pt idx="64">
                  <c:v>43388</c:v>
                </c:pt>
                <c:pt idx="65">
                  <c:v>43404</c:v>
                </c:pt>
                <c:pt idx="66">
                  <c:v>43405</c:v>
                </c:pt>
                <c:pt idx="67">
                  <c:v>43419</c:v>
                </c:pt>
                <c:pt idx="68">
                  <c:v>43434</c:v>
                </c:pt>
                <c:pt idx="69">
                  <c:v>43435</c:v>
                </c:pt>
                <c:pt idx="70">
                  <c:v>43449</c:v>
                </c:pt>
                <c:pt idx="71">
                  <c:v>43465</c:v>
                </c:pt>
                <c:pt idx="72">
                  <c:v>43466</c:v>
                </c:pt>
                <c:pt idx="73">
                  <c:v>43480</c:v>
                </c:pt>
                <c:pt idx="74">
                  <c:v>43496</c:v>
                </c:pt>
              </c:numCache>
            </c:numRef>
          </c:cat>
          <c:val>
            <c:numRef>
              <c:f>'T:\Gas Unit\Wholesale gas price analysis\2017 Analysis\Netback price comparison analysis\April 2019 report\[2019 and 2020 netback chart with offers.xlsx]Calcs'!$BG$32:$BG$106</c:f>
              <c:numCache>
                <c:formatCode>General</c:formatCode>
                <c:ptCount val="7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9.0090500580842736</c:v>
                </c:pt>
                <c:pt idx="20">
                  <c:v>#N/A</c:v>
                </c:pt>
                <c:pt idx="21">
                  <c:v>#N/A</c:v>
                </c:pt>
                <c:pt idx="22">
                  <c:v>9.2046489104116205</c:v>
                </c:pt>
                <c:pt idx="23">
                  <c:v>#N/A</c:v>
                </c:pt>
                <c:pt idx="24">
                  <c:v>#N/A</c:v>
                </c:pt>
                <c:pt idx="25">
                  <c:v>9.1069758968609857</c:v>
                </c:pt>
                <c:pt idx="26">
                  <c:v>#N/A</c:v>
                </c:pt>
                <c:pt idx="27">
                  <c:v>#N/A</c:v>
                </c:pt>
                <c:pt idx="28">
                  <c:v>10.104054054054053</c:v>
                </c:pt>
                <c:pt idx="29">
                  <c:v>#N/A</c:v>
                </c:pt>
                <c:pt idx="30">
                  <c:v>#N/A</c:v>
                </c:pt>
                <c:pt idx="31">
                  <c:v>9</c:v>
                </c:pt>
                <c:pt idx="32">
                  <c:v>#N/A</c:v>
                </c:pt>
                <c:pt idx="33">
                  <c:v>#N/A</c:v>
                </c:pt>
                <c:pt idx="34">
                  <c:v>9.4987604169139832</c:v>
                </c:pt>
                <c:pt idx="35">
                  <c:v>#N/A</c:v>
                </c:pt>
                <c:pt idx="36">
                  <c:v>#N/A</c:v>
                </c:pt>
                <c:pt idx="37">
                  <c:v>#N/A</c:v>
                </c:pt>
                <c:pt idx="38">
                  <c:v>#N/A</c:v>
                </c:pt>
                <c:pt idx="39">
                  <c:v>#N/A</c:v>
                </c:pt>
                <c:pt idx="40">
                  <c:v>8.8000000000000007</c:v>
                </c:pt>
                <c:pt idx="41">
                  <c:v>#N/A</c:v>
                </c:pt>
                <c:pt idx="42">
                  <c:v>#N/A</c:v>
                </c:pt>
                <c:pt idx="43">
                  <c:v>9.4499999999999993</c:v>
                </c:pt>
                <c:pt idx="44">
                  <c:v>#N/A</c:v>
                </c:pt>
                <c:pt idx="45">
                  <c:v>#N/A</c:v>
                </c:pt>
                <c:pt idx="46">
                  <c:v>8.9107908351810785</c:v>
                </c:pt>
                <c:pt idx="47">
                  <c:v>#N/A</c:v>
                </c:pt>
                <c:pt idx="48">
                  <c:v>#N/A</c:v>
                </c:pt>
                <c:pt idx="49">
                  <c:v>9.6934781858954189</c:v>
                </c:pt>
                <c:pt idx="50">
                  <c:v>#N/A</c:v>
                </c:pt>
                <c:pt idx="51">
                  <c:v>#N/A</c:v>
                </c:pt>
                <c:pt idx="52">
                  <c:v>9.5224451772771541</c:v>
                </c:pt>
                <c:pt idx="53">
                  <c:v>#N/A</c:v>
                </c:pt>
                <c:pt idx="54">
                  <c:v>#N/A</c:v>
                </c:pt>
                <c:pt idx="55">
                  <c:v>10.42919749573136</c:v>
                </c:pt>
                <c:pt idx="56">
                  <c:v>#N/A</c:v>
                </c:pt>
                <c:pt idx="57">
                  <c:v>#N/A</c:v>
                </c:pt>
                <c:pt idx="58">
                  <c:v>10.208970099667773</c:v>
                </c:pt>
                <c:pt idx="59">
                  <c:v>#N/A</c:v>
                </c:pt>
                <c:pt idx="60">
                  <c:v>#N/A</c:v>
                </c:pt>
                <c:pt idx="61">
                  <c:v>9.15</c:v>
                </c:pt>
                <c:pt idx="62">
                  <c:v>#N/A</c:v>
                </c:pt>
                <c:pt idx="63">
                  <c:v>#N/A</c:v>
                </c:pt>
                <c:pt idx="64">
                  <c:v>#N/A</c:v>
                </c:pt>
                <c:pt idx="65">
                  <c:v>#N/A</c:v>
                </c:pt>
                <c:pt idx="66">
                  <c:v>#N/A</c:v>
                </c:pt>
                <c:pt idx="67">
                  <c:v>9.3179280733219496</c:v>
                </c:pt>
                <c:pt idx="68">
                  <c:v>#N/A</c:v>
                </c:pt>
                <c:pt idx="69">
                  <c:v>#N/A</c:v>
                </c:pt>
                <c:pt idx="70">
                  <c:v>#N/A</c:v>
                </c:pt>
                <c:pt idx="71">
                  <c:v>#N/A</c:v>
                </c:pt>
                <c:pt idx="72">
                  <c:v>#N/A</c:v>
                </c:pt>
                <c:pt idx="73">
                  <c:v>#N/A</c:v>
                </c:pt>
                <c:pt idx="74">
                  <c:v>#N/A</c:v>
                </c:pt>
              </c:numCache>
            </c:numRef>
          </c:val>
          <c:smooth val="0"/>
          <c:extLst xmlns:c16r2="http://schemas.microsoft.com/office/drawing/2015/06/chart">
            <c:ext xmlns:c16="http://schemas.microsoft.com/office/drawing/2014/chart" uri="{C3380CC4-5D6E-409C-BE32-E72D297353CC}">
              <c16:uniqueId val="{00000007-6ACC-48E3-8778-20B026C7F172}"/>
            </c:ext>
          </c:extLst>
        </c:ser>
        <c:dLbls>
          <c:showLegendKey val="0"/>
          <c:showVal val="0"/>
          <c:showCatName val="0"/>
          <c:showSerName val="0"/>
          <c:showPercent val="0"/>
          <c:showBubbleSize val="0"/>
        </c:dLbls>
        <c:smooth val="0"/>
        <c:axId val="1000798576"/>
        <c:axId val="1000799752"/>
      </c:lineChart>
      <c:dateAx>
        <c:axId val="1000798576"/>
        <c:scaling>
          <c:orientation val="minMax"/>
        </c:scaling>
        <c:delete val="0"/>
        <c:axPos val="b"/>
        <c:numFmt formatCode="mmm\ yy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799752"/>
        <c:crosses val="autoZero"/>
        <c:auto val="0"/>
        <c:lblOffset val="100"/>
        <c:baseTimeUnit val="days"/>
        <c:majorUnit val="3"/>
        <c:majorTimeUnit val="months"/>
      </c:dateAx>
      <c:valAx>
        <c:axId val="1000799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$/GJ</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798576"/>
        <c:crosses val="autoZero"/>
        <c:crossBetween val="between"/>
      </c:valAx>
      <c:spPr>
        <a:noFill/>
        <a:ln w="25400">
          <a:noFill/>
        </a:ln>
        <a:effectLst/>
      </c:spPr>
    </c:plotArea>
    <c:legend>
      <c:legendPos val="b"/>
      <c:legendEntry>
        <c:idx val="2"/>
        <c:delete val="1"/>
      </c:legendEntry>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'T:\Gas Unit\Wholesale gas price analysis\2017 Analysis\Netback price comparison analysis\July 2019 report\[2020 netback chart with offers of 3 years or less.xlsx]Calcs 2020'!$AY$43</c:f>
              <c:strCache>
                <c:ptCount val="1"/>
                <c:pt idx="0">
                  <c:v>Expected 2020 LNG netback price at Wallumbilla</c:v>
                </c:pt>
              </c:strCache>
            </c:strRef>
          </c:tx>
          <c:spPr>
            <a:ln w="25400" cap="rnd">
              <a:solidFill>
                <a:srgbClr val="005CAF"/>
              </a:solidFill>
              <a:prstDash val="solid"/>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2020'!$AY$80:$AY$127</c:f>
              <c:numCache>
                <c:formatCode>General</c:formatCode>
                <c:ptCount val="48"/>
                <c:pt idx="0">
                  <c:v>7.5358980423060391</c:v>
                </c:pt>
                <c:pt idx="1">
                  <c:v>7.5358980423060391</c:v>
                </c:pt>
                <c:pt idx="2">
                  <c:v>7.5358980423060391</c:v>
                </c:pt>
                <c:pt idx="3">
                  <c:v>7.3465799190711421</c:v>
                </c:pt>
                <c:pt idx="4">
                  <c:v>7.3465799190711421</c:v>
                </c:pt>
                <c:pt idx="5">
                  <c:v>7.3465799190711421</c:v>
                </c:pt>
                <c:pt idx="6">
                  <c:v>7.5204851527747092</c:v>
                </c:pt>
                <c:pt idx="7">
                  <c:v>7.5204851527747092</c:v>
                </c:pt>
                <c:pt idx="8">
                  <c:v>7.5204851527747092</c:v>
                </c:pt>
                <c:pt idx="9">
                  <c:v>8.0421470968182618</c:v>
                </c:pt>
                <c:pt idx="10">
                  <c:v>8.0421470968182618</c:v>
                </c:pt>
                <c:pt idx="11">
                  <c:v>8.0421470968182618</c:v>
                </c:pt>
                <c:pt idx="12">
                  <c:v>8.8720899210710922</c:v>
                </c:pt>
                <c:pt idx="13">
                  <c:v>8.8720899210710922</c:v>
                </c:pt>
                <c:pt idx="14">
                  <c:v>8.8720899210710922</c:v>
                </c:pt>
                <c:pt idx="15">
                  <c:v>8.8938931320071877</c:v>
                </c:pt>
                <c:pt idx="16">
                  <c:v>8.8938931320071877</c:v>
                </c:pt>
                <c:pt idx="17">
                  <c:v>8.8938931320071877</c:v>
                </c:pt>
                <c:pt idx="18">
                  <c:v>9.1438386194120156</c:v>
                </c:pt>
                <c:pt idx="19">
                  <c:v>9.1438386194120156</c:v>
                </c:pt>
                <c:pt idx="20">
                  <c:v>9.1438386194120156</c:v>
                </c:pt>
                <c:pt idx="21">
                  <c:v>9.5129419414319667</c:v>
                </c:pt>
                <c:pt idx="22">
                  <c:v>9.5129419414319667</c:v>
                </c:pt>
                <c:pt idx="23">
                  <c:v>9.5129419414319667</c:v>
                </c:pt>
                <c:pt idx="24">
                  <c:v>10.445734324993699</c:v>
                </c:pt>
                <c:pt idx="25">
                  <c:v>10.445734324993699</c:v>
                </c:pt>
                <c:pt idx="26">
                  <c:v>10.445734324993699</c:v>
                </c:pt>
                <c:pt idx="27">
                  <c:v>10.222843978376478</c:v>
                </c:pt>
                <c:pt idx="28">
                  <c:v>10.222843978376478</c:v>
                </c:pt>
                <c:pt idx="29">
                  <c:v>10.222843978376478</c:v>
                </c:pt>
                <c:pt idx="30">
                  <c:v>8.9401492100308726</c:v>
                </c:pt>
                <c:pt idx="31">
                  <c:v>8.9401492100308726</c:v>
                </c:pt>
                <c:pt idx="32">
                  <c:v>8.9401492100308726</c:v>
                </c:pt>
                <c:pt idx="33">
                  <c:v>8.8657830394694539</c:v>
                </c:pt>
                <c:pt idx="34">
                  <c:v>8.8657830394694539</c:v>
                </c:pt>
                <c:pt idx="35">
                  <c:v>8.8657830394694539</c:v>
                </c:pt>
                <c:pt idx="36">
                  <c:v>9.1172623158043908</c:v>
                </c:pt>
                <c:pt idx="37">
                  <c:v>9.1172623158043908</c:v>
                </c:pt>
                <c:pt idx="38">
                  <c:v>9.1172623158043908</c:v>
                </c:pt>
                <c:pt idx="39">
                  <c:v>9.1145658280174811</c:v>
                </c:pt>
                <c:pt idx="40">
                  <c:v>9.1145658280174811</c:v>
                </c:pt>
                <c:pt idx="41">
                  <c:v>9.1145658280174811</c:v>
                </c:pt>
                <c:pt idx="42">
                  <c:v>8.6697829823599672</c:v>
                </c:pt>
                <c:pt idx="43">
                  <c:v>8.6697829823599672</c:v>
                </c:pt>
                <c:pt idx="44">
                  <c:v>8.6697829823599672</c:v>
                </c:pt>
                <c:pt idx="45">
                  <c:v>8.7177961986646579</c:v>
                </c:pt>
                <c:pt idx="46">
                  <c:v>8.7177961986646579</c:v>
                </c:pt>
                <c:pt idx="47">
                  <c:v>8.7177961986646579</c:v>
                </c:pt>
              </c:numCache>
            </c:numRef>
          </c:val>
          <c:smooth val="0"/>
          <c:extLst xmlns:c16r2="http://schemas.microsoft.com/office/drawing/2015/06/chart">
            <c:ext xmlns:c16="http://schemas.microsoft.com/office/drawing/2014/chart" uri="{C3380CC4-5D6E-409C-BE32-E72D297353CC}">
              <c16:uniqueId val="{00000000-5D4F-4299-9704-B6BF1B0CCE07}"/>
            </c:ext>
          </c:extLst>
        </c:ser>
        <c:ser>
          <c:idx val="1"/>
          <c:order val="1"/>
          <c:tx>
            <c:strRef>
              <c:f>'T:\Gas Unit\Wholesale gas price analysis\2017 Analysis\Netback price comparison analysis\July 2019 report\[2020 netback chart with offers of 3 years or less.xlsx]Calcs 2020'!$AZ$43</c:f>
              <c:strCache>
                <c:ptCount val="1"/>
                <c:pt idx="0">
                  <c:v>Expected 2020 LNG netback price at Wallumbilla plus transport to Victoria</c:v>
                </c:pt>
              </c:strCache>
            </c:strRef>
          </c:tx>
          <c:spPr>
            <a:ln w="25400" cap="rnd">
              <a:solidFill>
                <a:srgbClr val="56B4DF"/>
              </a:solidFill>
              <a:prstDash val="solid"/>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2020'!$AZ$80:$AZ$127</c:f>
              <c:numCache>
                <c:formatCode>General</c:formatCode>
                <c:ptCount val="48"/>
                <c:pt idx="0">
                  <c:v>10.093467095575761</c:v>
                </c:pt>
                <c:pt idx="1">
                  <c:v>10.093467095575761</c:v>
                </c:pt>
                <c:pt idx="2">
                  <c:v>10.093467095575761</c:v>
                </c:pt>
                <c:pt idx="3">
                  <c:v>9.9041489723408649</c:v>
                </c:pt>
                <c:pt idx="4">
                  <c:v>9.9041489723408649</c:v>
                </c:pt>
                <c:pt idx="5">
                  <c:v>9.9041489723408649</c:v>
                </c:pt>
                <c:pt idx="6">
                  <c:v>10.078054206044431</c:v>
                </c:pt>
                <c:pt idx="7">
                  <c:v>10.078054206044431</c:v>
                </c:pt>
                <c:pt idx="8">
                  <c:v>10.078054206044431</c:v>
                </c:pt>
                <c:pt idx="9">
                  <c:v>10.599716150087984</c:v>
                </c:pt>
                <c:pt idx="10">
                  <c:v>10.599716150087984</c:v>
                </c:pt>
                <c:pt idx="11">
                  <c:v>10.599716150087984</c:v>
                </c:pt>
                <c:pt idx="12">
                  <c:v>11.429658974340814</c:v>
                </c:pt>
                <c:pt idx="13">
                  <c:v>11.429658974340814</c:v>
                </c:pt>
                <c:pt idx="14">
                  <c:v>11.429658974340814</c:v>
                </c:pt>
                <c:pt idx="15">
                  <c:v>11.45146218527691</c:v>
                </c:pt>
                <c:pt idx="16">
                  <c:v>11.45146218527691</c:v>
                </c:pt>
                <c:pt idx="17">
                  <c:v>11.45146218527691</c:v>
                </c:pt>
                <c:pt idx="18">
                  <c:v>11.701407672681738</c:v>
                </c:pt>
                <c:pt idx="19">
                  <c:v>11.701407672681738</c:v>
                </c:pt>
                <c:pt idx="20">
                  <c:v>11.701407672681738</c:v>
                </c:pt>
                <c:pt idx="21">
                  <c:v>12.070510994701689</c:v>
                </c:pt>
                <c:pt idx="22">
                  <c:v>12.070510994701689</c:v>
                </c:pt>
                <c:pt idx="23">
                  <c:v>12.070510994701689</c:v>
                </c:pt>
                <c:pt idx="24">
                  <c:v>13.003303378263421</c:v>
                </c:pt>
                <c:pt idx="25">
                  <c:v>13.003303378263421</c:v>
                </c:pt>
                <c:pt idx="26">
                  <c:v>13.003303378263421</c:v>
                </c:pt>
                <c:pt idx="27">
                  <c:v>12.7804130316462</c:v>
                </c:pt>
                <c:pt idx="28">
                  <c:v>12.7804130316462</c:v>
                </c:pt>
                <c:pt idx="29">
                  <c:v>12.7804130316462</c:v>
                </c:pt>
                <c:pt idx="30">
                  <c:v>11.497718263300595</c:v>
                </c:pt>
                <c:pt idx="31">
                  <c:v>11.497718263300595</c:v>
                </c:pt>
                <c:pt idx="32">
                  <c:v>11.497718263300595</c:v>
                </c:pt>
                <c:pt idx="33">
                  <c:v>11.423352092739176</c:v>
                </c:pt>
                <c:pt idx="34">
                  <c:v>11.423352092739176</c:v>
                </c:pt>
                <c:pt idx="35">
                  <c:v>11.423352092739176</c:v>
                </c:pt>
                <c:pt idx="36">
                  <c:v>11.674831369074113</c:v>
                </c:pt>
                <c:pt idx="37">
                  <c:v>11.674831369074113</c:v>
                </c:pt>
                <c:pt idx="38">
                  <c:v>11.674831369074113</c:v>
                </c:pt>
                <c:pt idx="39">
                  <c:v>11.672134881287203</c:v>
                </c:pt>
                <c:pt idx="40">
                  <c:v>11.672134881287203</c:v>
                </c:pt>
                <c:pt idx="41">
                  <c:v>11.672134881287203</c:v>
                </c:pt>
                <c:pt idx="42">
                  <c:v>11.227352035629689</c:v>
                </c:pt>
                <c:pt idx="43">
                  <c:v>11.227352035629689</c:v>
                </c:pt>
                <c:pt idx="44">
                  <c:v>11.227352035629689</c:v>
                </c:pt>
                <c:pt idx="45">
                  <c:v>11.27536525193438</c:v>
                </c:pt>
                <c:pt idx="46">
                  <c:v>11.27536525193438</c:v>
                </c:pt>
                <c:pt idx="47">
                  <c:v>11.27536525193438</c:v>
                </c:pt>
              </c:numCache>
            </c:numRef>
          </c:val>
          <c:smooth val="0"/>
          <c:extLst xmlns:c16r2="http://schemas.microsoft.com/office/drawing/2015/06/chart">
            <c:ext xmlns:c16="http://schemas.microsoft.com/office/drawing/2014/chart" uri="{C3380CC4-5D6E-409C-BE32-E72D297353CC}">
              <c16:uniqueId val="{00000001-5D4F-4299-9704-B6BF1B0CCE07}"/>
            </c:ext>
          </c:extLst>
        </c:ser>
        <c:ser>
          <c:idx val="2"/>
          <c:order val="2"/>
          <c:tx>
            <c:strRef>
              <c:f>'T:\Gas Unit\Wholesale gas price analysis\2017 Analysis\Netback price comparison analysis\July 2019 report\[2020 netback chart with offers of 3 years or less.xlsx]Calcs 2020'!$BA$43</c:f>
              <c:strCache>
                <c:ptCount val="1"/>
                <c:pt idx="0">
                  <c:v>Expected 2020 LNG netback price at Wallumbilla less transport from Victoria (SHADED)</c:v>
                </c:pt>
              </c:strCache>
            </c:strRef>
          </c:tx>
          <c:spPr>
            <a:ln w="25400" cap="rnd">
              <a:solidFill>
                <a:srgbClr val="9ED9DF"/>
              </a:solidFill>
              <a:prstDash val="sysDash"/>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2020'!$BA$80:$BA$127</c:f>
              <c:numCache>
                <c:formatCode>General</c:formatCode>
                <c:ptCount val="48"/>
                <c:pt idx="0">
                  <c:v>4.2781289890363166</c:v>
                </c:pt>
                <c:pt idx="1">
                  <c:v>4.2781289890363166</c:v>
                </c:pt>
                <c:pt idx="2">
                  <c:v>4.2781289890363166</c:v>
                </c:pt>
                <c:pt idx="3">
                  <c:v>4.0888108658014204</c:v>
                </c:pt>
                <c:pt idx="4">
                  <c:v>4.0888108658014204</c:v>
                </c:pt>
                <c:pt idx="5">
                  <c:v>4.0888108658014204</c:v>
                </c:pt>
                <c:pt idx="6">
                  <c:v>4.2627160995049866</c:v>
                </c:pt>
                <c:pt idx="7">
                  <c:v>4.2627160995049866</c:v>
                </c:pt>
                <c:pt idx="8">
                  <c:v>4.2627160995049866</c:v>
                </c:pt>
                <c:pt idx="9">
                  <c:v>4.7843780435485392</c:v>
                </c:pt>
                <c:pt idx="10">
                  <c:v>4.7843780435485392</c:v>
                </c:pt>
                <c:pt idx="11">
                  <c:v>4.7843780435485392</c:v>
                </c:pt>
                <c:pt idx="12">
                  <c:v>5.6143208678013696</c:v>
                </c:pt>
                <c:pt idx="42">
                  <c:v>5.4120139290902447</c:v>
                </c:pt>
                <c:pt idx="43">
                  <c:v>5.4120139290902447</c:v>
                </c:pt>
                <c:pt idx="44">
                  <c:v>5.4120139290902447</c:v>
                </c:pt>
                <c:pt idx="45">
                  <c:v>5.4600271453949354</c:v>
                </c:pt>
                <c:pt idx="46">
                  <c:v>5.4600271453949354</c:v>
                </c:pt>
                <c:pt idx="47">
                  <c:v>5.4600271453949354</c:v>
                </c:pt>
              </c:numCache>
            </c:numRef>
          </c:val>
          <c:smooth val="0"/>
          <c:extLst xmlns:c16r2="http://schemas.microsoft.com/office/drawing/2015/06/chart">
            <c:ext xmlns:c16="http://schemas.microsoft.com/office/drawing/2014/chart" uri="{C3380CC4-5D6E-409C-BE32-E72D297353CC}">
              <c16:uniqueId val="{00000002-5D4F-4299-9704-B6BF1B0CCE07}"/>
            </c:ext>
          </c:extLst>
        </c:ser>
        <c:ser>
          <c:idx val="3"/>
          <c:order val="3"/>
          <c:tx>
            <c:strRef>
              <c:f>'T:\Gas Unit\Wholesale gas price analysis\2017 Analysis\Netback price comparison analysis\July 2019 report\[2020 netback chart with offers of 3 years or less.xlsx]Calcs 2020'!$BB$43</c:f>
              <c:strCache>
                <c:ptCount val="1"/>
                <c:pt idx="0">
                  <c:v>Expected 2020 LNG netback price at Wallumbilla less transport from Victoria</c:v>
                </c:pt>
              </c:strCache>
            </c:strRef>
          </c:tx>
          <c:spPr>
            <a:ln w="25400" cap="rnd">
              <a:solidFill>
                <a:srgbClr val="BCBFC1"/>
              </a:solidFill>
              <a:prstDash val="solid"/>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2020'!$BB$80:$BB$127</c:f>
              <c:numCache>
                <c:formatCode>General</c:formatCode>
                <c:ptCount val="48"/>
                <c:pt idx="12">
                  <c:v>5.6143208678013696</c:v>
                </c:pt>
                <c:pt idx="13">
                  <c:v>5.6143208678013696</c:v>
                </c:pt>
                <c:pt idx="14">
                  <c:v>5.6143208678013696</c:v>
                </c:pt>
                <c:pt idx="15">
                  <c:v>5.6361240787374651</c:v>
                </c:pt>
                <c:pt idx="16">
                  <c:v>5.6361240787374651</c:v>
                </c:pt>
                <c:pt idx="17">
                  <c:v>5.6361240787374651</c:v>
                </c:pt>
                <c:pt idx="18">
                  <c:v>5.886069566142293</c:v>
                </c:pt>
                <c:pt idx="19">
                  <c:v>5.886069566142293</c:v>
                </c:pt>
                <c:pt idx="20">
                  <c:v>5.886069566142293</c:v>
                </c:pt>
                <c:pt idx="21">
                  <c:v>6.2551728881622441</c:v>
                </c:pt>
                <c:pt idx="22">
                  <c:v>6.2551728881622441</c:v>
                </c:pt>
                <c:pt idx="23">
                  <c:v>6.2551728881622441</c:v>
                </c:pt>
                <c:pt idx="24">
                  <c:v>7.1879652717239768</c:v>
                </c:pt>
                <c:pt idx="25">
                  <c:v>7.1879652717239768</c:v>
                </c:pt>
                <c:pt idx="26">
                  <c:v>7.1879652717239768</c:v>
                </c:pt>
                <c:pt idx="27">
                  <c:v>6.9650749251067552</c:v>
                </c:pt>
                <c:pt idx="28">
                  <c:v>6.9650749251067552</c:v>
                </c:pt>
                <c:pt idx="29">
                  <c:v>6.9650749251067552</c:v>
                </c:pt>
                <c:pt idx="30">
                  <c:v>5.68238015676115</c:v>
                </c:pt>
                <c:pt idx="31">
                  <c:v>5.68238015676115</c:v>
                </c:pt>
                <c:pt idx="32">
                  <c:v>5.68238015676115</c:v>
                </c:pt>
                <c:pt idx="33">
                  <c:v>5.6080139861997313</c:v>
                </c:pt>
                <c:pt idx="34">
                  <c:v>5.6080139861997313</c:v>
                </c:pt>
                <c:pt idx="35">
                  <c:v>5.6080139861997313</c:v>
                </c:pt>
                <c:pt idx="36">
                  <c:v>5.8594932625346683</c:v>
                </c:pt>
                <c:pt idx="37">
                  <c:v>5.8594932625346683</c:v>
                </c:pt>
                <c:pt idx="38">
                  <c:v>5.8594932625346683</c:v>
                </c:pt>
                <c:pt idx="39">
                  <c:v>5.8567967747477585</c:v>
                </c:pt>
                <c:pt idx="40">
                  <c:v>5.8567967747477585</c:v>
                </c:pt>
                <c:pt idx="41">
                  <c:v>5.8567967747477585</c:v>
                </c:pt>
                <c:pt idx="42">
                  <c:v>5.4120139290902447</c:v>
                </c:pt>
              </c:numCache>
            </c:numRef>
          </c:val>
          <c:smooth val="0"/>
          <c:extLst xmlns:c16r2="http://schemas.microsoft.com/office/drawing/2015/06/chart">
            <c:ext xmlns:c16="http://schemas.microsoft.com/office/drawing/2014/chart" uri="{C3380CC4-5D6E-409C-BE32-E72D297353CC}">
              <c16:uniqueId val="{00000003-5D4F-4299-9704-B6BF1B0CCE07}"/>
            </c:ext>
          </c:extLst>
        </c:ser>
        <c:ser>
          <c:idx val="4"/>
          <c:order val="4"/>
          <c:tx>
            <c:strRef>
              <c:f>'T:\Gas Unit\Wholesale gas price analysis\2017 Analysis\Netback price comparison analysis\July 2019 report\[2020 netback chart with offers of 3 years or less.xlsx]Calcs 2020'!$BC$43</c:f>
              <c:strCache>
                <c:ptCount val="1"/>
                <c:pt idx="0">
                  <c:v>Estimated forward cost of production (Sole Basin) (SHADED)</c:v>
                </c:pt>
              </c:strCache>
            </c:strRef>
          </c:tx>
          <c:spPr>
            <a:ln w="25400" cap="rnd">
              <a:solidFill>
                <a:srgbClr val="51B7A4"/>
              </a:solidFill>
              <a:prstDash val="sysDash"/>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2020'!$BC$80:$BC$127</c:f>
              <c:numCache>
                <c:formatCode>General</c:formatCode>
                <c:ptCount val="48"/>
                <c:pt idx="12">
                  <c:v>5.6</c:v>
                </c:pt>
                <c:pt idx="13">
                  <c:v>5.6</c:v>
                </c:pt>
                <c:pt idx="14">
                  <c:v>5.6</c:v>
                </c:pt>
                <c:pt idx="15">
                  <c:v>5.6</c:v>
                </c:pt>
                <c:pt idx="16">
                  <c:v>5.6</c:v>
                </c:pt>
                <c:pt idx="17">
                  <c:v>5.6</c:v>
                </c:pt>
                <c:pt idx="18">
                  <c:v>5.6</c:v>
                </c:pt>
                <c:pt idx="19">
                  <c:v>5.6</c:v>
                </c:pt>
                <c:pt idx="20">
                  <c:v>5.6</c:v>
                </c:pt>
                <c:pt idx="21">
                  <c:v>5.6</c:v>
                </c:pt>
                <c:pt idx="22">
                  <c:v>5.6</c:v>
                </c:pt>
                <c:pt idx="23">
                  <c:v>5.6</c:v>
                </c:pt>
                <c:pt idx="24">
                  <c:v>5.6</c:v>
                </c:pt>
                <c:pt idx="25">
                  <c:v>5.6</c:v>
                </c:pt>
                <c:pt idx="26">
                  <c:v>5.6</c:v>
                </c:pt>
                <c:pt idx="27">
                  <c:v>5.6</c:v>
                </c:pt>
                <c:pt idx="28">
                  <c:v>5.6</c:v>
                </c:pt>
                <c:pt idx="29">
                  <c:v>5.6</c:v>
                </c:pt>
                <c:pt idx="30">
                  <c:v>5.6</c:v>
                </c:pt>
                <c:pt idx="31">
                  <c:v>5.6</c:v>
                </c:pt>
                <c:pt idx="32">
                  <c:v>5.6</c:v>
                </c:pt>
                <c:pt idx="33">
                  <c:v>5.6</c:v>
                </c:pt>
                <c:pt idx="34">
                  <c:v>5.6</c:v>
                </c:pt>
                <c:pt idx="35">
                  <c:v>5.6</c:v>
                </c:pt>
                <c:pt idx="36">
                  <c:v>5.6</c:v>
                </c:pt>
                <c:pt idx="37">
                  <c:v>5.6</c:v>
                </c:pt>
                <c:pt idx="38">
                  <c:v>5.6</c:v>
                </c:pt>
                <c:pt idx="39">
                  <c:v>5.6</c:v>
                </c:pt>
                <c:pt idx="40">
                  <c:v>5.6</c:v>
                </c:pt>
                <c:pt idx="41">
                  <c:v>5.6</c:v>
                </c:pt>
                <c:pt idx="42">
                  <c:v>5.6</c:v>
                </c:pt>
              </c:numCache>
            </c:numRef>
          </c:val>
          <c:smooth val="0"/>
          <c:extLst xmlns:c16r2="http://schemas.microsoft.com/office/drawing/2015/06/chart">
            <c:ext xmlns:c16="http://schemas.microsoft.com/office/drawing/2014/chart" uri="{C3380CC4-5D6E-409C-BE32-E72D297353CC}">
              <c16:uniqueId val="{00000004-5D4F-4299-9704-B6BF1B0CCE07}"/>
            </c:ext>
          </c:extLst>
        </c:ser>
        <c:ser>
          <c:idx val="5"/>
          <c:order val="5"/>
          <c:tx>
            <c:strRef>
              <c:f>'T:\Gas Unit\Wholesale gas price analysis\2017 Analysis\Netback price comparison analysis\July 2019 report\[2020 netback chart with offers of 3 years or less.xlsx]Calcs 2020'!$BD$43</c:f>
              <c:strCache>
                <c:ptCount val="1"/>
                <c:pt idx="0">
                  <c:v>Estimated forward cost of production (Sole field)</c:v>
                </c:pt>
              </c:strCache>
            </c:strRef>
          </c:tx>
          <c:spPr>
            <a:ln w="25400" cap="rnd">
              <a:solidFill>
                <a:srgbClr val="0A7568"/>
              </a:solidFill>
              <a:prstDash val="solid"/>
              <a:round/>
            </a:ln>
            <a:effectLst/>
          </c:spPr>
          <c:marker>
            <c:symbol val="none"/>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2020'!$BD$80:$BD$127</c:f>
              <c:numCache>
                <c:formatCode>General</c:formatCode>
                <c:ptCount val="48"/>
                <c:pt idx="0">
                  <c:v>5.6</c:v>
                </c:pt>
                <c:pt idx="1">
                  <c:v>5.6</c:v>
                </c:pt>
                <c:pt idx="2">
                  <c:v>5.6</c:v>
                </c:pt>
                <c:pt idx="3">
                  <c:v>5.6</c:v>
                </c:pt>
                <c:pt idx="4">
                  <c:v>5.6</c:v>
                </c:pt>
                <c:pt idx="5">
                  <c:v>5.6</c:v>
                </c:pt>
                <c:pt idx="6">
                  <c:v>5.6</c:v>
                </c:pt>
                <c:pt idx="7">
                  <c:v>5.6</c:v>
                </c:pt>
                <c:pt idx="8">
                  <c:v>5.6</c:v>
                </c:pt>
                <c:pt idx="9">
                  <c:v>5.6</c:v>
                </c:pt>
                <c:pt idx="10">
                  <c:v>5.6</c:v>
                </c:pt>
                <c:pt idx="11">
                  <c:v>5.6</c:v>
                </c:pt>
                <c:pt idx="12">
                  <c:v>5.6</c:v>
                </c:pt>
                <c:pt idx="42">
                  <c:v>5.6</c:v>
                </c:pt>
                <c:pt idx="43">
                  <c:v>5.6</c:v>
                </c:pt>
                <c:pt idx="44">
                  <c:v>5.6</c:v>
                </c:pt>
                <c:pt idx="45">
                  <c:v>5.6</c:v>
                </c:pt>
                <c:pt idx="46">
                  <c:v>5.6</c:v>
                </c:pt>
                <c:pt idx="47">
                  <c:v>5.6</c:v>
                </c:pt>
              </c:numCache>
            </c:numRef>
          </c:val>
          <c:smooth val="0"/>
          <c:extLst xmlns:c16r2="http://schemas.microsoft.com/office/drawing/2015/06/chart">
            <c:ext xmlns:c16="http://schemas.microsoft.com/office/drawing/2014/chart" uri="{C3380CC4-5D6E-409C-BE32-E72D297353CC}">
              <c16:uniqueId val="{00000005-5D4F-4299-9704-B6BF1B0CCE07}"/>
            </c:ext>
          </c:extLst>
        </c:ser>
        <c:ser>
          <c:idx val="6"/>
          <c:order val="6"/>
          <c:tx>
            <c:strRef>
              <c:f>'T:\Gas Unit\Wholesale gas price analysis\2017 Analysis\Netback price comparison analysis\July 2019 report\[2020 netback chart with offers of 3 years or less.xlsx]Calcs 2020'!$BE$43</c:f>
              <c:strCache>
                <c:ptCount val="1"/>
                <c:pt idx="0">
                  <c:v>Average retailer/aggregator offers for 2020 to C&amp;I users (Southern States)</c:v>
                </c:pt>
              </c:strCache>
            </c:strRef>
          </c:tx>
          <c:spPr>
            <a:ln w="12700" cap="rnd">
              <a:solidFill>
                <a:srgbClr val="D1AAF7"/>
              </a:solidFill>
              <a:prstDash val="lgDash"/>
              <a:round/>
            </a:ln>
            <a:effectLst/>
          </c:spPr>
          <c:marker>
            <c:symbol val="circle"/>
            <c:size val="5"/>
            <c:spPr>
              <a:solidFill>
                <a:schemeClr val="accent1">
                  <a:lumMod val="60000"/>
                </a:schemeClr>
              </a:solidFill>
              <a:ln w="12700">
                <a:solidFill>
                  <a:schemeClr val="accent1">
                    <a:lumMod val="60000"/>
                  </a:schemeClr>
                </a:solidFill>
              </a:ln>
              <a:effectLst/>
            </c:spPr>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2020'!$BE$80:$BE$127</c:f>
              <c:numCache>
                <c:formatCode>General</c:formatCode>
                <c:ptCount val="48"/>
                <c:pt idx="0">
                  <c:v>#N/A</c:v>
                </c:pt>
                <c:pt idx="1">
                  <c:v>11.141089356240991</c:v>
                </c:pt>
                <c:pt idx="2">
                  <c:v>#N/A</c:v>
                </c:pt>
                <c:pt idx="3">
                  <c:v>#N/A</c:v>
                </c:pt>
                <c:pt idx="4">
                  <c:v>#N/A</c:v>
                </c:pt>
                <c:pt idx="5">
                  <c:v>#N/A</c:v>
                </c:pt>
                <c:pt idx="6">
                  <c:v>#N/A</c:v>
                </c:pt>
                <c:pt idx="7">
                  <c:v>10.342463409844902</c:v>
                </c:pt>
                <c:pt idx="8">
                  <c:v>#N/A</c:v>
                </c:pt>
                <c:pt idx="9">
                  <c:v>#N/A</c:v>
                </c:pt>
                <c:pt idx="10">
                  <c:v>10.468827428165511</c:v>
                </c:pt>
                <c:pt idx="11">
                  <c:v>#N/A</c:v>
                </c:pt>
                <c:pt idx="12">
                  <c:v>#N/A</c:v>
                </c:pt>
                <c:pt idx="13">
                  <c:v>10.146280731566353</c:v>
                </c:pt>
                <c:pt idx="14">
                  <c:v>#N/A</c:v>
                </c:pt>
                <c:pt idx="15">
                  <c:v>#N/A</c:v>
                </c:pt>
                <c:pt idx="16">
                  <c:v>10.551587902846052</c:v>
                </c:pt>
                <c:pt idx="17">
                  <c:v>#N/A</c:v>
                </c:pt>
                <c:pt idx="18">
                  <c:v>#N/A</c:v>
                </c:pt>
                <c:pt idx="19">
                  <c:v>10.616064920192272</c:v>
                </c:pt>
                <c:pt idx="20">
                  <c:v>#N/A</c:v>
                </c:pt>
                <c:pt idx="21">
                  <c:v>#N/A</c:v>
                </c:pt>
                <c:pt idx="22">
                  <c:v>10.594682247834651</c:v>
                </c:pt>
                <c:pt idx="23">
                  <c:v>#N/A</c:v>
                </c:pt>
                <c:pt idx="24">
                  <c:v>#N/A</c:v>
                </c:pt>
                <c:pt idx="25">
                  <c:v>10.791052333938513</c:v>
                </c:pt>
                <c:pt idx="26">
                  <c:v>#N/A</c:v>
                </c:pt>
                <c:pt idx="27">
                  <c:v>#N/A</c:v>
                </c:pt>
                <c:pt idx="28">
                  <c:v>11.148396889151185</c:v>
                </c:pt>
                <c:pt idx="29">
                  <c:v>#N/A</c:v>
                </c:pt>
                <c:pt idx="30">
                  <c:v>#N/A</c:v>
                </c:pt>
                <c:pt idx="31">
                  <c:v>11.356114082489988</c:v>
                </c:pt>
                <c:pt idx="32">
                  <c:v>#N/A</c:v>
                </c:pt>
                <c:pt idx="33">
                  <c:v>#N/A</c:v>
                </c:pt>
                <c:pt idx="34">
                  <c:v>10.773636619837509</c:v>
                </c:pt>
                <c:pt idx="35">
                  <c:v>#N/A</c:v>
                </c:pt>
                <c:pt idx="36">
                  <c:v>#N/A</c:v>
                </c:pt>
                <c:pt idx="37">
                  <c:v>11.085182021821952</c:v>
                </c:pt>
                <c:pt idx="38">
                  <c:v>#N/A</c:v>
                </c:pt>
                <c:pt idx="39">
                  <c:v>#N/A</c:v>
                </c:pt>
                <c:pt idx="40">
                  <c:v>11.083489189832964</c:v>
                </c:pt>
                <c:pt idx="41">
                  <c:v>#N/A</c:v>
                </c:pt>
                <c:pt idx="42">
                  <c:v>#N/A</c:v>
                </c:pt>
                <c:pt idx="43">
                  <c:v>11.317590356383587</c:v>
                </c:pt>
                <c:pt idx="44">
                  <c:v>#N/A</c:v>
                </c:pt>
                <c:pt idx="45">
                  <c:v>#N/A</c:v>
                </c:pt>
                <c:pt idx="46">
                  <c:v>10.831740091255153</c:v>
                </c:pt>
                <c:pt idx="47">
                  <c:v>#N/A</c:v>
                </c:pt>
              </c:numCache>
            </c:numRef>
          </c:val>
          <c:smooth val="0"/>
          <c:extLst xmlns:c16r2="http://schemas.microsoft.com/office/drawing/2015/06/chart">
            <c:ext xmlns:c16="http://schemas.microsoft.com/office/drawing/2014/chart" uri="{C3380CC4-5D6E-409C-BE32-E72D297353CC}">
              <c16:uniqueId val="{00000006-5D4F-4299-9704-B6BF1B0CCE07}"/>
            </c:ext>
          </c:extLst>
        </c:ser>
        <c:ser>
          <c:idx val="8"/>
          <c:order val="7"/>
          <c:tx>
            <c:strRef>
              <c:f>'T:\Gas Unit\Wholesale gas price analysis\2017 Analysis\Netback price comparison analysis\July 2019 report\[2020 netback chart with offers of 3 years or less.xlsx]Calcs 2020'!$BG$43</c:f>
              <c:strCache>
                <c:ptCount val="1"/>
                <c:pt idx="0">
                  <c:v>Average producer offers for 2020 to all buyers (Southern States)</c:v>
                </c:pt>
              </c:strCache>
            </c:strRef>
          </c:tx>
          <c:spPr>
            <a:ln w="12700" cap="rnd">
              <a:solidFill>
                <a:srgbClr val="60307F"/>
              </a:solidFill>
              <a:prstDash val="lgDash"/>
              <a:round/>
            </a:ln>
            <a:effectLst/>
          </c:spPr>
          <c:marker>
            <c:symbol val="circle"/>
            <c:size val="5"/>
            <c:spPr>
              <a:solidFill>
                <a:schemeClr val="accent3">
                  <a:lumMod val="60000"/>
                </a:schemeClr>
              </a:solidFill>
              <a:ln w="12700">
                <a:solidFill>
                  <a:schemeClr val="accent3">
                    <a:lumMod val="60000"/>
                  </a:schemeClr>
                </a:solidFill>
              </a:ln>
              <a:effectLst/>
            </c:spPr>
          </c:marker>
          <c:cat>
            <c:numRef>
              <c:f>'T:\Gas Unit\Wholesale gas price analysis\2017 Analysis\Netback price comparison analysis\July 2019 report\[2020 netback chart with offers of 3 years or less.xlsx]Calcs 2020'!$AX$80:$AX$127</c:f>
              <c:numCache>
                <c:formatCode>General</c:formatCode>
                <c:ptCount val="48"/>
                <c:pt idx="0">
                  <c:v>43101</c:v>
                </c:pt>
                <c:pt idx="1">
                  <c:v>43115</c:v>
                </c:pt>
                <c:pt idx="2">
                  <c:v>43131</c:v>
                </c:pt>
                <c:pt idx="3">
                  <c:v>43132</c:v>
                </c:pt>
                <c:pt idx="4">
                  <c:v>43146</c:v>
                </c:pt>
                <c:pt idx="5">
                  <c:v>43159</c:v>
                </c:pt>
                <c:pt idx="6">
                  <c:v>43160</c:v>
                </c:pt>
                <c:pt idx="7">
                  <c:v>43174</c:v>
                </c:pt>
                <c:pt idx="8">
                  <c:v>43190</c:v>
                </c:pt>
                <c:pt idx="9">
                  <c:v>43191</c:v>
                </c:pt>
                <c:pt idx="10">
                  <c:v>43205</c:v>
                </c:pt>
                <c:pt idx="11">
                  <c:v>43220</c:v>
                </c:pt>
                <c:pt idx="12">
                  <c:v>43221</c:v>
                </c:pt>
                <c:pt idx="13">
                  <c:v>43235</c:v>
                </c:pt>
                <c:pt idx="14">
                  <c:v>43251</c:v>
                </c:pt>
                <c:pt idx="15">
                  <c:v>43252</c:v>
                </c:pt>
                <c:pt idx="16">
                  <c:v>43266</c:v>
                </c:pt>
                <c:pt idx="17">
                  <c:v>43281</c:v>
                </c:pt>
                <c:pt idx="18">
                  <c:v>43282</c:v>
                </c:pt>
                <c:pt idx="19">
                  <c:v>43296</c:v>
                </c:pt>
                <c:pt idx="20">
                  <c:v>43312</c:v>
                </c:pt>
                <c:pt idx="21">
                  <c:v>43313</c:v>
                </c:pt>
                <c:pt idx="22">
                  <c:v>43327</c:v>
                </c:pt>
                <c:pt idx="23">
                  <c:v>43343</c:v>
                </c:pt>
                <c:pt idx="24">
                  <c:v>43344</c:v>
                </c:pt>
                <c:pt idx="25">
                  <c:v>43358</c:v>
                </c:pt>
                <c:pt idx="26">
                  <c:v>43373</c:v>
                </c:pt>
                <c:pt idx="27">
                  <c:v>43374</c:v>
                </c:pt>
                <c:pt idx="28">
                  <c:v>43388</c:v>
                </c:pt>
                <c:pt idx="29">
                  <c:v>43404</c:v>
                </c:pt>
                <c:pt idx="30">
                  <c:v>43405</c:v>
                </c:pt>
                <c:pt idx="31">
                  <c:v>43419</c:v>
                </c:pt>
                <c:pt idx="32">
                  <c:v>43434</c:v>
                </c:pt>
                <c:pt idx="33">
                  <c:v>43435</c:v>
                </c:pt>
                <c:pt idx="34">
                  <c:v>43449</c:v>
                </c:pt>
                <c:pt idx="35">
                  <c:v>43465</c:v>
                </c:pt>
                <c:pt idx="36">
                  <c:v>43466</c:v>
                </c:pt>
                <c:pt idx="37">
                  <c:v>43480</c:v>
                </c:pt>
                <c:pt idx="38">
                  <c:v>43496</c:v>
                </c:pt>
                <c:pt idx="39">
                  <c:v>43497</c:v>
                </c:pt>
                <c:pt idx="40">
                  <c:v>43511</c:v>
                </c:pt>
                <c:pt idx="41">
                  <c:v>43524</c:v>
                </c:pt>
                <c:pt idx="42">
                  <c:v>43525</c:v>
                </c:pt>
                <c:pt idx="43">
                  <c:v>43539</c:v>
                </c:pt>
                <c:pt idx="44">
                  <c:v>43555</c:v>
                </c:pt>
                <c:pt idx="45">
                  <c:v>43556</c:v>
                </c:pt>
                <c:pt idx="46">
                  <c:v>43570</c:v>
                </c:pt>
                <c:pt idx="47">
                  <c:v>43585</c:v>
                </c:pt>
              </c:numCache>
            </c:numRef>
          </c:cat>
          <c:val>
            <c:numRef>
              <c:f>'T:\Gas Unit\Wholesale gas price analysis\2017 Analysis\Netback price comparison analysis\July 2019 report\[2020 netback chart with offers of 3 years or less.xlsx]Calcs 2020'!$BG$80:$BG$127</c:f>
              <c:numCache>
                <c:formatCode>General</c:formatCode>
                <c:ptCount val="48"/>
                <c:pt idx="0">
                  <c:v>#N/A</c:v>
                </c:pt>
                <c:pt idx="1">
                  <c:v>#N/A</c:v>
                </c:pt>
                <c:pt idx="2">
                  <c:v>#N/A</c:v>
                </c:pt>
                <c:pt idx="3">
                  <c:v>#N/A</c:v>
                </c:pt>
                <c:pt idx="4">
                  <c:v>9.0200000000000014</c:v>
                </c:pt>
                <c:pt idx="5">
                  <c:v>#N/A</c:v>
                </c:pt>
                <c:pt idx="6">
                  <c:v>#N/A</c:v>
                </c:pt>
                <c:pt idx="7">
                  <c:v>#N/A</c:v>
                </c:pt>
                <c:pt idx="8">
                  <c:v>#N/A</c:v>
                </c:pt>
                <c:pt idx="9">
                  <c:v>#N/A</c:v>
                </c:pt>
                <c:pt idx="10">
                  <c:v>9.0310279399499578</c:v>
                </c:pt>
                <c:pt idx="11">
                  <c:v>#N/A</c:v>
                </c:pt>
                <c:pt idx="12">
                  <c:v>#N/A</c:v>
                </c:pt>
                <c:pt idx="13">
                  <c:v>9.9821338480715198</c:v>
                </c:pt>
                <c:pt idx="14">
                  <c:v>#N/A</c:v>
                </c:pt>
                <c:pt idx="15">
                  <c:v>#N/A</c:v>
                </c:pt>
                <c:pt idx="16">
                  <c:v>9.8598457446808503</c:v>
                </c:pt>
                <c:pt idx="17">
                  <c:v>#N/A</c:v>
                </c:pt>
                <c:pt idx="18">
                  <c:v>#N/A</c:v>
                </c:pt>
                <c:pt idx="19">
                  <c:v>10.932930016863402</c:v>
                </c:pt>
                <c:pt idx="20">
                  <c:v>#N/A</c:v>
                </c:pt>
                <c:pt idx="21">
                  <c:v>#N/A</c:v>
                </c:pt>
                <c:pt idx="22">
                  <c:v>9.4439412716558948</c:v>
                </c:pt>
                <c:pt idx="23">
                  <c:v>#N/A</c:v>
                </c:pt>
                <c:pt idx="24">
                  <c:v>#N/A</c:v>
                </c:pt>
                <c:pt idx="25">
                  <c:v>#N/A</c:v>
                </c:pt>
                <c:pt idx="26">
                  <c:v>#N/A</c:v>
                </c:pt>
                <c:pt idx="27">
                  <c:v>#N/A</c:v>
                </c:pt>
                <c:pt idx="28">
                  <c:v>#N/A</c:v>
                </c:pt>
                <c:pt idx="29">
                  <c:v>#N/A</c:v>
                </c:pt>
                <c:pt idx="30">
                  <c:v>#N/A</c:v>
                </c:pt>
                <c:pt idx="31">
                  <c:v>9.7691951960242953</c:v>
                </c:pt>
                <c:pt idx="32">
                  <c:v>#N/A</c:v>
                </c:pt>
                <c:pt idx="33">
                  <c:v>#N/A</c:v>
                </c:pt>
                <c:pt idx="34">
                  <c:v>#N/A</c:v>
                </c:pt>
                <c:pt idx="35">
                  <c:v>#N/A</c:v>
                </c:pt>
                <c:pt idx="36">
                  <c:v>#N/A</c:v>
                </c:pt>
                <c:pt idx="37">
                  <c:v>9.5801904094198704</c:v>
                </c:pt>
                <c:pt idx="38">
                  <c:v>#N/A</c:v>
                </c:pt>
                <c:pt idx="39">
                  <c:v>#N/A</c:v>
                </c:pt>
                <c:pt idx="40">
                  <c:v>#N/A</c:v>
                </c:pt>
                <c:pt idx="41">
                  <c:v>#N/A</c:v>
                </c:pt>
                <c:pt idx="42">
                  <c:v>#N/A</c:v>
                </c:pt>
                <c:pt idx="43">
                  <c:v>9.4923483305183023</c:v>
                </c:pt>
                <c:pt idx="44">
                  <c:v>#N/A</c:v>
                </c:pt>
                <c:pt idx="45">
                  <c:v>#N/A</c:v>
                </c:pt>
                <c:pt idx="46">
                  <c:v>9.8000000000000007</c:v>
                </c:pt>
                <c:pt idx="47">
                  <c:v>#N/A</c:v>
                </c:pt>
              </c:numCache>
            </c:numRef>
          </c:val>
          <c:smooth val="0"/>
          <c:extLst xmlns:c16r2="http://schemas.microsoft.com/office/drawing/2015/06/chart">
            <c:ext xmlns:c16="http://schemas.microsoft.com/office/drawing/2014/chart" uri="{C3380CC4-5D6E-409C-BE32-E72D297353CC}">
              <c16:uniqueId val="{00000007-5D4F-4299-9704-B6BF1B0CCE07}"/>
            </c:ext>
          </c:extLst>
        </c:ser>
        <c:dLbls>
          <c:showLegendKey val="0"/>
          <c:showVal val="0"/>
          <c:showCatName val="0"/>
          <c:showSerName val="0"/>
          <c:showPercent val="0"/>
          <c:showBubbleSize val="0"/>
        </c:dLbls>
        <c:smooth val="0"/>
        <c:axId val="897254288"/>
        <c:axId val="897248800"/>
      </c:lineChart>
      <c:dateAx>
        <c:axId val="897254288"/>
        <c:scaling>
          <c:orientation val="minMax"/>
        </c:scaling>
        <c:delete val="0"/>
        <c:axPos val="b"/>
        <c:numFmt formatCode="mmm\ yyyy" sourceLinked="0"/>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248800"/>
        <c:crosses val="autoZero"/>
        <c:auto val="0"/>
        <c:lblOffset val="100"/>
        <c:baseTimeUnit val="days"/>
        <c:majorUnit val="3"/>
        <c:majorTimeUnit val="months"/>
      </c:dateAx>
      <c:valAx>
        <c:axId val="897248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$/GJ</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254288"/>
        <c:crosses val="autoZero"/>
        <c:crossBetween val="between"/>
      </c:valAx>
      <c:spPr>
        <a:noFill/>
        <a:ln>
          <a:noFill/>
        </a:ln>
        <a:effectLst/>
      </c:spPr>
    </c:plotArea>
    <c:legend>
      <c:legendPos val="b"/>
      <c:legendEntry>
        <c:idx val="2"/>
        <c:delete val="1"/>
      </c:legendEntry>
      <c:legendEntry>
        <c:idx val="4"/>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Retailer Offers</c:v>
          </c:tx>
          <c:spPr>
            <a:ln w="28575" cap="rnd">
              <a:noFill/>
              <a:round/>
            </a:ln>
            <a:effectLst/>
          </c:spPr>
          <c:marker>
            <c:symbol val="circle"/>
            <c:size val="5"/>
            <c:spPr>
              <a:solidFill>
                <a:srgbClr val="005CAF"/>
              </a:solidFill>
              <a:ln w="9525">
                <a:noFill/>
              </a:ln>
              <a:effectLst/>
            </c:spPr>
          </c:marker>
          <c:xVal>
            <c:numRef>
              <c:f>'[1]2020 Offers chart'!$C$24:$C$355</c:f>
              <c:numCache>
                <c:formatCode>General</c:formatCode>
                <c:ptCount val="332"/>
                <c:pt idx="0">
                  <c:v>43111</c:v>
                </c:pt>
                <c:pt idx="1">
                  <c:v>43117</c:v>
                </c:pt>
                <c:pt idx="2">
                  <c:v>43124</c:v>
                </c:pt>
                <c:pt idx="3">
                  <c:v>43130</c:v>
                </c:pt>
                <c:pt idx="4">
                  <c:v>43131</c:v>
                </c:pt>
                <c:pt idx="5">
                  <c:v>43167</c:v>
                </c:pt>
                <c:pt idx="6">
                  <c:v>43187</c:v>
                </c:pt>
                <c:pt idx="7">
                  <c:v>43193</c:v>
                </c:pt>
                <c:pt idx="8">
                  <c:v>43138</c:v>
                </c:pt>
                <c:pt idx="9">
                  <c:v>43138</c:v>
                </c:pt>
                <c:pt idx="10">
                  <c:v>43193</c:v>
                </c:pt>
                <c:pt idx="11">
                  <c:v>43188</c:v>
                </c:pt>
                <c:pt idx="12">
                  <c:v>43199</c:v>
                </c:pt>
                <c:pt idx="13">
                  <c:v>43199</c:v>
                </c:pt>
                <c:pt idx="14">
                  <c:v>43138</c:v>
                </c:pt>
                <c:pt idx="15">
                  <c:v>43187</c:v>
                </c:pt>
                <c:pt idx="16">
                  <c:v>43187</c:v>
                </c:pt>
                <c:pt idx="17">
                  <c:v>43175</c:v>
                </c:pt>
                <c:pt idx="18">
                  <c:v>43173</c:v>
                </c:pt>
                <c:pt idx="19">
                  <c:v>43145</c:v>
                </c:pt>
                <c:pt idx="20">
                  <c:v>43194</c:v>
                </c:pt>
                <c:pt idx="21">
                  <c:v>43194</c:v>
                </c:pt>
                <c:pt idx="22">
                  <c:v>43178</c:v>
                </c:pt>
                <c:pt idx="23">
                  <c:v>43167</c:v>
                </c:pt>
                <c:pt idx="24">
                  <c:v>43196</c:v>
                </c:pt>
                <c:pt idx="25">
                  <c:v>43203</c:v>
                </c:pt>
                <c:pt idx="26">
                  <c:v>43205</c:v>
                </c:pt>
                <c:pt idx="27">
                  <c:v>43179</c:v>
                </c:pt>
                <c:pt idx="28">
                  <c:v>43213</c:v>
                </c:pt>
                <c:pt idx="29">
                  <c:v>43188</c:v>
                </c:pt>
                <c:pt idx="30">
                  <c:v>43186</c:v>
                </c:pt>
                <c:pt idx="31">
                  <c:v>43186</c:v>
                </c:pt>
                <c:pt idx="32">
                  <c:v>43224</c:v>
                </c:pt>
                <c:pt idx="33">
                  <c:v>43241</c:v>
                </c:pt>
                <c:pt idx="34">
                  <c:v>43248</c:v>
                </c:pt>
                <c:pt idx="35">
                  <c:v>43249</c:v>
                </c:pt>
                <c:pt idx="36">
                  <c:v>43249</c:v>
                </c:pt>
                <c:pt idx="37">
                  <c:v>43252</c:v>
                </c:pt>
                <c:pt idx="38">
                  <c:v>43256</c:v>
                </c:pt>
                <c:pt idx="39">
                  <c:v>43257</c:v>
                </c:pt>
                <c:pt idx="40">
                  <c:v>43285</c:v>
                </c:pt>
                <c:pt idx="41">
                  <c:v>43291</c:v>
                </c:pt>
                <c:pt idx="42">
                  <c:v>43293</c:v>
                </c:pt>
                <c:pt idx="43">
                  <c:v>43300</c:v>
                </c:pt>
                <c:pt idx="44">
                  <c:v>43248</c:v>
                </c:pt>
                <c:pt idx="45">
                  <c:v>43301</c:v>
                </c:pt>
                <c:pt idx="46">
                  <c:v>43301</c:v>
                </c:pt>
                <c:pt idx="47">
                  <c:v>43325</c:v>
                </c:pt>
                <c:pt idx="48">
                  <c:v>43325</c:v>
                </c:pt>
                <c:pt idx="49">
                  <c:v>43329</c:v>
                </c:pt>
                <c:pt idx="50">
                  <c:v>43334</c:v>
                </c:pt>
                <c:pt idx="51">
                  <c:v>43350</c:v>
                </c:pt>
                <c:pt idx="52">
                  <c:v>43290</c:v>
                </c:pt>
                <c:pt idx="53">
                  <c:v>43220</c:v>
                </c:pt>
                <c:pt idx="54">
                  <c:v>43223</c:v>
                </c:pt>
                <c:pt idx="55">
                  <c:v>43223</c:v>
                </c:pt>
                <c:pt idx="56">
                  <c:v>43231</c:v>
                </c:pt>
                <c:pt idx="57">
                  <c:v>43245</c:v>
                </c:pt>
                <c:pt idx="58">
                  <c:v>43250</c:v>
                </c:pt>
                <c:pt idx="59">
                  <c:v>43251</c:v>
                </c:pt>
                <c:pt idx="60">
                  <c:v>43252</c:v>
                </c:pt>
                <c:pt idx="61">
                  <c:v>43257</c:v>
                </c:pt>
                <c:pt idx="62">
                  <c:v>43273</c:v>
                </c:pt>
                <c:pt idx="63">
                  <c:v>43283</c:v>
                </c:pt>
                <c:pt idx="64">
                  <c:v>43284</c:v>
                </c:pt>
                <c:pt idx="65">
                  <c:v>43284</c:v>
                </c:pt>
                <c:pt idx="66">
                  <c:v>43290</c:v>
                </c:pt>
                <c:pt idx="67">
                  <c:v>43290</c:v>
                </c:pt>
                <c:pt idx="68">
                  <c:v>43290</c:v>
                </c:pt>
                <c:pt idx="69">
                  <c:v>43290</c:v>
                </c:pt>
                <c:pt idx="70">
                  <c:v>43291</c:v>
                </c:pt>
                <c:pt idx="71">
                  <c:v>43283</c:v>
                </c:pt>
                <c:pt idx="72">
                  <c:v>43285</c:v>
                </c:pt>
                <c:pt idx="73">
                  <c:v>43298</c:v>
                </c:pt>
                <c:pt idx="74">
                  <c:v>43315</c:v>
                </c:pt>
                <c:pt idx="75">
                  <c:v>43326</c:v>
                </c:pt>
                <c:pt idx="76">
                  <c:v>43326</c:v>
                </c:pt>
                <c:pt idx="77">
                  <c:v>43326</c:v>
                </c:pt>
                <c:pt idx="78">
                  <c:v>43328</c:v>
                </c:pt>
                <c:pt idx="79">
                  <c:v>43334</c:v>
                </c:pt>
                <c:pt idx="80">
                  <c:v>43336</c:v>
                </c:pt>
                <c:pt idx="81">
                  <c:v>43341</c:v>
                </c:pt>
                <c:pt idx="82">
                  <c:v>43320</c:v>
                </c:pt>
                <c:pt idx="83">
                  <c:v>43216</c:v>
                </c:pt>
                <c:pt idx="84">
                  <c:v>43332</c:v>
                </c:pt>
                <c:pt idx="85">
                  <c:v>43332</c:v>
                </c:pt>
                <c:pt idx="86">
                  <c:v>43332</c:v>
                </c:pt>
                <c:pt idx="87">
                  <c:v>43332</c:v>
                </c:pt>
                <c:pt idx="88">
                  <c:v>43332</c:v>
                </c:pt>
                <c:pt idx="89">
                  <c:v>43342</c:v>
                </c:pt>
                <c:pt idx="90">
                  <c:v>43224</c:v>
                </c:pt>
                <c:pt idx="91">
                  <c:v>43249</c:v>
                </c:pt>
                <c:pt idx="92">
                  <c:v>43251</c:v>
                </c:pt>
                <c:pt idx="93">
                  <c:v>43251</c:v>
                </c:pt>
                <c:pt idx="94">
                  <c:v>43244</c:v>
                </c:pt>
                <c:pt idx="95">
                  <c:v>43259</c:v>
                </c:pt>
                <c:pt idx="96">
                  <c:v>43256</c:v>
                </c:pt>
                <c:pt idx="97">
                  <c:v>43266</c:v>
                </c:pt>
                <c:pt idx="98">
                  <c:v>43256</c:v>
                </c:pt>
                <c:pt idx="99">
                  <c:v>43364</c:v>
                </c:pt>
                <c:pt idx="100">
                  <c:v>43293</c:v>
                </c:pt>
                <c:pt idx="101">
                  <c:v>43293</c:v>
                </c:pt>
                <c:pt idx="102">
                  <c:v>43325</c:v>
                </c:pt>
                <c:pt idx="103">
                  <c:v>43336</c:v>
                </c:pt>
                <c:pt idx="104">
                  <c:v>43350</c:v>
                </c:pt>
                <c:pt idx="105">
                  <c:v>43256</c:v>
                </c:pt>
                <c:pt idx="106">
                  <c:v>43326</c:v>
                </c:pt>
                <c:pt idx="107">
                  <c:v>43257</c:v>
                </c:pt>
                <c:pt idx="108">
                  <c:v>43230</c:v>
                </c:pt>
                <c:pt idx="109">
                  <c:v>43235</c:v>
                </c:pt>
                <c:pt idx="110">
                  <c:v>43333</c:v>
                </c:pt>
                <c:pt idx="111">
                  <c:v>43298</c:v>
                </c:pt>
                <c:pt idx="112">
                  <c:v>43299</c:v>
                </c:pt>
                <c:pt idx="113">
                  <c:v>43301</c:v>
                </c:pt>
                <c:pt idx="114">
                  <c:v>43301</c:v>
                </c:pt>
                <c:pt idx="115">
                  <c:v>43301</c:v>
                </c:pt>
                <c:pt idx="116">
                  <c:v>43231</c:v>
                </c:pt>
                <c:pt idx="117">
                  <c:v>43231</c:v>
                </c:pt>
                <c:pt idx="118">
                  <c:v>43340</c:v>
                </c:pt>
                <c:pt idx="119">
                  <c:v>43227</c:v>
                </c:pt>
                <c:pt idx="120">
                  <c:v>43256</c:v>
                </c:pt>
                <c:pt idx="121">
                  <c:v>43252</c:v>
                </c:pt>
                <c:pt idx="122">
                  <c:v>43255</c:v>
                </c:pt>
                <c:pt idx="123">
                  <c:v>43257</c:v>
                </c:pt>
                <c:pt idx="124">
                  <c:v>43278</c:v>
                </c:pt>
                <c:pt idx="125">
                  <c:v>43280</c:v>
                </c:pt>
                <c:pt idx="126">
                  <c:v>43360</c:v>
                </c:pt>
                <c:pt idx="127">
                  <c:v>43350</c:v>
                </c:pt>
                <c:pt idx="128">
                  <c:v>43353</c:v>
                </c:pt>
                <c:pt idx="129">
                  <c:v>43350</c:v>
                </c:pt>
                <c:pt idx="130">
                  <c:v>43377</c:v>
                </c:pt>
                <c:pt idx="131">
                  <c:v>43381</c:v>
                </c:pt>
                <c:pt idx="132">
                  <c:v>43381</c:v>
                </c:pt>
                <c:pt idx="133">
                  <c:v>43389</c:v>
                </c:pt>
                <c:pt idx="134">
                  <c:v>43431</c:v>
                </c:pt>
                <c:pt idx="135">
                  <c:v>43311</c:v>
                </c:pt>
                <c:pt idx="136">
                  <c:v>43402</c:v>
                </c:pt>
                <c:pt idx="137">
                  <c:v>43362</c:v>
                </c:pt>
                <c:pt idx="138">
                  <c:v>43362</c:v>
                </c:pt>
                <c:pt idx="139">
                  <c:v>43440</c:v>
                </c:pt>
                <c:pt idx="140">
                  <c:v>43434</c:v>
                </c:pt>
                <c:pt idx="141">
                  <c:v>43479</c:v>
                </c:pt>
                <c:pt idx="142">
                  <c:v>43479</c:v>
                </c:pt>
                <c:pt idx="143">
                  <c:v>43343</c:v>
                </c:pt>
                <c:pt idx="144">
                  <c:v>43341</c:v>
                </c:pt>
                <c:pt idx="145">
                  <c:v>43341</c:v>
                </c:pt>
                <c:pt idx="146">
                  <c:v>43341</c:v>
                </c:pt>
                <c:pt idx="147">
                  <c:v>43419</c:v>
                </c:pt>
                <c:pt idx="148">
                  <c:v>43419</c:v>
                </c:pt>
                <c:pt idx="149">
                  <c:v>43419</c:v>
                </c:pt>
                <c:pt idx="150">
                  <c:v>43433</c:v>
                </c:pt>
                <c:pt idx="151">
                  <c:v>43411</c:v>
                </c:pt>
                <c:pt idx="152">
                  <c:v>43404</c:v>
                </c:pt>
                <c:pt idx="153">
                  <c:v>43411</c:v>
                </c:pt>
                <c:pt idx="154">
                  <c:v>43369</c:v>
                </c:pt>
                <c:pt idx="155">
                  <c:v>43403</c:v>
                </c:pt>
                <c:pt idx="156">
                  <c:v>43349</c:v>
                </c:pt>
                <c:pt idx="157">
                  <c:v>43349</c:v>
                </c:pt>
                <c:pt idx="158">
                  <c:v>43363</c:v>
                </c:pt>
                <c:pt idx="159">
                  <c:v>43388</c:v>
                </c:pt>
                <c:pt idx="160">
                  <c:v>43414</c:v>
                </c:pt>
                <c:pt idx="161">
                  <c:v>43405</c:v>
                </c:pt>
                <c:pt idx="162">
                  <c:v>43355</c:v>
                </c:pt>
                <c:pt idx="163">
                  <c:v>43403</c:v>
                </c:pt>
                <c:pt idx="164">
                  <c:v>43439</c:v>
                </c:pt>
                <c:pt idx="165">
                  <c:v>43427</c:v>
                </c:pt>
                <c:pt idx="166">
                  <c:v>43411</c:v>
                </c:pt>
                <c:pt idx="167">
                  <c:v>43403</c:v>
                </c:pt>
                <c:pt idx="168">
                  <c:v>43369</c:v>
                </c:pt>
                <c:pt idx="169">
                  <c:v>43369</c:v>
                </c:pt>
                <c:pt idx="170">
                  <c:v>43402</c:v>
                </c:pt>
                <c:pt idx="171">
                  <c:v>43342</c:v>
                </c:pt>
                <c:pt idx="172">
                  <c:v>43482</c:v>
                </c:pt>
                <c:pt idx="173">
                  <c:v>43381</c:v>
                </c:pt>
                <c:pt idx="174">
                  <c:v>43434</c:v>
                </c:pt>
                <c:pt idx="175">
                  <c:v>43406</c:v>
                </c:pt>
                <c:pt idx="176">
                  <c:v>43406</c:v>
                </c:pt>
                <c:pt idx="177">
                  <c:v>43433</c:v>
                </c:pt>
                <c:pt idx="178">
                  <c:v>43565</c:v>
                </c:pt>
                <c:pt idx="179">
                  <c:v>43566</c:v>
                </c:pt>
                <c:pt idx="180">
                  <c:v>43490</c:v>
                </c:pt>
                <c:pt idx="181">
                  <c:v>43490</c:v>
                </c:pt>
                <c:pt idx="182">
                  <c:v>43572</c:v>
                </c:pt>
                <c:pt idx="183">
                  <c:v>43571</c:v>
                </c:pt>
                <c:pt idx="184">
                  <c:v>43511</c:v>
                </c:pt>
                <c:pt idx="185">
                  <c:v>43546</c:v>
                </c:pt>
                <c:pt idx="186">
                  <c:v>43546</c:v>
                </c:pt>
                <c:pt idx="187">
                  <c:v>43546</c:v>
                </c:pt>
                <c:pt idx="188">
                  <c:v>43511</c:v>
                </c:pt>
                <c:pt idx="189">
                  <c:v>43511</c:v>
                </c:pt>
                <c:pt idx="190">
                  <c:v>43511</c:v>
                </c:pt>
                <c:pt idx="191">
                  <c:v>43509</c:v>
                </c:pt>
                <c:pt idx="192">
                  <c:v>43509</c:v>
                </c:pt>
                <c:pt idx="193">
                  <c:v>43565</c:v>
                </c:pt>
                <c:pt idx="194">
                  <c:v>43522</c:v>
                </c:pt>
                <c:pt idx="195">
                  <c:v>43516</c:v>
                </c:pt>
                <c:pt idx="196">
                  <c:v>43516</c:v>
                </c:pt>
                <c:pt idx="197">
                  <c:v>43557</c:v>
                </c:pt>
                <c:pt idx="198">
                  <c:v>43546</c:v>
                </c:pt>
                <c:pt idx="199">
                  <c:v>43546</c:v>
                </c:pt>
                <c:pt idx="200">
                  <c:v>43546</c:v>
                </c:pt>
                <c:pt idx="201">
                  <c:v>43497</c:v>
                </c:pt>
                <c:pt idx="202">
                  <c:v>43529</c:v>
                </c:pt>
                <c:pt idx="203">
                  <c:v>43543</c:v>
                </c:pt>
                <c:pt idx="204">
                  <c:v>43494</c:v>
                </c:pt>
                <c:pt idx="205">
                  <c:v>43521</c:v>
                </c:pt>
                <c:pt idx="206">
                  <c:v>43524</c:v>
                </c:pt>
                <c:pt idx="207">
                  <c:v>43545</c:v>
                </c:pt>
                <c:pt idx="208">
                  <c:v>43545</c:v>
                </c:pt>
                <c:pt idx="209">
                  <c:v>43511</c:v>
                </c:pt>
                <c:pt idx="210">
                  <c:v>43511</c:v>
                </c:pt>
                <c:pt idx="211">
                  <c:v>43511</c:v>
                </c:pt>
                <c:pt idx="212">
                  <c:v>43511</c:v>
                </c:pt>
                <c:pt idx="213">
                  <c:v>43545</c:v>
                </c:pt>
                <c:pt idx="214">
                  <c:v>43545</c:v>
                </c:pt>
                <c:pt idx="215">
                  <c:v>43509</c:v>
                </c:pt>
                <c:pt idx="216">
                  <c:v>43509</c:v>
                </c:pt>
                <c:pt idx="217">
                  <c:v>43552</c:v>
                </c:pt>
                <c:pt idx="218">
                  <c:v>43558</c:v>
                </c:pt>
                <c:pt idx="219">
                  <c:v>43558</c:v>
                </c:pt>
                <c:pt idx="220">
                  <c:v>43564</c:v>
                </c:pt>
                <c:pt idx="221">
                  <c:v>43552</c:v>
                </c:pt>
                <c:pt idx="222">
                  <c:v>43567</c:v>
                </c:pt>
                <c:pt idx="223">
                  <c:v>43528</c:v>
                </c:pt>
                <c:pt idx="224">
                  <c:v>43546</c:v>
                </c:pt>
                <c:pt idx="225">
                  <c:v>43553</c:v>
                </c:pt>
                <c:pt idx="226">
                  <c:v>43559</c:v>
                </c:pt>
                <c:pt idx="227">
                  <c:v>43560</c:v>
                </c:pt>
                <c:pt idx="228">
                  <c:v>43565</c:v>
                </c:pt>
                <c:pt idx="229">
                  <c:v>43573</c:v>
                </c:pt>
                <c:pt idx="230">
                  <c:v>43579</c:v>
                </c:pt>
                <c:pt idx="231">
                  <c:v>43572</c:v>
                </c:pt>
                <c:pt idx="232">
                  <c:v>43564</c:v>
                </c:pt>
                <c:pt idx="233">
                  <c:v>43564</c:v>
                </c:pt>
                <c:pt idx="234">
                  <c:v>43559</c:v>
                </c:pt>
                <c:pt idx="235">
                  <c:v>43529</c:v>
                </c:pt>
                <c:pt idx="236">
                  <c:v>43565</c:v>
                </c:pt>
                <c:pt idx="237">
                  <c:v>43559</c:v>
                </c:pt>
                <c:pt idx="238">
                  <c:v>43559</c:v>
                </c:pt>
                <c:pt idx="239">
                  <c:v>43570</c:v>
                </c:pt>
                <c:pt idx="240">
                  <c:v>43559</c:v>
                </c:pt>
                <c:pt idx="241">
                  <c:v>43559</c:v>
                </c:pt>
                <c:pt idx="242">
                  <c:v>43570</c:v>
                </c:pt>
                <c:pt idx="243">
                  <c:v>43556</c:v>
                </c:pt>
                <c:pt idx="244">
                  <c:v>43558</c:v>
                </c:pt>
                <c:pt idx="245">
                  <c:v>43560</c:v>
                </c:pt>
                <c:pt idx="246">
                  <c:v>43564</c:v>
                </c:pt>
                <c:pt idx="247">
                  <c:v>43563</c:v>
                </c:pt>
                <c:pt idx="248">
                  <c:v>43564</c:v>
                </c:pt>
                <c:pt idx="249">
                  <c:v>43573</c:v>
                </c:pt>
                <c:pt idx="250">
                  <c:v>43490</c:v>
                </c:pt>
                <c:pt idx="251">
                  <c:v>43567</c:v>
                </c:pt>
                <c:pt idx="252">
                  <c:v>42751</c:v>
                </c:pt>
                <c:pt idx="253">
                  <c:v>42754</c:v>
                </c:pt>
                <c:pt idx="254">
                  <c:v>42779</c:v>
                </c:pt>
                <c:pt idx="255">
                  <c:v>42795</c:v>
                </c:pt>
                <c:pt idx="256">
                  <c:v>42795</c:v>
                </c:pt>
                <c:pt idx="257">
                  <c:v>42795</c:v>
                </c:pt>
                <c:pt idx="258">
                  <c:v>42795</c:v>
                </c:pt>
                <c:pt idx="259">
                  <c:v>42846</c:v>
                </c:pt>
                <c:pt idx="260">
                  <c:v>42853</c:v>
                </c:pt>
                <c:pt idx="261">
                  <c:v>42871</c:v>
                </c:pt>
                <c:pt idx="262">
                  <c:v>42885</c:v>
                </c:pt>
                <c:pt idx="263">
                  <c:v>42906</c:v>
                </c:pt>
                <c:pt idx="264">
                  <c:v>42907</c:v>
                </c:pt>
                <c:pt idx="265">
                  <c:v>42922</c:v>
                </c:pt>
                <c:pt idx="266">
                  <c:v>42922</c:v>
                </c:pt>
                <c:pt idx="267">
                  <c:v>42933</c:v>
                </c:pt>
                <c:pt idx="268">
                  <c:v>42941</c:v>
                </c:pt>
                <c:pt idx="269">
                  <c:v>42941</c:v>
                </c:pt>
                <c:pt idx="270">
                  <c:v>42941</c:v>
                </c:pt>
                <c:pt idx="271">
                  <c:v>42942</c:v>
                </c:pt>
                <c:pt idx="272">
                  <c:v>42944</c:v>
                </c:pt>
                <c:pt idx="273">
                  <c:v>42944</c:v>
                </c:pt>
                <c:pt idx="274">
                  <c:v>42947</c:v>
                </c:pt>
                <c:pt idx="275">
                  <c:v>42949</c:v>
                </c:pt>
                <c:pt idx="276">
                  <c:v>42950</c:v>
                </c:pt>
                <c:pt idx="277">
                  <c:v>42950</c:v>
                </c:pt>
                <c:pt idx="278">
                  <c:v>42958</c:v>
                </c:pt>
                <c:pt idx="279">
                  <c:v>42961</c:v>
                </c:pt>
                <c:pt idx="280">
                  <c:v>42961</c:v>
                </c:pt>
                <c:pt idx="281">
                  <c:v>42961</c:v>
                </c:pt>
                <c:pt idx="282">
                  <c:v>42961</c:v>
                </c:pt>
                <c:pt idx="283">
                  <c:v>42965</c:v>
                </c:pt>
                <c:pt idx="284">
                  <c:v>42968</c:v>
                </c:pt>
                <c:pt idx="285">
                  <c:v>42969</c:v>
                </c:pt>
                <c:pt idx="286">
                  <c:v>42979</c:v>
                </c:pt>
                <c:pt idx="287">
                  <c:v>42979</c:v>
                </c:pt>
                <c:pt idx="288">
                  <c:v>42979</c:v>
                </c:pt>
                <c:pt idx="289">
                  <c:v>42982</c:v>
                </c:pt>
                <c:pt idx="290">
                  <c:v>42985</c:v>
                </c:pt>
                <c:pt idx="291">
                  <c:v>42985</c:v>
                </c:pt>
                <c:pt idx="292">
                  <c:v>42985</c:v>
                </c:pt>
                <c:pt idx="293">
                  <c:v>42986</c:v>
                </c:pt>
                <c:pt idx="294">
                  <c:v>42986</c:v>
                </c:pt>
                <c:pt idx="295">
                  <c:v>42986</c:v>
                </c:pt>
                <c:pt idx="296">
                  <c:v>42989</c:v>
                </c:pt>
                <c:pt idx="297">
                  <c:v>42991</c:v>
                </c:pt>
                <c:pt idx="298">
                  <c:v>43000</c:v>
                </c:pt>
                <c:pt idx="299">
                  <c:v>43003</c:v>
                </c:pt>
                <c:pt idx="300">
                  <c:v>43003</c:v>
                </c:pt>
                <c:pt idx="301">
                  <c:v>43005</c:v>
                </c:pt>
                <c:pt idx="302">
                  <c:v>43006</c:v>
                </c:pt>
                <c:pt idx="303">
                  <c:v>43007</c:v>
                </c:pt>
                <c:pt idx="304">
                  <c:v>43010</c:v>
                </c:pt>
                <c:pt idx="305">
                  <c:v>43011</c:v>
                </c:pt>
                <c:pt idx="306">
                  <c:v>43011</c:v>
                </c:pt>
                <c:pt idx="307">
                  <c:v>43011</c:v>
                </c:pt>
                <c:pt idx="308">
                  <c:v>43012</c:v>
                </c:pt>
                <c:pt idx="309">
                  <c:v>43013</c:v>
                </c:pt>
                <c:pt idx="310">
                  <c:v>43013</c:v>
                </c:pt>
                <c:pt idx="311">
                  <c:v>43013</c:v>
                </c:pt>
                <c:pt idx="312">
                  <c:v>43014</c:v>
                </c:pt>
                <c:pt idx="313">
                  <c:v>43014</c:v>
                </c:pt>
                <c:pt idx="314">
                  <c:v>43017</c:v>
                </c:pt>
                <c:pt idx="315">
                  <c:v>43017</c:v>
                </c:pt>
                <c:pt idx="316">
                  <c:v>43021</c:v>
                </c:pt>
                <c:pt idx="317">
                  <c:v>43024</c:v>
                </c:pt>
                <c:pt idx="318">
                  <c:v>43031</c:v>
                </c:pt>
                <c:pt idx="319">
                  <c:v>43032</c:v>
                </c:pt>
                <c:pt idx="320">
                  <c:v>43034</c:v>
                </c:pt>
                <c:pt idx="321">
                  <c:v>43041</c:v>
                </c:pt>
                <c:pt idx="322">
                  <c:v>43048</c:v>
                </c:pt>
                <c:pt idx="323">
                  <c:v>43048</c:v>
                </c:pt>
                <c:pt idx="324">
                  <c:v>43066</c:v>
                </c:pt>
                <c:pt idx="325">
                  <c:v>43066</c:v>
                </c:pt>
                <c:pt idx="326">
                  <c:v>43067</c:v>
                </c:pt>
                <c:pt idx="327">
                  <c:v>43090</c:v>
                </c:pt>
                <c:pt idx="328">
                  <c:v>42844</c:v>
                </c:pt>
                <c:pt idx="329">
                  <c:v>42851</c:v>
                </c:pt>
                <c:pt idx="330">
                  <c:v>42979</c:v>
                </c:pt>
                <c:pt idx="331">
                  <c:v>43021</c:v>
                </c:pt>
              </c:numCache>
            </c:numRef>
          </c:xVal>
          <c:yVal>
            <c:numRef>
              <c:f>'[1]2020 Offers chart'!$D$24:$D$355</c:f>
              <c:numCache>
                <c:formatCode>General</c:formatCode>
                <c:ptCount val="332"/>
                <c:pt idx="0">
                  <c:v>10.811913461637166</c:v>
                </c:pt>
                <c:pt idx="1">
                  <c:v>10.811913461637166</c:v>
                </c:pt>
                <c:pt idx="2">
                  <c:v>10.633290984622752</c:v>
                </c:pt>
                <c:pt idx="3">
                  <c:v>12.209371664161699</c:v>
                </c:pt>
                <c:pt idx="4">
                  <c:v>11.31625927908963</c:v>
                </c:pt>
                <c:pt idx="5">
                  <c:v>10.402132484957042</c:v>
                </c:pt>
                <c:pt idx="6">
                  <c:v>9.3198904183402984</c:v>
                </c:pt>
                <c:pt idx="7">
                  <c:v>10.258358032785976</c:v>
                </c:pt>
                <c:pt idx="8">
                  <c:v>10.013365917337435</c:v>
                </c:pt>
                <c:pt idx="9">
                  <c:v>10.107930758109772</c:v>
                </c:pt>
                <c:pt idx="10">
                  <c:v>10.486181689710424</c:v>
                </c:pt>
                <c:pt idx="11">
                  <c:v>11.265453023482726</c:v>
                </c:pt>
                <c:pt idx="12">
                  <c:v>11.146052310827747</c:v>
                </c:pt>
                <c:pt idx="13">
                  <c:v>11.284442072816743</c:v>
                </c:pt>
                <c:pt idx="14">
                  <c:v>10.118437962640034</c:v>
                </c:pt>
                <c:pt idx="15">
                  <c:v>11.239241469882828</c:v>
                </c:pt>
                <c:pt idx="16">
                  <c:v>11.239241469882828</c:v>
                </c:pt>
                <c:pt idx="17">
                  <c:v>9.5825705315967884</c:v>
                </c:pt>
                <c:pt idx="18">
                  <c:v>9.3198904183402984</c:v>
                </c:pt>
                <c:pt idx="19">
                  <c:v>10.3987</c:v>
                </c:pt>
                <c:pt idx="20">
                  <c:v>10.119400000000001</c:v>
                </c:pt>
                <c:pt idx="21">
                  <c:v>9.8232999999999997</c:v>
                </c:pt>
                <c:pt idx="22">
                  <c:v>9.3514120319310781</c:v>
                </c:pt>
                <c:pt idx="23">
                  <c:v>8.9122588761531976</c:v>
                </c:pt>
                <c:pt idx="24">
                  <c:v>10.225356985594765</c:v>
                </c:pt>
                <c:pt idx="25">
                  <c:v>9.1</c:v>
                </c:pt>
                <c:pt idx="26">
                  <c:v>9.3000000000000007</c:v>
                </c:pt>
                <c:pt idx="27">
                  <c:v>9.75</c:v>
                </c:pt>
                <c:pt idx="28">
                  <c:v>10.64</c:v>
                </c:pt>
                <c:pt idx="29">
                  <c:v>10.69</c:v>
                </c:pt>
                <c:pt idx="30">
                  <c:v>10.95</c:v>
                </c:pt>
                <c:pt idx="31">
                  <c:v>10.75</c:v>
                </c:pt>
                <c:pt idx="32">
                  <c:v>9.8531745943905147</c:v>
                </c:pt>
                <c:pt idx="33">
                  <c:v>10.258358032785976</c:v>
                </c:pt>
                <c:pt idx="34">
                  <c:v>10.6</c:v>
                </c:pt>
                <c:pt idx="35">
                  <c:v>10.356641074470232</c:v>
                </c:pt>
                <c:pt idx="36">
                  <c:v>10.70094257894219</c:v>
                </c:pt>
                <c:pt idx="37">
                  <c:v>11.307269897079019</c:v>
                </c:pt>
                <c:pt idx="38">
                  <c:v>11.726834642796238</c:v>
                </c:pt>
                <c:pt idx="39">
                  <c:v>10.877216032718872</c:v>
                </c:pt>
                <c:pt idx="40">
                  <c:v>10.987327966502425</c:v>
                </c:pt>
                <c:pt idx="41">
                  <c:v>10.936749999999996</c:v>
                </c:pt>
                <c:pt idx="42">
                  <c:v>10.813749999999997</c:v>
                </c:pt>
                <c:pt idx="43">
                  <c:v>11.163826663854007</c:v>
                </c:pt>
                <c:pt idx="44">
                  <c:v>10.4</c:v>
                </c:pt>
                <c:pt idx="45">
                  <c:v>10.52</c:v>
                </c:pt>
                <c:pt idx="46">
                  <c:v>9.3108234352148518</c:v>
                </c:pt>
                <c:pt idx="47">
                  <c:v>11.059339620828746</c:v>
                </c:pt>
                <c:pt idx="48">
                  <c:v>11.662589773180088</c:v>
                </c:pt>
                <c:pt idx="49">
                  <c:v>12.261508961147278</c:v>
                </c:pt>
                <c:pt idx="50">
                  <c:v>11.457406345871789</c:v>
                </c:pt>
                <c:pt idx="51">
                  <c:v>11.39</c:v>
                </c:pt>
                <c:pt idx="52">
                  <c:v>10.534830560967814</c:v>
                </c:pt>
                <c:pt idx="53">
                  <c:v>10.006619185355643</c:v>
                </c:pt>
                <c:pt idx="54">
                  <c:v>10.594009829359749</c:v>
                </c:pt>
                <c:pt idx="55">
                  <c:v>11.296780778436087</c:v>
                </c:pt>
                <c:pt idx="56">
                  <c:v>9.66047827013894</c:v>
                </c:pt>
                <c:pt idx="57">
                  <c:v>8.8318378973474339</c:v>
                </c:pt>
                <c:pt idx="58">
                  <c:v>9.6499891514960083</c:v>
                </c:pt>
                <c:pt idx="59">
                  <c:v>9.3667829481368869</c:v>
                </c:pt>
                <c:pt idx="60">
                  <c:v>11.328248134364882</c:v>
                </c:pt>
                <c:pt idx="61">
                  <c:v>9.4198000868841731</c:v>
                </c:pt>
                <c:pt idx="62">
                  <c:v>10.13248860907081</c:v>
                </c:pt>
                <c:pt idx="63">
                  <c:v>9.5696179498915406</c:v>
                </c:pt>
                <c:pt idx="64">
                  <c:v>10.210520980640105</c:v>
                </c:pt>
                <c:pt idx="65">
                  <c:v>10.514653733060092</c:v>
                </c:pt>
                <c:pt idx="66">
                  <c:v>10.545292160333224</c:v>
                </c:pt>
                <c:pt idx="67">
                  <c:v>10.534830560967814</c:v>
                </c:pt>
                <c:pt idx="68">
                  <c:v>10.534830560967814</c:v>
                </c:pt>
                <c:pt idx="69">
                  <c:v>10.419752967948305</c:v>
                </c:pt>
                <c:pt idx="70">
                  <c:v>10.775447346372243</c:v>
                </c:pt>
                <c:pt idx="71">
                  <c:v>9.4714888546244023</c:v>
                </c:pt>
                <c:pt idx="72">
                  <c:v>9.4714888546244023</c:v>
                </c:pt>
                <c:pt idx="73">
                  <c:v>9.990827393966498</c:v>
                </c:pt>
                <c:pt idx="74">
                  <c:v>10.043135390793546</c:v>
                </c:pt>
                <c:pt idx="75">
                  <c:v>10.336060173025027</c:v>
                </c:pt>
                <c:pt idx="76">
                  <c:v>10.336060173025027</c:v>
                </c:pt>
                <c:pt idx="77">
                  <c:v>10.57865295395769</c:v>
                </c:pt>
                <c:pt idx="78">
                  <c:v>10.466287951913694</c:v>
                </c:pt>
                <c:pt idx="79">
                  <c:v>10.20935690275248</c:v>
                </c:pt>
                <c:pt idx="80">
                  <c:v>10.639446554621912</c:v>
                </c:pt>
                <c:pt idx="81">
                  <c:v>10.20935690275248</c:v>
                </c:pt>
                <c:pt idx="82">
                  <c:v>9.990827393966498</c:v>
                </c:pt>
                <c:pt idx="83">
                  <c:v>9.7478876138591257</c:v>
                </c:pt>
                <c:pt idx="84">
                  <c:v>10.273290576832565</c:v>
                </c:pt>
                <c:pt idx="85">
                  <c:v>10.283752176197975</c:v>
                </c:pt>
                <c:pt idx="86">
                  <c:v>10.074520188889778</c:v>
                </c:pt>
                <c:pt idx="87">
                  <c:v>10.064058589524365</c:v>
                </c:pt>
                <c:pt idx="88">
                  <c:v>10.346521772390435</c:v>
                </c:pt>
                <c:pt idx="89">
                  <c:v>10.346521772390435</c:v>
                </c:pt>
                <c:pt idx="90">
                  <c:v>10.090532134499087</c:v>
                </c:pt>
                <c:pt idx="91">
                  <c:v>10.520585998859234</c:v>
                </c:pt>
                <c:pt idx="92">
                  <c:v>10.489118642930444</c:v>
                </c:pt>
                <c:pt idx="93">
                  <c:v>10.457651287001655</c:v>
                </c:pt>
                <c:pt idx="94">
                  <c:v>10.006619185355643</c:v>
                </c:pt>
                <c:pt idx="95">
                  <c:v>9.8492824057116888</c:v>
                </c:pt>
                <c:pt idx="96">
                  <c:v>9.7653694565682443</c:v>
                </c:pt>
                <c:pt idx="97">
                  <c:v>9.66047827013894</c:v>
                </c:pt>
                <c:pt idx="98">
                  <c:v>9.9017279989263383</c:v>
                </c:pt>
                <c:pt idx="99">
                  <c:v>9.7397490091966574</c:v>
                </c:pt>
                <c:pt idx="100">
                  <c:v>10.869601740660931</c:v>
                </c:pt>
                <c:pt idx="101">
                  <c:v>10.900986538757161</c:v>
                </c:pt>
                <c:pt idx="102">
                  <c:v>12.577998853541532</c:v>
                </c:pt>
                <c:pt idx="103">
                  <c:v>12.577998853541532</c:v>
                </c:pt>
                <c:pt idx="104">
                  <c:v>12.809002309595165</c:v>
                </c:pt>
                <c:pt idx="105">
                  <c:v>10.461922330097087</c:v>
                </c:pt>
                <c:pt idx="106">
                  <c:v>12.710137542511903</c:v>
                </c:pt>
                <c:pt idx="107">
                  <c:v>10.767503949447077</c:v>
                </c:pt>
                <c:pt idx="108">
                  <c:v>10.3</c:v>
                </c:pt>
                <c:pt idx="109">
                  <c:v>10.3</c:v>
                </c:pt>
                <c:pt idx="110">
                  <c:v>9.4154394288689502</c:v>
                </c:pt>
                <c:pt idx="111">
                  <c:v>10.562396480037812</c:v>
                </c:pt>
                <c:pt idx="112">
                  <c:v>10.520550082576172</c:v>
                </c:pt>
                <c:pt idx="113">
                  <c:v>10.301308627352938</c:v>
                </c:pt>
                <c:pt idx="114">
                  <c:v>9.7996039892636357</c:v>
                </c:pt>
                <c:pt idx="115">
                  <c:v>10.907629259096341</c:v>
                </c:pt>
                <c:pt idx="116">
                  <c:v>10.077230459499232</c:v>
                </c:pt>
                <c:pt idx="117">
                  <c:v>10.032442768568124</c:v>
                </c:pt>
                <c:pt idx="118">
                  <c:v>11.758924432067714</c:v>
                </c:pt>
                <c:pt idx="119">
                  <c:v>10.390744296016987</c:v>
                </c:pt>
                <c:pt idx="120">
                  <c:v>10.374045170767536</c:v>
                </c:pt>
                <c:pt idx="121">
                  <c:v>10.845748676790079</c:v>
                </c:pt>
                <c:pt idx="122">
                  <c:v>10.562542473430959</c:v>
                </c:pt>
                <c:pt idx="123">
                  <c:v>9.9349999999999987</c:v>
                </c:pt>
                <c:pt idx="124">
                  <c:v>10.687835905081913</c:v>
                </c:pt>
                <c:pt idx="125">
                  <c:v>10.51</c:v>
                </c:pt>
                <c:pt idx="126">
                  <c:v>11.549999999999999</c:v>
                </c:pt>
                <c:pt idx="127">
                  <c:v>12.396261210014982</c:v>
                </c:pt>
                <c:pt idx="128">
                  <c:v>12.396261210014982</c:v>
                </c:pt>
                <c:pt idx="129">
                  <c:v>11.549999999999999</c:v>
                </c:pt>
                <c:pt idx="130">
                  <c:v>11.549999999999999</c:v>
                </c:pt>
                <c:pt idx="131">
                  <c:v>8.9</c:v>
                </c:pt>
                <c:pt idx="132">
                  <c:v>10.52</c:v>
                </c:pt>
                <c:pt idx="133">
                  <c:v>14.51964188510788</c:v>
                </c:pt>
                <c:pt idx="134">
                  <c:v>11.310010098743266</c:v>
                </c:pt>
                <c:pt idx="135">
                  <c:v>10.165759967052983</c:v>
                </c:pt>
                <c:pt idx="136">
                  <c:v>11.954809505345626</c:v>
                </c:pt>
                <c:pt idx="137">
                  <c:v>12.219754885086742</c:v>
                </c:pt>
                <c:pt idx="138">
                  <c:v>12.336062948307493</c:v>
                </c:pt>
                <c:pt idx="139">
                  <c:v>10.23</c:v>
                </c:pt>
                <c:pt idx="140">
                  <c:v>11.190574084199016</c:v>
                </c:pt>
                <c:pt idx="141">
                  <c:v>9.3083519600240141</c:v>
                </c:pt>
                <c:pt idx="142">
                  <c:v>9.5414770538349902</c:v>
                </c:pt>
                <c:pt idx="143">
                  <c:v>9.4154394288689502</c:v>
                </c:pt>
                <c:pt idx="144">
                  <c:v>11.057910529238312</c:v>
                </c:pt>
                <c:pt idx="145">
                  <c:v>11.455451305123889</c:v>
                </c:pt>
                <c:pt idx="146">
                  <c:v>10.283752176197975</c:v>
                </c:pt>
                <c:pt idx="147">
                  <c:v>11.184691427289048</c:v>
                </c:pt>
                <c:pt idx="148">
                  <c:v>11.247350763016156</c:v>
                </c:pt>
                <c:pt idx="149">
                  <c:v>11.372669434470376</c:v>
                </c:pt>
                <c:pt idx="150">
                  <c:v>11.926160233393176</c:v>
                </c:pt>
                <c:pt idx="151">
                  <c:v>11.372669434470376</c:v>
                </c:pt>
                <c:pt idx="152">
                  <c:v>11.122032091561938</c:v>
                </c:pt>
                <c:pt idx="153">
                  <c:v>11.247350763016156</c:v>
                </c:pt>
                <c:pt idx="154">
                  <c:v>10.785908945737653</c:v>
                </c:pt>
                <c:pt idx="155">
                  <c:v>11.247350763016156</c:v>
                </c:pt>
                <c:pt idx="156">
                  <c:v>11.016064131776671</c:v>
                </c:pt>
                <c:pt idx="157">
                  <c:v>10.754524147641423</c:v>
                </c:pt>
                <c:pt idx="158">
                  <c:v>10.628984955256504</c:v>
                </c:pt>
                <c:pt idx="159">
                  <c:v>10.610314183123878</c:v>
                </c:pt>
                <c:pt idx="160">
                  <c:v>11.748625448833034</c:v>
                </c:pt>
                <c:pt idx="161">
                  <c:v>10.547654847396768</c:v>
                </c:pt>
                <c:pt idx="162">
                  <c:v>10.566215359064044</c:v>
                </c:pt>
                <c:pt idx="163">
                  <c:v>11.34133976660682</c:v>
                </c:pt>
                <c:pt idx="164">
                  <c:v>11.456215215439856</c:v>
                </c:pt>
                <c:pt idx="165">
                  <c:v>11.456215215439856</c:v>
                </c:pt>
                <c:pt idx="166">
                  <c:v>11.184691427289048</c:v>
                </c:pt>
                <c:pt idx="167">
                  <c:v>11.184691427289048</c:v>
                </c:pt>
                <c:pt idx="168">
                  <c:v>10.733600948910603</c:v>
                </c:pt>
                <c:pt idx="169">
                  <c:v>10.712677750179783</c:v>
                </c:pt>
                <c:pt idx="170">
                  <c:v>11.090702423698382</c:v>
                </c:pt>
                <c:pt idx="171">
                  <c:v>10.346521772390435</c:v>
                </c:pt>
                <c:pt idx="172">
                  <c:v>9.7389738310264953</c:v>
                </c:pt>
                <c:pt idx="173">
                  <c:v>9.2014190192998182</c:v>
                </c:pt>
                <c:pt idx="174">
                  <c:v>10.756519299820464</c:v>
                </c:pt>
                <c:pt idx="175">
                  <c:v>11.069815978456012</c:v>
                </c:pt>
                <c:pt idx="176">
                  <c:v>11.069815978456012</c:v>
                </c:pt>
                <c:pt idx="177">
                  <c:v>11.487544883303409</c:v>
                </c:pt>
                <c:pt idx="178">
                  <c:v>10.8</c:v>
                </c:pt>
                <c:pt idx="179">
                  <c:v>10.4</c:v>
                </c:pt>
                <c:pt idx="180">
                  <c:v>9.5414770538349902</c:v>
                </c:pt>
                <c:pt idx="181">
                  <c:v>9.3083519600240141</c:v>
                </c:pt>
                <c:pt idx="182">
                  <c:v>10.8</c:v>
                </c:pt>
                <c:pt idx="183">
                  <c:v>10.7</c:v>
                </c:pt>
                <c:pt idx="184">
                  <c:v>11.244367262320811</c:v>
                </c:pt>
                <c:pt idx="185">
                  <c:v>10.804014081738121</c:v>
                </c:pt>
                <c:pt idx="186">
                  <c:v>10.650402507116253</c:v>
                </c:pt>
                <c:pt idx="187">
                  <c:v>11.531108868281633</c:v>
                </c:pt>
                <c:pt idx="188">
                  <c:v>10.896181026511243</c:v>
                </c:pt>
                <c:pt idx="189">
                  <c:v>10.824495625021036</c:v>
                </c:pt>
                <c:pt idx="190">
                  <c:v>10.824495625021036</c:v>
                </c:pt>
                <c:pt idx="191">
                  <c:v>11.644143453652697</c:v>
                </c:pt>
                <c:pt idx="192">
                  <c:v>11.397978836942681</c:v>
                </c:pt>
                <c:pt idx="193">
                  <c:v>10.991968396857621</c:v>
                </c:pt>
                <c:pt idx="194">
                  <c:v>10.773291766813745</c:v>
                </c:pt>
                <c:pt idx="195">
                  <c:v>10.957625656359989</c:v>
                </c:pt>
                <c:pt idx="196">
                  <c:v>9.7389738310264953</c:v>
                </c:pt>
                <c:pt idx="197">
                  <c:v>9.2006846581104504</c:v>
                </c:pt>
                <c:pt idx="198">
                  <c:v>10.834736396662494</c:v>
                </c:pt>
                <c:pt idx="199">
                  <c:v>12.360611371239727</c:v>
                </c:pt>
                <c:pt idx="200">
                  <c:v>11.070274144416027</c:v>
                </c:pt>
                <c:pt idx="201">
                  <c:v>11.587125889160408</c:v>
                </c:pt>
                <c:pt idx="202">
                  <c:v>11.653998127979131</c:v>
                </c:pt>
                <c:pt idx="203">
                  <c:v>11.623275813054754</c:v>
                </c:pt>
                <c:pt idx="204">
                  <c:v>11.791941321989567</c:v>
                </c:pt>
                <c:pt idx="205">
                  <c:v>11.514699999999999</c:v>
                </c:pt>
                <c:pt idx="206">
                  <c:v>11.4</c:v>
                </c:pt>
                <c:pt idx="207">
                  <c:v>10.906421798152699</c:v>
                </c:pt>
                <c:pt idx="208">
                  <c:v>11.00882951456728</c:v>
                </c:pt>
                <c:pt idx="209">
                  <c:v>10.957625656359989</c:v>
                </c:pt>
                <c:pt idx="210">
                  <c:v>10.865458711586868</c:v>
                </c:pt>
                <c:pt idx="211">
                  <c:v>10.916662569794157</c:v>
                </c:pt>
                <c:pt idx="212">
                  <c:v>10.865458711586868</c:v>
                </c:pt>
                <c:pt idx="213">
                  <c:v>10.865458711586868</c:v>
                </c:pt>
                <c:pt idx="214">
                  <c:v>10.824495625021036</c:v>
                </c:pt>
                <c:pt idx="215">
                  <c:v>10.824495625021036</c:v>
                </c:pt>
                <c:pt idx="216">
                  <c:v>10.906421798152699</c:v>
                </c:pt>
                <c:pt idx="217">
                  <c:v>11.25460803396227</c:v>
                </c:pt>
                <c:pt idx="218">
                  <c:v>11.083568133498099</c:v>
                </c:pt>
                <c:pt idx="219">
                  <c:v>11.236234361232233</c:v>
                </c:pt>
                <c:pt idx="220">
                  <c:v>10.910546408732751</c:v>
                </c:pt>
                <c:pt idx="221">
                  <c:v>11.00882951456728</c:v>
                </c:pt>
                <c:pt idx="222">
                  <c:v>11.297300852325888</c:v>
                </c:pt>
                <c:pt idx="223">
                  <c:v>11.71</c:v>
                </c:pt>
                <c:pt idx="224">
                  <c:v>11.68311475409836</c:v>
                </c:pt>
                <c:pt idx="225">
                  <c:v>11.190845199167427</c:v>
                </c:pt>
                <c:pt idx="226">
                  <c:v>10.82</c:v>
                </c:pt>
                <c:pt idx="227">
                  <c:v>12.132944894199959</c:v>
                </c:pt>
                <c:pt idx="228">
                  <c:v>12.063583538066082</c:v>
                </c:pt>
                <c:pt idx="229">
                  <c:v>10.798591175061052</c:v>
                </c:pt>
                <c:pt idx="230">
                  <c:v>10.798591175061052</c:v>
                </c:pt>
                <c:pt idx="231">
                  <c:v>10.4</c:v>
                </c:pt>
                <c:pt idx="232">
                  <c:v>10.686635941389353</c:v>
                </c:pt>
                <c:pt idx="233">
                  <c:v>11.195523367169798</c:v>
                </c:pt>
                <c:pt idx="234">
                  <c:v>10.991968396857621</c:v>
                </c:pt>
                <c:pt idx="235">
                  <c:v>10.86</c:v>
                </c:pt>
                <c:pt idx="236">
                  <c:v>10.88</c:v>
                </c:pt>
                <c:pt idx="237">
                  <c:v>10.53</c:v>
                </c:pt>
                <c:pt idx="238">
                  <c:v>10.73</c:v>
                </c:pt>
                <c:pt idx="239">
                  <c:v>10.7</c:v>
                </c:pt>
                <c:pt idx="240">
                  <c:v>10.53</c:v>
                </c:pt>
                <c:pt idx="241">
                  <c:v>10.73</c:v>
                </c:pt>
                <c:pt idx="242">
                  <c:v>10.7</c:v>
                </c:pt>
                <c:pt idx="243">
                  <c:v>10.97</c:v>
                </c:pt>
                <c:pt idx="244">
                  <c:v>10.97</c:v>
                </c:pt>
                <c:pt idx="245">
                  <c:v>10.72</c:v>
                </c:pt>
                <c:pt idx="246">
                  <c:v>10.72</c:v>
                </c:pt>
                <c:pt idx="247">
                  <c:v>11.663699798887809</c:v>
                </c:pt>
                <c:pt idx="248">
                  <c:v>11.500855822638066</c:v>
                </c:pt>
                <c:pt idx="249">
                  <c:v>12.346219614344541</c:v>
                </c:pt>
                <c:pt idx="250">
                  <c:v>7.7522641325836572</c:v>
                </c:pt>
                <c:pt idx="251">
                  <c:v>10.991968396857621</c:v>
                </c:pt>
                <c:pt idx="252">
                  <c:v>12.922958582782099</c:v>
                </c:pt>
                <c:pt idx="253">
                  <c:v>11.548745549496465</c:v>
                </c:pt>
                <c:pt idx="254">
                  <c:v>10.446365292499074</c:v>
                </c:pt>
                <c:pt idx="255">
                  <c:v>20.353309637874837</c:v>
                </c:pt>
                <c:pt idx="256">
                  <c:v>20.97819005714036</c:v>
                </c:pt>
                <c:pt idx="257">
                  <c:v>19.843369568932538</c:v>
                </c:pt>
                <c:pt idx="258">
                  <c:v>19.70404970216725</c:v>
                </c:pt>
                <c:pt idx="259">
                  <c:v>12.45</c:v>
                </c:pt>
                <c:pt idx="260">
                  <c:v>13.85</c:v>
                </c:pt>
                <c:pt idx="261">
                  <c:v>12.7</c:v>
                </c:pt>
                <c:pt idx="262">
                  <c:v>11.5</c:v>
                </c:pt>
                <c:pt idx="263">
                  <c:v>11.7</c:v>
                </c:pt>
                <c:pt idx="264">
                  <c:v>12.297388666130853</c:v>
                </c:pt>
                <c:pt idx="265">
                  <c:v>10.436025476229808</c:v>
                </c:pt>
                <c:pt idx="266">
                  <c:v>10.25</c:v>
                </c:pt>
                <c:pt idx="267">
                  <c:v>12.58584672433315</c:v>
                </c:pt>
                <c:pt idx="268">
                  <c:v>18.427188307583776</c:v>
                </c:pt>
                <c:pt idx="269">
                  <c:v>10.822158418850309</c:v>
                </c:pt>
                <c:pt idx="270">
                  <c:v>11.250035463375733</c:v>
                </c:pt>
                <c:pt idx="271">
                  <c:v>11.3</c:v>
                </c:pt>
                <c:pt idx="272">
                  <c:v>8.5369653265922203</c:v>
                </c:pt>
                <c:pt idx="273">
                  <c:v>9.6302756860851275</c:v>
                </c:pt>
                <c:pt idx="274">
                  <c:v>19.159251332798473</c:v>
                </c:pt>
                <c:pt idx="275">
                  <c:v>11.6235</c:v>
                </c:pt>
                <c:pt idx="276">
                  <c:v>14.217272482897366</c:v>
                </c:pt>
                <c:pt idx="277">
                  <c:v>10.38325</c:v>
                </c:pt>
                <c:pt idx="278">
                  <c:v>11.083059055756054</c:v>
                </c:pt>
                <c:pt idx="279">
                  <c:v>15.091849521940212</c:v>
                </c:pt>
                <c:pt idx="280">
                  <c:v>14.946580047311096</c:v>
                </c:pt>
                <c:pt idx="281">
                  <c:v>14.833662251658287</c:v>
                </c:pt>
                <c:pt idx="282">
                  <c:v>12.366690189332324</c:v>
                </c:pt>
                <c:pt idx="283">
                  <c:v>8.4820184251379018</c:v>
                </c:pt>
                <c:pt idx="284">
                  <c:v>11.051750979327366</c:v>
                </c:pt>
                <c:pt idx="285">
                  <c:v>9</c:v>
                </c:pt>
                <c:pt idx="286">
                  <c:v>11.98055724671182</c:v>
                </c:pt>
                <c:pt idx="287">
                  <c:v>12.324946087427403</c:v>
                </c:pt>
                <c:pt idx="288">
                  <c:v>11.865760966473292</c:v>
                </c:pt>
                <c:pt idx="289">
                  <c:v>12.876012062852865</c:v>
                </c:pt>
                <c:pt idx="290">
                  <c:v>13.065842513752365</c:v>
                </c:pt>
                <c:pt idx="291">
                  <c:v>10.40471739980112</c:v>
                </c:pt>
                <c:pt idx="292">
                  <c:v>10.37340932337243</c:v>
                </c:pt>
                <c:pt idx="293">
                  <c:v>10.5</c:v>
                </c:pt>
                <c:pt idx="294">
                  <c:v>10.822158418850309</c:v>
                </c:pt>
                <c:pt idx="295">
                  <c:v>11.250035463375733</c:v>
                </c:pt>
                <c:pt idx="296">
                  <c:v>11.229163412423274</c:v>
                </c:pt>
                <c:pt idx="297">
                  <c:v>11.124985453241303</c:v>
                </c:pt>
                <c:pt idx="298">
                  <c:v>11.083059055756054</c:v>
                </c:pt>
                <c:pt idx="299">
                  <c:v>9.7055036928937231</c:v>
                </c:pt>
                <c:pt idx="300">
                  <c:v>11.709220584329845</c:v>
                </c:pt>
                <c:pt idx="301">
                  <c:v>11.343959692661802</c:v>
                </c:pt>
                <c:pt idx="302">
                  <c:v>8.7503189182293628</c:v>
                </c:pt>
                <c:pt idx="303">
                  <c:v>13.133927327254142</c:v>
                </c:pt>
                <c:pt idx="304">
                  <c:v>12.75689981900347</c:v>
                </c:pt>
                <c:pt idx="305">
                  <c:v>10.71125</c:v>
                </c:pt>
                <c:pt idx="306">
                  <c:v>12.149117001828154</c:v>
                </c:pt>
                <c:pt idx="307">
                  <c:v>12.096930073126142</c:v>
                </c:pt>
                <c:pt idx="308">
                  <c:v>11.710746800731261</c:v>
                </c:pt>
                <c:pt idx="309">
                  <c:v>12.485317444479163</c:v>
                </c:pt>
                <c:pt idx="310">
                  <c:v>11.241064442413162</c:v>
                </c:pt>
                <c:pt idx="311">
                  <c:v>11.282813985374771</c:v>
                </c:pt>
                <c:pt idx="312">
                  <c:v>10.66</c:v>
                </c:pt>
                <c:pt idx="313">
                  <c:v>11.408062614259597</c:v>
                </c:pt>
                <c:pt idx="314">
                  <c:v>12.524862888482632</c:v>
                </c:pt>
                <c:pt idx="315">
                  <c:v>11.178440127970749</c:v>
                </c:pt>
                <c:pt idx="316">
                  <c:v>11.094941042047532</c:v>
                </c:pt>
                <c:pt idx="317">
                  <c:v>10</c:v>
                </c:pt>
                <c:pt idx="318">
                  <c:v>12.356038174131625</c:v>
                </c:pt>
                <c:pt idx="319">
                  <c:v>10.687882998171846</c:v>
                </c:pt>
                <c:pt idx="320">
                  <c:v>11.49025</c:v>
                </c:pt>
                <c:pt idx="321">
                  <c:v>10.26</c:v>
                </c:pt>
                <c:pt idx="322">
                  <c:v>9.9374349634369281</c:v>
                </c:pt>
                <c:pt idx="323">
                  <c:v>10.667008226691042</c:v>
                </c:pt>
                <c:pt idx="324">
                  <c:v>9.5637765539305288</c:v>
                </c:pt>
                <c:pt idx="325">
                  <c:v>10</c:v>
                </c:pt>
                <c:pt idx="326">
                  <c:v>10.425591494515539</c:v>
                </c:pt>
                <c:pt idx="327">
                  <c:v>8.8000000000000007</c:v>
                </c:pt>
                <c:pt idx="328">
                  <c:v>19.674840613639603</c:v>
                </c:pt>
                <c:pt idx="329">
                  <c:v>17.583641323880968</c:v>
                </c:pt>
                <c:pt idx="330">
                  <c:v>13.263333292501207</c:v>
                </c:pt>
                <c:pt idx="331">
                  <c:v>12.79675678702011</c:v>
                </c:pt>
              </c:numCache>
            </c:numRef>
          </c:yVal>
          <c:smooth val="0"/>
          <c:extLst xmlns:c16r2="http://schemas.microsoft.com/office/drawing/2015/06/chart">
            <c:ext xmlns:c16="http://schemas.microsoft.com/office/drawing/2014/chart" uri="{C3380CC4-5D6E-409C-BE32-E72D297353CC}">
              <c16:uniqueId val="{00000000-29A8-49C0-8F82-4F2CBA47C714}"/>
            </c:ext>
          </c:extLst>
        </c:ser>
        <c:ser>
          <c:idx val="1"/>
          <c:order val="1"/>
          <c:tx>
            <c:v>Producer Offers</c:v>
          </c:tx>
          <c:spPr>
            <a:ln w="28575" cap="rnd">
              <a:noFill/>
              <a:round/>
            </a:ln>
            <a:effectLst/>
          </c:spPr>
          <c:marker>
            <c:symbol val="circle"/>
            <c:size val="5"/>
            <c:spPr>
              <a:solidFill>
                <a:srgbClr val="9ED9DF"/>
              </a:solidFill>
              <a:ln w="9525">
                <a:noFill/>
              </a:ln>
              <a:effectLst/>
            </c:spPr>
          </c:marker>
          <c:xVal>
            <c:numRef>
              <c:f>'[1]2020 Offers chart'!$P$24:$P$146</c:f>
              <c:numCache>
                <c:formatCode>General</c:formatCode>
                <c:ptCount val="123"/>
                <c:pt idx="0">
                  <c:v>43157</c:v>
                </c:pt>
                <c:pt idx="1">
                  <c:v>43188</c:v>
                </c:pt>
                <c:pt idx="2">
                  <c:v>43208</c:v>
                </c:pt>
                <c:pt idx="3">
                  <c:v>43199</c:v>
                </c:pt>
                <c:pt idx="4">
                  <c:v>43203</c:v>
                </c:pt>
                <c:pt idx="5">
                  <c:v>43335</c:v>
                </c:pt>
                <c:pt idx="6">
                  <c:v>43285</c:v>
                </c:pt>
                <c:pt idx="7">
                  <c:v>43321</c:v>
                </c:pt>
                <c:pt idx="8">
                  <c:v>43285</c:v>
                </c:pt>
                <c:pt idx="9">
                  <c:v>43286</c:v>
                </c:pt>
                <c:pt idx="10">
                  <c:v>43227</c:v>
                </c:pt>
                <c:pt idx="11">
                  <c:v>43241</c:v>
                </c:pt>
                <c:pt idx="12">
                  <c:v>43241</c:v>
                </c:pt>
                <c:pt idx="13">
                  <c:v>43259</c:v>
                </c:pt>
                <c:pt idx="14">
                  <c:v>43255</c:v>
                </c:pt>
                <c:pt idx="15">
                  <c:v>43255</c:v>
                </c:pt>
                <c:pt idx="16">
                  <c:v>43215</c:v>
                </c:pt>
                <c:pt idx="17">
                  <c:v>43237</c:v>
                </c:pt>
                <c:pt idx="18">
                  <c:v>43234</c:v>
                </c:pt>
                <c:pt idx="19">
                  <c:v>43236</c:v>
                </c:pt>
                <c:pt idx="20">
                  <c:v>43310</c:v>
                </c:pt>
                <c:pt idx="21">
                  <c:v>43256</c:v>
                </c:pt>
                <c:pt idx="22">
                  <c:v>43245</c:v>
                </c:pt>
                <c:pt idx="23">
                  <c:v>43301</c:v>
                </c:pt>
                <c:pt idx="24">
                  <c:v>43313</c:v>
                </c:pt>
                <c:pt idx="25">
                  <c:v>43245</c:v>
                </c:pt>
                <c:pt idx="26">
                  <c:v>43221</c:v>
                </c:pt>
                <c:pt idx="27">
                  <c:v>43221</c:v>
                </c:pt>
                <c:pt idx="28">
                  <c:v>43234</c:v>
                </c:pt>
                <c:pt idx="29">
                  <c:v>43326</c:v>
                </c:pt>
                <c:pt idx="30">
                  <c:v>43301</c:v>
                </c:pt>
                <c:pt idx="31">
                  <c:v>43378</c:v>
                </c:pt>
                <c:pt idx="32">
                  <c:v>43424</c:v>
                </c:pt>
                <c:pt idx="33">
                  <c:v>43431</c:v>
                </c:pt>
                <c:pt idx="34">
                  <c:v>43474</c:v>
                </c:pt>
                <c:pt idx="35">
                  <c:v>43423</c:v>
                </c:pt>
                <c:pt idx="36">
                  <c:v>43423</c:v>
                </c:pt>
                <c:pt idx="37">
                  <c:v>43488</c:v>
                </c:pt>
                <c:pt idx="38">
                  <c:v>43424</c:v>
                </c:pt>
                <c:pt idx="39">
                  <c:v>43382</c:v>
                </c:pt>
                <c:pt idx="40">
                  <c:v>43389</c:v>
                </c:pt>
                <c:pt idx="41">
                  <c:v>43378</c:v>
                </c:pt>
                <c:pt idx="42">
                  <c:v>43418</c:v>
                </c:pt>
                <c:pt idx="43">
                  <c:v>43451</c:v>
                </c:pt>
                <c:pt idx="44">
                  <c:v>43355</c:v>
                </c:pt>
                <c:pt idx="45">
                  <c:v>43350</c:v>
                </c:pt>
                <c:pt idx="46">
                  <c:v>43368</c:v>
                </c:pt>
                <c:pt idx="47">
                  <c:v>43531</c:v>
                </c:pt>
                <c:pt idx="48">
                  <c:v>43514</c:v>
                </c:pt>
                <c:pt idx="49">
                  <c:v>43546</c:v>
                </c:pt>
                <c:pt idx="50">
                  <c:v>43510</c:v>
                </c:pt>
                <c:pt idx="51">
                  <c:v>43525</c:v>
                </c:pt>
                <c:pt idx="52">
                  <c:v>43516</c:v>
                </c:pt>
                <c:pt idx="53">
                  <c:v>43559</c:v>
                </c:pt>
                <c:pt idx="54">
                  <c:v>43539</c:v>
                </c:pt>
                <c:pt idx="55">
                  <c:v>43507</c:v>
                </c:pt>
                <c:pt idx="56">
                  <c:v>43494</c:v>
                </c:pt>
                <c:pt idx="57">
                  <c:v>43494</c:v>
                </c:pt>
                <c:pt idx="58">
                  <c:v>43494</c:v>
                </c:pt>
                <c:pt idx="59">
                  <c:v>43494</c:v>
                </c:pt>
                <c:pt idx="60">
                  <c:v>43599</c:v>
                </c:pt>
                <c:pt idx="61">
                  <c:v>43508</c:v>
                </c:pt>
                <c:pt idx="62">
                  <c:v>43528</c:v>
                </c:pt>
                <c:pt idx="63">
                  <c:v>43571</c:v>
                </c:pt>
                <c:pt idx="64">
                  <c:v>43579</c:v>
                </c:pt>
                <c:pt idx="65">
                  <c:v>43524</c:v>
                </c:pt>
                <c:pt idx="66">
                  <c:v>43494</c:v>
                </c:pt>
                <c:pt idx="67">
                  <c:v>43544</c:v>
                </c:pt>
                <c:pt idx="68">
                  <c:v>43488</c:v>
                </c:pt>
                <c:pt idx="69">
                  <c:v>43551</c:v>
                </c:pt>
                <c:pt idx="70">
                  <c:v>42935</c:v>
                </c:pt>
                <c:pt idx="71">
                  <c:v>42943</c:v>
                </c:pt>
                <c:pt idx="72">
                  <c:v>42943</c:v>
                </c:pt>
                <c:pt idx="73">
                  <c:v>42943</c:v>
                </c:pt>
                <c:pt idx="74">
                  <c:v>42943</c:v>
                </c:pt>
                <c:pt idx="75">
                  <c:v>42944</c:v>
                </c:pt>
                <c:pt idx="76">
                  <c:v>42951</c:v>
                </c:pt>
                <c:pt idx="77">
                  <c:v>42957</c:v>
                </c:pt>
                <c:pt idx="78">
                  <c:v>42957</c:v>
                </c:pt>
                <c:pt idx="79">
                  <c:v>42958</c:v>
                </c:pt>
                <c:pt idx="80">
                  <c:v>42960</c:v>
                </c:pt>
                <c:pt idx="81">
                  <c:v>42964</c:v>
                </c:pt>
                <c:pt idx="82">
                  <c:v>42964</c:v>
                </c:pt>
                <c:pt idx="83">
                  <c:v>42968</c:v>
                </c:pt>
                <c:pt idx="84">
                  <c:v>42969</c:v>
                </c:pt>
                <c:pt idx="85">
                  <c:v>42969</c:v>
                </c:pt>
                <c:pt idx="86">
                  <c:v>42970</c:v>
                </c:pt>
                <c:pt idx="87">
                  <c:v>42970</c:v>
                </c:pt>
                <c:pt idx="88">
                  <c:v>42978</c:v>
                </c:pt>
                <c:pt idx="89">
                  <c:v>42979</c:v>
                </c:pt>
                <c:pt idx="90">
                  <c:v>42979</c:v>
                </c:pt>
                <c:pt idx="91">
                  <c:v>42979</c:v>
                </c:pt>
                <c:pt idx="92">
                  <c:v>42979</c:v>
                </c:pt>
                <c:pt idx="93">
                  <c:v>42982</c:v>
                </c:pt>
                <c:pt idx="94">
                  <c:v>42982</c:v>
                </c:pt>
                <c:pt idx="95">
                  <c:v>42983</c:v>
                </c:pt>
                <c:pt idx="96">
                  <c:v>42983</c:v>
                </c:pt>
                <c:pt idx="97">
                  <c:v>42983</c:v>
                </c:pt>
                <c:pt idx="98">
                  <c:v>42983</c:v>
                </c:pt>
                <c:pt idx="99">
                  <c:v>42986</c:v>
                </c:pt>
                <c:pt idx="100">
                  <c:v>42989</c:v>
                </c:pt>
                <c:pt idx="101">
                  <c:v>42990</c:v>
                </c:pt>
                <c:pt idx="102">
                  <c:v>42990</c:v>
                </c:pt>
                <c:pt idx="103">
                  <c:v>42992</c:v>
                </c:pt>
                <c:pt idx="104">
                  <c:v>42998</c:v>
                </c:pt>
                <c:pt idx="105">
                  <c:v>43005</c:v>
                </c:pt>
                <c:pt idx="106">
                  <c:v>43006</c:v>
                </c:pt>
                <c:pt idx="107">
                  <c:v>43012</c:v>
                </c:pt>
                <c:pt idx="108">
                  <c:v>43018</c:v>
                </c:pt>
                <c:pt idx="109">
                  <c:v>43019</c:v>
                </c:pt>
                <c:pt idx="110">
                  <c:v>43019</c:v>
                </c:pt>
                <c:pt idx="111">
                  <c:v>43025</c:v>
                </c:pt>
                <c:pt idx="112">
                  <c:v>43031</c:v>
                </c:pt>
                <c:pt idx="113">
                  <c:v>43031</c:v>
                </c:pt>
                <c:pt idx="114">
                  <c:v>43045</c:v>
                </c:pt>
                <c:pt idx="115">
                  <c:v>43066</c:v>
                </c:pt>
                <c:pt idx="116">
                  <c:v>43068</c:v>
                </c:pt>
                <c:pt idx="117">
                  <c:v>43069</c:v>
                </c:pt>
                <c:pt idx="118">
                  <c:v>43070</c:v>
                </c:pt>
                <c:pt idx="119">
                  <c:v>43076</c:v>
                </c:pt>
                <c:pt idx="120">
                  <c:v>43077</c:v>
                </c:pt>
                <c:pt idx="121">
                  <c:v>43089</c:v>
                </c:pt>
                <c:pt idx="122">
                  <c:v>43090</c:v>
                </c:pt>
              </c:numCache>
            </c:numRef>
          </c:xVal>
          <c:yVal>
            <c:numRef>
              <c:f>'[1]2020 Offers chart'!$Q$24:$Q$146</c:f>
              <c:numCache>
                <c:formatCode>General</c:formatCode>
                <c:ptCount val="123"/>
                <c:pt idx="0">
                  <c:v>9.0200000000000014</c:v>
                </c:pt>
                <c:pt idx="1">
                  <c:v>10.853942279758206</c:v>
                </c:pt>
                <c:pt idx="2">
                  <c:v>9.1411363636363632</c:v>
                </c:pt>
                <c:pt idx="3">
                  <c:v>8.7124999999999986</c:v>
                </c:pt>
                <c:pt idx="4">
                  <c:v>8.4499999999999993</c:v>
                </c:pt>
                <c:pt idx="5">
                  <c:v>12.010413763124371</c:v>
                </c:pt>
                <c:pt idx="6">
                  <c:v>11.438999999999997</c:v>
                </c:pt>
                <c:pt idx="7">
                  <c:v>10.762499999999998</c:v>
                </c:pt>
                <c:pt idx="8">
                  <c:v>11.438999999999997</c:v>
                </c:pt>
                <c:pt idx="9">
                  <c:v>10.762499999999998</c:v>
                </c:pt>
                <c:pt idx="10">
                  <c:v>9</c:v>
                </c:pt>
                <c:pt idx="11">
                  <c:v>8.75</c:v>
                </c:pt>
                <c:pt idx="12">
                  <c:v>9.25</c:v>
                </c:pt>
                <c:pt idx="13">
                  <c:v>9.5837499999999984</c:v>
                </c:pt>
                <c:pt idx="14">
                  <c:v>9.8912499999999977</c:v>
                </c:pt>
                <c:pt idx="15">
                  <c:v>9.9629999999999992</c:v>
                </c:pt>
                <c:pt idx="16">
                  <c:v>8.7124999999999986</c:v>
                </c:pt>
                <c:pt idx="17">
                  <c:v>8.6999999999999993</c:v>
                </c:pt>
                <c:pt idx="18">
                  <c:v>10.096249999999998</c:v>
                </c:pt>
                <c:pt idx="19">
                  <c:v>9.9937499999999986</c:v>
                </c:pt>
                <c:pt idx="20">
                  <c:v>9.9385193971394461</c:v>
                </c:pt>
                <c:pt idx="21">
                  <c:v>8.2512500000000006</c:v>
                </c:pt>
                <c:pt idx="22">
                  <c:v>11.433139320794185</c:v>
                </c:pt>
                <c:pt idx="23">
                  <c:v>9.7374999999999972</c:v>
                </c:pt>
                <c:pt idx="24">
                  <c:v>9.5324999999999989</c:v>
                </c:pt>
                <c:pt idx="25">
                  <c:v>9.02</c:v>
                </c:pt>
                <c:pt idx="26">
                  <c:v>9.1224999999999987</c:v>
                </c:pt>
                <c:pt idx="27">
                  <c:v>9.3274999999999988</c:v>
                </c:pt>
                <c:pt idx="28">
                  <c:v>9.4499999999999993</c:v>
                </c:pt>
                <c:pt idx="29">
                  <c:v>9.3631314320418983</c:v>
                </c:pt>
                <c:pt idx="30">
                  <c:v>9.7815954066582957</c:v>
                </c:pt>
                <c:pt idx="31">
                  <c:v>10.430879712746858</c:v>
                </c:pt>
                <c:pt idx="32">
                  <c:v>8.7125000000000004</c:v>
                </c:pt>
                <c:pt idx="33">
                  <c:v>10.045</c:v>
                </c:pt>
                <c:pt idx="34">
                  <c:v>10.035956208628777</c:v>
                </c:pt>
                <c:pt idx="35">
                  <c:v>10.762499999999998</c:v>
                </c:pt>
                <c:pt idx="36">
                  <c:v>10.762499999999998</c:v>
                </c:pt>
                <c:pt idx="37">
                  <c:v>8.1823765415248886</c:v>
                </c:pt>
                <c:pt idx="38">
                  <c:v>12.596106913862519</c:v>
                </c:pt>
                <c:pt idx="39">
                  <c:v>13.521621511051107</c:v>
                </c:pt>
                <c:pt idx="40">
                  <c:v>14.054422488826157</c:v>
                </c:pt>
                <c:pt idx="41">
                  <c:v>13.361781217718592</c:v>
                </c:pt>
                <c:pt idx="42">
                  <c:v>12.596106913862519</c:v>
                </c:pt>
                <c:pt idx="43">
                  <c:v>12.480268253518467</c:v>
                </c:pt>
                <c:pt idx="44">
                  <c:v>9.650825414590674</c:v>
                </c:pt>
                <c:pt idx="45">
                  <c:v>10.506249999999998</c:v>
                </c:pt>
                <c:pt idx="46">
                  <c:v>9.5837499999999967</c:v>
                </c:pt>
                <c:pt idx="47">
                  <c:v>12.912986393925358</c:v>
                </c:pt>
                <c:pt idx="48">
                  <c:v>12.491861378312915</c:v>
                </c:pt>
                <c:pt idx="49">
                  <c:v>12.874625624102054</c:v>
                </c:pt>
                <c:pt idx="50">
                  <c:v>12.053479481410811</c:v>
                </c:pt>
                <c:pt idx="51">
                  <c:v>12.874625624102054</c:v>
                </c:pt>
                <c:pt idx="52">
                  <c:v>9</c:v>
                </c:pt>
                <c:pt idx="53">
                  <c:v>9.8000000000000007</c:v>
                </c:pt>
                <c:pt idx="54">
                  <c:v>9.8311407757996161</c:v>
                </c:pt>
                <c:pt idx="55">
                  <c:v>9.3703060519340085</c:v>
                </c:pt>
                <c:pt idx="56">
                  <c:v>9.4727137683485889</c:v>
                </c:pt>
                <c:pt idx="57">
                  <c:v>9.9335484922141948</c:v>
                </c:pt>
                <c:pt idx="58">
                  <c:v>9.4727137683485889</c:v>
                </c:pt>
                <c:pt idx="59">
                  <c:v>9.4727137683485889</c:v>
                </c:pt>
                <c:pt idx="60">
                  <c:v>9.4144173769382391</c:v>
                </c:pt>
                <c:pt idx="61">
                  <c:v>9.4727137683485889</c:v>
                </c:pt>
                <c:pt idx="62">
                  <c:v>9.3703060519340085</c:v>
                </c:pt>
                <c:pt idx="63">
                  <c:v>9.3126398917821511</c:v>
                </c:pt>
                <c:pt idx="64">
                  <c:v>9.1599736640480174</c:v>
                </c:pt>
                <c:pt idx="65">
                  <c:v>9.2200000000000006</c:v>
                </c:pt>
                <c:pt idx="66">
                  <c:v>10.035956208628777</c:v>
                </c:pt>
                <c:pt idx="67">
                  <c:v>9.011879044482983</c:v>
                </c:pt>
                <c:pt idx="68">
                  <c:v>8.1926173131663464</c:v>
                </c:pt>
                <c:pt idx="69">
                  <c:v>9.8311407757996161</c:v>
                </c:pt>
                <c:pt idx="70">
                  <c:v>9.6349999999999998</c:v>
                </c:pt>
                <c:pt idx="71">
                  <c:v>10.266683360460748</c:v>
                </c:pt>
                <c:pt idx="72">
                  <c:v>10.266683360460748</c:v>
                </c:pt>
                <c:pt idx="73">
                  <c:v>8.35</c:v>
                </c:pt>
                <c:pt idx="74">
                  <c:v>8.2086205063386739</c:v>
                </c:pt>
                <c:pt idx="75">
                  <c:v>9.5</c:v>
                </c:pt>
                <c:pt idx="76">
                  <c:v>9.6349999999999998</c:v>
                </c:pt>
                <c:pt idx="77">
                  <c:v>8.656305393770575</c:v>
                </c:pt>
                <c:pt idx="78">
                  <c:v>9.0302499999999988</c:v>
                </c:pt>
                <c:pt idx="79">
                  <c:v>8.3484433318286442</c:v>
                </c:pt>
                <c:pt idx="80">
                  <c:v>8.85</c:v>
                </c:pt>
                <c:pt idx="81">
                  <c:v>9.7374999999999989</c:v>
                </c:pt>
                <c:pt idx="82">
                  <c:v>9.496783183369125</c:v>
                </c:pt>
                <c:pt idx="83">
                  <c:v>8.3484433318286442</c:v>
                </c:pt>
                <c:pt idx="84">
                  <c:v>8.5053607631272943</c:v>
                </c:pt>
                <c:pt idx="85">
                  <c:v>8.7140812726518906</c:v>
                </c:pt>
                <c:pt idx="86">
                  <c:v>8.7140812726518906</c:v>
                </c:pt>
                <c:pt idx="87">
                  <c:v>8.5053607631272943</c:v>
                </c:pt>
                <c:pt idx="88">
                  <c:v>8.5053607631272943</c:v>
                </c:pt>
                <c:pt idx="89">
                  <c:v>8.52</c:v>
                </c:pt>
                <c:pt idx="90">
                  <c:v>8.31</c:v>
                </c:pt>
                <c:pt idx="91">
                  <c:v>8.52</c:v>
                </c:pt>
                <c:pt idx="92">
                  <c:v>8.31</c:v>
                </c:pt>
                <c:pt idx="93">
                  <c:v>9.35</c:v>
                </c:pt>
                <c:pt idx="94">
                  <c:v>8.96875</c:v>
                </c:pt>
                <c:pt idx="95">
                  <c:v>8.31</c:v>
                </c:pt>
                <c:pt idx="96">
                  <c:v>8.52</c:v>
                </c:pt>
                <c:pt idx="97">
                  <c:v>8.52</c:v>
                </c:pt>
                <c:pt idx="98">
                  <c:v>8.31</c:v>
                </c:pt>
                <c:pt idx="99">
                  <c:v>9.6144999999999996</c:v>
                </c:pt>
                <c:pt idx="100">
                  <c:v>9.4812499999999975</c:v>
                </c:pt>
                <c:pt idx="101">
                  <c:v>7.9950000000000001</c:v>
                </c:pt>
                <c:pt idx="102">
                  <c:v>10.967499999999999</c:v>
                </c:pt>
                <c:pt idx="103">
                  <c:v>9.8912499999999994</c:v>
                </c:pt>
                <c:pt idx="104">
                  <c:v>8.25</c:v>
                </c:pt>
                <c:pt idx="105">
                  <c:v>9.5837500000000002</c:v>
                </c:pt>
                <c:pt idx="106">
                  <c:v>7.7002806480418391</c:v>
                </c:pt>
                <c:pt idx="107">
                  <c:v>8.3000000000000007</c:v>
                </c:pt>
                <c:pt idx="108">
                  <c:v>9.1</c:v>
                </c:pt>
                <c:pt idx="109">
                  <c:v>9.3936471663619727</c:v>
                </c:pt>
                <c:pt idx="110">
                  <c:v>10.66</c:v>
                </c:pt>
                <c:pt idx="111">
                  <c:v>9.2249999999999996</c:v>
                </c:pt>
                <c:pt idx="112">
                  <c:v>9.4197499999999987</c:v>
                </c:pt>
                <c:pt idx="113">
                  <c:v>9.4197499999999987</c:v>
                </c:pt>
                <c:pt idx="114">
                  <c:v>8.5226049219951658</c:v>
                </c:pt>
                <c:pt idx="115">
                  <c:v>10</c:v>
                </c:pt>
                <c:pt idx="116">
                  <c:v>9</c:v>
                </c:pt>
                <c:pt idx="117">
                  <c:v>10.372999999999998</c:v>
                </c:pt>
                <c:pt idx="118">
                  <c:v>9.3936471663619727</c:v>
                </c:pt>
                <c:pt idx="119">
                  <c:v>9.35</c:v>
                </c:pt>
                <c:pt idx="120">
                  <c:v>9.8111425959780636</c:v>
                </c:pt>
                <c:pt idx="121">
                  <c:v>9.8111425959780636</c:v>
                </c:pt>
                <c:pt idx="122">
                  <c:v>8.7674040219378426</c:v>
                </c:pt>
              </c:numCache>
            </c:numRef>
          </c:yVal>
          <c:smooth val="0"/>
          <c:extLst xmlns:c16r2="http://schemas.microsoft.com/office/drawing/2015/06/chart">
            <c:ext xmlns:c16="http://schemas.microsoft.com/office/drawing/2014/chart" uri="{C3380CC4-5D6E-409C-BE32-E72D297353CC}">
              <c16:uniqueId val="{00000001-29A8-49C0-8F82-4F2CBA47C714}"/>
            </c:ext>
          </c:extLst>
        </c:ser>
        <c:ser>
          <c:idx val="6"/>
          <c:order val="4"/>
          <c:spPr>
            <a:ln w="19050" cap="rnd">
              <a:solidFill>
                <a:schemeClr val="tx1"/>
              </a:solidFill>
              <a:prstDash val="sysDot"/>
              <a:round/>
            </a:ln>
            <a:effectLst/>
          </c:spPr>
          <c:marker>
            <c:symbol val="none"/>
          </c:marker>
          <c:xVal>
            <c:numRef>
              <c:f>'12 ACCC offers for supply'!$L$9:$L$10</c:f>
              <c:numCache>
                <c:formatCode>m/d/yyyy</c:formatCode>
                <c:ptCount val="2"/>
                <c:pt idx="0">
                  <c:v>43101</c:v>
                </c:pt>
                <c:pt idx="1">
                  <c:v>43101</c:v>
                </c:pt>
              </c:numCache>
            </c:numRef>
          </c:xVal>
          <c:yVal>
            <c:numRef>
              <c:f>'12 ACCC offers for supply'!$M$9:$M$10</c:f>
              <c:numCache>
                <c:formatCode>General</c:formatCode>
                <c:ptCount val="2"/>
                <c:pt idx="0">
                  <c:v>0</c:v>
                </c:pt>
                <c:pt idx="1">
                  <c:v>24</c:v>
                </c:pt>
              </c:numCache>
            </c:numRef>
          </c:yVal>
          <c:smooth val="0"/>
        </c:ser>
        <c:ser>
          <c:idx val="2"/>
          <c:order val="5"/>
          <c:tx>
            <c:strRef>
              <c:f>'12 ACCC offers for supply'!$L$12</c:f>
              <c:strCache>
                <c:ptCount val="1"/>
                <c:pt idx="0">
                  <c:v>Offers for supply in 2019</c:v>
                </c:pt>
              </c:strCache>
            </c:strRef>
          </c:tx>
          <c:spPr>
            <a:ln w="25400" cap="rnd">
              <a:noFill/>
              <a:round/>
            </a:ln>
            <a:effectLst/>
          </c:spPr>
          <c:marker>
            <c:symbol val="circle"/>
            <c:size val="5"/>
            <c:spPr>
              <a:noFill/>
              <a:ln w="9525">
                <a:noFill/>
              </a:ln>
              <a:effectLst/>
            </c:spPr>
          </c:marker>
          <c:dLbls>
            <c:spPr>
              <a:noFill/>
              <a:ln>
                <a:noFill/>
              </a:ln>
              <a:effectLst/>
            </c:spPr>
            <c:txPr>
              <a:bodyPr rot="0" spcFirstLastPara="1" vertOverflow="overflow" horzOverflow="overflow" vert="horz" wrap="non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xVal>
            <c:numRef>
              <c:f>'12 ACCC offers for supply'!$L$15</c:f>
              <c:numCache>
                <c:formatCode>mmm\-yy</c:formatCode>
                <c:ptCount val="1"/>
                <c:pt idx="0">
                  <c:v>42918.5</c:v>
                </c:pt>
              </c:numCache>
            </c:numRef>
          </c:xVal>
          <c:yVal>
            <c:numRef>
              <c:f>'12 ACCC offers for supply'!$M$15</c:f>
              <c:numCache>
                <c:formatCode>General</c:formatCode>
                <c:ptCount val="1"/>
                <c:pt idx="0">
                  <c:v>23</c:v>
                </c:pt>
              </c:numCache>
            </c:numRef>
          </c:yVal>
          <c:smooth val="0"/>
        </c:ser>
        <c:ser>
          <c:idx val="7"/>
          <c:order val="6"/>
          <c:tx>
            <c:strRef>
              <c:f>'12 ACCC offers for supply'!$L$18</c:f>
              <c:strCache>
                <c:ptCount val="1"/>
                <c:pt idx="0">
                  <c:v>Offers for supply in 2020</c:v>
                </c:pt>
              </c:strCache>
            </c:strRef>
          </c:tx>
          <c:spPr>
            <a:ln w="25400" cap="rnd">
              <a:noFill/>
              <a:round/>
            </a:ln>
            <a:effectLst/>
          </c:spPr>
          <c:marker>
            <c:symbol val="none"/>
          </c:marker>
          <c:dLbls>
            <c:spPr>
              <a:noFill/>
              <a:ln>
                <a:noFill/>
              </a:ln>
              <a:effectLst/>
            </c:spPr>
            <c:txPr>
              <a:bodyPr rot="0" spcFirstLastPara="1" vertOverflow="ellipsis" vert="horz" wrap="non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1"/>
                <c15:leaderLines>
                  <c:spPr>
                    <a:ln w="9525" cap="flat" cmpd="sng" algn="ctr">
                      <a:solidFill>
                        <a:schemeClr val="tx1">
                          <a:lumMod val="35000"/>
                          <a:lumOff val="65000"/>
                        </a:schemeClr>
                      </a:solidFill>
                      <a:round/>
                    </a:ln>
                    <a:effectLst/>
                  </c:spPr>
                </c15:leaderLines>
              </c:ext>
            </c:extLst>
          </c:dLbls>
          <c:xVal>
            <c:numRef>
              <c:f>'12 ACCC offers for supply'!$L$21</c:f>
              <c:numCache>
                <c:formatCode>mmm\-yy</c:formatCode>
                <c:ptCount val="1"/>
                <c:pt idx="0">
                  <c:v>43343.5</c:v>
                </c:pt>
              </c:numCache>
            </c:numRef>
          </c:xVal>
          <c:yVal>
            <c:numRef>
              <c:f>'12 ACCC offers for supply'!$M$21</c:f>
              <c:numCache>
                <c:formatCode>General</c:formatCode>
                <c:ptCount val="1"/>
                <c:pt idx="0">
                  <c:v>23</c:v>
                </c:pt>
              </c:numCache>
            </c:numRef>
          </c:yVal>
          <c:smooth val="0"/>
        </c:ser>
        <c:ser>
          <c:idx val="8"/>
          <c:order val="7"/>
          <c:tx>
            <c:strRef>
              <c:f>'12 ACCC offers for supply'!$L$24</c:f>
              <c:strCache>
                <c:ptCount val="1"/>
                <c:pt idx="0">
                  <c:v>2019 section</c:v>
                </c:pt>
              </c:strCache>
            </c:strRef>
          </c:tx>
          <c:spPr>
            <a:ln w="19050" cap="rnd">
              <a:solidFill>
                <a:schemeClr val="accent3">
                  <a:lumMod val="60000"/>
                </a:schemeClr>
              </a:solidFill>
              <a:round/>
              <a:headEnd type="triangle"/>
              <a:tailEnd type="triangle"/>
            </a:ln>
            <a:effectLst/>
          </c:spPr>
          <c:marker>
            <c:symbol val="none"/>
          </c:marker>
          <c:xVal>
            <c:numRef>
              <c:f>'12 ACCC offers for supply'!$L$25:$L$26</c:f>
              <c:numCache>
                <c:formatCode>mmm\-yy</c:formatCode>
                <c:ptCount val="2"/>
                <c:pt idx="0">
                  <c:v>42736</c:v>
                </c:pt>
                <c:pt idx="1">
                  <c:v>43101</c:v>
                </c:pt>
              </c:numCache>
            </c:numRef>
          </c:xVal>
          <c:yVal>
            <c:numRef>
              <c:f>'12 ACCC offers for supply'!$M$25:$M$26</c:f>
              <c:numCache>
                <c:formatCode>General</c:formatCode>
                <c:ptCount val="2"/>
                <c:pt idx="0">
                  <c:v>23</c:v>
                </c:pt>
                <c:pt idx="1">
                  <c:v>23</c:v>
                </c:pt>
              </c:numCache>
            </c:numRef>
          </c:yVal>
          <c:smooth val="0"/>
        </c:ser>
        <c:ser>
          <c:idx val="9"/>
          <c:order val="8"/>
          <c:tx>
            <c:strRef>
              <c:f>'12 ACCC offers for supply'!$L$28</c:f>
              <c:strCache>
                <c:ptCount val="1"/>
                <c:pt idx="0">
                  <c:v>2020 section</c:v>
                </c:pt>
              </c:strCache>
            </c:strRef>
          </c:tx>
          <c:spPr>
            <a:ln w="19050" cap="rnd">
              <a:solidFill>
                <a:schemeClr val="bg2">
                  <a:lumMod val="50000"/>
                </a:schemeClr>
              </a:solidFill>
              <a:round/>
              <a:headEnd type="triangle"/>
              <a:tailEnd type="triangle"/>
            </a:ln>
            <a:effectLst/>
          </c:spPr>
          <c:marker>
            <c:symbol val="none"/>
          </c:marker>
          <c:xVal>
            <c:numRef>
              <c:f>'12 ACCC offers for supply'!$L$29:$L$30</c:f>
              <c:numCache>
                <c:formatCode>mmm\-yy</c:formatCode>
                <c:ptCount val="2"/>
                <c:pt idx="0">
                  <c:v>43101</c:v>
                </c:pt>
                <c:pt idx="1">
                  <c:v>43586</c:v>
                </c:pt>
              </c:numCache>
            </c:numRef>
          </c:xVal>
          <c:yVal>
            <c:numRef>
              <c:f>'12 ACCC offers for supply'!$M$29:$M$30</c:f>
              <c:numCache>
                <c:formatCode>General</c:formatCode>
                <c:ptCount val="2"/>
                <c:pt idx="0">
                  <c:v>23</c:v>
                </c:pt>
                <c:pt idx="1">
                  <c:v>23</c:v>
                </c:pt>
              </c:numCache>
            </c:numRef>
          </c:yVal>
          <c:smooth val="0"/>
        </c:ser>
        <c:ser>
          <c:idx val="10"/>
          <c:order val="9"/>
          <c:tx>
            <c:strRef>
              <c:f>'12 ACCC offers for supply'!$X$2</c:f>
              <c:strCache>
                <c:ptCount val="1"/>
                <c:pt idx="0">
                  <c:v>Expected LNG netback prices</c:v>
                </c:pt>
              </c:strCache>
            </c:strRef>
          </c:tx>
          <c:spPr>
            <a:ln w="19050">
              <a:solidFill>
                <a:srgbClr val="56B4DF"/>
              </a:solidFill>
            </a:ln>
          </c:spPr>
          <c:marker>
            <c:symbol val="none"/>
          </c:marker>
          <c:xVal>
            <c:numRef>
              <c:f>'12 ACCC offers for supply'!$AA$3:$AA$26</c:f>
              <c:numCache>
                <c:formatCode>mmm\-yy</c:formatCode>
                <c:ptCount val="24"/>
                <c:pt idx="0">
                  <c:v>42736</c:v>
                </c:pt>
                <c:pt idx="1">
                  <c:v>42767</c:v>
                </c:pt>
                <c:pt idx="2">
                  <c:v>42767</c:v>
                </c:pt>
                <c:pt idx="3">
                  <c:v>42795</c:v>
                </c:pt>
                <c:pt idx="4">
                  <c:v>42795</c:v>
                </c:pt>
                <c:pt idx="5">
                  <c:v>42826</c:v>
                </c:pt>
                <c:pt idx="6">
                  <c:v>42826</c:v>
                </c:pt>
                <c:pt idx="7">
                  <c:v>42856</c:v>
                </c:pt>
                <c:pt idx="8">
                  <c:v>42856</c:v>
                </c:pt>
                <c:pt idx="9">
                  <c:v>42887</c:v>
                </c:pt>
                <c:pt idx="10">
                  <c:v>42887</c:v>
                </c:pt>
                <c:pt idx="11">
                  <c:v>42917</c:v>
                </c:pt>
                <c:pt idx="12">
                  <c:v>42917</c:v>
                </c:pt>
                <c:pt idx="13">
                  <c:v>42948</c:v>
                </c:pt>
                <c:pt idx="14">
                  <c:v>42948</c:v>
                </c:pt>
                <c:pt idx="15">
                  <c:v>42979</c:v>
                </c:pt>
                <c:pt idx="16">
                  <c:v>42979</c:v>
                </c:pt>
                <c:pt idx="17">
                  <c:v>43009</c:v>
                </c:pt>
                <c:pt idx="18">
                  <c:v>43009</c:v>
                </c:pt>
                <c:pt idx="19">
                  <c:v>43040</c:v>
                </c:pt>
                <c:pt idx="20">
                  <c:v>43040</c:v>
                </c:pt>
                <c:pt idx="21">
                  <c:v>43070</c:v>
                </c:pt>
                <c:pt idx="22">
                  <c:v>43070</c:v>
                </c:pt>
                <c:pt idx="23">
                  <c:v>43101</c:v>
                </c:pt>
              </c:numCache>
            </c:numRef>
          </c:xVal>
          <c:yVal>
            <c:numRef>
              <c:f>'12 ACCC offers for supply'!$AB$3:$AB$26</c:f>
              <c:numCache>
                <c:formatCode>General</c:formatCode>
                <c:ptCount val="24"/>
                <c:pt idx="0">
                  <c:v>7.2523872960000002</c:v>
                </c:pt>
                <c:pt idx="1">
                  <c:v>7.2523872960000002</c:v>
                </c:pt>
                <c:pt idx="2">
                  <c:v>7.189281083</c:v>
                </c:pt>
                <c:pt idx="3">
                  <c:v>7.189281083</c:v>
                </c:pt>
                <c:pt idx="4">
                  <c:v>6.5938184450000001</c:v>
                </c:pt>
                <c:pt idx="5">
                  <c:v>6.5938184450000001</c:v>
                </c:pt>
                <c:pt idx="6">
                  <c:v>6.8398183140000004</c:v>
                </c:pt>
                <c:pt idx="7">
                  <c:v>6.8398183140000004</c:v>
                </c:pt>
                <c:pt idx="8">
                  <c:v>6.9431532999999996</c:v>
                </c:pt>
                <c:pt idx="9">
                  <c:v>6.9431532999999996</c:v>
                </c:pt>
                <c:pt idx="10">
                  <c:v>6.6086596599999998</c:v>
                </c:pt>
                <c:pt idx="11">
                  <c:v>6.6086596599999998</c:v>
                </c:pt>
                <c:pt idx="12">
                  <c:v>6.5864265800000004</c:v>
                </c:pt>
                <c:pt idx="13">
                  <c:v>6.5864265800000004</c:v>
                </c:pt>
                <c:pt idx="14">
                  <c:v>6.6593202160000002</c:v>
                </c:pt>
                <c:pt idx="15">
                  <c:v>6.6593202160000002</c:v>
                </c:pt>
                <c:pt idx="16">
                  <c:v>6.8524672610000001</c:v>
                </c:pt>
                <c:pt idx="17">
                  <c:v>6.8524672610000001</c:v>
                </c:pt>
                <c:pt idx="18">
                  <c:v>6.913895116</c:v>
                </c:pt>
                <c:pt idx="19">
                  <c:v>6.913895116</c:v>
                </c:pt>
                <c:pt idx="20">
                  <c:v>7.4478485550000002</c:v>
                </c:pt>
                <c:pt idx="21">
                  <c:v>7.4478485550000002</c:v>
                </c:pt>
                <c:pt idx="22">
                  <c:v>7.6707381940000001</c:v>
                </c:pt>
                <c:pt idx="23">
                  <c:v>7.6707381940000001</c:v>
                </c:pt>
              </c:numCache>
            </c:numRef>
          </c:yVal>
          <c:smooth val="0"/>
        </c:ser>
        <c:ser>
          <c:idx val="11"/>
          <c:order val="10"/>
          <c:spPr>
            <a:ln>
              <a:solidFill>
                <a:srgbClr val="56B4DF"/>
              </a:solidFill>
            </a:ln>
          </c:spPr>
          <c:marker>
            <c:symbol val="none"/>
          </c:marker>
          <c:xVal>
            <c:numRef>
              <c:f>'12 ACCC offers for supply'!$AA$28:$AA$59</c:f>
              <c:numCache>
                <c:formatCode>mmm\-yy</c:formatCode>
                <c:ptCount val="32"/>
                <c:pt idx="0">
                  <c:v>43101</c:v>
                </c:pt>
                <c:pt idx="1">
                  <c:v>43132</c:v>
                </c:pt>
                <c:pt idx="2">
                  <c:v>43132</c:v>
                </c:pt>
                <c:pt idx="3">
                  <c:v>43160</c:v>
                </c:pt>
                <c:pt idx="4">
                  <c:v>43160</c:v>
                </c:pt>
                <c:pt idx="5">
                  <c:v>43191</c:v>
                </c:pt>
                <c:pt idx="6">
                  <c:v>43191</c:v>
                </c:pt>
                <c:pt idx="7">
                  <c:v>43221</c:v>
                </c:pt>
                <c:pt idx="8">
                  <c:v>43221</c:v>
                </c:pt>
                <c:pt idx="9">
                  <c:v>43252</c:v>
                </c:pt>
                <c:pt idx="10">
                  <c:v>43252</c:v>
                </c:pt>
                <c:pt idx="11">
                  <c:v>43282</c:v>
                </c:pt>
                <c:pt idx="12">
                  <c:v>43282</c:v>
                </c:pt>
                <c:pt idx="13">
                  <c:v>43313</c:v>
                </c:pt>
                <c:pt idx="14">
                  <c:v>43313</c:v>
                </c:pt>
                <c:pt idx="15">
                  <c:v>43344</c:v>
                </c:pt>
                <c:pt idx="16">
                  <c:v>43344</c:v>
                </c:pt>
                <c:pt idx="17">
                  <c:v>43374</c:v>
                </c:pt>
                <c:pt idx="18">
                  <c:v>43374</c:v>
                </c:pt>
                <c:pt idx="19">
                  <c:v>43405</c:v>
                </c:pt>
                <c:pt idx="20">
                  <c:v>43405</c:v>
                </c:pt>
                <c:pt idx="21">
                  <c:v>43435</c:v>
                </c:pt>
                <c:pt idx="22">
                  <c:v>43435</c:v>
                </c:pt>
                <c:pt idx="23">
                  <c:v>43466</c:v>
                </c:pt>
                <c:pt idx="24">
                  <c:v>43466</c:v>
                </c:pt>
                <c:pt idx="25">
                  <c:v>43497</c:v>
                </c:pt>
                <c:pt idx="26">
                  <c:v>43497</c:v>
                </c:pt>
                <c:pt idx="27">
                  <c:v>43525</c:v>
                </c:pt>
                <c:pt idx="28">
                  <c:v>43525</c:v>
                </c:pt>
                <c:pt idx="29">
                  <c:v>43556</c:v>
                </c:pt>
                <c:pt idx="30">
                  <c:v>43556</c:v>
                </c:pt>
                <c:pt idx="31">
                  <c:v>43586</c:v>
                </c:pt>
              </c:numCache>
            </c:numRef>
          </c:xVal>
          <c:yVal>
            <c:numRef>
              <c:f>'12 ACCC offers for supply'!$AB$28:$AB$59</c:f>
              <c:numCache>
                <c:formatCode>General</c:formatCode>
                <c:ptCount val="32"/>
                <c:pt idx="0">
                  <c:v>7.5358980420000004</c:v>
                </c:pt>
                <c:pt idx="1">
                  <c:v>7.5358980420000004</c:v>
                </c:pt>
                <c:pt idx="2">
                  <c:v>7.3465799189999998</c:v>
                </c:pt>
                <c:pt idx="3">
                  <c:v>7.3465799189999998</c:v>
                </c:pt>
                <c:pt idx="4">
                  <c:v>7.5204851530000001</c:v>
                </c:pt>
                <c:pt idx="5">
                  <c:v>7.5204851530000001</c:v>
                </c:pt>
                <c:pt idx="6">
                  <c:v>8.0421470970000009</c:v>
                </c:pt>
                <c:pt idx="7">
                  <c:v>8.0421470970000009</c:v>
                </c:pt>
                <c:pt idx="8">
                  <c:v>8.8720899210000006</c:v>
                </c:pt>
                <c:pt idx="9">
                  <c:v>8.8720899210000006</c:v>
                </c:pt>
                <c:pt idx="10">
                  <c:v>8.8938931320000005</c:v>
                </c:pt>
                <c:pt idx="11">
                  <c:v>8.8938931320000005</c:v>
                </c:pt>
                <c:pt idx="12">
                  <c:v>9.1438386190000003</c:v>
                </c:pt>
                <c:pt idx="13">
                  <c:v>9.1438386190000003</c:v>
                </c:pt>
                <c:pt idx="14">
                  <c:v>9.5129419409999993</c:v>
                </c:pt>
                <c:pt idx="15">
                  <c:v>9.5129419409999993</c:v>
                </c:pt>
                <c:pt idx="16">
                  <c:v>10.44573432</c:v>
                </c:pt>
                <c:pt idx="17">
                  <c:v>10.44573432</c:v>
                </c:pt>
                <c:pt idx="18">
                  <c:v>10.22284398</c:v>
                </c:pt>
                <c:pt idx="19">
                  <c:v>10.22284398</c:v>
                </c:pt>
                <c:pt idx="20">
                  <c:v>8.9401492099999995</c:v>
                </c:pt>
                <c:pt idx="21">
                  <c:v>8.9401492099999995</c:v>
                </c:pt>
                <c:pt idx="22">
                  <c:v>8.8657830390000001</c:v>
                </c:pt>
                <c:pt idx="23">
                  <c:v>8.8657830390000001</c:v>
                </c:pt>
                <c:pt idx="24">
                  <c:v>9.1172623159999997</c:v>
                </c:pt>
                <c:pt idx="25">
                  <c:v>9.1172623159999997</c:v>
                </c:pt>
                <c:pt idx="26">
                  <c:v>9.1145658279999999</c:v>
                </c:pt>
                <c:pt idx="27">
                  <c:v>9.1145658279999999</c:v>
                </c:pt>
                <c:pt idx="28">
                  <c:v>8.8669782981999994</c:v>
                </c:pt>
                <c:pt idx="29">
                  <c:v>8.8669782981999994</c:v>
                </c:pt>
                <c:pt idx="30">
                  <c:v>8.7177961990000004</c:v>
                </c:pt>
                <c:pt idx="31">
                  <c:v>8.7177961990000004</c:v>
                </c:pt>
              </c:numCache>
            </c:numRef>
          </c:yVal>
          <c:smooth val="0"/>
        </c:ser>
        <c:dLbls>
          <c:showLegendKey val="0"/>
          <c:showVal val="0"/>
          <c:showCatName val="0"/>
          <c:showSerName val="0"/>
          <c:showPercent val="0"/>
          <c:showBubbleSize val="0"/>
        </c:dLbls>
        <c:axId val="796929680"/>
        <c:axId val="897249976"/>
      </c:scatterChart>
      <c:scatterChart>
        <c:scatterStyle val="lineMarker"/>
        <c:varyColors val="0"/>
        <c:ser>
          <c:idx val="4"/>
          <c:order val="2"/>
          <c:spPr>
            <a:ln w="19050" cap="rnd">
              <a:solidFill>
                <a:srgbClr val="F36A5A"/>
              </a:solidFill>
              <a:prstDash val="sysDot"/>
              <a:round/>
              <a:headEnd type="none"/>
              <a:tailEnd type="none"/>
            </a:ln>
            <a:effectLst/>
          </c:spPr>
          <c:marker>
            <c:symbol val="none"/>
          </c:marker>
          <c:xVal>
            <c:numRef>
              <c:f>'12 ACCC offers for supply'!$L$6:$L$7</c:f>
              <c:numCache>
                <c:formatCode>d/m/yy;@</c:formatCode>
                <c:ptCount val="2"/>
                <c:pt idx="0">
                  <c:v>42917</c:v>
                </c:pt>
                <c:pt idx="1">
                  <c:v>42917</c:v>
                </c:pt>
              </c:numCache>
            </c:numRef>
          </c:xVal>
          <c:yVal>
            <c:numRef>
              <c:f>'12 ACCC offers for supply'!$M$6:$M$7</c:f>
              <c:numCache>
                <c:formatCode>General</c:formatCode>
                <c:ptCount val="2"/>
                <c:pt idx="0">
                  <c:v>0</c:v>
                </c:pt>
                <c:pt idx="1">
                  <c:v>1</c:v>
                </c:pt>
              </c:numCache>
            </c:numRef>
          </c:yVal>
          <c:smooth val="0"/>
        </c:ser>
        <c:ser>
          <c:idx val="5"/>
          <c:order val="3"/>
          <c:tx>
            <c:strRef>
              <c:f>'12 ACCC offers for supply'!$L$5</c:f>
              <c:strCache>
                <c:ptCount val="1"/>
                <c:pt idx="0">
                  <c:v>ADGSM in place</c:v>
                </c:pt>
              </c:strCache>
            </c:strRef>
          </c:tx>
          <c:spPr>
            <a:ln w="25400" cap="rnd">
              <a:noFill/>
              <a:round/>
            </a:ln>
            <a:effectLst/>
          </c:spPr>
          <c:marker>
            <c:symbol val="none"/>
          </c:marker>
          <c:dLbls>
            <c:dLbl>
              <c:idx val="0"/>
              <c:layout/>
              <c:tx>
                <c:rich>
                  <a:bodyPr/>
                  <a:lstStyle/>
                  <a:p>
                    <a:fld id="{64BF80AC-1123-4549-B5B3-7114C180D321}" type="SERIESNAME">
                      <a:rPr lang="en-US">
                        <a:latin typeface="Arial" panose="020B0604020202020204" pitchFamily="34" charset="0"/>
                        <a:cs typeface="Arial" panose="020B0604020202020204" pitchFamily="34" charset="0"/>
                      </a:rPr>
                      <a:pPr/>
                      <a:t>[SERIES NAME]</a:t>
                    </a:fld>
                    <a:endParaRPr lang="en-AU"/>
                  </a:p>
                </c:rich>
              </c:tx>
              <c:dLblPos val="t"/>
              <c:showLegendKey val="0"/>
              <c:showVal val="0"/>
              <c:showCatName val="0"/>
              <c:showSerName val="1"/>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36A5A"/>
                    </a:solidFill>
                    <a:latin typeface="Arial" panose="020B0604020202020204" pitchFamily="34" charset="0"/>
                    <a:ea typeface="+mn-ea"/>
                    <a:cs typeface="Arial" panose="020B0604020202020204" pitchFamily="34" charset="0"/>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'12 ACCC offers for supply'!$L$7</c:f>
              <c:numCache>
                <c:formatCode>d/m/yy;@</c:formatCode>
                <c:ptCount val="1"/>
                <c:pt idx="0">
                  <c:v>42917</c:v>
                </c:pt>
              </c:numCache>
            </c:numRef>
          </c:xVal>
          <c:yVal>
            <c:numRef>
              <c:f>'12 ACCC offers for supply'!$M$7</c:f>
              <c:numCache>
                <c:formatCode>General</c:formatCode>
                <c:ptCount val="1"/>
                <c:pt idx="0">
                  <c:v>1</c:v>
                </c:pt>
              </c:numCache>
            </c:numRef>
          </c:yVal>
          <c:smooth val="0"/>
        </c:ser>
        <c:dLbls>
          <c:showLegendKey val="0"/>
          <c:showVal val="0"/>
          <c:showCatName val="0"/>
          <c:showSerName val="0"/>
          <c:showPercent val="0"/>
          <c:showBubbleSize val="0"/>
        </c:dLbls>
        <c:axId val="1000799360"/>
        <c:axId val="897250368"/>
      </c:scatterChart>
      <c:valAx>
        <c:axId val="796929680"/>
        <c:scaling>
          <c:orientation val="minMax"/>
          <c:max val="43579"/>
          <c:min val="42736"/>
        </c:scaling>
        <c:delete val="0"/>
        <c:axPos val="b"/>
        <c:majorGridlines>
          <c:spPr>
            <a:ln w="9525" cap="flat" cmpd="sng" algn="ctr">
              <a:noFill/>
              <a:round/>
            </a:ln>
            <a:effectLst/>
          </c:spPr>
        </c:majorGridlines>
        <c:numFmt formatCode="[$-C09]mmm\-yy;@" sourceLinked="0"/>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97249976"/>
        <c:crosses val="autoZero"/>
        <c:crossBetween val="midCat"/>
        <c:majorUnit val="92"/>
        <c:minorUnit val="10"/>
      </c:valAx>
      <c:valAx>
        <c:axId val="897249976"/>
        <c:scaling>
          <c:orientation val="minMax"/>
          <c:max val="24"/>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$/GJ</a:t>
                </a:r>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96929680"/>
        <c:crossesAt val="42700"/>
        <c:crossBetween val="midCat"/>
        <c:majorUnit val="2"/>
      </c:valAx>
      <c:valAx>
        <c:axId val="897250368"/>
        <c:scaling>
          <c:orientation val="minMax"/>
          <c:max val="1.2"/>
        </c:scaling>
        <c:delete val="0"/>
        <c:axPos val="r"/>
        <c:numFmt formatCode="General" sourceLinked="1"/>
        <c:majorTickMark val="out"/>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00799360"/>
        <c:crosses val="max"/>
        <c:crossBetween val="midCat"/>
      </c:valAx>
      <c:valAx>
        <c:axId val="1000799360"/>
        <c:scaling>
          <c:orientation val="minMax"/>
        </c:scaling>
        <c:delete val="1"/>
        <c:axPos val="b"/>
        <c:numFmt formatCode="d/m/yy;@" sourceLinked="1"/>
        <c:majorTickMark val="out"/>
        <c:minorTickMark val="none"/>
        <c:tickLblPos val="nextTo"/>
        <c:crossAx val="897250368"/>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8"/>
        <c:delete val="1"/>
      </c:legendEntry>
      <c:legendEntry>
        <c:idx val="9"/>
        <c:delete val="1"/>
      </c:legendEntry>
      <c:legendEntry>
        <c:idx val="1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d739baa1-c236-4c55-91aa-e2b35d487090</TermId>
        </TermInfo>
      </Terms>
    </aa25a1a23adf4c92a153145de6afe324>
    <e63cd534a94446d68abe1904a0bcdfb2 xmlns="76c08405-89e9-4c57-a585-b31d7bded94b">
      <Terms xmlns="http://schemas.microsoft.com/office/infopath/2007/PartnerControls"/>
    </e63cd534a94446d68abe1904a0bcdfb2>
    <adb9bed2e36e4a93af574aeb444da63e xmlns="76c08405-89e9-4c57-a585-b31d7bded94b">
      <Terms xmlns="http://schemas.microsoft.com/office/infopath/2007/PartnerControls">
        <TermInfo xmlns="http://schemas.microsoft.com/office/infopath/2007/PartnerControls">
          <TermName xmlns="http://schemas.microsoft.com/office/infopath/2007/PartnerControls">ADGSM</TermName>
          <TermId xmlns="http://schemas.microsoft.com/office/infopath/2007/PartnerControls">c5ee6e5e-8b45-4932-82de-26c1ee0e9bc0</TermId>
        </TermInfo>
      </Terms>
    </adb9bed2e36e4a93af574aeb444da63e>
    <pe2555c81638466f9eb614edb9ecde52 xmlns="76c08405-89e9-4c57-a585-b31d7bded94b">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76c08405-89e9-4c57-a585-b31d7bded94b">
      <Value>587</Value>
      <Value>54</Value>
      <Value>3075</Value>
      <Value>184</Value>
      <Value>1897</Value>
    </TaxCatchAll>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Policy Evaluation</TermName>
          <TermId xmlns="http://schemas.microsoft.com/office/infopath/2007/PartnerControls">61a76e0e-c295-4bf3-aab2-e41d1910cb0f</TermId>
        </TermInfo>
      </Terms>
    </g7bcb40ba23249a78edca7d43a67c1c9>
    <Comments xmlns="http://schemas.microsoft.com/sharepoint/v3" xsi:nil="true"/>
    <_dlc_DocId xmlns="76c08405-89e9-4c57-a585-b31d7bded94b">P77SRJCMCQEC-757202701-535</_dlc_DocId>
    <_dlc_DocIdUrl xmlns="76c08405-89e9-4c57-a585-b31d7bded94b">
      <Url>https://dochub/div/resources/businessfunctions/offshoreresources/unconventionalgas/DGSM/_layouts/15/DocIdRedir.aspx?ID=P77SRJCMCQEC-757202701-535</Url>
      <Description>P77SRJCMCQEC-757202701-535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895E4B092C0C4D96D1B67E070D1144" ma:contentTypeVersion="15" ma:contentTypeDescription="Create a new document." ma:contentTypeScope="" ma:versionID="94c38074c80b9d7baa0ac100fc644389">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ebd1f42cef88ea308982a5a9c76e11cd"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5A77-666B-4A39-ADD7-2CBD33941F6A}">
  <ds:schemaRefs>
    <ds:schemaRef ds:uri="http://schemas.microsoft.com/sharepoint/events"/>
  </ds:schemaRefs>
</ds:datastoreItem>
</file>

<file path=customXml/itemProps2.xml><?xml version="1.0" encoding="utf-8"?>
<ds:datastoreItem xmlns:ds="http://schemas.openxmlformats.org/officeDocument/2006/customXml" ds:itemID="{15301E75-3FA6-4864-84F6-35FA635F2BE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6c08405-89e9-4c57-a585-b31d7bded94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BF6CEF6-BCAF-4EBC-A518-F9D8C0BD7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8AFCA-9B7C-45BA-BF70-4D487B11B47D}">
  <ds:schemaRefs>
    <ds:schemaRef ds:uri="http://schemas.microsoft.com/sharepoint/v3/contenttype/forms"/>
  </ds:schemaRefs>
</ds:datastoreItem>
</file>

<file path=customXml/itemProps5.xml><?xml version="1.0" encoding="utf-8"?>
<ds:datastoreItem xmlns:ds="http://schemas.openxmlformats.org/officeDocument/2006/customXml" ds:itemID="{B96155AA-891D-4A1A-9135-021CE379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12570</Words>
  <Characters>71650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 Harini</dc:creator>
  <cp:keywords/>
  <dc:description/>
  <cp:lastModifiedBy>Francis, Sophie</cp:lastModifiedBy>
  <cp:revision>4</cp:revision>
  <cp:lastPrinted>2020-01-22T21:37:00Z</cp:lastPrinted>
  <dcterms:created xsi:type="dcterms:W3CDTF">2020-01-22T21:36:00Z</dcterms:created>
  <dcterms:modified xsi:type="dcterms:W3CDTF">2020-01-22T21:38:00Z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0x010100BF895E4B092C0C4D96D1B67E070D1144</vt:lpwstr>
  </property>
  <property fmtid="{D5CDD505-2E9C-101B-9397-08002B2CF9AE}" pid="3" name="_dlc_DocIdItemGuid">
    <vt:lpwstr>e67ee403-2ba2-4edf-824f-30f275fb7c2e</vt:lpwstr>
  </property>
  <property fmtid="{D5CDD505-2E9C-101B-9397-08002B2CF9AE}" pid="4" name="DocHub_Year">
    <vt:lpwstr>3075;#2019|7e451fe0-4dc6-437a-a849-bab7965a9aee</vt:lpwstr>
  </property>
  <property fmtid="{D5CDD505-2E9C-101B-9397-08002B2CF9AE}" pid="5" name="DocHub_DocumentType">
    <vt:lpwstr>54;#Report|116a9244-cef6-47ce-a9a5-088c9cf21292</vt:lpwstr>
  </property>
  <property fmtid="{D5CDD505-2E9C-101B-9397-08002B2CF9AE}" pid="6" name="DocHub_SecurityClassification">
    <vt:lpwstr>184;#Sensitive|d739baa1-c236-4c55-91aa-e2b35d487090</vt:lpwstr>
  </property>
  <property fmtid="{D5CDD505-2E9C-101B-9397-08002B2CF9AE}" pid="7" name="DocHub_Keywords">
    <vt:lpwstr>1897;#ADGSM|c5ee6e5e-8b45-4932-82de-26c1ee0e9bc0</vt:lpwstr>
  </property>
  <property fmtid="{D5CDD505-2E9C-101B-9397-08002B2CF9AE}" pid="8" name="DocHub_WorkActivity">
    <vt:lpwstr>587;#Policy Evaluation|61a76e0e-c295-4bf3-aab2-e41d1910cb0f</vt:lpwstr>
  </property>
  <property fmtid="{D5CDD505-2E9C-101B-9397-08002B2CF9AE}" pid="9" name="DocHub_WorkTopic">
    <vt:lpwstr/>
  </property>
</Properties>
</file>